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2B04E" w14:textId="01C67307" w:rsidR="00E6108C" w:rsidRPr="00DB30C8" w:rsidRDefault="00E6108C" w:rsidP="003B7B0C">
      <w:pPr>
        <w:spacing w:after="60"/>
        <w:rPr>
          <w:rFonts w:ascii="Calibri Light" w:hAnsi="Calibri Light" w:cs="Calibri Light"/>
          <w:b/>
          <w:bCs/>
          <w:color w:val="00B0F0"/>
          <w:sz w:val="32"/>
          <w:szCs w:val="32"/>
          <w:lang w:val="en-AU"/>
        </w:rPr>
      </w:pPr>
      <w:bookmarkStart w:id="0" w:name="_GoBack"/>
      <w:bookmarkEnd w:id="0"/>
      <w:r w:rsidRPr="00DB30C8">
        <w:rPr>
          <w:rFonts w:ascii="Calibri Light" w:hAnsi="Calibri Light" w:cs="Calibri Light"/>
          <w:b/>
          <w:bCs/>
          <w:color w:val="00B0F0"/>
          <w:sz w:val="32"/>
          <w:szCs w:val="32"/>
          <w:lang w:val="en-AU"/>
        </w:rPr>
        <w:t>Australia-Indonesia Partnership for Justice Phase 2</w:t>
      </w:r>
    </w:p>
    <w:p w14:paraId="23D305E7" w14:textId="77777777" w:rsidR="00E6108C" w:rsidRPr="00DB30C8" w:rsidRDefault="009D6BEF" w:rsidP="003B7B0C">
      <w:pPr>
        <w:spacing w:after="60"/>
        <w:rPr>
          <w:rFonts w:ascii="Calibri Light" w:hAnsi="Calibri Light" w:cs="Calibri Light"/>
          <w:b/>
          <w:bCs/>
          <w:color w:val="00B0F0"/>
          <w:sz w:val="32"/>
          <w:szCs w:val="32"/>
          <w:lang w:val="en-AU"/>
        </w:rPr>
      </w:pPr>
      <w:r w:rsidRPr="00DB30C8">
        <w:rPr>
          <w:rFonts w:ascii="Calibri Light" w:hAnsi="Calibri Light" w:cs="Calibri Light"/>
          <w:b/>
          <w:bCs/>
          <w:color w:val="00B0F0"/>
          <w:sz w:val="32"/>
          <w:szCs w:val="32"/>
          <w:lang w:val="en-AU"/>
        </w:rPr>
        <w:t>Mid-term review</w:t>
      </w:r>
    </w:p>
    <w:p w14:paraId="1033D8FA" w14:textId="5412DEC6" w:rsidR="009D6BEF" w:rsidRPr="00DB30C8" w:rsidRDefault="003B57ED" w:rsidP="003B7B0C">
      <w:pPr>
        <w:pBdr>
          <w:bottom w:val="single" w:sz="12" w:space="1" w:color="auto"/>
        </w:pBdr>
        <w:spacing w:before="120"/>
        <w:rPr>
          <w:rFonts w:ascii="Calibri Light" w:hAnsi="Calibri Light" w:cs="Calibri Light"/>
          <w:b/>
          <w:bCs/>
          <w:color w:val="00B0F0"/>
          <w:lang w:val="en-AU"/>
        </w:rPr>
      </w:pPr>
      <w:r>
        <w:rPr>
          <w:rFonts w:ascii="Calibri Light" w:hAnsi="Calibri Light" w:cs="Calibri Light"/>
          <w:b/>
          <w:bCs/>
          <w:color w:val="00B0F0"/>
          <w:lang w:val="en-AU"/>
        </w:rPr>
        <w:t>29</w:t>
      </w:r>
      <w:r w:rsidR="009D6BEF" w:rsidRPr="00DB30C8">
        <w:rPr>
          <w:rFonts w:ascii="Calibri Light" w:hAnsi="Calibri Light" w:cs="Calibri Light"/>
          <w:b/>
          <w:bCs/>
          <w:color w:val="00B0F0"/>
          <w:lang w:val="en-AU"/>
        </w:rPr>
        <w:t xml:space="preserve"> September 2019</w:t>
      </w:r>
    </w:p>
    <w:p w14:paraId="1857D127" w14:textId="5A73BFC8" w:rsidR="009D6BEF" w:rsidRPr="00262AFF" w:rsidRDefault="009D6BEF" w:rsidP="009D6BEF">
      <w:pPr>
        <w:rPr>
          <w:rFonts w:asciiTheme="majorHAnsi" w:eastAsiaTheme="majorEastAsia" w:hAnsiTheme="majorHAnsi" w:cstheme="majorBidi"/>
          <w:b/>
          <w:bCs/>
          <w:color w:val="2F5496" w:themeColor="accent1" w:themeShade="BF"/>
          <w:sz w:val="2"/>
          <w:szCs w:val="2"/>
          <w:lang w:val="en-US" w:eastAsia="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567"/>
        <w:gridCol w:w="6804"/>
        <w:gridCol w:w="651"/>
      </w:tblGrid>
      <w:tr w:rsidR="003B7B0C" w:rsidRPr="002F4399" w14:paraId="63427B2C" w14:textId="77777777" w:rsidTr="003B7B0C">
        <w:tc>
          <w:tcPr>
            <w:tcW w:w="421" w:type="dxa"/>
          </w:tcPr>
          <w:p w14:paraId="18DD31D5" w14:textId="77777777" w:rsidR="003B7B0C" w:rsidRPr="002F4399" w:rsidRDefault="003B7B0C" w:rsidP="003B7B0C">
            <w:pPr>
              <w:spacing w:before="120" w:after="60"/>
              <w:rPr>
                <w:rFonts w:ascii="Calibri Light" w:hAnsi="Calibri Light" w:cs="Calibri Light"/>
                <w:b/>
                <w:bCs/>
                <w:sz w:val="22"/>
                <w:szCs w:val="22"/>
              </w:rPr>
            </w:pPr>
          </w:p>
        </w:tc>
        <w:tc>
          <w:tcPr>
            <w:tcW w:w="7371" w:type="dxa"/>
            <w:gridSpan w:val="2"/>
          </w:tcPr>
          <w:p w14:paraId="78CD8720" w14:textId="30EE4852" w:rsidR="003B7B0C" w:rsidRDefault="003B7B0C" w:rsidP="003B7B0C">
            <w:pPr>
              <w:spacing w:before="120" w:after="60"/>
              <w:rPr>
                <w:rFonts w:ascii="Calibri Light" w:hAnsi="Calibri Light" w:cs="Calibri Light"/>
                <w:b/>
                <w:bCs/>
                <w:sz w:val="22"/>
                <w:szCs w:val="22"/>
              </w:rPr>
            </w:pPr>
            <w:r>
              <w:rPr>
                <w:rFonts w:ascii="Calibri Light" w:hAnsi="Calibri Light" w:cs="Calibri Light"/>
                <w:b/>
                <w:bCs/>
                <w:sz w:val="22"/>
                <w:szCs w:val="22"/>
              </w:rPr>
              <w:t>Executive Summary</w:t>
            </w:r>
          </w:p>
        </w:tc>
        <w:tc>
          <w:tcPr>
            <w:tcW w:w="651" w:type="dxa"/>
          </w:tcPr>
          <w:p w14:paraId="7FC5D327" w14:textId="77777777" w:rsidR="003B7B0C" w:rsidRPr="002F4399" w:rsidRDefault="003B7B0C" w:rsidP="003B7B0C">
            <w:pPr>
              <w:spacing w:before="120" w:after="60"/>
              <w:rPr>
                <w:rFonts w:ascii="Calibri Light" w:hAnsi="Calibri Light" w:cs="Calibri Light"/>
                <w:b/>
                <w:bCs/>
                <w:sz w:val="22"/>
                <w:szCs w:val="22"/>
              </w:rPr>
            </w:pPr>
          </w:p>
        </w:tc>
      </w:tr>
      <w:tr w:rsidR="002F4399" w:rsidRPr="002F4399" w14:paraId="1613F636" w14:textId="77777777" w:rsidTr="003B7B0C">
        <w:tc>
          <w:tcPr>
            <w:tcW w:w="421" w:type="dxa"/>
          </w:tcPr>
          <w:p w14:paraId="1326B896" w14:textId="1182EA67" w:rsidR="002F4399" w:rsidRPr="002F4399" w:rsidRDefault="002F4399" w:rsidP="003B7B0C">
            <w:pPr>
              <w:spacing w:before="120" w:after="60" w:line="269" w:lineRule="auto"/>
              <w:rPr>
                <w:rFonts w:ascii="Calibri Light" w:hAnsi="Calibri Light" w:cs="Calibri Light"/>
                <w:b/>
                <w:bCs/>
                <w:sz w:val="22"/>
                <w:szCs w:val="22"/>
              </w:rPr>
            </w:pPr>
            <w:r w:rsidRPr="002F4399">
              <w:rPr>
                <w:rFonts w:ascii="Calibri Light" w:hAnsi="Calibri Light" w:cs="Calibri Light"/>
                <w:b/>
                <w:bCs/>
                <w:sz w:val="22"/>
                <w:szCs w:val="22"/>
              </w:rPr>
              <w:t>1.</w:t>
            </w:r>
          </w:p>
        </w:tc>
        <w:tc>
          <w:tcPr>
            <w:tcW w:w="7371" w:type="dxa"/>
            <w:gridSpan w:val="2"/>
          </w:tcPr>
          <w:p w14:paraId="09911A8B" w14:textId="442C315E" w:rsidR="002F4399" w:rsidRPr="002F4399" w:rsidRDefault="002F4399" w:rsidP="003B7B0C">
            <w:pPr>
              <w:spacing w:before="120" w:after="60" w:line="269" w:lineRule="auto"/>
              <w:rPr>
                <w:rFonts w:ascii="Calibri Light" w:hAnsi="Calibri Light" w:cs="Calibri Light"/>
                <w:b/>
                <w:bCs/>
                <w:sz w:val="22"/>
                <w:szCs w:val="22"/>
              </w:rPr>
            </w:pPr>
            <w:r>
              <w:rPr>
                <w:rFonts w:ascii="Calibri Light" w:hAnsi="Calibri Light" w:cs="Calibri Light"/>
                <w:b/>
                <w:bCs/>
                <w:sz w:val="22"/>
                <w:szCs w:val="22"/>
              </w:rPr>
              <w:t>Introduction</w:t>
            </w:r>
          </w:p>
        </w:tc>
        <w:tc>
          <w:tcPr>
            <w:tcW w:w="651" w:type="dxa"/>
          </w:tcPr>
          <w:p w14:paraId="4F84007F" w14:textId="5B8980C4" w:rsidR="002F4399" w:rsidRPr="002F4399" w:rsidRDefault="002F4399" w:rsidP="003B7B0C">
            <w:pPr>
              <w:spacing w:before="120" w:after="60" w:line="269" w:lineRule="auto"/>
              <w:rPr>
                <w:rFonts w:ascii="Calibri Light" w:hAnsi="Calibri Light" w:cs="Calibri Light"/>
                <w:b/>
                <w:bCs/>
                <w:sz w:val="22"/>
                <w:szCs w:val="22"/>
              </w:rPr>
            </w:pPr>
          </w:p>
        </w:tc>
      </w:tr>
      <w:tr w:rsidR="002F4399" w:rsidRPr="003B7B0C" w14:paraId="40A68C3B" w14:textId="77777777" w:rsidTr="003B7B0C">
        <w:tc>
          <w:tcPr>
            <w:tcW w:w="421" w:type="dxa"/>
          </w:tcPr>
          <w:p w14:paraId="16D92294"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79F3F257" w14:textId="5D75E3E9" w:rsidR="002F4399" w:rsidRPr="003B7B0C" w:rsidRDefault="002F4399"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1.1 The Partnership</w:t>
            </w:r>
          </w:p>
        </w:tc>
        <w:tc>
          <w:tcPr>
            <w:tcW w:w="651" w:type="dxa"/>
          </w:tcPr>
          <w:p w14:paraId="23103AA5" w14:textId="0EB547A0" w:rsidR="002F4399" w:rsidRPr="003B7B0C" w:rsidRDefault="002F4399"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w:t>
            </w:r>
          </w:p>
        </w:tc>
      </w:tr>
      <w:tr w:rsidR="002F4399" w:rsidRPr="003B7B0C" w14:paraId="6A23E35C" w14:textId="77777777" w:rsidTr="003B7B0C">
        <w:tc>
          <w:tcPr>
            <w:tcW w:w="421" w:type="dxa"/>
          </w:tcPr>
          <w:p w14:paraId="505E876D"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393E3D1E" w14:textId="233B638C" w:rsidR="002F4399" w:rsidRPr="003B7B0C" w:rsidRDefault="002F4399"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1.2 Australia-Indonesia law and justice and security cooperation</w:t>
            </w:r>
          </w:p>
        </w:tc>
        <w:tc>
          <w:tcPr>
            <w:tcW w:w="651" w:type="dxa"/>
          </w:tcPr>
          <w:p w14:paraId="557E5230" w14:textId="3866A9FB" w:rsidR="002F4399" w:rsidRPr="003B7B0C" w:rsidRDefault="002F4399"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p>
        </w:tc>
      </w:tr>
      <w:tr w:rsidR="002F4399" w:rsidRPr="003B7B0C" w14:paraId="710FC42E" w14:textId="77777777" w:rsidTr="003B7B0C">
        <w:tc>
          <w:tcPr>
            <w:tcW w:w="421" w:type="dxa"/>
          </w:tcPr>
          <w:p w14:paraId="7DD63E26"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691FBBD7" w14:textId="607D151B"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1.3 The mid-term review</w:t>
            </w:r>
          </w:p>
        </w:tc>
        <w:tc>
          <w:tcPr>
            <w:tcW w:w="651" w:type="dxa"/>
          </w:tcPr>
          <w:p w14:paraId="1F1B3011" w14:textId="45D3BFF9"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4</w:t>
            </w:r>
          </w:p>
        </w:tc>
      </w:tr>
      <w:tr w:rsidR="002F4399" w:rsidRPr="003B7B0C" w14:paraId="6F08F96B" w14:textId="77777777" w:rsidTr="003B7B0C">
        <w:tc>
          <w:tcPr>
            <w:tcW w:w="421" w:type="dxa"/>
          </w:tcPr>
          <w:p w14:paraId="04E607E9"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2CDD32BA" w14:textId="73364DC5"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1.4 Report structure</w:t>
            </w:r>
          </w:p>
        </w:tc>
        <w:tc>
          <w:tcPr>
            <w:tcW w:w="651" w:type="dxa"/>
          </w:tcPr>
          <w:p w14:paraId="07CA180A" w14:textId="05526AB1"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w:t>
            </w:r>
          </w:p>
        </w:tc>
      </w:tr>
      <w:tr w:rsidR="002F4399" w:rsidRPr="002F4399" w14:paraId="070E69C0" w14:textId="77777777" w:rsidTr="003B7B0C">
        <w:tc>
          <w:tcPr>
            <w:tcW w:w="421" w:type="dxa"/>
          </w:tcPr>
          <w:p w14:paraId="46556A24" w14:textId="16951100" w:rsidR="002F4399" w:rsidRPr="002F4399" w:rsidRDefault="00FF747E" w:rsidP="003B7B0C">
            <w:pPr>
              <w:spacing w:before="120" w:after="60" w:line="269" w:lineRule="auto"/>
              <w:rPr>
                <w:rFonts w:ascii="Calibri Light" w:hAnsi="Calibri Light" w:cs="Calibri Light"/>
                <w:b/>
                <w:bCs/>
                <w:sz w:val="22"/>
                <w:szCs w:val="22"/>
              </w:rPr>
            </w:pPr>
            <w:r>
              <w:rPr>
                <w:rFonts w:ascii="Calibri Light" w:hAnsi="Calibri Light" w:cs="Calibri Light"/>
                <w:b/>
                <w:bCs/>
                <w:sz w:val="22"/>
                <w:szCs w:val="22"/>
              </w:rPr>
              <w:t>2.</w:t>
            </w:r>
          </w:p>
        </w:tc>
        <w:tc>
          <w:tcPr>
            <w:tcW w:w="7371" w:type="dxa"/>
            <w:gridSpan w:val="2"/>
          </w:tcPr>
          <w:p w14:paraId="56CC54A8" w14:textId="2B5360A3" w:rsidR="002F4399" w:rsidRPr="002F4399" w:rsidRDefault="00FF747E" w:rsidP="003B7B0C">
            <w:pPr>
              <w:spacing w:before="120" w:after="60" w:line="269" w:lineRule="auto"/>
              <w:rPr>
                <w:rFonts w:ascii="Calibri Light" w:hAnsi="Calibri Light" w:cs="Calibri Light"/>
                <w:b/>
                <w:bCs/>
                <w:sz w:val="22"/>
                <w:szCs w:val="22"/>
              </w:rPr>
            </w:pPr>
            <w:r>
              <w:rPr>
                <w:rFonts w:ascii="Calibri Light" w:hAnsi="Calibri Light" w:cs="Calibri Light"/>
                <w:b/>
                <w:bCs/>
                <w:sz w:val="22"/>
                <w:szCs w:val="22"/>
              </w:rPr>
              <w:t>AIPJ2’s performance</w:t>
            </w:r>
          </w:p>
        </w:tc>
        <w:tc>
          <w:tcPr>
            <w:tcW w:w="651" w:type="dxa"/>
          </w:tcPr>
          <w:p w14:paraId="55D5D30C" w14:textId="3CEFCE5B" w:rsidR="002F4399" w:rsidRPr="002F4399" w:rsidRDefault="002F4399" w:rsidP="003B7B0C">
            <w:pPr>
              <w:spacing w:before="120" w:after="60" w:line="269" w:lineRule="auto"/>
              <w:rPr>
                <w:rFonts w:ascii="Calibri Light" w:hAnsi="Calibri Light" w:cs="Calibri Light"/>
                <w:b/>
                <w:bCs/>
                <w:sz w:val="22"/>
                <w:szCs w:val="22"/>
              </w:rPr>
            </w:pPr>
          </w:p>
        </w:tc>
      </w:tr>
      <w:tr w:rsidR="002F4399" w:rsidRPr="003B7B0C" w14:paraId="1360F2DA" w14:textId="77777777" w:rsidTr="003B7B0C">
        <w:tc>
          <w:tcPr>
            <w:tcW w:w="421" w:type="dxa"/>
          </w:tcPr>
          <w:p w14:paraId="4EFB9DED"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4C8799D3" w14:textId="47433F41"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2.1 Achievements to date</w:t>
            </w:r>
          </w:p>
        </w:tc>
        <w:tc>
          <w:tcPr>
            <w:tcW w:w="651" w:type="dxa"/>
          </w:tcPr>
          <w:p w14:paraId="25E66943" w14:textId="79DE8DDB"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6</w:t>
            </w:r>
          </w:p>
        </w:tc>
      </w:tr>
      <w:tr w:rsidR="002F4399" w:rsidRPr="003B7B0C" w14:paraId="6852FD12" w14:textId="77777777" w:rsidTr="003B7B0C">
        <w:tc>
          <w:tcPr>
            <w:tcW w:w="421" w:type="dxa"/>
          </w:tcPr>
          <w:p w14:paraId="095161ED" w14:textId="77777777" w:rsidR="002F4399" w:rsidRPr="003B7B0C" w:rsidRDefault="002F4399" w:rsidP="003B7B0C">
            <w:pPr>
              <w:spacing w:after="40" w:line="269" w:lineRule="auto"/>
              <w:rPr>
                <w:rFonts w:ascii="Calibri Light" w:hAnsi="Calibri Light" w:cs="Calibri Light"/>
                <w:sz w:val="20"/>
                <w:szCs w:val="20"/>
              </w:rPr>
            </w:pPr>
          </w:p>
        </w:tc>
        <w:tc>
          <w:tcPr>
            <w:tcW w:w="7371" w:type="dxa"/>
            <w:gridSpan w:val="2"/>
          </w:tcPr>
          <w:p w14:paraId="6FAB539D" w14:textId="483960BD"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2.2 AIPJ2’s approach to capacity building</w:t>
            </w:r>
          </w:p>
        </w:tc>
        <w:tc>
          <w:tcPr>
            <w:tcW w:w="651" w:type="dxa"/>
          </w:tcPr>
          <w:p w14:paraId="12267494" w14:textId="25041F30" w:rsidR="002F4399"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11</w:t>
            </w:r>
          </w:p>
        </w:tc>
      </w:tr>
      <w:tr w:rsidR="00FF747E" w:rsidRPr="003B7B0C" w14:paraId="2AAAAFCE" w14:textId="77777777" w:rsidTr="003B7B0C">
        <w:tc>
          <w:tcPr>
            <w:tcW w:w="421" w:type="dxa"/>
          </w:tcPr>
          <w:p w14:paraId="2A5FD8DE"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3A0F80D6" w14:textId="1B2803FC"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2.3 Prospects for achieving AIPJ2’s end-of-facility objectives</w:t>
            </w:r>
          </w:p>
        </w:tc>
        <w:tc>
          <w:tcPr>
            <w:tcW w:w="651" w:type="dxa"/>
          </w:tcPr>
          <w:p w14:paraId="7FCE5BF5" w14:textId="143847A6"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13</w:t>
            </w:r>
          </w:p>
        </w:tc>
      </w:tr>
      <w:tr w:rsidR="00FF747E" w:rsidRPr="003B7B0C" w14:paraId="068F817D" w14:textId="77777777" w:rsidTr="003B7B0C">
        <w:tc>
          <w:tcPr>
            <w:tcW w:w="421" w:type="dxa"/>
          </w:tcPr>
          <w:p w14:paraId="46C9A761" w14:textId="52156425"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3.</w:t>
            </w:r>
          </w:p>
        </w:tc>
        <w:tc>
          <w:tcPr>
            <w:tcW w:w="7371" w:type="dxa"/>
            <w:gridSpan w:val="2"/>
          </w:tcPr>
          <w:p w14:paraId="41270ED4" w14:textId="70FA3203"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Implementation arrangements</w:t>
            </w:r>
          </w:p>
        </w:tc>
        <w:tc>
          <w:tcPr>
            <w:tcW w:w="651" w:type="dxa"/>
          </w:tcPr>
          <w:p w14:paraId="1270A5A6" w14:textId="77777777" w:rsidR="00FF747E" w:rsidRPr="003B7B0C" w:rsidRDefault="00FF747E" w:rsidP="003B7B0C">
            <w:pPr>
              <w:spacing w:before="120" w:after="60" w:line="269" w:lineRule="auto"/>
              <w:rPr>
                <w:rFonts w:ascii="Calibri Light" w:hAnsi="Calibri Light" w:cs="Calibri Light"/>
                <w:b/>
                <w:bCs/>
                <w:sz w:val="22"/>
                <w:szCs w:val="22"/>
              </w:rPr>
            </w:pPr>
          </w:p>
        </w:tc>
      </w:tr>
      <w:tr w:rsidR="00FF747E" w:rsidRPr="003B7B0C" w14:paraId="32FE1146" w14:textId="77777777" w:rsidTr="003B7B0C">
        <w:tc>
          <w:tcPr>
            <w:tcW w:w="421" w:type="dxa"/>
          </w:tcPr>
          <w:p w14:paraId="534729BE"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6C194246" w14:textId="11A85ADC"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3.1 Partnering approach</w:t>
            </w:r>
          </w:p>
        </w:tc>
        <w:tc>
          <w:tcPr>
            <w:tcW w:w="651" w:type="dxa"/>
          </w:tcPr>
          <w:p w14:paraId="201078FC" w14:textId="10D276ED"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15</w:t>
            </w:r>
          </w:p>
        </w:tc>
      </w:tr>
      <w:tr w:rsidR="00FF747E" w:rsidRPr="003B7B0C" w14:paraId="34408698" w14:textId="77777777" w:rsidTr="003B7B0C">
        <w:tc>
          <w:tcPr>
            <w:tcW w:w="421" w:type="dxa"/>
          </w:tcPr>
          <w:p w14:paraId="346339AB"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5DA81CC0" w14:textId="76A7B122"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3.2 Rationale for a facility model</w:t>
            </w:r>
          </w:p>
        </w:tc>
        <w:tc>
          <w:tcPr>
            <w:tcW w:w="651" w:type="dxa"/>
          </w:tcPr>
          <w:p w14:paraId="1563E478" w14:textId="26372EC9"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16</w:t>
            </w:r>
          </w:p>
        </w:tc>
      </w:tr>
      <w:tr w:rsidR="00FF747E" w:rsidRPr="003B7B0C" w14:paraId="3E8E3B45" w14:textId="77777777" w:rsidTr="003B7B0C">
        <w:tc>
          <w:tcPr>
            <w:tcW w:w="421" w:type="dxa"/>
          </w:tcPr>
          <w:p w14:paraId="108318BD"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1058CD46" w14:textId="7CE704E3"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3.3 Flexible and adaptive working</w:t>
            </w:r>
          </w:p>
        </w:tc>
        <w:tc>
          <w:tcPr>
            <w:tcW w:w="651" w:type="dxa"/>
          </w:tcPr>
          <w:p w14:paraId="39C7BC43" w14:textId="09085CDA"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16</w:t>
            </w:r>
          </w:p>
        </w:tc>
      </w:tr>
      <w:tr w:rsidR="00FF747E" w:rsidRPr="003B7B0C" w14:paraId="3D29232B" w14:textId="77777777" w:rsidTr="003B7B0C">
        <w:tc>
          <w:tcPr>
            <w:tcW w:w="421" w:type="dxa"/>
          </w:tcPr>
          <w:p w14:paraId="298B88BC"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69096FA2" w14:textId="6D8A4816"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3.4 Integrated coherent approach</w:t>
            </w:r>
          </w:p>
        </w:tc>
        <w:tc>
          <w:tcPr>
            <w:tcW w:w="651" w:type="dxa"/>
          </w:tcPr>
          <w:p w14:paraId="2A0C83CD" w14:textId="288A3BF3"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18</w:t>
            </w:r>
          </w:p>
        </w:tc>
      </w:tr>
      <w:tr w:rsidR="005D554B" w:rsidRPr="003B7B0C" w14:paraId="30151761" w14:textId="77777777" w:rsidTr="003B7B0C">
        <w:tc>
          <w:tcPr>
            <w:tcW w:w="421" w:type="dxa"/>
          </w:tcPr>
          <w:p w14:paraId="200F7E21" w14:textId="77777777" w:rsidR="005D554B" w:rsidRPr="003B7B0C" w:rsidRDefault="005D554B" w:rsidP="003B7B0C">
            <w:pPr>
              <w:spacing w:after="40"/>
              <w:rPr>
                <w:rFonts w:ascii="Calibri Light" w:hAnsi="Calibri Light" w:cs="Calibri Light"/>
                <w:sz w:val="20"/>
                <w:szCs w:val="20"/>
              </w:rPr>
            </w:pPr>
          </w:p>
        </w:tc>
        <w:tc>
          <w:tcPr>
            <w:tcW w:w="7371" w:type="dxa"/>
            <w:gridSpan w:val="2"/>
          </w:tcPr>
          <w:p w14:paraId="0D667C8D" w14:textId="12237EB0" w:rsidR="005D554B" w:rsidRPr="003B7B0C" w:rsidRDefault="005D554B" w:rsidP="003B7B0C">
            <w:pPr>
              <w:spacing w:after="40"/>
              <w:rPr>
                <w:rFonts w:ascii="Calibri Light" w:hAnsi="Calibri Light" w:cs="Calibri Light"/>
                <w:sz w:val="20"/>
                <w:szCs w:val="20"/>
              </w:rPr>
            </w:pPr>
            <w:r>
              <w:rPr>
                <w:rFonts w:ascii="Calibri Light" w:hAnsi="Calibri Light" w:cs="Calibri Light"/>
                <w:sz w:val="20"/>
                <w:szCs w:val="20"/>
              </w:rPr>
              <w:t>3.5 Integration of gender</w:t>
            </w:r>
          </w:p>
        </w:tc>
        <w:tc>
          <w:tcPr>
            <w:tcW w:w="651" w:type="dxa"/>
          </w:tcPr>
          <w:p w14:paraId="2FC4E86B" w14:textId="5E55362D" w:rsidR="005D554B" w:rsidRPr="003B7B0C" w:rsidRDefault="001C1B3D" w:rsidP="003B7B0C">
            <w:pPr>
              <w:spacing w:after="40"/>
              <w:rPr>
                <w:rFonts w:ascii="Calibri Light" w:hAnsi="Calibri Light" w:cs="Calibri Light"/>
                <w:sz w:val="20"/>
                <w:szCs w:val="20"/>
              </w:rPr>
            </w:pPr>
            <w:r>
              <w:rPr>
                <w:rFonts w:ascii="Calibri Light" w:hAnsi="Calibri Light" w:cs="Calibri Light"/>
                <w:sz w:val="20"/>
                <w:szCs w:val="20"/>
              </w:rPr>
              <w:t>20</w:t>
            </w:r>
          </w:p>
        </w:tc>
      </w:tr>
      <w:tr w:rsidR="00FF747E" w:rsidRPr="003B7B0C" w14:paraId="6238886C" w14:textId="77777777" w:rsidTr="003B7B0C">
        <w:tc>
          <w:tcPr>
            <w:tcW w:w="421" w:type="dxa"/>
          </w:tcPr>
          <w:p w14:paraId="510C1C9F"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58B2EFC7" w14:textId="41908258"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5D554B">
              <w:rPr>
                <w:rFonts w:ascii="Calibri Light" w:hAnsi="Calibri Light" w:cs="Calibri Light"/>
                <w:sz w:val="20"/>
                <w:szCs w:val="20"/>
              </w:rPr>
              <w:t>6</w:t>
            </w:r>
            <w:r w:rsidRPr="003B7B0C">
              <w:rPr>
                <w:rFonts w:ascii="Calibri Light" w:hAnsi="Calibri Light" w:cs="Calibri Light"/>
                <w:sz w:val="20"/>
                <w:szCs w:val="20"/>
              </w:rPr>
              <w:t xml:space="preserve"> Governance arrangements </w:t>
            </w:r>
          </w:p>
        </w:tc>
        <w:tc>
          <w:tcPr>
            <w:tcW w:w="651" w:type="dxa"/>
          </w:tcPr>
          <w:p w14:paraId="63A59456" w14:textId="20A99D08"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w:t>
            </w:r>
            <w:r w:rsidR="001C1B3D">
              <w:rPr>
                <w:rFonts w:ascii="Calibri Light" w:hAnsi="Calibri Light" w:cs="Calibri Light"/>
                <w:sz w:val="20"/>
                <w:szCs w:val="20"/>
              </w:rPr>
              <w:t>1</w:t>
            </w:r>
          </w:p>
        </w:tc>
      </w:tr>
      <w:tr w:rsidR="00FF747E" w:rsidRPr="003B7B0C" w14:paraId="7BE87197" w14:textId="77777777" w:rsidTr="003B7B0C">
        <w:tc>
          <w:tcPr>
            <w:tcW w:w="421" w:type="dxa"/>
          </w:tcPr>
          <w:p w14:paraId="3B179601"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12E27E48" w14:textId="77E03F75"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5D554B">
              <w:rPr>
                <w:rFonts w:ascii="Calibri Light" w:hAnsi="Calibri Light" w:cs="Calibri Light"/>
                <w:sz w:val="20"/>
                <w:szCs w:val="20"/>
              </w:rPr>
              <w:t>7</w:t>
            </w:r>
            <w:r w:rsidRPr="003B7B0C">
              <w:rPr>
                <w:rFonts w:ascii="Calibri Light" w:hAnsi="Calibri Light" w:cs="Calibri Light"/>
                <w:sz w:val="20"/>
                <w:szCs w:val="20"/>
              </w:rPr>
              <w:t xml:space="preserve"> Clear facility narrative/communications</w:t>
            </w:r>
          </w:p>
        </w:tc>
        <w:tc>
          <w:tcPr>
            <w:tcW w:w="651" w:type="dxa"/>
          </w:tcPr>
          <w:p w14:paraId="16134270" w14:textId="53803315"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w:t>
            </w:r>
            <w:r w:rsidR="00AF2E49">
              <w:rPr>
                <w:rFonts w:ascii="Calibri Light" w:hAnsi="Calibri Light" w:cs="Calibri Light"/>
                <w:sz w:val="20"/>
                <w:szCs w:val="20"/>
              </w:rPr>
              <w:t>2</w:t>
            </w:r>
          </w:p>
        </w:tc>
      </w:tr>
      <w:tr w:rsidR="00FF747E" w:rsidRPr="003B7B0C" w14:paraId="636C2D35" w14:textId="77777777" w:rsidTr="003B7B0C">
        <w:tc>
          <w:tcPr>
            <w:tcW w:w="421" w:type="dxa"/>
          </w:tcPr>
          <w:p w14:paraId="74DAC55E" w14:textId="253AAE10"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4.</w:t>
            </w:r>
          </w:p>
        </w:tc>
        <w:tc>
          <w:tcPr>
            <w:tcW w:w="7371" w:type="dxa"/>
            <w:gridSpan w:val="2"/>
          </w:tcPr>
          <w:p w14:paraId="07D290E0" w14:textId="2DD242C6"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Value for money</w:t>
            </w:r>
          </w:p>
        </w:tc>
        <w:tc>
          <w:tcPr>
            <w:tcW w:w="651" w:type="dxa"/>
          </w:tcPr>
          <w:p w14:paraId="340CA03E" w14:textId="77777777" w:rsidR="00FF747E" w:rsidRPr="003B7B0C" w:rsidRDefault="00FF747E" w:rsidP="003B7B0C">
            <w:pPr>
              <w:spacing w:before="120" w:after="60" w:line="269" w:lineRule="auto"/>
              <w:rPr>
                <w:rFonts w:ascii="Calibri Light" w:hAnsi="Calibri Light" w:cs="Calibri Light"/>
                <w:b/>
                <w:bCs/>
                <w:sz w:val="22"/>
                <w:szCs w:val="22"/>
              </w:rPr>
            </w:pPr>
          </w:p>
        </w:tc>
      </w:tr>
      <w:tr w:rsidR="00FF747E" w:rsidRPr="003B7B0C" w14:paraId="647EC2CB" w14:textId="77777777" w:rsidTr="003B7B0C">
        <w:tc>
          <w:tcPr>
            <w:tcW w:w="421" w:type="dxa"/>
          </w:tcPr>
          <w:p w14:paraId="4D35949A"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1B92C904" w14:textId="69C82D3C"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4.1 Is AIPJ2 achieving value for money?</w:t>
            </w:r>
          </w:p>
        </w:tc>
        <w:tc>
          <w:tcPr>
            <w:tcW w:w="651" w:type="dxa"/>
          </w:tcPr>
          <w:p w14:paraId="69365599" w14:textId="143C8291"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2</w:t>
            </w:r>
            <w:r w:rsidR="00AF2E49">
              <w:rPr>
                <w:rFonts w:ascii="Calibri Light" w:hAnsi="Calibri Light" w:cs="Calibri Light"/>
                <w:sz w:val="20"/>
                <w:szCs w:val="20"/>
              </w:rPr>
              <w:t>3</w:t>
            </w:r>
          </w:p>
        </w:tc>
      </w:tr>
      <w:tr w:rsidR="00FF747E" w:rsidRPr="003B7B0C" w14:paraId="6D1135D8" w14:textId="77777777" w:rsidTr="003B7B0C">
        <w:tc>
          <w:tcPr>
            <w:tcW w:w="421" w:type="dxa"/>
          </w:tcPr>
          <w:p w14:paraId="7ECC49E3" w14:textId="710B3AC3"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5.</w:t>
            </w:r>
          </w:p>
        </w:tc>
        <w:tc>
          <w:tcPr>
            <w:tcW w:w="7371" w:type="dxa"/>
            <w:gridSpan w:val="2"/>
          </w:tcPr>
          <w:p w14:paraId="7E3B83BF" w14:textId="306A7D2E"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Positioning for the remainder of AIPJ2</w:t>
            </w:r>
          </w:p>
        </w:tc>
        <w:tc>
          <w:tcPr>
            <w:tcW w:w="651" w:type="dxa"/>
          </w:tcPr>
          <w:p w14:paraId="4C3A2102" w14:textId="027D2109" w:rsidR="00FF747E" w:rsidRPr="003B7B0C" w:rsidRDefault="00FF747E" w:rsidP="003B7B0C">
            <w:pPr>
              <w:spacing w:before="120" w:after="60" w:line="269" w:lineRule="auto"/>
              <w:rPr>
                <w:rFonts w:ascii="Calibri Light" w:hAnsi="Calibri Light" w:cs="Calibri Light"/>
                <w:b/>
                <w:bCs/>
                <w:sz w:val="22"/>
                <w:szCs w:val="22"/>
              </w:rPr>
            </w:pPr>
          </w:p>
        </w:tc>
      </w:tr>
      <w:tr w:rsidR="00FF747E" w:rsidRPr="003B7B0C" w14:paraId="338F2E6D" w14:textId="77777777" w:rsidTr="003B7B0C">
        <w:tc>
          <w:tcPr>
            <w:tcW w:w="421" w:type="dxa"/>
          </w:tcPr>
          <w:p w14:paraId="111BC8E5"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71F6C3D1" w14:textId="42530871"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5.1 Introduction</w:t>
            </w:r>
          </w:p>
        </w:tc>
        <w:tc>
          <w:tcPr>
            <w:tcW w:w="651" w:type="dxa"/>
          </w:tcPr>
          <w:p w14:paraId="22C325D5" w14:textId="1097780A"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26</w:t>
            </w:r>
          </w:p>
        </w:tc>
      </w:tr>
      <w:tr w:rsidR="00FF747E" w:rsidRPr="003B7B0C" w14:paraId="5C0CA812" w14:textId="77777777" w:rsidTr="003B7B0C">
        <w:tc>
          <w:tcPr>
            <w:tcW w:w="421" w:type="dxa"/>
          </w:tcPr>
          <w:p w14:paraId="48B89C0A"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6D471893" w14:textId="308D4D5A"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5.2 Is AIPJ2 relevant to new policy priorities?</w:t>
            </w:r>
          </w:p>
        </w:tc>
        <w:tc>
          <w:tcPr>
            <w:tcW w:w="651" w:type="dxa"/>
          </w:tcPr>
          <w:p w14:paraId="5B86C3A6" w14:textId="28D68478"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26</w:t>
            </w:r>
          </w:p>
        </w:tc>
      </w:tr>
      <w:tr w:rsidR="00FF747E" w:rsidRPr="003B7B0C" w14:paraId="06A2EA27" w14:textId="77777777" w:rsidTr="003B7B0C">
        <w:tc>
          <w:tcPr>
            <w:tcW w:w="421" w:type="dxa"/>
          </w:tcPr>
          <w:p w14:paraId="7060FFB0"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543DE385" w14:textId="099C0D19"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5.3 Is AIPJ2 spread too thinly?</w:t>
            </w:r>
          </w:p>
        </w:tc>
        <w:tc>
          <w:tcPr>
            <w:tcW w:w="651" w:type="dxa"/>
          </w:tcPr>
          <w:p w14:paraId="654E4466" w14:textId="7CBEA806"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27</w:t>
            </w:r>
          </w:p>
        </w:tc>
      </w:tr>
      <w:tr w:rsidR="00FF747E" w:rsidRPr="003B7B0C" w14:paraId="1FDBF260" w14:textId="77777777" w:rsidTr="003B7B0C">
        <w:tc>
          <w:tcPr>
            <w:tcW w:w="421" w:type="dxa"/>
          </w:tcPr>
          <w:p w14:paraId="7E54187C"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7B3C3DF6" w14:textId="07950EFE"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5.4 Is the balance between the pillars right?</w:t>
            </w:r>
          </w:p>
        </w:tc>
        <w:tc>
          <w:tcPr>
            <w:tcW w:w="651" w:type="dxa"/>
          </w:tcPr>
          <w:p w14:paraId="5121FC61" w14:textId="28933E88"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28</w:t>
            </w:r>
          </w:p>
        </w:tc>
      </w:tr>
      <w:tr w:rsidR="00FF747E" w:rsidRPr="003B7B0C" w14:paraId="79BA9C0B" w14:textId="77777777" w:rsidTr="003B7B0C">
        <w:tc>
          <w:tcPr>
            <w:tcW w:w="421" w:type="dxa"/>
          </w:tcPr>
          <w:p w14:paraId="3DA05B54"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4BDC8666" w14:textId="4169AE52"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5.5 Is the balance within pillars right?</w:t>
            </w:r>
          </w:p>
        </w:tc>
        <w:tc>
          <w:tcPr>
            <w:tcW w:w="651" w:type="dxa"/>
          </w:tcPr>
          <w:p w14:paraId="661CCB92" w14:textId="6F413581"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29</w:t>
            </w:r>
          </w:p>
        </w:tc>
      </w:tr>
      <w:tr w:rsidR="00FF747E" w:rsidRPr="003B7B0C" w14:paraId="201126B0" w14:textId="77777777" w:rsidTr="003B7B0C">
        <w:tc>
          <w:tcPr>
            <w:tcW w:w="421" w:type="dxa"/>
          </w:tcPr>
          <w:p w14:paraId="7847CA6E"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752DD40C" w14:textId="061653AE"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5.6 Is AIPJ2 working with the right partners</w:t>
            </w:r>
          </w:p>
        </w:tc>
        <w:tc>
          <w:tcPr>
            <w:tcW w:w="651" w:type="dxa"/>
          </w:tcPr>
          <w:p w14:paraId="7A2CB463" w14:textId="1036CF1D" w:rsidR="00FF747E" w:rsidRPr="003B7B0C" w:rsidRDefault="00AF2E49" w:rsidP="003B7B0C">
            <w:pPr>
              <w:spacing w:after="40" w:line="269" w:lineRule="auto"/>
              <w:rPr>
                <w:rFonts w:ascii="Calibri Light" w:hAnsi="Calibri Light" w:cs="Calibri Light"/>
                <w:sz w:val="20"/>
                <w:szCs w:val="20"/>
              </w:rPr>
            </w:pPr>
            <w:r>
              <w:rPr>
                <w:rFonts w:ascii="Calibri Light" w:hAnsi="Calibri Light" w:cs="Calibri Light"/>
                <w:sz w:val="20"/>
                <w:szCs w:val="20"/>
              </w:rPr>
              <w:t>30</w:t>
            </w:r>
          </w:p>
        </w:tc>
      </w:tr>
      <w:tr w:rsidR="00FF747E" w:rsidRPr="003B7B0C" w14:paraId="7589122C" w14:textId="77777777" w:rsidTr="003B7B0C">
        <w:tc>
          <w:tcPr>
            <w:tcW w:w="421" w:type="dxa"/>
          </w:tcPr>
          <w:p w14:paraId="679DAD24" w14:textId="48664480"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6.</w:t>
            </w:r>
          </w:p>
        </w:tc>
        <w:tc>
          <w:tcPr>
            <w:tcW w:w="7371" w:type="dxa"/>
            <w:gridSpan w:val="2"/>
          </w:tcPr>
          <w:p w14:paraId="27082675" w14:textId="227A527A" w:rsidR="00FF747E" w:rsidRPr="003B7B0C" w:rsidRDefault="00FF747E" w:rsidP="003B7B0C">
            <w:pPr>
              <w:spacing w:before="120" w:after="60" w:line="269" w:lineRule="auto"/>
              <w:rPr>
                <w:rFonts w:ascii="Calibri Light" w:hAnsi="Calibri Light" w:cs="Calibri Light"/>
                <w:b/>
                <w:bCs/>
                <w:sz w:val="22"/>
                <w:szCs w:val="22"/>
              </w:rPr>
            </w:pPr>
            <w:r w:rsidRPr="003B7B0C">
              <w:rPr>
                <w:rFonts w:ascii="Calibri Light" w:hAnsi="Calibri Light" w:cs="Calibri Light"/>
                <w:b/>
                <w:bCs/>
                <w:sz w:val="22"/>
                <w:szCs w:val="22"/>
              </w:rPr>
              <w:t>Conclusions and recommendations</w:t>
            </w:r>
          </w:p>
        </w:tc>
        <w:tc>
          <w:tcPr>
            <w:tcW w:w="651" w:type="dxa"/>
          </w:tcPr>
          <w:p w14:paraId="7EB80AF3" w14:textId="3B403FC4" w:rsidR="00FF747E" w:rsidRPr="003B7B0C" w:rsidRDefault="00FF747E" w:rsidP="003B7B0C">
            <w:pPr>
              <w:spacing w:before="120" w:after="60" w:line="269" w:lineRule="auto"/>
              <w:rPr>
                <w:rFonts w:ascii="Calibri Light" w:hAnsi="Calibri Light" w:cs="Calibri Light"/>
                <w:b/>
                <w:bCs/>
                <w:sz w:val="22"/>
                <w:szCs w:val="22"/>
              </w:rPr>
            </w:pPr>
          </w:p>
        </w:tc>
      </w:tr>
      <w:tr w:rsidR="00FF747E" w:rsidRPr="003B7B0C" w14:paraId="45AA81B6" w14:textId="77777777" w:rsidTr="003B7B0C">
        <w:tc>
          <w:tcPr>
            <w:tcW w:w="421" w:type="dxa"/>
          </w:tcPr>
          <w:p w14:paraId="776FA640"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1149DB57" w14:textId="6EDFE7E1"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6.1 Effectiveness</w:t>
            </w:r>
          </w:p>
        </w:tc>
        <w:tc>
          <w:tcPr>
            <w:tcW w:w="651" w:type="dxa"/>
          </w:tcPr>
          <w:p w14:paraId="59705645" w14:textId="1EB65BAA"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AF2E49">
              <w:rPr>
                <w:rFonts w:ascii="Calibri Light" w:hAnsi="Calibri Light" w:cs="Calibri Light"/>
                <w:sz w:val="20"/>
                <w:szCs w:val="20"/>
              </w:rPr>
              <w:t>1</w:t>
            </w:r>
          </w:p>
        </w:tc>
      </w:tr>
      <w:tr w:rsidR="00FF747E" w:rsidRPr="003B7B0C" w14:paraId="5D836A22" w14:textId="77777777" w:rsidTr="003B7B0C">
        <w:tc>
          <w:tcPr>
            <w:tcW w:w="421" w:type="dxa"/>
          </w:tcPr>
          <w:p w14:paraId="23CB5BB9"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4B8A9B4D" w14:textId="635A6429"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6.2 Implementation arrangements</w:t>
            </w:r>
          </w:p>
        </w:tc>
        <w:tc>
          <w:tcPr>
            <w:tcW w:w="651" w:type="dxa"/>
          </w:tcPr>
          <w:p w14:paraId="1F74C3AC" w14:textId="76C19DE0"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AF2E49">
              <w:rPr>
                <w:rFonts w:ascii="Calibri Light" w:hAnsi="Calibri Light" w:cs="Calibri Light"/>
                <w:sz w:val="20"/>
                <w:szCs w:val="20"/>
              </w:rPr>
              <w:t>1</w:t>
            </w:r>
          </w:p>
        </w:tc>
      </w:tr>
      <w:tr w:rsidR="00FF747E" w:rsidRPr="003B7B0C" w14:paraId="053E06AE" w14:textId="77777777" w:rsidTr="003B7B0C">
        <w:tc>
          <w:tcPr>
            <w:tcW w:w="421" w:type="dxa"/>
          </w:tcPr>
          <w:p w14:paraId="1767C295"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02A08F3F" w14:textId="262F9676"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6.3 Remainder of the phase</w:t>
            </w:r>
          </w:p>
        </w:tc>
        <w:tc>
          <w:tcPr>
            <w:tcW w:w="651" w:type="dxa"/>
          </w:tcPr>
          <w:p w14:paraId="64A41171" w14:textId="358C9C95"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AF2E49">
              <w:rPr>
                <w:rFonts w:ascii="Calibri Light" w:hAnsi="Calibri Light" w:cs="Calibri Light"/>
                <w:sz w:val="20"/>
                <w:szCs w:val="20"/>
              </w:rPr>
              <w:t>2</w:t>
            </w:r>
          </w:p>
        </w:tc>
      </w:tr>
      <w:tr w:rsidR="00FF747E" w:rsidRPr="003B7B0C" w14:paraId="2480734E" w14:textId="77777777" w:rsidTr="003B7B0C">
        <w:tc>
          <w:tcPr>
            <w:tcW w:w="421" w:type="dxa"/>
          </w:tcPr>
          <w:p w14:paraId="25996ABF" w14:textId="77777777" w:rsidR="00FF747E" w:rsidRPr="003B7B0C" w:rsidRDefault="00FF747E" w:rsidP="003B7B0C">
            <w:pPr>
              <w:spacing w:after="40" w:line="269" w:lineRule="auto"/>
              <w:rPr>
                <w:rFonts w:ascii="Calibri Light" w:hAnsi="Calibri Light" w:cs="Calibri Light"/>
                <w:sz w:val="20"/>
                <w:szCs w:val="20"/>
              </w:rPr>
            </w:pPr>
          </w:p>
        </w:tc>
        <w:tc>
          <w:tcPr>
            <w:tcW w:w="7371" w:type="dxa"/>
            <w:gridSpan w:val="2"/>
          </w:tcPr>
          <w:p w14:paraId="09A0DA69" w14:textId="0364B7EF"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6.4 Recommendations</w:t>
            </w:r>
          </w:p>
        </w:tc>
        <w:tc>
          <w:tcPr>
            <w:tcW w:w="651" w:type="dxa"/>
          </w:tcPr>
          <w:p w14:paraId="7AE7AA62" w14:textId="6B42F2E8" w:rsidR="00FF747E" w:rsidRPr="003B7B0C" w:rsidRDefault="00FF747E" w:rsidP="003B7B0C">
            <w:pPr>
              <w:spacing w:after="40" w:line="269" w:lineRule="auto"/>
              <w:rPr>
                <w:rFonts w:ascii="Calibri Light" w:hAnsi="Calibri Light" w:cs="Calibri Light"/>
                <w:sz w:val="20"/>
                <w:szCs w:val="20"/>
              </w:rPr>
            </w:pPr>
            <w:r w:rsidRPr="003B7B0C">
              <w:rPr>
                <w:rFonts w:ascii="Calibri Light" w:hAnsi="Calibri Light" w:cs="Calibri Light"/>
                <w:sz w:val="20"/>
                <w:szCs w:val="20"/>
              </w:rPr>
              <w:t>3</w:t>
            </w:r>
            <w:r w:rsidR="00AF2E49">
              <w:rPr>
                <w:rFonts w:ascii="Calibri Light" w:hAnsi="Calibri Light" w:cs="Calibri Light"/>
                <w:sz w:val="20"/>
                <w:szCs w:val="20"/>
              </w:rPr>
              <w:t>3</w:t>
            </w:r>
          </w:p>
        </w:tc>
      </w:tr>
      <w:tr w:rsidR="003B7B0C" w:rsidRPr="003B7B0C" w14:paraId="480DE1E4" w14:textId="77777777" w:rsidTr="003B7B0C">
        <w:tc>
          <w:tcPr>
            <w:tcW w:w="988" w:type="dxa"/>
            <w:gridSpan w:val="2"/>
          </w:tcPr>
          <w:p w14:paraId="6D14B492" w14:textId="76B66F2C" w:rsidR="003B7B0C" w:rsidRPr="003B7B0C" w:rsidRDefault="003B7B0C" w:rsidP="003B7B0C">
            <w:pPr>
              <w:spacing w:before="60" w:after="40"/>
              <w:rPr>
                <w:rFonts w:ascii="Calibri Light" w:hAnsi="Calibri Light" w:cs="Calibri Light"/>
                <w:sz w:val="18"/>
                <w:szCs w:val="18"/>
              </w:rPr>
            </w:pPr>
            <w:r w:rsidRPr="003B7B0C">
              <w:rPr>
                <w:rFonts w:ascii="Calibri Light" w:hAnsi="Calibri Light" w:cs="Calibri Light"/>
                <w:sz w:val="18"/>
                <w:szCs w:val="18"/>
              </w:rPr>
              <w:t>Annex 1</w:t>
            </w:r>
          </w:p>
        </w:tc>
        <w:tc>
          <w:tcPr>
            <w:tcW w:w="6804" w:type="dxa"/>
          </w:tcPr>
          <w:p w14:paraId="4E60417F" w14:textId="35191681" w:rsidR="003B7B0C" w:rsidRPr="003B7B0C" w:rsidRDefault="003B7B0C" w:rsidP="003B7B0C">
            <w:pPr>
              <w:spacing w:before="60" w:after="40"/>
              <w:rPr>
                <w:rFonts w:ascii="Calibri Light" w:hAnsi="Calibri Light" w:cs="Calibri Light"/>
                <w:sz w:val="18"/>
                <w:szCs w:val="18"/>
              </w:rPr>
            </w:pPr>
            <w:r w:rsidRPr="003B7B0C">
              <w:rPr>
                <w:rFonts w:ascii="Calibri Light" w:hAnsi="Calibri Light" w:cs="Calibri Light"/>
                <w:sz w:val="18"/>
                <w:szCs w:val="18"/>
              </w:rPr>
              <w:t>Terms of Reference</w:t>
            </w:r>
          </w:p>
        </w:tc>
        <w:tc>
          <w:tcPr>
            <w:tcW w:w="651" w:type="dxa"/>
          </w:tcPr>
          <w:p w14:paraId="5DBD73BC" w14:textId="73EF4965" w:rsidR="003B7B0C" w:rsidRPr="003B7B0C" w:rsidRDefault="003B7B0C" w:rsidP="003B7B0C">
            <w:pPr>
              <w:spacing w:before="60" w:after="40"/>
              <w:rPr>
                <w:rFonts w:ascii="Calibri Light" w:hAnsi="Calibri Light" w:cs="Calibri Light"/>
                <w:sz w:val="18"/>
                <w:szCs w:val="18"/>
              </w:rPr>
            </w:pPr>
            <w:r>
              <w:rPr>
                <w:rFonts w:ascii="Calibri Light" w:hAnsi="Calibri Light" w:cs="Calibri Light"/>
                <w:sz w:val="18"/>
                <w:szCs w:val="18"/>
              </w:rPr>
              <w:t>A1</w:t>
            </w:r>
          </w:p>
        </w:tc>
      </w:tr>
      <w:tr w:rsidR="003B7B0C" w:rsidRPr="003B7B0C" w14:paraId="69D5E9F9" w14:textId="77777777" w:rsidTr="003B7B0C">
        <w:tc>
          <w:tcPr>
            <w:tcW w:w="988" w:type="dxa"/>
            <w:gridSpan w:val="2"/>
          </w:tcPr>
          <w:p w14:paraId="2B0AE67C" w14:textId="4A1E2A7E" w:rsidR="003B7B0C" w:rsidRPr="003B7B0C" w:rsidRDefault="003B7B0C" w:rsidP="003B7B0C">
            <w:pPr>
              <w:spacing w:after="40"/>
              <w:rPr>
                <w:rFonts w:ascii="Calibri Light" w:hAnsi="Calibri Light" w:cs="Calibri Light"/>
                <w:sz w:val="18"/>
                <w:szCs w:val="18"/>
              </w:rPr>
            </w:pPr>
            <w:r w:rsidRPr="003B7B0C">
              <w:rPr>
                <w:rFonts w:ascii="Calibri Light" w:hAnsi="Calibri Light" w:cs="Calibri Light"/>
                <w:sz w:val="18"/>
                <w:szCs w:val="18"/>
              </w:rPr>
              <w:t xml:space="preserve">Annex </w:t>
            </w:r>
            <w:r w:rsidR="00262AFF">
              <w:rPr>
                <w:rFonts w:ascii="Calibri Light" w:hAnsi="Calibri Light" w:cs="Calibri Light"/>
                <w:sz w:val="18"/>
                <w:szCs w:val="18"/>
              </w:rPr>
              <w:t>2</w:t>
            </w:r>
          </w:p>
        </w:tc>
        <w:tc>
          <w:tcPr>
            <w:tcW w:w="6804" w:type="dxa"/>
          </w:tcPr>
          <w:p w14:paraId="5C38F77D" w14:textId="378CEB2D" w:rsidR="003B7B0C" w:rsidRPr="003B7B0C" w:rsidRDefault="00262AFF" w:rsidP="003B7B0C">
            <w:pPr>
              <w:spacing w:after="40"/>
              <w:rPr>
                <w:rFonts w:ascii="Calibri Light" w:hAnsi="Calibri Light" w:cs="Calibri Light"/>
                <w:sz w:val="18"/>
                <w:szCs w:val="18"/>
              </w:rPr>
            </w:pPr>
            <w:r>
              <w:rPr>
                <w:rFonts w:ascii="Calibri Light" w:hAnsi="Calibri Light" w:cs="Calibri Light"/>
                <w:sz w:val="18"/>
                <w:szCs w:val="18"/>
              </w:rPr>
              <w:t>Methodology</w:t>
            </w:r>
          </w:p>
        </w:tc>
        <w:tc>
          <w:tcPr>
            <w:tcW w:w="651" w:type="dxa"/>
          </w:tcPr>
          <w:p w14:paraId="107B6B74" w14:textId="41C944B5" w:rsidR="003B7B0C" w:rsidRPr="003B7B0C" w:rsidRDefault="003B7B0C" w:rsidP="003B7B0C">
            <w:pPr>
              <w:spacing w:after="40"/>
              <w:rPr>
                <w:rFonts w:ascii="Calibri Light" w:hAnsi="Calibri Light" w:cs="Calibri Light"/>
                <w:sz w:val="18"/>
                <w:szCs w:val="18"/>
              </w:rPr>
            </w:pPr>
            <w:r>
              <w:rPr>
                <w:rFonts w:ascii="Calibri Light" w:hAnsi="Calibri Light" w:cs="Calibri Light"/>
                <w:sz w:val="18"/>
                <w:szCs w:val="18"/>
              </w:rPr>
              <w:t>A5</w:t>
            </w:r>
          </w:p>
        </w:tc>
      </w:tr>
      <w:tr w:rsidR="00262AFF" w:rsidRPr="003B7B0C" w14:paraId="26324754" w14:textId="77777777" w:rsidTr="003B7B0C">
        <w:tc>
          <w:tcPr>
            <w:tcW w:w="988" w:type="dxa"/>
            <w:gridSpan w:val="2"/>
          </w:tcPr>
          <w:p w14:paraId="3AF74F7C" w14:textId="1C405674" w:rsidR="00262AFF" w:rsidRPr="003B7B0C" w:rsidRDefault="00262AFF" w:rsidP="003B7B0C">
            <w:pPr>
              <w:spacing w:after="40"/>
              <w:rPr>
                <w:rFonts w:ascii="Calibri Light" w:hAnsi="Calibri Light" w:cs="Calibri Light"/>
                <w:sz w:val="18"/>
                <w:szCs w:val="18"/>
              </w:rPr>
            </w:pPr>
            <w:r>
              <w:rPr>
                <w:rFonts w:ascii="Calibri Light" w:hAnsi="Calibri Light" w:cs="Calibri Light"/>
                <w:sz w:val="18"/>
                <w:szCs w:val="18"/>
              </w:rPr>
              <w:t>Annex 3</w:t>
            </w:r>
          </w:p>
        </w:tc>
        <w:tc>
          <w:tcPr>
            <w:tcW w:w="6804" w:type="dxa"/>
          </w:tcPr>
          <w:p w14:paraId="3CB10A6F" w14:textId="11090D63" w:rsidR="00262AFF" w:rsidRDefault="00262AFF" w:rsidP="003B7B0C">
            <w:pPr>
              <w:spacing w:after="40"/>
              <w:rPr>
                <w:rFonts w:ascii="Calibri Light" w:hAnsi="Calibri Light" w:cs="Calibri Light"/>
                <w:sz w:val="18"/>
                <w:szCs w:val="18"/>
              </w:rPr>
            </w:pPr>
            <w:r>
              <w:rPr>
                <w:rFonts w:ascii="Calibri Light" w:hAnsi="Calibri Light" w:cs="Calibri Light"/>
                <w:sz w:val="18"/>
                <w:szCs w:val="18"/>
              </w:rPr>
              <w:t>Consultations</w:t>
            </w:r>
          </w:p>
        </w:tc>
        <w:tc>
          <w:tcPr>
            <w:tcW w:w="651" w:type="dxa"/>
          </w:tcPr>
          <w:p w14:paraId="6EEA1B9D" w14:textId="6084D150" w:rsidR="00262AFF" w:rsidRDefault="00262AFF" w:rsidP="003B7B0C">
            <w:pPr>
              <w:spacing w:after="40"/>
              <w:rPr>
                <w:rFonts w:ascii="Calibri Light" w:hAnsi="Calibri Light" w:cs="Calibri Light"/>
                <w:sz w:val="18"/>
                <w:szCs w:val="18"/>
              </w:rPr>
            </w:pPr>
            <w:r>
              <w:rPr>
                <w:rFonts w:ascii="Calibri Light" w:hAnsi="Calibri Light" w:cs="Calibri Light"/>
                <w:sz w:val="18"/>
                <w:szCs w:val="18"/>
              </w:rPr>
              <w:t>A9</w:t>
            </w:r>
          </w:p>
        </w:tc>
      </w:tr>
      <w:tr w:rsidR="00F55407" w:rsidRPr="003B7B0C" w14:paraId="628C90B0" w14:textId="77777777" w:rsidTr="003B7B0C">
        <w:tc>
          <w:tcPr>
            <w:tcW w:w="988" w:type="dxa"/>
            <w:gridSpan w:val="2"/>
          </w:tcPr>
          <w:p w14:paraId="6D515C7D" w14:textId="65FEF18F" w:rsidR="00F55407" w:rsidRDefault="00F55407" w:rsidP="003B7B0C">
            <w:pPr>
              <w:spacing w:after="40"/>
              <w:rPr>
                <w:rFonts w:ascii="Calibri Light" w:hAnsi="Calibri Light" w:cs="Calibri Light"/>
                <w:sz w:val="18"/>
                <w:szCs w:val="18"/>
              </w:rPr>
            </w:pPr>
            <w:r>
              <w:rPr>
                <w:rFonts w:ascii="Calibri Light" w:hAnsi="Calibri Light" w:cs="Calibri Light"/>
                <w:sz w:val="18"/>
                <w:szCs w:val="18"/>
              </w:rPr>
              <w:t>Annex 4</w:t>
            </w:r>
          </w:p>
        </w:tc>
        <w:tc>
          <w:tcPr>
            <w:tcW w:w="6804" w:type="dxa"/>
          </w:tcPr>
          <w:p w14:paraId="65560BBD" w14:textId="064F341F" w:rsidR="00F55407" w:rsidRDefault="00F55407" w:rsidP="003B7B0C">
            <w:pPr>
              <w:spacing w:after="40"/>
              <w:rPr>
                <w:rFonts w:ascii="Calibri Light" w:hAnsi="Calibri Light" w:cs="Calibri Light"/>
                <w:sz w:val="18"/>
                <w:szCs w:val="18"/>
              </w:rPr>
            </w:pPr>
            <w:r>
              <w:rPr>
                <w:rFonts w:ascii="Calibri Light" w:hAnsi="Calibri Light" w:cs="Calibri Light"/>
                <w:sz w:val="18"/>
                <w:szCs w:val="18"/>
              </w:rPr>
              <w:t>AIPJ2 theory of change</w:t>
            </w:r>
          </w:p>
        </w:tc>
        <w:tc>
          <w:tcPr>
            <w:tcW w:w="651" w:type="dxa"/>
          </w:tcPr>
          <w:p w14:paraId="310D33E4" w14:textId="33D63016" w:rsidR="00F55407" w:rsidRDefault="00DF419F" w:rsidP="003B7B0C">
            <w:pPr>
              <w:spacing w:after="40"/>
              <w:rPr>
                <w:rFonts w:ascii="Calibri Light" w:hAnsi="Calibri Light" w:cs="Calibri Light"/>
                <w:sz w:val="18"/>
                <w:szCs w:val="18"/>
              </w:rPr>
            </w:pPr>
            <w:r>
              <w:rPr>
                <w:rFonts w:ascii="Calibri Light" w:hAnsi="Calibri Light" w:cs="Calibri Light"/>
                <w:sz w:val="18"/>
                <w:szCs w:val="18"/>
              </w:rPr>
              <w:t>A11</w:t>
            </w:r>
          </w:p>
        </w:tc>
      </w:tr>
      <w:tr w:rsidR="00FF5485" w:rsidRPr="003B7B0C" w14:paraId="698D1EC3" w14:textId="77777777" w:rsidTr="003B7B0C">
        <w:tc>
          <w:tcPr>
            <w:tcW w:w="988" w:type="dxa"/>
            <w:gridSpan w:val="2"/>
          </w:tcPr>
          <w:p w14:paraId="727F11AB" w14:textId="1BB58FB8" w:rsidR="00FF5485" w:rsidRDefault="00FF5485" w:rsidP="003B7B0C">
            <w:pPr>
              <w:spacing w:after="40"/>
              <w:rPr>
                <w:rFonts w:ascii="Calibri Light" w:hAnsi="Calibri Light" w:cs="Calibri Light"/>
                <w:sz w:val="18"/>
                <w:szCs w:val="18"/>
              </w:rPr>
            </w:pPr>
            <w:r>
              <w:rPr>
                <w:rFonts w:ascii="Calibri Light" w:hAnsi="Calibri Light" w:cs="Calibri Light"/>
                <w:sz w:val="18"/>
                <w:szCs w:val="18"/>
              </w:rPr>
              <w:t>Annex 5</w:t>
            </w:r>
          </w:p>
        </w:tc>
        <w:tc>
          <w:tcPr>
            <w:tcW w:w="6804" w:type="dxa"/>
          </w:tcPr>
          <w:p w14:paraId="0FD5C310" w14:textId="001C4821" w:rsidR="00FF5485" w:rsidRDefault="00FF5485" w:rsidP="003B7B0C">
            <w:pPr>
              <w:spacing w:after="40"/>
              <w:rPr>
                <w:rFonts w:ascii="Calibri Light" w:hAnsi="Calibri Light" w:cs="Calibri Light"/>
                <w:sz w:val="18"/>
                <w:szCs w:val="18"/>
              </w:rPr>
            </w:pPr>
            <w:r>
              <w:rPr>
                <w:rFonts w:ascii="Calibri Light" w:hAnsi="Calibri Light" w:cs="Calibri Light"/>
                <w:sz w:val="18"/>
                <w:szCs w:val="18"/>
              </w:rPr>
              <w:t>Mid-term review plan</w:t>
            </w:r>
          </w:p>
        </w:tc>
        <w:tc>
          <w:tcPr>
            <w:tcW w:w="651" w:type="dxa"/>
          </w:tcPr>
          <w:p w14:paraId="16A8ECB2" w14:textId="769DB986" w:rsidR="00FF5485" w:rsidRDefault="00FF5485" w:rsidP="003B7B0C">
            <w:pPr>
              <w:spacing w:after="40"/>
              <w:rPr>
                <w:rFonts w:ascii="Calibri Light" w:hAnsi="Calibri Light" w:cs="Calibri Light"/>
                <w:sz w:val="18"/>
                <w:szCs w:val="18"/>
              </w:rPr>
            </w:pPr>
            <w:r>
              <w:rPr>
                <w:rFonts w:ascii="Calibri Light" w:hAnsi="Calibri Light" w:cs="Calibri Light"/>
                <w:sz w:val="18"/>
                <w:szCs w:val="18"/>
              </w:rPr>
              <w:t>A12</w:t>
            </w:r>
          </w:p>
        </w:tc>
      </w:tr>
    </w:tbl>
    <w:p w14:paraId="00AEF3B6" w14:textId="2DC48E78" w:rsidR="009D6BEF" w:rsidRPr="009D6BEF" w:rsidRDefault="009D6BEF" w:rsidP="009D6BEF">
      <w:pPr>
        <w:rPr>
          <w:rFonts w:ascii="Calibri Light" w:hAnsi="Calibri Light" w:cs="Calibri Light"/>
          <w:b/>
          <w:bCs/>
          <w:lang w:val="en-AU"/>
        </w:rPr>
        <w:sectPr w:rsidR="009D6BEF" w:rsidRPr="009D6BEF" w:rsidSect="005D554B">
          <w:headerReference w:type="even" r:id="rId8"/>
          <w:headerReference w:type="default" r:id="rId9"/>
          <w:footerReference w:type="even" r:id="rId10"/>
          <w:footerReference w:type="default" r:id="rId11"/>
          <w:headerReference w:type="first" r:id="rId12"/>
          <w:footerReference w:type="first" r:id="rId13"/>
          <w:pgSz w:w="11900" w:h="16840"/>
          <w:pgMar w:top="1134" w:right="1440" w:bottom="284" w:left="1440" w:header="708" w:footer="708" w:gutter="0"/>
          <w:cols w:space="708"/>
          <w:docGrid w:linePitch="360"/>
        </w:sectPr>
      </w:pPr>
    </w:p>
    <w:p w14:paraId="6F479BF2" w14:textId="5893DD09" w:rsidR="00B015C8" w:rsidRPr="00B015C8" w:rsidRDefault="00B015C8" w:rsidP="00B015C8">
      <w:pPr>
        <w:spacing w:before="360" w:line="274" w:lineRule="auto"/>
        <w:rPr>
          <w:rFonts w:asciiTheme="majorHAnsi" w:hAnsiTheme="majorHAnsi" w:cstheme="majorHAnsi"/>
          <w:b/>
          <w:bCs/>
          <w:color w:val="00B0F0"/>
          <w:sz w:val="32"/>
          <w:szCs w:val="32"/>
          <w:lang w:val="en-AU"/>
        </w:rPr>
      </w:pPr>
      <w:r w:rsidRPr="00B015C8">
        <w:rPr>
          <w:rFonts w:asciiTheme="majorHAnsi" w:hAnsiTheme="majorHAnsi" w:cstheme="majorHAnsi"/>
          <w:b/>
          <w:bCs/>
          <w:color w:val="00B0F0"/>
          <w:sz w:val="32"/>
          <w:szCs w:val="32"/>
          <w:lang w:val="en-AU"/>
        </w:rPr>
        <w:lastRenderedPageBreak/>
        <w:t>Executive Summary</w:t>
      </w:r>
    </w:p>
    <w:p w14:paraId="23604845" w14:textId="3A42BB69" w:rsidR="00B015C8" w:rsidRDefault="00B015C8" w:rsidP="00B015C8">
      <w:pPr>
        <w:spacing w:before="240" w:line="274" w:lineRule="auto"/>
        <w:rPr>
          <w:rFonts w:ascii="Calibri Light" w:hAnsi="Calibri Light" w:cs="Calibri Light"/>
          <w:sz w:val="22"/>
          <w:szCs w:val="22"/>
        </w:rPr>
      </w:pPr>
      <w:r>
        <w:rPr>
          <w:rFonts w:ascii="Calibri Light" w:hAnsi="Calibri Light" w:cs="Calibri Light"/>
          <w:sz w:val="22"/>
          <w:szCs w:val="22"/>
        </w:rPr>
        <w:t xml:space="preserve">The Australian Indonesia Partnership for Justice Phase 2 (AIPJ2) was launched in April 2017, as the </w:t>
      </w:r>
      <w:r w:rsidRPr="00F060FB">
        <w:rPr>
          <w:rFonts w:ascii="Calibri Light" w:hAnsi="Calibri Light" w:cs="Calibri Light"/>
          <w:sz w:val="22"/>
          <w:szCs w:val="22"/>
        </w:rPr>
        <w:t>latest initiative in a long-standing process of cooperation between Australia and Indonesia on law and justice reform</w:t>
      </w:r>
      <w:r>
        <w:rPr>
          <w:rFonts w:ascii="Calibri Light" w:hAnsi="Calibri Light" w:cs="Calibri Light"/>
          <w:sz w:val="22"/>
          <w:szCs w:val="22"/>
        </w:rPr>
        <w:t>.  The design of AIPJ2 also incorporated and extended oda-eligible security assistance, previously provided under the Australian Indonesia Security Cooperation Program.   AIPJ2 is</w:t>
      </w:r>
      <w:r w:rsidR="00911ACF">
        <w:rPr>
          <w:rFonts w:ascii="Calibri Light" w:hAnsi="Calibri Light" w:cs="Calibri Light"/>
          <w:sz w:val="22"/>
          <w:szCs w:val="22"/>
        </w:rPr>
        <w:t xml:space="preserve"> a AUD 40 million investment by DFAT</w:t>
      </w:r>
      <w:r>
        <w:rPr>
          <w:rFonts w:ascii="Calibri Light" w:hAnsi="Calibri Light" w:cs="Calibri Light"/>
          <w:sz w:val="22"/>
          <w:szCs w:val="22"/>
        </w:rPr>
        <w:t xml:space="preserve"> due to complete in March 2022.</w:t>
      </w:r>
    </w:p>
    <w:p w14:paraId="3FC13684" w14:textId="59490CC1" w:rsidR="00B015C8" w:rsidRDefault="00B015C8" w:rsidP="00B015C8">
      <w:pPr>
        <w:spacing w:line="274" w:lineRule="auto"/>
        <w:rPr>
          <w:rFonts w:ascii="Calibri Light" w:hAnsi="Calibri Light" w:cs="Calibri Light"/>
          <w:sz w:val="22"/>
          <w:szCs w:val="22"/>
        </w:rPr>
      </w:pPr>
      <w:r>
        <w:rPr>
          <w:rFonts w:ascii="Calibri Light" w:hAnsi="Calibri Light" w:cs="Calibri Light"/>
          <w:sz w:val="22"/>
          <w:szCs w:val="22"/>
        </w:rPr>
        <w:t xml:space="preserve">This review of AIPJ2 was conducted at the mid-point of the current phase.  The motivation for the review was primarily formative: to determine whether AIPJ2 needs adjusting to maximise its value in the remainder of the phase.   </w:t>
      </w:r>
      <w:r w:rsidR="00262AFF">
        <w:rPr>
          <w:rFonts w:ascii="Calibri Light" w:hAnsi="Calibri Light" w:cs="Calibri Light"/>
          <w:sz w:val="22"/>
          <w:szCs w:val="22"/>
        </w:rPr>
        <w:t xml:space="preserve">A summative assessment of AIPJ2 achievements was not undertaken.  </w:t>
      </w:r>
      <w:r>
        <w:rPr>
          <w:rFonts w:ascii="Calibri Light" w:hAnsi="Calibri Light" w:cs="Calibri Light"/>
          <w:sz w:val="22"/>
          <w:szCs w:val="22"/>
        </w:rPr>
        <w:t xml:space="preserve">Given the </w:t>
      </w:r>
      <w:r w:rsidR="00262AFF">
        <w:rPr>
          <w:rFonts w:ascii="Calibri Light" w:hAnsi="Calibri Light" w:cs="Calibri Light"/>
          <w:sz w:val="22"/>
          <w:szCs w:val="22"/>
        </w:rPr>
        <w:t xml:space="preserve">broad range </w:t>
      </w:r>
      <w:r>
        <w:rPr>
          <w:rFonts w:ascii="Calibri Light" w:hAnsi="Calibri Light" w:cs="Calibri Light"/>
          <w:sz w:val="22"/>
          <w:szCs w:val="22"/>
        </w:rPr>
        <w:t>of AIPJ2</w:t>
      </w:r>
      <w:r w:rsidR="00262AFF">
        <w:rPr>
          <w:rFonts w:ascii="Calibri Light" w:hAnsi="Calibri Light" w:cs="Calibri Light"/>
          <w:sz w:val="22"/>
          <w:szCs w:val="22"/>
        </w:rPr>
        <w:t>’s work</w:t>
      </w:r>
      <w:r>
        <w:rPr>
          <w:rFonts w:ascii="Calibri Light" w:hAnsi="Calibri Light" w:cs="Calibri Light"/>
          <w:sz w:val="22"/>
          <w:szCs w:val="22"/>
        </w:rPr>
        <w:t xml:space="preserve">, the review </w:t>
      </w:r>
      <w:r w:rsidR="00262AFF">
        <w:rPr>
          <w:rFonts w:ascii="Calibri Light" w:hAnsi="Calibri Light" w:cs="Calibri Light"/>
          <w:sz w:val="22"/>
          <w:szCs w:val="22"/>
        </w:rPr>
        <w:t xml:space="preserve">could not look at all aspects of the facility in equal depth.  Instead, areas of AIPJ2’s work were purposively sampled to illustrate and inform the review’s judgement for key questions of interest to DFAT.  Two </w:t>
      </w:r>
      <w:r>
        <w:rPr>
          <w:rFonts w:ascii="Calibri Light" w:hAnsi="Calibri Light" w:cs="Calibri Light"/>
          <w:sz w:val="22"/>
          <w:szCs w:val="22"/>
        </w:rPr>
        <w:t xml:space="preserve">areas </w:t>
      </w:r>
      <w:r w:rsidR="00262AFF">
        <w:rPr>
          <w:rFonts w:ascii="Calibri Light" w:hAnsi="Calibri Light" w:cs="Calibri Light"/>
          <w:sz w:val="22"/>
          <w:szCs w:val="22"/>
        </w:rPr>
        <w:t xml:space="preserve">were omitted </w:t>
      </w:r>
      <w:r>
        <w:rPr>
          <w:rFonts w:ascii="Calibri Light" w:hAnsi="Calibri Light" w:cs="Calibri Light"/>
          <w:sz w:val="22"/>
          <w:szCs w:val="22"/>
        </w:rPr>
        <w:t xml:space="preserve">from detailed examination:  AIPJ2’s work on disability inclusion; and results </w:t>
      </w:r>
      <w:r w:rsidR="00262AFF">
        <w:rPr>
          <w:rFonts w:ascii="Calibri Light" w:hAnsi="Calibri Light" w:cs="Calibri Light"/>
          <w:sz w:val="22"/>
          <w:szCs w:val="22"/>
        </w:rPr>
        <w:t xml:space="preserve">of </w:t>
      </w:r>
      <w:r>
        <w:rPr>
          <w:rFonts w:ascii="Calibri Light" w:hAnsi="Calibri Light" w:cs="Calibri Light"/>
          <w:sz w:val="22"/>
          <w:szCs w:val="22"/>
        </w:rPr>
        <w:t>partnerships between Australian Government agencies and Indonesian counterparts in the security/ transnational crime fields (under pillar 2).</w:t>
      </w:r>
    </w:p>
    <w:p w14:paraId="72552950" w14:textId="77777777" w:rsidR="00B015C8" w:rsidRPr="00E162D2" w:rsidRDefault="00B015C8" w:rsidP="00B015C8">
      <w:pPr>
        <w:spacing w:line="274" w:lineRule="auto"/>
        <w:rPr>
          <w:rFonts w:ascii="Calibri Light" w:hAnsi="Calibri Light" w:cs="Calibri Light"/>
          <w:b/>
          <w:bCs/>
          <w:i/>
          <w:iCs/>
          <w:sz w:val="22"/>
          <w:szCs w:val="22"/>
        </w:rPr>
      </w:pPr>
      <w:r>
        <w:rPr>
          <w:rFonts w:ascii="Calibri Light" w:hAnsi="Calibri Light" w:cs="Calibri Light"/>
          <w:b/>
          <w:bCs/>
          <w:sz w:val="22"/>
          <w:szCs w:val="22"/>
        </w:rPr>
        <w:t>Effectiveness</w:t>
      </w:r>
    </w:p>
    <w:p w14:paraId="481EC737" w14:textId="77777777" w:rsidR="00B015C8" w:rsidRDefault="00B015C8" w:rsidP="00B015C8">
      <w:pPr>
        <w:spacing w:line="274" w:lineRule="auto"/>
        <w:rPr>
          <w:rFonts w:ascii="Calibri Light" w:hAnsi="Calibri Light" w:cs="Calibri Light"/>
          <w:sz w:val="22"/>
          <w:szCs w:val="22"/>
        </w:rPr>
      </w:pPr>
      <w:r>
        <w:rPr>
          <w:rFonts w:ascii="Calibri Light" w:hAnsi="Calibri Light" w:cs="Calibri Light"/>
          <w:sz w:val="22"/>
          <w:szCs w:val="22"/>
        </w:rPr>
        <w:t xml:space="preserve">Stakeholders’ perceptions of AIPJ2 are in the main very positive: AIPJ2 is generally well-thought of by Indonesian partners and viewed as a largely effective investment by DFAT in its annual performance checks.  The mid-term review findings suggest those perspectives are well-justified.   The review examined results in a number of areas where AIPJ2 provides support: court reform, access to justice for women and girls, corruption prevention, corrections reform and prevention of violent extremism.  Findings indicate AIPJ2 has provided valued support for a number of important reform initiatives, aimed at strengthening: </w:t>
      </w:r>
    </w:p>
    <w:p w14:paraId="5FCD6B36" w14:textId="77777777" w:rsidR="00B015C8" w:rsidRDefault="00B015C8" w:rsidP="00B015C8">
      <w:pPr>
        <w:pStyle w:val="ListParagraph"/>
        <w:numPr>
          <w:ilvl w:val="0"/>
          <w:numId w:val="27"/>
        </w:numPr>
        <w:spacing w:line="274" w:lineRule="auto"/>
        <w:rPr>
          <w:rFonts w:ascii="Calibri Light" w:hAnsi="Calibri Light" w:cs="Calibri Light"/>
          <w:sz w:val="22"/>
          <w:szCs w:val="22"/>
        </w:rPr>
      </w:pPr>
      <w:r>
        <w:rPr>
          <w:rFonts w:ascii="Calibri Light" w:hAnsi="Calibri Light" w:cs="Calibri Light"/>
          <w:sz w:val="22"/>
          <w:szCs w:val="22"/>
        </w:rPr>
        <w:t>women’s and girls’ treatment by courts and access to justice;</w:t>
      </w:r>
    </w:p>
    <w:p w14:paraId="6696D579" w14:textId="77777777" w:rsidR="00B015C8" w:rsidRDefault="00B015C8" w:rsidP="00B015C8">
      <w:pPr>
        <w:pStyle w:val="ListParagraph"/>
        <w:numPr>
          <w:ilvl w:val="0"/>
          <w:numId w:val="27"/>
        </w:numPr>
        <w:spacing w:line="274" w:lineRule="auto"/>
        <w:rPr>
          <w:rFonts w:ascii="Calibri Light" w:hAnsi="Calibri Light" w:cs="Calibri Light"/>
          <w:sz w:val="22"/>
          <w:szCs w:val="22"/>
        </w:rPr>
      </w:pPr>
      <w:r>
        <w:rPr>
          <w:rFonts w:ascii="Calibri Light" w:hAnsi="Calibri Light" w:cs="Calibri Light"/>
          <w:sz w:val="22"/>
          <w:szCs w:val="22"/>
        </w:rPr>
        <w:t>implementation of the Small Claims Court and e-Court system, again enhancing access to justice;</w:t>
      </w:r>
    </w:p>
    <w:p w14:paraId="43888183" w14:textId="77777777" w:rsidR="00B015C8" w:rsidRDefault="00B015C8" w:rsidP="00B015C8">
      <w:pPr>
        <w:pStyle w:val="ListParagraph"/>
        <w:numPr>
          <w:ilvl w:val="0"/>
          <w:numId w:val="27"/>
        </w:numPr>
        <w:spacing w:line="274" w:lineRule="auto"/>
        <w:rPr>
          <w:rFonts w:ascii="Calibri Light" w:hAnsi="Calibri Light" w:cs="Calibri Light"/>
          <w:sz w:val="22"/>
          <w:szCs w:val="22"/>
        </w:rPr>
      </w:pPr>
      <w:r>
        <w:rPr>
          <w:rFonts w:ascii="Calibri Light" w:hAnsi="Calibri Light" w:cs="Calibri Light"/>
          <w:sz w:val="22"/>
          <w:szCs w:val="22"/>
        </w:rPr>
        <w:t>Indonesia’s national strategy and action plan to tackle corruption;</w:t>
      </w:r>
    </w:p>
    <w:p w14:paraId="66DD5069" w14:textId="77777777" w:rsidR="00B015C8" w:rsidRDefault="00B015C8" w:rsidP="00B015C8">
      <w:pPr>
        <w:pStyle w:val="ListParagraph"/>
        <w:numPr>
          <w:ilvl w:val="0"/>
          <w:numId w:val="27"/>
        </w:numPr>
        <w:spacing w:line="274" w:lineRule="auto"/>
        <w:rPr>
          <w:rFonts w:ascii="Calibri Light" w:hAnsi="Calibri Light" w:cs="Calibri Light"/>
          <w:sz w:val="22"/>
          <w:szCs w:val="22"/>
        </w:rPr>
      </w:pPr>
      <w:r>
        <w:rPr>
          <w:rFonts w:ascii="Calibri Light" w:hAnsi="Calibri Light" w:cs="Calibri Light"/>
          <w:sz w:val="22"/>
          <w:szCs w:val="22"/>
        </w:rPr>
        <w:t>corrections reform planning and prioritisation and capacity and quality of detainee management; and</w:t>
      </w:r>
    </w:p>
    <w:p w14:paraId="5362B378" w14:textId="77777777" w:rsidR="00B015C8" w:rsidRDefault="00B015C8" w:rsidP="00B015C8">
      <w:pPr>
        <w:pStyle w:val="ListParagraph"/>
        <w:numPr>
          <w:ilvl w:val="0"/>
          <w:numId w:val="27"/>
        </w:numPr>
        <w:spacing w:line="274" w:lineRule="auto"/>
        <w:rPr>
          <w:rFonts w:ascii="Calibri Light" w:hAnsi="Calibri Light" w:cs="Calibri Light"/>
          <w:sz w:val="22"/>
          <w:szCs w:val="22"/>
        </w:rPr>
      </w:pPr>
      <w:r>
        <w:rPr>
          <w:rFonts w:ascii="Calibri Light" w:hAnsi="Calibri Light" w:cs="Calibri Light"/>
          <w:sz w:val="22"/>
          <w:szCs w:val="22"/>
        </w:rPr>
        <w:t>the legal framework for counter-terrorism activities and the national plans and strategies for preventing violent extremism.</w:t>
      </w:r>
    </w:p>
    <w:p w14:paraId="0C8BEEF2" w14:textId="77777777" w:rsidR="00B015C8" w:rsidRDefault="00B015C8" w:rsidP="00B015C8">
      <w:pPr>
        <w:spacing w:line="274" w:lineRule="auto"/>
        <w:rPr>
          <w:rFonts w:ascii="Calibri Light" w:hAnsi="Calibri Light" w:cs="Calibri Light"/>
          <w:color w:val="000000" w:themeColor="text1"/>
          <w:sz w:val="22"/>
          <w:szCs w:val="22"/>
        </w:rPr>
      </w:pPr>
      <w:r>
        <w:rPr>
          <w:rFonts w:ascii="Calibri Light" w:hAnsi="Calibri Light" w:cs="Calibri Light"/>
          <w:sz w:val="22"/>
          <w:szCs w:val="22"/>
        </w:rPr>
        <w:t>The review did not include a detailed value-for-money assessment but on the basis of the evidence available t</w:t>
      </w:r>
      <w:r w:rsidRPr="00BC45A5">
        <w:rPr>
          <w:rFonts w:ascii="Calibri Light" w:hAnsi="Calibri Light" w:cs="Calibri Light"/>
          <w:color w:val="000000" w:themeColor="text1"/>
          <w:sz w:val="22"/>
          <w:szCs w:val="22"/>
        </w:rPr>
        <w:t>he team considers it highly likely that AIPJ2 will generate a sufficient rate of return to justify DFAT’s investment</w:t>
      </w:r>
      <w:r>
        <w:rPr>
          <w:rFonts w:ascii="Calibri Light" w:hAnsi="Calibri Light" w:cs="Calibri Light"/>
          <w:color w:val="000000" w:themeColor="text1"/>
          <w:sz w:val="22"/>
          <w:szCs w:val="22"/>
        </w:rPr>
        <w:t xml:space="preserve"> by the end of phase</w:t>
      </w:r>
      <w:r w:rsidRPr="00BC45A5">
        <w:rPr>
          <w:rFonts w:ascii="Calibri Light" w:hAnsi="Calibri Light" w:cs="Calibri Light"/>
          <w:color w:val="000000" w:themeColor="text1"/>
          <w:sz w:val="22"/>
          <w:szCs w:val="22"/>
        </w:rPr>
        <w:t xml:space="preserve">, if indeed </w:t>
      </w:r>
      <w:r>
        <w:rPr>
          <w:rFonts w:ascii="Calibri Light" w:hAnsi="Calibri Light" w:cs="Calibri Light"/>
          <w:color w:val="000000" w:themeColor="text1"/>
          <w:sz w:val="22"/>
          <w:szCs w:val="22"/>
        </w:rPr>
        <w:t>not before.  Furthermore, AIPJ2 could most likely utilise effectively additional resources.  However, in the event that additional funds are not available, there are potential adjustments (discussed below) that AIPJ2 could make to maximise the value for money during the rest of the phase.</w:t>
      </w:r>
    </w:p>
    <w:p w14:paraId="6F5A600D" w14:textId="77777777" w:rsidR="00B015C8" w:rsidRPr="002B6AF8" w:rsidRDefault="00B015C8" w:rsidP="00B015C8">
      <w:pPr>
        <w:spacing w:before="240" w:line="274" w:lineRule="auto"/>
        <w:rPr>
          <w:rFonts w:ascii="Calibri Light" w:hAnsi="Calibri Light" w:cs="Calibri Light"/>
          <w:b/>
          <w:bCs/>
          <w:sz w:val="22"/>
          <w:szCs w:val="22"/>
        </w:rPr>
      </w:pPr>
      <w:r>
        <w:rPr>
          <w:rFonts w:ascii="Calibri Light" w:hAnsi="Calibri Light" w:cs="Calibri Light"/>
          <w:b/>
          <w:bCs/>
          <w:sz w:val="22"/>
          <w:szCs w:val="22"/>
        </w:rPr>
        <w:t>Strengths</w:t>
      </w:r>
    </w:p>
    <w:p w14:paraId="7923BE04" w14:textId="77777777" w:rsidR="00B015C8" w:rsidRDefault="00B015C8" w:rsidP="00B015C8">
      <w:pPr>
        <w:spacing w:line="274" w:lineRule="auto"/>
        <w:rPr>
          <w:rFonts w:asciiTheme="majorHAnsi" w:hAnsiTheme="majorHAnsi" w:cstheme="majorHAnsi"/>
          <w:color w:val="000000" w:themeColor="text1"/>
          <w:sz w:val="22"/>
          <w:szCs w:val="22"/>
        </w:rPr>
      </w:pPr>
      <w:r w:rsidRPr="009E57A9">
        <w:rPr>
          <w:rFonts w:ascii="Calibri Light" w:hAnsi="Calibri Light" w:cs="Calibri Light"/>
          <w:sz w:val="22"/>
          <w:szCs w:val="22"/>
        </w:rPr>
        <w:t>These</w:t>
      </w:r>
      <w:r>
        <w:rPr>
          <w:rFonts w:asciiTheme="majorHAnsi" w:hAnsiTheme="majorHAnsi" w:cstheme="majorHAnsi"/>
          <w:color w:val="000000" w:themeColor="text1"/>
          <w:sz w:val="22"/>
          <w:szCs w:val="22"/>
        </w:rPr>
        <w:t xml:space="preserve"> results have been achieved despite the fact that </w:t>
      </w:r>
      <w:r w:rsidRPr="007F7F60">
        <w:rPr>
          <w:rFonts w:asciiTheme="majorHAnsi" w:hAnsiTheme="majorHAnsi" w:cstheme="majorHAnsi"/>
          <w:color w:val="000000" w:themeColor="text1"/>
          <w:sz w:val="22"/>
          <w:szCs w:val="22"/>
        </w:rPr>
        <w:t>AIPJ2</w:t>
      </w:r>
      <w:r>
        <w:rPr>
          <w:rFonts w:asciiTheme="majorHAnsi" w:hAnsiTheme="majorHAnsi" w:cstheme="majorHAnsi"/>
          <w:color w:val="000000" w:themeColor="text1"/>
          <w:sz w:val="22"/>
          <w:szCs w:val="22"/>
        </w:rPr>
        <w:t xml:space="preserve">’s investment is </w:t>
      </w:r>
      <w:r w:rsidRPr="007F7F60">
        <w:rPr>
          <w:rFonts w:asciiTheme="majorHAnsi" w:hAnsiTheme="majorHAnsi" w:cstheme="majorHAnsi"/>
          <w:color w:val="000000" w:themeColor="text1"/>
          <w:sz w:val="22"/>
          <w:szCs w:val="22"/>
        </w:rPr>
        <w:t xml:space="preserve">relatively small </w:t>
      </w:r>
      <w:r>
        <w:rPr>
          <w:rFonts w:asciiTheme="majorHAnsi" w:hAnsiTheme="majorHAnsi" w:cstheme="majorHAnsi"/>
          <w:color w:val="000000" w:themeColor="text1"/>
          <w:sz w:val="22"/>
          <w:szCs w:val="22"/>
        </w:rPr>
        <w:t>and the areas of work are in the main sensitive and highly political</w:t>
      </w:r>
      <w:r w:rsidRPr="007F7F60">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AIPJ2 has </w:t>
      </w:r>
      <w:r w:rsidRPr="007F7F60">
        <w:rPr>
          <w:rFonts w:asciiTheme="majorHAnsi" w:hAnsiTheme="majorHAnsi" w:cstheme="majorHAnsi"/>
          <w:color w:val="000000" w:themeColor="text1"/>
          <w:sz w:val="22"/>
          <w:szCs w:val="22"/>
        </w:rPr>
        <w:t>tackle</w:t>
      </w:r>
      <w:r>
        <w:rPr>
          <w:rFonts w:asciiTheme="majorHAnsi" w:hAnsiTheme="majorHAnsi" w:cstheme="majorHAnsi"/>
          <w:color w:val="000000" w:themeColor="text1"/>
          <w:sz w:val="22"/>
          <w:szCs w:val="22"/>
        </w:rPr>
        <w:t>d</w:t>
      </w:r>
      <w:r w:rsidRPr="007F7F60">
        <w:rPr>
          <w:rFonts w:asciiTheme="majorHAnsi" w:hAnsiTheme="majorHAnsi" w:cstheme="majorHAnsi"/>
          <w:color w:val="000000" w:themeColor="text1"/>
          <w:sz w:val="22"/>
          <w:szCs w:val="22"/>
        </w:rPr>
        <w:t xml:space="preserve"> sensitive issues in smart ways that get traction through a combination of skilled, experienced team leader, </w:t>
      </w:r>
      <w:r>
        <w:rPr>
          <w:rFonts w:asciiTheme="majorHAnsi" w:hAnsiTheme="majorHAnsi" w:cstheme="majorHAnsi"/>
          <w:color w:val="000000" w:themeColor="text1"/>
          <w:sz w:val="22"/>
          <w:szCs w:val="22"/>
        </w:rPr>
        <w:t>good</w:t>
      </w:r>
      <w:r w:rsidRPr="007F7F60">
        <w:rPr>
          <w:rFonts w:asciiTheme="majorHAnsi" w:hAnsiTheme="majorHAnsi" w:cstheme="majorHAnsi"/>
          <w:color w:val="000000" w:themeColor="text1"/>
          <w:sz w:val="22"/>
          <w:szCs w:val="22"/>
        </w:rPr>
        <w:t xml:space="preserve"> relationships </w:t>
      </w:r>
      <w:r w:rsidRPr="007F7F60">
        <w:rPr>
          <w:rFonts w:asciiTheme="majorHAnsi" w:hAnsiTheme="majorHAnsi" w:cstheme="majorHAnsi"/>
          <w:color w:val="000000" w:themeColor="text1"/>
          <w:sz w:val="22"/>
          <w:szCs w:val="22"/>
        </w:rPr>
        <w:lastRenderedPageBreak/>
        <w:t>with Indonesian state institutions</w:t>
      </w:r>
      <w:r>
        <w:rPr>
          <w:rFonts w:asciiTheme="majorHAnsi" w:hAnsiTheme="majorHAnsi" w:cstheme="majorHAnsi"/>
          <w:color w:val="000000" w:themeColor="text1"/>
          <w:sz w:val="22"/>
          <w:szCs w:val="22"/>
        </w:rPr>
        <w:t>,</w:t>
      </w:r>
      <w:r w:rsidRPr="007F7F60">
        <w:rPr>
          <w:rFonts w:asciiTheme="majorHAnsi" w:hAnsiTheme="majorHAnsi" w:cstheme="majorHAnsi"/>
          <w:color w:val="000000" w:themeColor="text1"/>
          <w:sz w:val="22"/>
          <w:szCs w:val="22"/>
        </w:rPr>
        <w:t xml:space="preserve"> effective partnerships with </w:t>
      </w:r>
      <w:r>
        <w:rPr>
          <w:rFonts w:asciiTheme="majorHAnsi" w:hAnsiTheme="majorHAnsi" w:cstheme="majorHAnsi"/>
          <w:color w:val="000000" w:themeColor="text1"/>
          <w:sz w:val="22"/>
          <w:szCs w:val="22"/>
        </w:rPr>
        <w:t xml:space="preserve">generally strong </w:t>
      </w:r>
      <w:r w:rsidRPr="007F7F60">
        <w:rPr>
          <w:rFonts w:asciiTheme="majorHAnsi" w:hAnsiTheme="majorHAnsi" w:cstheme="majorHAnsi"/>
          <w:color w:val="000000" w:themeColor="text1"/>
          <w:sz w:val="22"/>
          <w:szCs w:val="22"/>
        </w:rPr>
        <w:t>civil society</w:t>
      </w:r>
      <w:r>
        <w:rPr>
          <w:rFonts w:asciiTheme="majorHAnsi" w:hAnsiTheme="majorHAnsi" w:cstheme="majorHAnsi"/>
          <w:color w:val="000000" w:themeColor="text1"/>
          <w:sz w:val="22"/>
          <w:szCs w:val="22"/>
        </w:rPr>
        <w:t xml:space="preserve"> organisations, selection of issues with sufficient local ownership and flexible and responsive support.</w:t>
      </w:r>
    </w:p>
    <w:p w14:paraId="6B3DA3D9" w14:textId="77777777" w:rsidR="00B015C8" w:rsidRPr="00812F6D" w:rsidRDefault="00B015C8" w:rsidP="00B015C8">
      <w:pPr>
        <w:pStyle w:val="ListParagraph"/>
        <w:numPr>
          <w:ilvl w:val="0"/>
          <w:numId w:val="11"/>
        </w:numPr>
        <w:spacing w:line="274" w:lineRule="auto"/>
        <w:rPr>
          <w:rFonts w:asciiTheme="majorHAnsi" w:hAnsiTheme="majorHAnsi" w:cstheme="majorHAnsi"/>
          <w:color w:val="000000" w:themeColor="text1"/>
          <w:sz w:val="22"/>
          <w:szCs w:val="22"/>
        </w:rPr>
      </w:pPr>
      <w:r w:rsidRPr="00812F6D">
        <w:rPr>
          <w:rFonts w:asciiTheme="majorHAnsi" w:hAnsiTheme="majorHAnsi" w:cstheme="majorHAnsi"/>
          <w:color w:val="000000" w:themeColor="text1"/>
          <w:sz w:val="22"/>
          <w:szCs w:val="22"/>
        </w:rPr>
        <w:t xml:space="preserve">AIPJ2 works through partnerships with both Indonesian government and civil society organisations, typically building on existing relationships between relevant bodies.  A key factor enabling AIPJ2’s effectiveness is the openness and willingness of Indonesian government and civil society organisations to work together on </w:t>
      </w:r>
      <w:r>
        <w:rPr>
          <w:rFonts w:asciiTheme="majorHAnsi" w:hAnsiTheme="majorHAnsi" w:cstheme="majorHAnsi"/>
          <w:color w:val="000000" w:themeColor="text1"/>
          <w:sz w:val="22"/>
          <w:szCs w:val="22"/>
        </w:rPr>
        <w:t>areas of reform where shared interests exist.</w:t>
      </w:r>
      <w:r w:rsidRPr="00812F6D">
        <w:rPr>
          <w:rFonts w:asciiTheme="majorHAnsi" w:hAnsiTheme="majorHAnsi" w:cstheme="majorHAnsi"/>
          <w:color w:val="000000" w:themeColor="text1"/>
          <w:sz w:val="22"/>
          <w:szCs w:val="22"/>
        </w:rPr>
        <w:t xml:space="preserve">  </w:t>
      </w:r>
    </w:p>
    <w:p w14:paraId="36C3BA89" w14:textId="77777777" w:rsidR="00B015C8" w:rsidRPr="00812F6D" w:rsidRDefault="00B015C8" w:rsidP="00B015C8">
      <w:pPr>
        <w:pStyle w:val="ListParagraph"/>
        <w:numPr>
          <w:ilvl w:val="0"/>
          <w:numId w:val="11"/>
        </w:numPr>
        <w:tabs>
          <w:tab w:val="left" w:pos="709"/>
        </w:tabs>
        <w:spacing w:line="274" w:lineRule="auto"/>
        <w:rPr>
          <w:rFonts w:asciiTheme="majorHAnsi" w:hAnsiTheme="majorHAnsi" w:cstheme="majorHAnsi"/>
          <w:color w:val="000000" w:themeColor="text1"/>
          <w:sz w:val="22"/>
          <w:szCs w:val="22"/>
        </w:rPr>
      </w:pPr>
      <w:r w:rsidRPr="00812F6D">
        <w:rPr>
          <w:rFonts w:asciiTheme="majorHAnsi" w:hAnsiTheme="majorHAnsi" w:cstheme="majorHAnsi"/>
          <w:color w:val="000000" w:themeColor="text1"/>
          <w:sz w:val="22"/>
          <w:szCs w:val="22"/>
        </w:rPr>
        <w:t xml:space="preserve">AIPJ2 also works with </w:t>
      </w:r>
      <w:r w:rsidRPr="00812F6D">
        <w:rPr>
          <w:rFonts w:ascii="Calibri Light" w:hAnsi="Calibri Light" w:cs="Calibri Light"/>
          <w:sz w:val="22"/>
          <w:szCs w:val="22"/>
        </w:rPr>
        <w:t xml:space="preserve">good quality partners, who are prominent in their fields and have established networks of their own on which they can draw.  This is true of Indonesia partner organisations but also of the bilateral partnerships supported by AIPJ2, </w:t>
      </w:r>
      <w:r>
        <w:rPr>
          <w:rFonts w:ascii="Calibri Light" w:hAnsi="Calibri Light" w:cs="Calibri Light"/>
          <w:sz w:val="22"/>
          <w:szCs w:val="22"/>
        </w:rPr>
        <w:t>for example,</w:t>
      </w:r>
      <w:r w:rsidRPr="00812F6D">
        <w:rPr>
          <w:rFonts w:ascii="Calibri Light" w:hAnsi="Calibri Light" w:cs="Calibri Light"/>
          <w:sz w:val="22"/>
          <w:szCs w:val="22"/>
        </w:rPr>
        <w:t xml:space="preserve"> those between the Indonesia Supreme Court and both the Family Court of Australia and Federal Court of Australia.  </w:t>
      </w:r>
    </w:p>
    <w:p w14:paraId="0DD7F99B" w14:textId="77777777" w:rsidR="00B015C8" w:rsidRPr="0081322D" w:rsidRDefault="00B015C8" w:rsidP="00B015C8">
      <w:pPr>
        <w:pStyle w:val="ListParagraph"/>
        <w:numPr>
          <w:ilvl w:val="0"/>
          <w:numId w:val="11"/>
        </w:numPr>
        <w:tabs>
          <w:tab w:val="left" w:pos="709"/>
        </w:tabs>
        <w:spacing w:line="274" w:lineRule="auto"/>
        <w:rPr>
          <w:rFonts w:asciiTheme="majorHAnsi" w:hAnsiTheme="majorHAnsi" w:cstheme="majorHAnsi"/>
          <w:color w:val="000000" w:themeColor="text1"/>
          <w:sz w:val="22"/>
          <w:szCs w:val="22"/>
        </w:rPr>
      </w:pPr>
      <w:r w:rsidRPr="0081322D">
        <w:rPr>
          <w:rFonts w:ascii="Calibri Light" w:hAnsi="Calibri Light" w:cs="Calibri Light"/>
          <w:sz w:val="22"/>
          <w:szCs w:val="22"/>
        </w:rPr>
        <w:t xml:space="preserve">Most </w:t>
      </w:r>
      <w:r>
        <w:rPr>
          <w:rFonts w:ascii="Calibri Light" w:hAnsi="Calibri Light" w:cs="Calibri Light"/>
          <w:sz w:val="22"/>
          <w:szCs w:val="22"/>
        </w:rPr>
        <w:t xml:space="preserve">of AIPJ2’s </w:t>
      </w:r>
      <w:r w:rsidRPr="0081322D">
        <w:rPr>
          <w:rFonts w:ascii="Calibri Light" w:hAnsi="Calibri Light" w:cs="Calibri Light"/>
          <w:sz w:val="22"/>
          <w:szCs w:val="22"/>
        </w:rPr>
        <w:t xml:space="preserve">civil society partners </w:t>
      </w:r>
      <w:r>
        <w:rPr>
          <w:rFonts w:ascii="Calibri Light" w:hAnsi="Calibri Light" w:cs="Calibri Light"/>
          <w:sz w:val="22"/>
          <w:szCs w:val="22"/>
        </w:rPr>
        <w:t>are organisationally</w:t>
      </w:r>
      <w:r w:rsidRPr="0081322D">
        <w:rPr>
          <w:rFonts w:ascii="Calibri Light" w:hAnsi="Calibri Light" w:cs="Calibri Light"/>
          <w:sz w:val="22"/>
          <w:szCs w:val="22"/>
        </w:rPr>
        <w:t xml:space="preserve"> quite well-developed, but the funding and platforms provided by AIPJ2 helps to amplify their advocacy and research.  AIPJ2 has provided some valued </w:t>
      </w:r>
      <w:r>
        <w:rPr>
          <w:rFonts w:ascii="Calibri Light" w:hAnsi="Calibri Light" w:cs="Calibri Light"/>
          <w:sz w:val="22"/>
          <w:szCs w:val="22"/>
        </w:rPr>
        <w:t xml:space="preserve">assistance to build </w:t>
      </w:r>
      <w:r w:rsidRPr="0081322D">
        <w:rPr>
          <w:rFonts w:ascii="Calibri Light" w:hAnsi="Calibri Light" w:cs="Calibri Light"/>
          <w:sz w:val="22"/>
          <w:szCs w:val="22"/>
        </w:rPr>
        <w:t>capacity directly</w:t>
      </w:r>
      <w:r>
        <w:rPr>
          <w:rFonts w:ascii="Calibri Light" w:hAnsi="Calibri Light" w:cs="Calibri Light"/>
          <w:sz w:val="22"/>
          <w:szCs w:val="22"/>
        </w:rPr>
        <w:t>,  although p</w:t>
      </w:r>
      <w:r w:rsidRPr="00A869A4">
        <w:rPr>
          <w:rFonts w:ascii="Calibri Light" w:hAnsi="Calibri Light" w:cs="Calibri Light"/>
          <w:sz w:val="22"/>
          <w:szCs w:val="22"/>
        </w:rPr>
        <w:t>artners</w:t>
      </w:r>
      <w:r w:rsidRPr="0081322D">
        <w:rPr>
          <w:rFonts w:asciiTheme="majorHAnsi" w:hAnsiTheme="majorHAnsi" w:cstheme="majorHAnsi"/>
          <w:color w:val="000000" w:themeColor="text1"/>
          <w:sz w:val="22"/>
          <w:szCs w:val="22"/>
        </w:rPr>
        <w:t xml:space="preserve"> indicated they would welcome a more systematic way to communicate areas where support would be useful</w:t>
      </w:r>
      <w:r>
        <w:rPr>
          <w:rFonts w:asciiTheme="majorHAnsi" w:hAnsiTheme="majorHAnsi" w:cstheme="majorHAnsi"/>
          <w:color w:val="000000" w:themeColor="text1"/>
          <w:sz w:val="22"/>
          <w:szCs w:val="22"/>
        </w:rPr>
        <w:t>.</w:t>
      </w:r>
      <w:r w:rsidRPr="0081322D">
        <w:rPr>
          <w:rFonts w:asciiTheme="majorHAnsi" w:hAnsiTheme="majorHAnsi" w:cstheme="majorHAnsi"/>
          <w:color w:val="000000" w:themeColor="text1"/>
          <w:sz w:val="22"/>
          <w:szCs w:val="22"/>
        </w:rPr>
        <w:t xml:space="preserve">  </w:t>
      </w:r>
    </w:p>
    <w:p w14:paraId="318F6F00" w14:textId="77777777" w:rsidR="00B015C8" w:rsidRPr="00A869A4" w:rsidRDefault="00B015C8" w:rsidP="00B015C8">
      <w:pPr>
        <w:pStyle w:val="ListParagraph"/>
        <w:numPr>
          <w:ilvl w:val="0"/>
          <w:numId w:val="11"/>
        </w:numPr>
        <w:tabs>
          <w:tab w:val="left" w:pos="709"/>
        </w:tabs>
        <w:spacing w:line="274" w:lineRule="auto"/>
        <w:ind w:left="714" w:hanging="357"/>
        <w:contextualSpacing w:val="0"/>
        <w:rPr>
          <w:rFonts w:asciiTheme="majorHAnsi" w:hAnsiTheme="majorHAnsi" w:cstheme="majorHAnsi"/>
          <w:color w:val="000000" w:themeColor="text1"/>
          <w:sz w:val="22"/>
          <w:szCs w:val="22"/>
        </w:rPr>
      </w:pPr>
      <w:r w:rsidRPr="00A869A4">
        <w:rPr>
          <w:rFonts w:ascii="Calibri Light" w:hAnsi="Calibri Light" w:cs="Calibri Light"/>
          <w:sz w:val="22"/>
          <w:szCs w:val="22"/>
        </w:rPr>
        <w:t xml:space="preserve">AIPJ2 is ably led by a trusted and respected Team Leader who prioritises relationships and who is supported by a strong team. </w:t>
      </w:r>
      <w:r w:rsidRPr="00A869A4">
        <w:rPr>
          <w:rFonts w:asciiTheme="majorHAnsi" w:hAnsiTheme="majorHAnsi" w:cstheme="majorHAnsi"/>
          <w:color w:val="000000" w:themeColor="text1"/>
          <w:sz w:val="22"/>
          <w:szCs w:val="22"/>
        </w:rPr>
        <w:t xml:space="preserve">AIPJ2 has been able to capitalise on existing, locally-created opportunities and capacity thanks </w:t>
      </w:r>
      <w:r>
        <w:rPr>
          <w:rFonts w:asciiTheme="majorHAnsi" w:hAnsiTheme="majorHAnsi" w:cstheme="majorHAnsi"/>
          <w:color w:val="000000" w:themeColor="text1"/>
          <w:sz w:val="22"/>
          <w:szCs w:val="22"/>
        </w:rPr>
        <w:t>largely</w:t>
      </w:r>
      <w:r w:rsidRPr="00A869A4">
        <w:rPr>
          <w:rFonts w:asciiTheme="majorHAnsi" w:hAnsiTheme="majorHAnsi" w:cstheme="majorHAnsi"/>
          <w:color w:val="000000" w:themeColor="text1"/>
          <w:sz w:val="22"/>
          <w:szCs w:val="22"/>
        </w:rPr>
        <w:t xml:space="preserve"> to the quality of the relationships it has established with </w:t>
      </w:r>
      <w:r>
        <w:rPr>
          <w:rFonts w:asciiTheme="majorHAnsi" w:hAnsiTheme="majorHAnsi" w:cstheme="majorHAnsi"/>
          <w:color w:val="000000" w:themeColor="text1"/>
          <w:sz w:val="22"/>
          <w:szCs w:val="22"/>
        </w:rPr>
        <w:t xml:space="preserve">its </w:t>
      </w:r>
      <w:r w:rsidRPr="00A869A4">
        <w:rPr>
          <w:rFonts w:asciiTheme="majorHAnsi" w:hAnsiTheme="majorHAnsi" w:cstheme="majorHAnsi"/>
          <w:color w:val="000000" w:themeColor="text1"/>
          <w:sz w:val="22"/>
          <w:szCs w:val="22"/>
        </w:rPr>
        <w:t>partners</w:t>
      </w:r>
      <w:r>
        <w:rPr>
          <w:rFonts w:asciiTheme="majorHAnsi" w:hAnsiTheme="majorHAnsi" w:cstheme="majorHAnsi"/>
          <w:color w:val="000000" w:themeColor="text1"/>
          <w:sz w:val="22"/>
          <w:szCs w:val="22"/>
        </w:rPr>
        <w:t xml:space="preserve">:  </w:t>
      </w:r>
    </w:p>
    <w:p w14:paraId="66A2159C" w14:textId="77777777" w:rsidR="00B015C8" w:rsidRPr="00246AB5" w:rsidRDefault="00B015C8" w:rsidP="00B015C8">
      <w:pPr>
        <w:pStyle w:val="ListParagraph"/>
        <w:numPr>
          <w:ilvl w:val="1"/>
          <w:numId w:val="10"/>
        </w:numPr>
        <w:tabs>
          <w:tab w:val="left" w:pos="567"/>
        </w:tabs>
        <w:spacing w:line="274" w:lineRule="auto"/>
        <w:contextualSpacing w:val="0"/>
        <w:rPr>
          <w:rFonts w:asciiTheme="majorHAnsi" w:hAnsiTheme="majorHAnsi" w:cstheme="majorHAnsi"/>
          <w:color w:val="000000" w:themeColor="text1"/>
          <w:sz w:val="22"/>
          <w:szCs w:val="22"/>
        </w:rPr>
      </w:pPr>
      <w:r>
        <w:rPr>
          <w:rFonts w:ascii="Calibri Light" w:hAnsi="Calibri Light" w:cs="Calibri Light"/>
          <w:sz w:val="22"/>
          <w:szCs w:val="22"/>
        </w:rPr>
        <w:t xml:space="preserve">AIPJ2’s support is valued because it is flexible and responsive to emerging issues, enabling partners to adjust workplans and activities as implementation opportunities and challenges arise. </w:t>
      </w:r>
    </w:p>
    <w:p w14:paraId="7323EDDE" w14:textId="77777777" w:rsidR="00B015C8" w:rsidRDefault="00B015C8" w:rsidP="00B015C8">
      <w:pPr>
        <w:pStyle w:val="ListParagraph"/>
        <w:numPr>
          <w:ilvl w:val="1"/>
          <w:numId w:val="10"/>
        </w:numPr>
        <w:spacing w:line="271" w:lineRule="auto"/>
        <w:contextualSpacing w:val="0"/>
        <w:rPr>
          <w:rFonts w:ascii="Calibri Light" w:hAnsi="Calibri Light" w:cs="Calibri Light"/>
          <w:sz w:val="22"/>
          <w:szCs w:val="22"/>
        </w:rPr>
      </w:pPr>
      <w:r>
        <w:rPr>
          <w:rFonts w:ascii="Calibri Light" w:hAnsi="Calibri Light" w:cs="Calibri Light"/>
          <w:sz w:val="22"/>
          <w:szCs w:val="22"/>
        </w:rPr>
        <w:t>Civil society</w:t>
      </w:r>
      <w:r w:rsidRPr="00255B80">
        <w:rPr>
          <w:rFonts w:ascii="Calibri Light" w:hAnsi="Calibri Light" w:cs="Calibri Light"/>
          <w:sz w:val="22"/>
          <w:szCs w:val="22"/>
        </w:rPr>
        <w:t xml:space="preserve"> partners appreciate the sense of genuine partnership with AIPJ2</w:t>
      </w:r>
      <w:r>
        <w:rPr>
          <w:rFonts w:ascii="Calibri Light" w:hAnsi="Calibri Light" w:cs="Calibri Light"/>
          <w:sz w:val="22"/>
          <w:szCs w:val="22"/>
        </w:rPr>
        <w:t xml:space="preserve"> and the process of routine reflection on progress facilitated by AIPJ2</w:t>
      </w:r>
      <w:r w:rsidRPr="00255B80">
        <w:rPr>
          <w:rFonts w:ascii="Calibri Light" w:hAnsi="Calibri Light" w:cs="Calibri Light"/>
          <w:sz w:val="22"/>
          <w:szCs w:val="22"/>
        </w:rPr>
        <w:t>.  Even potentially onerous reporting requirements are viewed as valuable – though compliance challenges exist</w:t>
      </w:r>
      <w:r>
        <w:rPr>
          <w:rFonts w:ascii="Calibri Light" w:hAnsi="Calibri Light" w:cs="Calibri Light"/>
          <w:sz w:val="22"/>
          <w:szCs w:val="22"/>
        </w:rPr>
        <w:t>.</w:t>
      </w:r>
    </w:p>
    <w:p w14:paraId="44694294" w14:textId="77777777" w:rsidR="00B015C8" w:rsidRDefault="00B015C8" w:rsidP="00B015C8">
      <w:pPr>
        <w:pStyle w:val="ListParagraph"/>
        <w:numPr>
          <w:ilvl w:val="1"/>
          <w:numId w:val="10"/>
        </w:numPr>
        <w:spacing w:line="271" w:lineRule="auto"/>
        <w:contextualSpacing w:val="0"/>
        <w:rPr>
          <w:rFonts w:ascii="Calibri Light" w:hAnsi="Calibri Light" w:cs="Calibri Light"/>
          <w:sz w:val="22"/>
          <w:szCs w:val="22"/>
        </w:rPr>
      </w:pPr>
      <w:r w:rsidRPr="00897B1D">
        <w:rPr>
          <w:rFonts w:ascii="Calibri Light" w:hAnsi="Calibri Light" w:cs="Calibri Light"/>
          <w:sz w:val="22"/>
          <w:szCs w:val="22"/>
        </w:rPr>
        <w:t>A</w:t>
      </w:r>
      <w:r w:rsidRPr="00897B1D">
        <w:rPr>
          <w:rFonts w:asciiTheme="majorHAnsi" w:hAnsiTheme="majorHAnsi" w:cstheme="majorHAnsi"/>
          <w:color w:val="000000" w:themeColor="text1"/>
          <w:sz w:val="22"/>
          <w:szCs w:val="22"/>
        </w:rPr>
        <w:t xml:space="preserve">IPJ2 has tackled sensitive issues </w:t>
      </w:r>
      <w:r>
        <w:rPr>
          <w:rFonts w:asciiTheme="majorHAnsi" w:hAnsiTheme="majorHAnsi" w:cstheme="majorHAnsi"/>
          <w:color w:val="000000" w:themeColor="text1"/>
          <w:sz w:val="22"/>
          <w:szCs w:val="22"/>
        </w:rPr>
        <w:t>facing the Indonesian Government in nuanced ways that reflects understanding</w:t>
      </w:r>
      <w:r>
        <w:rPr>
          <w:rFonts w:ascii="Calibri Light" w:hAnsi="Calibri Light" w:cs="Calibri Light"/>
          <w:sz w:val="22"/>
          <w:szCs w:val="22"/>
        </w:rPr>
        <w:t xml:space="preserve"> of the challenges faced by partners and the wider reform environment.  The review team found some evidence that </w:t>
      </w:r>
      <w:r w:rsidRPr="00246AB5">
        <w:rPr>
          <w:rFonts w:ascii="Calibri Light" w:hAnsi="Calibri Light" w:cs="Calibri Light"/>
          <w:sz w:val="22"/>
          <w:szCs w:val="22"/>
        </w:rPr>
        <w:t xml:space="preserve">stronger analysis </w:t>
      </w:r>
      <w:r>
        <w:rPr>
          <w:rFonts w:ascii="Calibri Light" w:hAnsi="Calibri Light" w:cs="Calibri Light"/>
          <w:sz w:val="22"/>
          <w:szCs w:val="22"/>
        </w:rPr>
        <w:t xml:space="preserve">by AIPJ2 </w:t>
      </w:r>
      <w:r w:rsidRPr="00246AB5">
        <w:rPr>
          <w:rFonts w:ascii="Calibri Light" w:hAnsi="Calibri Light" w:cs="Calibri Light"/>
          <w:sz w:val="22"/>
          <w:szCs w:val="22"/>
        </w:rPr>
        <w:t xml:space="preserve">of the structure, culture and key </w:t>
      </w:r>
      <w:r>
        <w:rPr>
          <w:rFonts w:ascii="Calibri Light" w:hAnsi="Calibri Light" w:cs="Calibri Light"/>
          <w:sz w:val="22"/>
          <w:szCs w:val="22"/>
        </w:rPr>
        <w:t>actors</w:t>
      </w:r>
      <w:r w:rsidRPr="00246AB5">
        <w:rPr>
          <w:rFonts w:ascii="Calibri Light" w:hAnsi="Calibri Light" w:cs="Calibri Light"/>
          <w:sz w:val="22"/>
          <w:szCs w:val="22"/>
        </w:rPr>
        <w:t xml:space="preserve"> </w:t>
      </w:r>
      <w:r w:rsidRPr="000D2DC3">
        <w:rPr>
          <w:rFonts w:ascii="Calibri Light" w:hAnsi="Calibri Light" w:cs="Calibri Light"/>
          <w:sz w:val="22"/>
          <w:szCs w:val="22"/>
        </w:rPr>
        <w:t>at different levels within complex state institutions could help establish more secure relationships</w:t>
      </w:r>
      <w:r w:rsidRPr="00246AB5">
        <w:rPr>
          <w:rFonts w:ascii="Calibri Light" w:hAnsi="Calibri Light" w:cs="Calibri Light"/>
          <w:sz w:val="22"/>
          <w:szCs w:val="22"/>
        </w:rPr>
        <w:t xml:space="preserve"> that go</w:t>
      </w:r>
      <w:r>
        <w:rPr>
          <w:rFonts w:ascii="Calibri Light" w:hAnsi="Calibri Light" w:cs="Calibri Light"/>
          <w:sz w:val="22"/>
          <w:szCs w:val="22"/>
        </w:rPr>
        <w:t xml:space="preserve"> beyond</w:t>
      </w:r>
      <w:r w:rsidRPr="00246AB5">
        <w:rPr>
          <w:rFonts w:ascii="Calibri Light" w:hAnsi="Calibri Light" w:cs="Calibri Light"/>
          <w:sz w:val="22"/>
          <w:szCs w:val="22"/>
        </w:rPr>
        <w:t xml:space="preserve"> </w:t>
      </w:r>
      <w:r>
        <w:rPr>
          <w:rFonts w:ascii="Calibri Light" w:hAnsi="Calibri Light" w:cs="Calibri Light"/>
          <w:sz w:val="22"/>
          <w:szCs w:val="22"/>
        </w:rPr>
        <w:t xml:space="preserve">current </w:t>
      </w:r>
      <w:r w:rsidRPr="00246AB5">
        <w:rPr>
          <w:rFonts w:ascii="Calibri Light" w:hAnsi="Calibri Light" w:cs="Calibri Light"/>
          <w:sz w:val="22"/>
          <w:szCs w:val="22"/>
        </w:rPr>
        <w:t>incumbent</w:t>
      </w:r>
      <w:r>
        <w:rPr>
          <w:rFonts w:ascii="Calibri Light" w:hAnsi="Calibri Light" w:cs="Calibri Light"/>
          <w:sz w:val="22"/>
          <w:szCs w:val="22"/>
        </w:rPr>
        <w:t>s, but overall AIPJ2’s relationships are a key strength.</w:t>
      </w:r>
      <w:r w:rsidRPr="00246AB5">
        <w:rPr>
          <w:rFonts w:ascii="Calibri Light" w:hAnsi="Calibri Light" w:cs="Calibri Light"/>
          <w:sz w:val="22"/>
          <w:szCs w:val="22"/>
        </w:rPr>
        <w:t xml:space="preserve"> </w:t>
      </w:r>
    </w:p>
    <w:p w14:paraId="152BF505" w14:textId="77777777" w:rsidR="00B015C8" w:rsidRDefault="00B015C8" w:rsidP="00B015C8">
      <w:pPr>
        <w:spacing w:before="240" w:line="274" w:lineRule="auto"/>
        <w:rPr>
          <w:rFonts w:ascii="Calibri Light" w:hAnsi="Calibri Light" w:cs="Calibri Light"/>
          <w:sz w:val="22"/>
          <w:szCs w:val="22"/>
        </w:rPr>
      </w:pPr>
      <w:r w:rsidRPr="009C142D">
        <w:rPr>
          <w:rFonts w:ascii="Calibri Light" w:hAnsi="Calibri Light" w:cs="Calibri Light"/>
          <w:sz w:val="22"/>
          <w:szCs w:val="22"/>
        </w:rPr>
        <w:t>Overall, the review team found current governance arrangements broadly effective.  Nonetheless,</w:t>
      </w:r>
      <w:r>
        <w:rPr>
          <w:rFonts w:ascii="Calibri Light" w:hAnsi="Calibri Light" w:cs="Calibri Light"/>
          <w:sz w:val="22"/>
          <w:szCs w:val="22"/>
        </w:rPr>
        <w:t xml:space="preserve"> AIPJ2 faces challenges in this respect given the range of its interests</w:t>
      </w:r>
      <w:r w:rsidRPr="000D2DC3">
        <w:rPr>
          <w:rFonts w:ascii="Calibri Light" w:hAnsi="Calibri Light" w:cs="Calibri Light"/>
          <w:sz w:val="22"/>
          <w:szCs w:val="22"/>
        </w:rPr>
        <w:t>.  Attention is required to address Bappenas’ demand for more information and more substantive discussion about AIPJ2’s forward workplan and priorities.</w:t>
      </w:r>
    </w:p>
    <w:p w14:paraId="52637EB5" w14:textId="77777777" w:rsidR="00B015C8" w:rsidRPr="002B6AF8" w:rsidRDefault="00B015C8" w:rsidP="00B015C8">
      <w:pPr>
        <w:spacing w:before="240" w:line="274" w:lineRule="auto"/>
        <w:rPr>
          <w:rFonts w:ascii="Calibri Light" w:hAnsi="Calibri Light" w:cs="Calibri Light"/>
          <w:b/>
          <w:bCs/>
          <w:sz w:val="22"/>
          <w:szCs w:val="22"/>
        </w:rPr>
      </w:pPr>
      <w:r>
        <w:rPr>
          <w:rFonts w:ascii="Calibri Light" w:hAnsi="Calibri Light" w:cs="Calibri Light"/>
          <w:b/>
          <w:bCs/>
          <w:sz w:val="22"/>
          <w:szCs w:val="22"/>
        </w:rPr>
        <w:t>Opportunities</w:t>
      </w:r>
    </w:p>
    <w:p w14:paraId="4E00C0F1" w14:textId="77777777" w:rsidR="00B015C8" w:rsidRDefault="00B015C8" w:rsidP="00B015C8">
      <w:pPr>
        <w:spacing w:before="240" w:line="274" w:lineRule="auto"/>
        <w:rPr>
          <w:rFonts w:ascii="Calibri Light" w:hAnsi="Calibri Light" w:cs="Calibri Light"/>
          <w:color w:val="000000" w:themeColor="text1"/>
          <w:sz w:val="22"/>
          <w:szCs w:val="22"/>
        </w:rPr>
      </w:pPr>
      <w:r>
        <w:rPr>
          <w:rFonts w:ascii="Calibri Light" w:hAnsi="Calibri Light" w:cs="Calibri Light"/>
          <w:sz w:val="22"/>
          <w:szCs w:val="22"/>
        </w:rPr>
        <w:t>R</w:t>
      </w:r>
      <w:r w:rsidRPr="00006ADA">
        <w:rPr>
          <w:rFonts w:ascii="Calibri Light" w:hAnsi="Calibri Light" w:cs="Calibri Light"/>
          <w:sz w:val="22"/>
          <w:szCs w:val="22"/>
        </w:rPr>
        <w:t xml:space="preserve">ecent new administrations in Australia and, in particular, in Indonesia means that the mid-point of AIPJ2 also coincides with a period of significant opportunity.  AIPJ2 is </w:t>
      </w:r>
      <w:r w:rsidRPr="00006ADA">
        <w:rPr>
          <w:rFonts w:ascii="Calibri Light" w:hAnsi="Calibri Light" w:cs="Calibri Light"/>
          <w:color w:val="000000" w:themeColor="text1"/>
          <w:sz w:val="22"/>
          <w:szCs w:val="22"/>
        </w:rPr>
        <w:t>in many respects uniquely placed to engage on a number of high-profile reform</w:t>
      </w:r>
      <w:r>
        <w:rPr>
          <w:rFonts w:ascii="Calibri Light" w:hAnsi="Calibri Light" w:cs="Calibri Light"/>
          <w:color w:val="000000" w:themeColor="text1"/>
          <w:sz w:val="22"/>
          <w:szCs w:val="22"/>
        </w:rPr>
        <w:t xml:space="preserve"> prioritie</w:t>
      </w:r>
      <w:r w:rsidRPr="00006ADA">
        <w:rPr>
          <w:rFonts w:ascii="Calibri Light" w:hAnsi="Calibri Light" w:cs="Calibri Light"/>
          <w:color w:val="000000" w:themeColor="text1"/>
          <w:sz w:val="22"/>
          <w:szCs w:val="22"/>
        </w:rPr>
        <w:t xml:space="preserve">s </w:t>
      </w:r>
      <w:r>
        <w:rPr>
          <w:rFonts w:ascii="Calibri Light" w:hAnsi="Calibri Light" w:cs="Calibri Light"/>
          <w:color w:val="000000" w:themeColor="text1"/>
          <w:sz w:val="22"/>
          <w:szCs w:val="22"/>
        </w:rPr>
        <w:t xml:space="preserve">set out </w:t>
      </w:r>
      <w:r w:rsidRPr="00006ADA">
        <w:rPr>
          <w:rFonts w:ascii="Calibri Light" w:hAnsi="Calibri Light" w:cs="Calibri Light"/>
          <w:color w:val="000000" w:themeColor="text1"/>
          <w:sz w:val="22"/>
          <w:szCs w:val="22"/>
        </w:rPr>
        <w:t xml:space="preserve">by the new Jokowi administration and which </w:t>
      </w:r>
      <w:r>
        <w:rPr>
          <w:rFonts w:ascii="Calibri Light" w:hAnsi="Calibri Light" w:cs="Calibri Light"/>
          <w:color w:val="000000" w:themeColor="text1"/>
          <w:sz w:val="22"/>
          <w:szCs w:val="22"/>
        </w:rPr>
        <w:t xml:space="preserve">are likely to resonate with </w:t>
      </w:r>
      <w:r w:rsidRPr="00006ADA">
        <w:rPr>
          <w:rFonts w:ascii="Calibri Light" w:hAnsi="Calibri Light" w:cs="Calibri Light"/>
          <w:color w:val="000000" w:themeColor="text1"/>
          <w:sz w:val="22"/>
          <w:szCs w:val="22"/>
        </w:rPr>
        <w:t>Australia</w:t>
      </w:r>
      <w:r>
        <w:rPr>
          <w:rFonts w:ascii="Calibri Light" w:hAnsi="Calibri Light" w:cs="Calibri Light"/>
          <w:color w:val="000000" w:themeColor="text1"/>
          <w:sz w:val="22"/>
          <w:szCs w:val="22"/>
        </w:rPr>
        <w:t xml:space="preserve">’s </w:t>
      </w:r>
      <w:r w:rsidRPr="00006ADA">
        <w:rPr>
          <w:rFonts w:ascii="Calibri Light" w:hAnsi="Calibri Light" w:cs="Calibri Light"/>
          <w:color w:val="000000" w:themeColor="text1"/>
          <w:sz w:val="22"/>
          <w:szCs w:val="22"/>
        </w:rPr>
        <w:t>interest</w:t>
      </w:r>
      <w:r>
        <w:rPr>
          <w:rFonts w:ascii="Calibri Light" w:hAnsi="Calibri Light" w:cs="Calibri Light"/>
          <w:color w:val="000000" w:themeColor="text1"/>
          <w:sz w:val="22"/>
          <w:szCs w:val="22"/>
        </w:rPr>
        <w:t>s in the region:</w:t>
      </w:r>
    </w:p>
    <w:p w14:paraId="0DF6B991" w14:textId="77777777" w:rsidR="00B015C8" w:rsidRDefault="00B015C8" w:rsidP="00B015C8">
      <w:pPr>
        <w:pStyle w:val="ListParagraph"/>
        <w:numPr>
          <w:ilvl w:val="0"/>
          <w:numId w:val="28"/>
        </w:numPr>
        <w:spacing w:before="240" w:line="274" w:lineRule="auto"/>
        <w:rPr>
          <w:rFonts w:ascii="Calibri Light" w:hAnsi="Calibri Light" w:cs="Calibri Light"/>
          <w:sz w:val="22"/>
          <w:szCs w:val="22"/>
        </w:rPr>
      </w:pPr>
      <w:r>
        <w:rPr>
          <w:rFonts w:ascii="Calibri Light" w:hAnsi="Calibri Light" w:cs="Calibri Light"/>
          <w:sz w:val="22"/>
          <w:szCs w:val="22"/>
        </w:rPr>
        <w:t>reform of the integrated criminal justice system and restorative justice agenda</w:t>
      </w:r>
    </w:p>
    <w:p w14:paraId="4D39A540" w14:textId="77777777" w:rsidR="00B015C8" w:rsidRDefault="00B015C8" w:rsidP="00B015C8">
      <w:pPr>
        <w:pStyle w:val="ListParagraph"/>
        <w:numPr>
          <w:ilvl w:val="0"/>
          <w:numId w:val="28"/>
        </w:numPr>
        <w:spacing w:before="240" w:line="274" w:lineRule="auto"/>
        <w:rPr>
          <w:rFonts w:ascii="Calibri Light" w:hAnsi="Calibri Light" w:cs="Calibri Light"/>
          <w:sz w:val="22"/>
          <w:szCs w:val="22"/>
        </w:rPr>
      </w:pPr>
      <w:r>
        <w:rPr>
          <w:rFonts w:ascii="Calibri Light" w:hAnsi="Calibri Light" w:cs="Calibri Light"/>
          <w:sz w:val="22"/>
          <w:szCs w:val="22"/>
        </w:rPr>
        <w:t>the significant challenge of prison overcrowding – an issue closely associated with wider reform of the justice chain;</w:t>
      </w:r>
    </w:p>
    <w:p w14:paraId="37855D38" w14:textId="77777777" w:rsidR="00B015C8" w:rsidRDefault="00B015C8" w:rsidP="00B015C8">
      <w:pPr>
        <w:pStyle w:val="ListParagraph"/>
        <w:numPr>
          <w:ilvl w:val="0"/>
          <w:numId w:val="28"/>
        </w:numPr>
        <w:spacing w:before="240" w:line="274" w:lineRule="auto"/>
        <w:rPr>
          <w:rFonts w:ascii="Calibri Light" w:hAnsi="Calibri Light" w:cs="Calibri Light"/>
          <w:sz w:val="22"/>
          <w:szCs w:val="22"/>
        </w:rPr>
      </w:pPr>
      <w:r>
        <w:rPr>
          <w:rFonts w:ascii="Calibri Light" w:hAnsi="Calibri Light" w:cs="Calibri Light"/>
          <w:sz w:val="22"/>
          <w:szCs w:val="22"/>
        </w:rPr>
        <w:t xml:space="preserve">judicial corruption, a highly visible and damaging problem but one where scope for progress now appears to exist </w:t>
      </w:r>
    </w:p>
    <w:p w14:paraId="12560670" w14:textId="77777777" w:rsidR="00B015C8" w:rsidRDefault="00B015C8" w:rsidP="00B015C8">
      <w:pPr>
        <w:pStyle w:val="ListParagraph"/>
        <w:numPr>
          <w:ilvl w:val="0"/>
          <w:numId w:val="28"/>
        </w:numPr>
        <w:spacing w:before="240" w:line="274" w:lineRule="auto"/>
        <w:rPr>
          <w:rFonts w:ascii="Calibri Light" w:hAnsi="Calibri Light" w:cs="Calibri Light"/>
          <w:sz w:val="22"/>
          <w:szCs w:val="22"/>
        </w:rPr>
      </w:pPr>
      <w:r>
        <w:rPr>
          <w:rFonts w:ascii="Calibri Light" w:hAnsi="Calibri Light" w:cs="Calibri Light"/>
          <w:sz w:val="22"/>
          <w:szCs w:val="22"/>
        </w:rPr>
        <w:t>opportunities to deepen AIPJ2’s existing work on women in contact with the law.</w:t>
      </w:r>
    </w:p>
    <w:p w14:paraId="0941A90B" w14:textId="77777777" w:rsidR="00B015C8" w:rsidRPr="00623860" w:rsidRDefault="00B015C8" w:rsidP="00B015C8">
      <w:pPr>
        <w:pStyle w:val="ListParagraph"/>
        <w:numPr>
          <w:ilvl w:val="0"/>
          <w:numId w:val="28"/>
        </w:numPr>
        <w:spacing w:before="240" w:line="274" w:lineRule="auto"/>
        <w:rPr>
          <w:rFonts w:ascii="Calibri Light" w:hAnsi="Calibri Light" w:cs="Calibri Light"/>
          <w:sz w:val="22"/>
          <w:szCs w:val="22"/>
        </w:rPr>
      </w:pPr>
      <w:r>
        <w:rPr>
          <w:rFonts w:ascii="Calibri Light" w:hAnsi="Calibri Light" w:cs="Calibri Light"/>
          <w:sz w:val="22"/>
          <w:szCs w:val="22"/>
        </w:rPr>
        <w:t>the reform agenda for the civil justice system and in particular the priority given to improving Indonesia’s ranking in the World Bank’s Ease of Doing Business survey.</w:t>
      </w:r>
    </w:p>
    <w:p w14:paraId="36FEC0DF" w14:textId="77777777" w:rsidR="00B015C8" w:rsidRDefault="00B015C8" w:rsidP="00B015C8">
      <w:pPr>
        <w:spacing w:before="240"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None of these represent significant changes in direction for AIPJ2 but do imply a deepening and potential increase of support, as well as the need to develop some new partnerships in the sector.  </w:t>
      </w:r>
    </w:p>
    <w:p w14:paraId="6639F57D" w14:textId="77777777" w:rsidR="00B015C8" w:rsidRPr="004B51B7" w:rsidRDefault="00B015C8" w:rsidP="00B015C8">
      <w:pPr>
        <w:spacing w:before="240" w:line="274" w:lineRule="auto"/>
        <w:rPr>
          <w:rFonts w:ascii="Calibri Light" w:hAnsi="Calibri Light" w:cs="Calibri Light"/>
          <w:sz w:val="22"/>
          <w:szCs w:val="22"/>
        </w:rPr>
      </w:pPr>
      <w:r>
        <w:rPr>
          <w:rFonts w:asciiTheme="majorHAnsi" w:hAnsiTheme="majorHAnsi" w:cstheme="majorHAnsi"/>
          <w:color w:val="000000" w:themeColor="text1"/>
          <w:sz w:val="22"/>
          <w:szCs w:val="22"/>
        </w:rPr>
        <w:t>Furthermore, g</w:t>
      </w:r>
      <w:r w:rsidRPr="004B51B7">
        <w:rPr>
          <w:rFonts w:asciiTheme="majorHAnsi" w:hAnsiTheme="majorHAnsi" w:cstheme="majorHAnsi"/>
          <w:color w:val="000000" w:themeColor="text1"/>
          <w:sz w:val="22"/>
          <w:szCs w:val="22"/>
        </w:rPr>
        <w:t xml:space="preserve">iven DFAT’s </w:t>
      </w:r>
      <w:r>
        <w:rPr>
          <w:rFonts w:asciiTheme="majorHAnsi" w:hAnsiTheme="majorHAnsi" w:cstheme="majorHAnsi"/>
          <w:color w:val="000000" w:themeColor="text1"/>
          <w:sz w:val="22"/>
          <w:szCs w:val="22"/>
        </w:rPr>
        <w:t>expected</w:t>
      </w:r>
      <w:r w:rsidRPr="004B51B7">
        <w:rPr>
          <w:rFonts w:asciiTheme="majorHAnsi" w:hAnsiTheme="majorHAnsi" w:cstheme="majorHAnsi"/>
          <w:color w:val="000000" w:themeColor="text1"/>
          <w:sz w:val="22"/>
          <w:szCs w:val="22"/>
        </w:rPr>
        <w:t xml:space="preserve"> interest in continuing to support </w:t>
      </w:r>
      <w:r>
        <w:rPr>
          <w:rFonts w:asciiTheme="majorHAnsi" w:hAnsiTheme="majorHAnsi" w:cstheme="majorHAnsi"/>
          <w:color w:val="000000" w:themeColor="text1"/>
          <w:sz w:val="22"/>
          <w:szCs w:val="22"/>
        </w:rPr>
        <w:t>Indonesia’s efforts to strengthen the rule of law</w:t>
      </w:r>
      <w:r w:rsidRPr="004B51B7">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after the current phase ends,</w:t>
      </w:r>
      <w:r w:rsidRPr="004B51B7">
        <w:rPr>
          <w:rFonts w:asciiTheme="majorHAnsi" w:hAnsiTheme="majorHAnsi" w:cstheme="majorHAnsi"/>
          <w:color w:val="000000" w:themeColor="text1"/>
          <w:sz w:val="22"/>
          <w:szCs w:val="22"/>
        </w:rPr>
        <w:t xml:space="preserve"> there is a strong argument for AIPJ2 to engage </w:t>
      </w:r>
      <w:r>
        <w:rPr>
          <w:rFonts w:asciiTheme="majorHAnsi" w:hAnsiTheme="majorHAnsi" w:cstheme="majorHAnsi"/>
          <w:color w:val="000000" w:themeColor="text1"/>
          <w:sz w:val="22"/>
          <w:szCs w:val="22"/>
        </w:rPr>
        <w:t xml:space="preserve">actively </w:t>
      </w:r>
      <w:r w:rsidRPr="004B51B7">
        <w:rPr>
          <w:rFonts w:asciiTheme="majorHAnsi" w:hAnsiTheme="majorHAnsi" w:cstheme="majorHAnsi"/>
          <w:color w:val="000000" w:themeColor="text1"/>
          <w:sz w:val="22"/>
          <w:szCs w:val="22"/>
        </w:rPr>
        <w:t>on the new reform agenda</w:t>
      </w:r>
      <w:r>
        <w:rPr>
          <w:rFonts w:asciiTheme="majorHAnsi" w:hAnsiTheme="majorHAnsi" w:cstheme="majorHAnsi"/>
          <w:color w:val="000000" w:themeColor="text1"/>
          <w:sz w:val="22"/>
          <w:szCs w:val="22"/>
        </w:rPr>
        <w:t xml:space="preserve"> – to ensure</w:t>
      </w:r>
      <w:r w:rsidRPr="004B51B7">
        <w:rPr>
          <w:rFonts w:asciiTheme="majorHAnsi" w:hAnsiTheme="majorHAnsi" w:cstheme="majorHAnsi"/>
          <w:color w:val="000000" w:themeColor="text1"/>
          <w:sz w:val="22"/>
          <w:szCs w:val="22"/>
        </w:rPr>
        <w:t xml:space="preserve"> DFAT</w:t>
      </w:r>
      <w:r>
        <w:rPr>
          <w:rFonts w:asciiTheme="majorHAnsi" w:hAnsiTheme="majorHAnsi" w:cstheme="majorHAnsi"/>
          <w:color w:val="000000" w:themeColor="text1"/>
          <w:sz w:val="22"/>
          <w:szCs w:val="22"/>
        </w:rPr>
        <w:t>’s assistance is well-</w:t>
      </w:r>
      <w:r w:rsidRPr="004B51B7">
        <w:rPr>
          <w:rFonts w:asciiTheme="majorHAnsi" w:hAnsiTheme="majorHAnsi" w:cstheme="majorHAnsi"/>
          <w:color w:val="000000" w:themeColor="text1"/>
          <w:sz w:val="22"/>
          <w:szCs w:val="22"/>
        </w:rPr>
        <w:t xml:space="preserve">positioned </w:t>
      </w:r>
      <w:r>
        <w:rPr>
          <w:rFonts w:asciiTheme="majorHAnsi" w:hAnsiTheme="majorHAnsi" w:cstheme="majorHAnsi"/>
          <w:color w:val="000000" w:themeColor="text1"/>
          <w:sz w:val="22"/>
          <w:szCs w:val="22"/>
        </w:rPr>
        <w:t>to develop beyond March 2022.</w:t>
      </w:r>
      <w:r w:rsidRPr="004B51B7">
        <w:rPr>
          <w:rFonts w:asciiTheme="majorHAnsi" w:hAnsiTheme="majorHAnsi" w:cstheme="majorHAnsi"/>
          <w:color w:val="000000" w:themeColor="text1"/>
          <w:sz w:val="22"/>
          <w:szCs w:val="22"/>
        </w:rPr>
        <w:t xml:space="preserve"> </w:t>
      </w:r>
    </w:p>
    <w:p w14:paraId="588BAB61" w14:textId="77777777" w:rsidR="00B015C8" w:rsidRPr="002B6AF8" w:rsidRDefault="00B015C8" w:rsidP="00B015C8">
      <w:pPr>
        <w:spacing w:before="240" w:line="274" w:lineRule="auto"/>
        <w:rPr>
          <w:rFonts w:ascii="Calibri Light" w:hAnsi="Calibri Light" w:cs="Calibri Light"/>
          <w:b/>
          <w:bCs/>
          <w:sz w:val="22"/>
          <w:szCs w:val="22"/>
        </w:rPr>
      </w:pPr>
      <w:r>
        <w:rPr>
          <w:rFonts w:ascii="Calibri Light" w:hAnsi="Calibri Light" w:cs="Calibri Light"/>
          <w:b/>
          <w:bCs/>
          <w:sz w:val="22"/>
          <w:szCs w:val="22"/>
        </w:rPr>
        <w:t>Risks</w:t>
      </w:r>
    </w:p>
    <w:p w14:paraId="013A8275" w14:textId="77777777" w:rsidR="00B015C8" w:rsidRPr="002116C8" w:rsidRDefault="00B015C8" w:rsidP="00B015C8">
      <w:pPr>
        <w:spacing w:line="274" w:lineRule="auto"/>
        <w:rPr>
          <w:rFonts w:ascii="Calibri Light" w:hAnsi="Calibri Light" w:cs="Calibri Light"/>
          <w:sz w:val="22"/>
          <w:szCs w:val="22"/>
        </w:rPr>
      </w:pPr>
      <w:r>
        <w:rPr>
          <w:rFonts w:ascii="Calibri Light" w:hAnsi="Calibri Light" w:cs="Calibri Light"/>
          <w:sz w:val="22"/>
          <w:szCs w:val="22"/>
        </w:rPr>
        <w:t xml:space="preserve">AIPJ2 is a relatively small and yet wide-ranging investment, addressing more than 20 reform issues across the law, justice and security sectors and funding 21 civil society partnerships and ten Australian government agencies.  Notwithstanding the positive progress achieved to date, this scope poses some performance risks for AIPJ2.  </w:t>
      </w:r>
    </w:p>
    <w:p w14:paraId="3CAB6A4B" w14:textId="77777777" w:rsidR="00B015C8" w:rsidRPr="00531E77" w:rsidRDefault="00B015C8" w:rsidP="00B015C8">
      <w:pPr>
        <w:pStyle w:val="ListParagraph"/>
        <w:numPr>
          <w:ilvl w:val="0"/>
          <w:numId w:val="29"/>
        </w:numPr>
        <w:tabs>
          <w:tab w:val="left" w:pos="709"/>
        </w:tabs>
        <w:spacing w:line="274" w:lineRule="auto"/>
        <w:ind w:left="714" w:hanging="357"/>
        <w:contextualSpacing w:val="0"/>
        <w:rPr>
          <w:rFonts w:asciiTheme="majorHAnsi" w:hAnsiTheme="majorHAnsi" w:cstheme="majorHAnsi"/>
          <w:color w:val="000000" w:themeColor="text1"/>
          <w:sz w:val="22"/>
          <w:szCs w:val="22"/>
        </w:rPr>
      </w:pPr>
      <w:r w:rsidRPr="00B51C46">
        <w:rPr>
          <w:rFonts w:asciiTheme="majorHAnsi" w:hAnsiTheme="majorHAnsi" w:cstheme="majorHAnsi"/>
          <w:color w:val="000000" w:themeColor="text1"/>
          <w:sz w:val="22"/>
          <w:szCs w:val="22"/>
        </w:rPr>
        <w:t>All the reform successes supported by AIPJ2 require further work to</w:t>
      </w:r>
      <w:r>
        <w:rPr>
          <w:rFonts w:asciiTheme="majorHAnsi" w:hAnsiTheme="majorHAnsi" w:cstheme="majorHAnsi"/>
          <w:color w:val="000000" w:themeColor="text1"/>
          <w:sz w:val="22"/>
          <w:szCs w:val="22"/>
        </w:rPr>
        <w:t xml:space="preserve"> embed change and</w:t>
      </w:r>
      <w:r w:rsidRPr="00B51C46">
        <w:rPr>
          <w:rFonts w:asciiTheme="majorHAnsi" w:hAnsiTheme="majorHAnsi" w:cstheme="majorHAnsi"/>
          <w:color w:val="000000" w:themeColor="text1"/>
          <w:sz w:val="22"/>
          <w:szCs w:val="22"/>
        </w:rPr>
        <w:t xml:space="preserve"> fully realise the</w:t>
      </w:r>
      <w:r>
        <w:rPr>
          <w:rFonts w:asciiTheme="majorHAnsi" w:hAnsiTheme="majorHAnsi" w:cstheme="majorHAnsi"/>
          <w:color w:val="000000" w:themeColor="text1"/>
          <w:sz w:val="22"/>
          <w:szCs w:val="22"/>
        </w:rPr>
        <w:t>ir</w:t>
      </w:r>
      <w:r w:rsidRPr="00B51C46">
        <w:rPr>
          <w:rFonts w:asciiTheme="majorHAnsi" w:hAnsiTheme="majorHAnsi" w:cstheme="majorHAnsi"/>
          <w:color w:val="000000" w:themeColor="text1"/>
          <w:sz w:val="22"/>
          <w:szCs w:val="22"/>
        </w:rPr>
        <w:t xml:space="preserve"> potential </w:t>
      </w:r>
      <w:r>
        <w:rPr>
          <w:rFonts w:asciiTheme="majorHAnsi" w:hAnsiTheme="majorHAnsi" w:cstheme="majorHAnsi"/>
          <w:color w:val="000000" w:themeColor="text1"/>
          <w:sz w:val="22"/>
          <w:szCs w:val="22"/>
        </w:rPr>
        <w:t>value in terms of a development dividend for Indonesian citizens</w:t>
      </w:r>
      <w:r w:rsidRPr="00B51C46">
        <w:rPr>
          <w:rFonts w:asciiTheme="majorHAnsi" w:hAnsiTheme="majorHAnsi" w:cstheme="majorHAnsi"/>
          <w:color w:val="000000" w:themeColor="text1"/>
          <w:sz w:val="22"/>
          <w:szCs w:val="22"/>
        </w:rPr>
        <w:t xml:space="preserve">.  The lion’s share of this responsibility rests with Indonesian stakeholders, but there is a danger that </w:t>
      </w:r>
      <w:r>
        <w:rPr>
          <w:rFonts w:asciiTheme="majorHAnsi" w:hAnsiTheme="majorHAnsi" w:cstheme="majorHAnsi"/>
          <w:color w:val="000000" w:themeColor="text1"/>
          <w:sz w:val="22"/>
          <w:szCs w:val="22"/>
        </w:rPr>
        <w:t>being</w:t>
      </w:r>
      <w:r w:rsidRPr="00B51C46">
        <w:rPr>
          <w:rFonts w:asciiTheme="majorHAnsi" w:hAnsiTheme="majorHAnsi" w:cstheme="majorHAnsi"/>
          <w:color w:val="000000" w:themeColor="text1"/>
          <w:sz w:val="22"/>
          <w:szCs w:val="22"/>
        </w:rPr>
        <w:t xml:space="preserve"> spread too thinly across too many initiatives </w:t>
      </w:r>
      <w:r>
        <w:rPr>
          <w:rFonts w:asciiTheme="majorHAnsi" w:hAnsiTheme="majorHAnsi" w:cstheme="majorHAnsi"/>
          <w:color w:val="000000" w:themeColor="text1"/>
          <w:sz w:val="22"/>
          <w:szCs w:val="22"/>
        </w:rPr>
        <w:t xml:space="preserve">means AIPJ2 cannot strategically support those </w:t>
      </w:r>
      <w:r w:rsidRPr="00B51C46">
        <w:rPr>
          <w:rFonts w:asciiTheme="majorHAnsi" w:hAnsiTheme="majorHAnsi" w:cstheme="majorHAnsi"/>
          <w:color w:val="000000" w:themeColor="text1"/>
          <w:sz w:val="22"/>
          <w:szCs w:val="22"/>
        </w:rPr>
        <w:t xml:space="preserve">efforts.  This criticism was heard, for example, in relation to legal aid reforms, where </w:t>
      </w:r>
      <w:r>
        <w:rPr>
          <w:rFonts w:asciiTheme="majorHAnsi" w:hAnsiTheme="majorHAnsi" w:cstheme="majorHAnsi"/>
          <w:color w:val="000000" w:themeColor="text1"/>
          <w:sz w:val="22"/>
          <w:szCs w:val="22"/>
        </w:rPr>
        <w:t xml:space="preserve">AIPJ1 supported </w:t>
      </w:r>
      <w:r w:rsidRPr="00B51C46">
        <w:rPr>
          <w:rFonts w:asciiTheme="majorHAnsi" w:hAnsiTheme="majorHAnsi" w:cstheme="majorHAnsi"/>
          <w:color w:val="000000" w:themeColor="text1"/>
          <w:sz w:val="22"/>
          <w:szCs w:val="22"/>
        </w:rPr>
        <w:t xml:space="preserve">the </w:t>
      </w:r>
      <w:r>
        <w:rPr>
          <w:rFonts w:asciiTheme="majorHAnsi" w:hAnsiTheme="majorHAnsi" w:cstheme="majorHAnsi"/>
          <w:color w:val="000000" w:themeColor="text1"/>
          <w:sz w:val="22"/>
          <w:szCs w:val="22"/>
        </w:rPr>
        <w:t>passing of the law</w:t>
      </w:r>
      <w:r w:rsidRPr="00B51C46">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and launch of the national program, </w:t>
      </w:r>
      <w:r w:rsidRPr="00B51C46">
        <w:rPr>
          <w:rFonts w:asciiTheme="majorHAnsi" w:hAnsiTheme="majorHAnsi" w:cstheme="majorHAnsi"/>
          <w:color w:val="000000" w:themeColor="text1"/>
          <w:sz w:val="22"/>
          <w:szCs w:val="22"/>
        </w:rPr>
        <w:t xml:space="preserve">but implementation has </w:t>
      </w:r>
      <w:r>
        <w:rPr>
          <w:rFonts w:asciiTheme="majorHAnsi" w:hAnsiTheme="majorHAnsi" w:cstheme="majorHAnsi"/>
          <w:color w:val="000000" w:themeColor="text1"/>
          <w:sz w:val="22"/>
          <w:szCs w:val="22"/>
        </w:rPr>
        <w:t xml:space="preserve">subsequently </w:t>
      </w:r>
      <w:r w:rsidRPr="00B51C46">
        <w:rPr>
          <w:rFonts w:asciiTheme="majorHAnsi" w:hAnsiTheme="majorHAnsi" w:cstheme="majorHAnsi"/>
          <w:color w:val="000000" w:themeColor="text1"/>
          <w:sz w:val="22"/>
          <w:szCs w:val="22"/>
        </w:rPr>
        <w:t>faltered.</w:t>
      </w:r>
    </w:p>
    <w:p w14:paraId="17198409" w14:textId="77777777" w:rsidR="00B015C8" w:rsidRPr="00531E77" w:rsidRDefault="00B015C8" w:rsidP="00B015C8">
      <w:pPr>
        <w:pStyle w:val="ListParagraph"/>
        <w:tabs>
          <w:tab w:val="left" w:pos="709"/>
        </w:tabs>
        <w:spacing w:line="274" w:lineRule="auto"/>
        <w:contextualSpacing w:val="0"/>
        <w:rPr>
          <w:rFonts w:asciiTheme="majorHAnsi" w:hAnsiTheme="majorHAnsi" w:cstheme="majorHAnsi"/>
          <w:color w:val="000000" w:themeColor="text1"/>
          <w:sz w:val="22"/>
          <w:szCs w:val="22"/>
        </w:rPr>
      </w:pPr>
      <w:r w:rsidRPr="008A678E">
        <w:rPr>
          <w:rFonts w:asciiTheme="majorHAnsi" w:hAnsiTheme="majorHAnsi" w:cstheme="majorHAnsi"/>
          <w:color w:val="000000" w:themeColor="text1"/>
          <w:sz w:val="22"/>
          <w:szCs w:val="22"/>
        </w:rPr>
        <w:t>Determining the optimal trade-off between breadth and depth</w:t>
      </w:r>
      <w:r>
        <w:rPr>
          <w:rFonts w:asciiTheme="majorHAnsi" w:hAnsiTheme="majorHAnsi" w:cstheme="majorHAnsi"/>
          <w:color w:val="000000" w:themeColor="text1"/>
          <w:sz w:val="22"/>
          <w:szCs w:val="22"/>
        </w:rPr>
        <w:t xml:space="preserve"> </w:t>
      </w:r>
      <w:r w:rsidRPr="008A678E">
        <w:rPr>
          <w:rFonts w:asciiTheme="majorHAnsi" w:hAnsiTheme="majorHAnsi" w:cstheme="majorHAnsi"/>
          <w:color w:val="000000" w:themeColor="text1"/>
          <w:sz w:val="22"/>
          <w:szCs w:val="22"/>
        </w:rPr>
        <w:t xml:space="preserve">is not easy.  It depends in part on views about how reform </w:t>
      </w:r>
      <w:r>
        <w:rPr>
          <w:rFonts w:asciiTheme="majorHAnsi" w:hAnsiTheme="majorHAnsi" w:cstheme="majorHAnsi"/>
          <w:color w:val="000000" w:themeColor="text1"/>
          <w:sz w:val="22"/>
          <w:szCs w:val="22"/>
        </w:rPr>
        <w:t>occurs</w:t>
      </w:r>
      <w:r w:rsidRPr="008A678E">
        <w:rPr>
          <w:rFonts w:asciiTheme="majorHAnsi" w:hAnsiTheme="majorHAnsi" w:cstheme="majorHAnsi"/>
          <w:color w:val="000000" w:themeColor="text1"/>
          <w:sz w:val="22"/>
          <w:szCs w:val="22"/>
        </w:rPr>
        <w:t xml:space="preserve"> and the role of donor-funded initiatives. It also depends on the </w:t>
      </w:r>
      <w:r>
        <w:rPr>
          <w:rFonts w:asciiTheme="majorHAnsi" w:hAnsiTheme="majorHAnsi" w:cstheme="majorHAnsi"/>
          <w:color w:val="000000" w:themeColor="text1"/>
          <w:sz w:val="22"/>
          <w:szCs w:val="22"/>
        </w:rPr>
        <w:t xml:space="preserve">explicit </w:t>
      </w:r>
      <w:r w:rsidRPr="008A678E">
        <w:rPr>
          <w:rFonts w:asciiTheme="majorHAnsi" w:hAnsiTheme="majorHAnsi" w:cstheme="majorHAnsi"/>
          <w:color w:val="000000" w:themeColor="text1"/>
          <w:sz w:val="22"/>
          <w:szCs w:val="22"/>
        </w:rPr>
        <w:t xml:space="preserve">objectives </w:t>
      </w:r>
      <w:r>
        <w:rPr>
          <w:rFonts w:asciiTheme="majorHAnsi" w:hAnsiTheme="majorHAnsi" w:cstheme="majorHAnsi"/>
          <w:color w:val="000000" w:themeColor="text1"/>
          <w:sz w:val="22"/>
          <w:szCs w:val="22"/>
        </w:rPr>
        <w:t xml:space="preserve">being pursued.  In </w:t>
      </w:r>
      <w:r w:rsidRPr="008A678E">
        <w:rPr>
          <w:rFonts w:asciiTheme="majorHAnsi" w:hAnsiTheme="majorHAnsi" w:cstheme="majorHAnsi"/>
          <w:color w:val="000000" w:themeColor="text1"/>
          <w:sz w:val="22"/>
          <w:szCs w:val="22"/>
        </w:rPr>
        <w:t xml:space="preserve">this regard, AIPJ2’s emphasis on informing </w:t>
      </w:r>
      <w:r>
        <w:rPr>
          <w:rFonts w:asciiTheme="majorHAnsi" w:hAnsiTheme="majorHAnsi" w:cstheme="majorHAnsi"/>
          <w:color w:val="000000" w:themeColor="text1"/>
          <w:sz w:val="22"/>
          <w:szCs w:val="22"/>
        </w:rPr>
        <w:t>‘</w:t>
      </w:r>
      <w:r w:rsidRPr="008A678E">
        <w:rPr>
          <w:rFonts w:asciiTheme="majorHAnsi" w:hAnsiTheme="majorHAnsi" w:cstheme="majorHAnsi"/>
          <w:color w:val="000000" w:themeColor="text1"/>
          <w:sz w:val="22"/>
          <w:szCs w:val="22"/>
        </w:rPr>
        <w:t>policy and plans</w:t>
      </w:r>
      <w:r>
        <w:rPr>
          <w:rFonts w:asciiTheme="majorHAnsi" w:hAnsiTheme="majorHAnsi" w:cstheme="majorHAnsi"/>
          <w:color w:val="000000" w:themeColor="text1"/>
          <w:sz w:val="22"/>
          <w:szCs w:val="22"/>
        </w:rPr>
        <w:t>’</w:t>
      </w:r>
      <w:r w:rsidRPr="008A678E">
        <w:rPr>
          <w:rFonts w:asciiTheme="majorHAnsi" w:hAnsiTheme="majorHAnsi" w:cstheme="majorHAnsi"/>
          <w:color w:val="000000" w:themeColor="text1"/>
          <w:sz w:val="22"/>
          <w:szCs w:val="22"/>
        </w:rPr>
        <w:t xml:space="preserve"> risks directing insufficient attention and effort towards the challenges of implementation.  </w:t>
      </w:r>
      <w:r>
        <w:rPr>
          <w:rFonts w:asciiTheme="majorHAnsi" w:hAnsiTheme="majorHAnsi" w:cstheme="majorHAnsi"/>
          <w:color w:val="000000" w:themeColor="text1"/>
          <w:sz w:val="22"/>
          <w:szCs w:val="22"/>
        </w:rPr>
        <w:t xml:space="preserve">The possibility that this risk is exacerbated by the design of </w:t>
      </w:r>
      <w:r w:rsidRPr="00C76D38">
        <w:rPr>
          <w:rFonts w:asciiTheme="majorHAnsi" w:hAnsiTheme="majorHAnsi" w:cstheme="majorHAnsi"/>
          <w:color w:val="000000" w:themeColor="text1"/>
          <w:sz w:val="22"/>
          <w:szCs w:val="22"/>
        </w:rPr>
        <w:t xml:space="preserve">DFAT’s </w:t>
      </w:r>
      <w:r>
        <w:rPr>
          <w:rFonts w:asciiTheme="majorHAnsi" w:hAnsiTheme="majorHAnsi" w:cstheme="majorHAnsi"/>
          <w:color w:val="000000" w:themeColor="text1"/>
          <w:sz w:val="22"/>
          <w:szCs w:val="22"/>
        </w:rPr>
        <w:t>own P</w:t>
      </w:r>
      <w:r w:rsidRPr="00C76D38">
        <w:rPr>
          <w:rFonts w:asciiTheme="majorHAnsi" w:hAnsiTheme="majorHAnsi" w:cstheme="majorHAnsi"/>
          <w:color w:val="000000" w:themeColor="text1"/>
          <w:sz w:val="22"/>
          <w:szCs w:val="22"/>
        </w:rPr>
        <w:t xml:space="preserve">erformance </w:t>
      </w:r>
      <w:r>
        <w:rPr>
          <w:rFonts w:asciiTheme="majorHAnsi" w:hAnsiTheme="majorHAnsi" w:cstheme="majorHAnsi"/>
          <w:color w:val="000000" w:themeColor="text1"/>
          <w:sz w:val="22"/>
          <w:szCs w:val="22"/>
        </w:rPr>
        <w:t>A</w:t>
      </w:r>
      <w:r w:rsidRPr="00C76D38">
        <w:rPr>
          <w:rFonts w:asciiTheme="majorHAnsi" w:hAnsiTheme="majorHAnsi" w:cstheme="majorHAnsi"/>
          <w:color w:val="000000" w:themeColor="text1"/>
          <w:sz w:val="22"/>
          <w:szCs w:val="22"/>
        </w:rPr>
        <w:t xml:space="preserve">ssessment </w:t>
      </w:r>
      <w:r>
        <w:rPr>
          <w:rFonts w:asciiTheme="majorHAnsi" w:hAnsiTheme="majorHAnsi" w:cstheme="majorHAnsi"/>
          <w:color w:val="000000" w:themeColor="text1"/>
          <w:sz w:val="22"/>
          <w:szCs w:val="22"/>
        </w:rPr>
        <w:t>F</w:t>
      </w:r>
      <w:r w:rsidRPr="00C76D38">
        <w:rPr>
          <w:rFonts w:asciiTheme="majorHAnsi" w:hAnsiTheme="majorHAnsi" w:cstheme="majorHAnsi"/>
          <w:color w:val="000000" w:themeColor="text1"/>
          <w:sz w:val="22"/>
          <w:szCs w:val="22"/>
        </w:rPr>
        <w:t xml:space="preserve">ramework for the Australian aid program in Indonesia </w:t>
      </w:r>
      <w:r>
        <w:rPr>
          <w:rFonts w:asciiTheme="majorHAnsi" w:hAnsiTheme="majorHAnsi" w:cstheme="majorHAnsi"/>
          <w:color w:val="000000" w:themeColor="text1"/>
          <w:sz w:val="22"/>
          <w:szCs w:val="22"/>
        </w:rPr>
        <w:t>also</w:t>
      </w:r>
      <w:r w:rsidRPr="00C76D38">
        <w:rPr>
          <w:rFonts w:asciiTheme="majorHAnsi" w:hAnsiTheme="majorHAnsi" w:cstheme="majorHAnsi"/>
          <w:color w:val="000000" w:themeColor="text1"/>
          <w:sz w:val="22"/>
          <w:szCs w:val="22"/>
        </w:rPr>
        <w:t xml:space="preserve"> needs </w:t>
      </w:r>
      <w:r>
        <w:rPr>
          <w:rFonts w:asciiTheme="majorHAnsi" w:hAnsiTheme="majorHAnsi" w:cstheme="majorHAnsi"/>
          <w:color w:val="000000" w:themeColor="text1"/>
          <w:sz w:val="22"/>
          <w:szCs w:val="22"/>
        </w:rPr>
        <w:t>consideration.</w:t>
      </w:r>
    </w:p>
    <w:p w14:paraId="48EB0278" w14:textId="77777777" w:rsidR="00B015C8" w:rsidRDefault="00B015C8" w:rsidP="00B015C8">
      <w:pPr>
        <w:pStyle w:val="ListParagraph"/>
        <w:numPr>
          <w:ilvl w:val="0"/>
          <w:numId w:val="29"/>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Pursuing a large number of diverse reform interests also potentially reduces AIPJ2’s internal management capacity to operate in the adaptive and iterative manner envisaged at design.  Such an approach was considered essential given the complex and sensitive nature of law and justice and security reforms.  However, working in this way requires management time and resources, to develop clear objectives and strategies for change and to subject these to continual review and modification through a regular process of monitoring, evaluation, learning and reflection.  These are all areas where, formally at least, AIPJ2’s approach is quite underdeveloped at the Facility level.  </w:t>
      </w:r>
    </w:p>
    <w:p w14:paraId="7ACA8E15" w14:textId="77777777" w:rsidR="00B015C8" w:rsidRDefault="00B015C8" w:rsidP="00B015C8">
      <w:pPr>
        <w:pStyle w:val="ListParagraph"/>
        <w:numPr>
          <w:ilvl w:val="0"/>
          <w:numId w:val="29"/>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 diverse program of work also significantly complicates the challenge of explaining the Partnership to external stakeholders, including DFAT.  In an environment of tightening budgets, the inability to present a clear, coherent and compelling narrative for development assistance represents a risk.   </w:t>
      </w:r>
    </w:p>
    <w:p w14:paraId="47B9A953" w14:textId="77777777" w:rsidR="00B015C8" w:rsidRPr="00641F04" w:rsidRDefault="00B015C8" w:rsidP="00B015C8">
      <w:pPr>
        <w:pStyle w:val="ListParagraph"/>
        <w:numPr>
          <w:ilvl w:val="0"/>
          <w:numId w:val="29"/>
        </w:numPr>
        <w:tabs>
          <w:tab w:val="left" w:pos="709"/>
        </w:tabs>
        <w:spacing w:line="274" w:lineRule="auto"/>
        <w:ind w:left="714" w:hanging="357"/>
        <w:contextualSpacing w:val="0"/>
        <w:rPr>
          <w:rFonts w:asciiTheme="majorHAnsi" w:hAnsiTheme="majorHAnsi" w:cstheme="majorHAnsi"/>
          <w:color w:val="000000" w:themeColor="text1"/>
          <w:sz w:val="22"/>
          <w:szCs w:val="22"/>
        </w:rPr>
      </w:pPr>
      <w:r w:rsidRPr="00641F04">
        <w:rPr>
          <w:rFonts w:asciiTheme="majorHAnsi" w:hAnsiTheme="majorHAnsi" w:cstheme="majorHAnsi"/>
          <w:color w:val="000000" w:themeColor="text1"/>
          <w:sz w:val="22"/>
          <w:szCs w:val="22"/>
        </w:rPr>
        <w:t xml:space="preserve">Finally, a large and diverse list of reform priorities can reinforce the </w:t>
      </w:r>
      <w:r>
        <w:rPr>
          <w:rFonts w:asciiTheme="majorHAnsi" w:hAnsiTheme="majorHAnsi" w:cstheme="majorHAnsi"/>
          <w:color w:val="000000" w:themeColor="text1"/>
          <w:sz w:val="22"/>
          <w:szCs w:val="22"/>
        </w:rPr>
        <w:t>‘</w:t>
      </w:r>
      <w:r w:rsidRPr="00641F04">
        <w:rPr>
          <w:rFonts w:asciiTheme="majorHAnsi" w:hAnsiTheme="majorHAnsi" w:cstheme="majorHAnsi"/>
          <w:color w:val="000000" w:themeColor="text1"/>
          <w:sz w:val="22"/>
          <w:szCs w:val="22"/>
        </w:rPr>
        <w:t>separateness</w:t>
      </w:r>
      <w:r>
        <w:rPr>
          <w:rFonts w:asciiTheme="majorHAnsi" w:hAnsiTheme="majorHAnsi" w:cstheme="majorHAnsi"/>
          <w:color w:val="000000" w:themeColor="text1"/>
          <w:sz w:val="22"/>
          <w:szCs w:val="22"/>
        </w:rPr>
        <w:t>’</w:t>
      </w:r>
      <w:r w:rsidRPr="00641F04">
        <w:rPr>
          <w:rFonts w:asciiTheme="majorHAnsi" w:hAnsiTheme="majorHAnsi" w:cstheme="majorHAnsi"/>
          <w:color w:val="000000" w:themeColor="text1"/>
          <w:sz w:val="22"/>
          <w:szCs w:val="22"/>
        </w:rPr>
        <w:t xml:space="preserve"> of issues and limit the scope to exploit linkages and synergies between AIPJ2 activities and other DFAT program</w:t>
      </w:r>
      <w:r w:rsidRPr="004B5432">
        <w:rPr>
          <w:rFonts w:asciiTheme="majorHAnsi" w:hAnsiTheme="majorHAnsi" w:cstheme="majorHAnsi"/>
          <w:color w:val="000000" w:themeColor="text1"/>
          <w:sz w:val="22"/>
          <w:szCs w:val="22"/>
        </w:rPr>
        <w:t xml:space="preserve">s.  This need not be the case but, given that coordination is not cost-free, in practice it is a likely </w:t>
      </w:r>
      <w:r w:rsidRPr="00641F04">
        <w:rPr>
          <w:rFonts w:asciiTheme="majorHAnsi" w:hAnsiTheme="majorHAnsi" w:cstheme="majorHAnsi"/>
          <w:color w:val="000000" w:themeColor="text1"/>
          <w:sz w:val="22"/>
          <w:szCs w:val="22"/>
        </w:rPr>
        <w:t>outcome in the absence of a broader management strategy driving coherence.   Yet maximising the collective value from different activities is vitally important in the face of continued budget constraints, and in a sector with multiple interdependent agencies across the justice chain. At the halfway stage of AIPJ2, internal and external linkages have been exploited through largely informal processes, and remain rather underdeveloped – especially with work under pillar 2.</w:t>
      </w:r>
    </w:p>
    <w:p w14:paraId="38A1ABFF" w14:textId="77777777" w:rsidR="00B015C8" w:rsidRPr="00DA1850" w:rsidRDefault="00B015C8" w:rsidP="00B015C8">
      <w:pPr>
        <w:spacing w:before="240" w:line="274" w:lineRule="auto"/>
        <w:rPr>
          <w:rFonts w:ascii="Calibri Light" w:hAnsi="Calibri Light" w:cs="Calibri Light"/>
          <w:b/>
          <w:bCs/>
          <w:sz w:val="22"/>
          <w:szCs w:val="22"/>
        </w:rPr>
      </w:pPr>
      <w:r w:rsidRPr="00DA1850">
        <w:rPr>
          <w:rFonts w:ascii="Calibri Light" w:hAnsi="Calibri Light" w:cs="Calibri Light"/>
          <w:b/>
          <w:bCs/>
          <w:sz w:val="22"/>
          <w:szCs w:val="22"/>
        </w:rPr>
        <w:t>Recommendations</w:t>
      </w:r>
    </w:p>
    <w:p w14:paraId="2D501D1F" w14:textId="77777777" w:rsidR="00B015C8"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AIPJ2 is an effective investment for DFAT.  The mid-term review did not identify any major shortcomings in the Partnership.  The challenge for AIPJ2, however, is to maintain its relevance and performance in the second half of the phase.   The mid-term review’s recommendations are offered with this objective in mind.</w:t>
      </w:r>
    </w:p>
    <w:p w14:paraId="7579ECAD" w14:textId="77777777" w:rsidR="00B015C8" w:rsidRPr="002518AB" w:rsidRDefault="00B015C8" w:rsidP="00B015C8">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Overall approach</w:t>
      </w:r>
    </w:p>
    <w:p w14:paraId="61798E73" w14:textId="201C6339" w:rsidR="00B015C8" w:rsidRPr="009D6C25"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 key question for AIPJ2 is how to limit spread and increase coherence, while at the same time pursue a number of new opportunities, and assuming no additional resources.  To address this, </w:t>
      </w:r>
      <w:r w:rsidRPr="00082901">
        <w:rPr>
          <w:rFonts w:asciiTheme="majorHAnsi" w:hAnsiTheme="majorHAnsi" w:cstheme="majorHAnsi"/>
          <w:b/>
          <w:bCs/>
          <w:color w:val="000000" w:themeColor="text1"/>
          <w:sz w:val="22"/>
          <w:szCs w:val="22"/>
        </w:rPr>
        <w:t>AIPJ2 should undertake a stocktake exercise in discussion with DFAT and Bappenas</w:t>
      </w:r>
      <w:r w:rsidR="00911ACF">
        <w:rPr>
          <w:rFonts w:asciiTheme="majorHAnsi" w:hAnsiTheme="majorHAnsi" w:cstheme="majorHAnsi"/>
          <w:b/>
          <w:bCs/>
          <w:color w:val="000000" w:themeColor="text1"/>
          <w:sz w:val="22"/>
          <w:szCs w:val="22"/>
        </w:rPr>
        <w:t xml:space="preserve"> (Recommendation 1)</w:t>
      </w:r>
      <w:r>
        <w:rPr>
          <w:rFonts w:asciiTheme="majorHAnsi" w:hAnsiTheme="majorHAnsi" w:cstheme="majorHAnsi"/>
          <w:color w:val="000000" w:themeColor="text1"/>
          <w:sz w:val="22"/>
          <w:szCs w:val="22"/>
        </w:rPr>
        <w:t>.  The purpose of the exercise would be to look beyond the annual plan and consider priorities for the remainder of the phase, as well as where most value is being delivered.   Specifically, the stocktake should reflect on scope to:</w:t>
      </w:r>
    </w:p>
    <w:p w14:paraId="263709E6" w14:textId="55C0BCA2" w:rsidR="00B015C8" w:rsidRDefault="00B015C8" w:rsidP="00B015C8">
      <w:pPr>
        <w:pStyle w:val="ListParagraph"/>
        <w:numPr>
          <w:ilvl w:val="0"/>
          <w:numId w:val="12"/>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Adopt a more problem-oriented approach</w:t>
      </w:r>
      <w:r w:rsidRPr="005968A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Identifying fewer, </w:t>
      </w:r>
      <w:r w:rsidRPr="005968A8">
        <w:rPr>
          <w:rFonts w:asciiTheme="majorHAnsi" w:hAnsiTheme="majorHAnsi" w:cstheme="majorHAnsi"/>
          <w:color w:val="000000" w:themeColor="text1"/>
          <w:sz w:val="22"/>
          <w:szCs w:val="22"/>
        </w:rPr>
        <w:t>substantive issues of concern</w:t>
      </w:r>
      <w:r>
        <w:rPr>
          <w:rFonts w:asciiTheme="majorHAnsi" w:hAnsiTheme="majorHAnsi" w:cstheme="majorHAnsi"/>
          <w:color w:val="000000" w:themeColor="text1"/>
          <w:sz w:val="22"/>
          <w:szCs w:val="22"/>
        </w:rPr>
        <w:t xml:space="preserve"> – such as prison overcrowding or access to justice for women and girls – that sit above the list</w:t>
      </w:r>
      <w:r w:rsidRPr="005968A8">
        <w:rPr>
          <w:rFonts w:asciiTheme="majorHAnsi" w:hAnsiTheme="majorHAnsi" w:cstheme="majorHAnsi"/>
          <w:color w:val="000000" w:themeColor="text1"/>
          <w:sz w:val="22"/>
          <w:szCs w:val="22"/>
        </w:rPr>
        <w:t xml:space="preserve"> of </w:t>
      </w:r>
      <w:r>
        <w:rPr>
          <w:rFonts w:asciiTheme="majorHAnsi" w:hAnsiTheme="majorHAnsi" w:cstheme="majorHAnsi"/>
          <w:color w:val="000000" w:themeColor="text1"/>
          <w:sz w:val="22"/>
          <w:szCs w:val="22"/>
        </w:rPr>
        <w:t xml:space="preserve">individual </w:t>
      </w:r>
      <w:r w:rsidRPr="005968A8">
        <w:rPr>
          <w:rFonts w:asciiTheme="majorHAnsi" w:hAnsiTheme="majorHAnsi" w:cstheme="majorHAnsi"/>
          <w:color w:val="000000" w:themeColor="text1"/>
          <w:sz w:val="22"/>
          <w:szCs w:val="22"/>
        </w:rPr>
        <w:t>policies and plans</w:t>
      </w:r>
      <w:r>
        <w:rPr>
          <w:rFonts w:asciiTheme="majorHAnsi" w:hAnsiTheme="majorHAnsi" w:cstheme="majorHAnsi"/>
          <w:color w:val="000000" w:themeColor="text1"/>
          <w:sz w:val="22"/>
          <w:szCs w:val="22"/>
        </w:rPr>
        <w:t xml:space="preserve"> could provide the means for </w:t>
      </w:r>
      <w:r w:rsidRPr="005968A8">
        <w:rPr>
          <w:rFonts w:asciiTheme="majorHAnsi" w:hAnsiTheme="majorHAnsi" w:cstheme="majorHAnsi"/>
          <w:color w:val="000000" w:themeColor="text1"/>
          <w:sz w:val="22"/>
          <w:szCs w:val="22"/>
        </w:rPr>
        <w:t>a more coherent</w:t>
      </w:r>
      <w:r>
        <w:rPr>
          <w:rFonts w:asciiTheme="majorHAnsi" w:hAnsiTheme="majorHAnsi" w:cstheme="majorHAnsi"/>
          <w:color w:val="000000" w:themeColor="text1"/>
          <w:sz w:val="22"/>
          <w:szCs w:val="22"/>
        </w:rPr>
        <w:t>, compelling</w:t>
      </w:r>
      <w:r w:rsidRPr="005968A8">
        <w:rPr>
          <w:rFonts w:asciiTheme="majorHAnsi" w:hAnsiTheme="majorHAnsi" w:cstheme="majorHAnsi"/>
          <w:color w:val="000000" w:themeColor="text1"/>
          <w:sz w:val="22"/>
          <w:szCs w:val="22"/>
        </w:rPr>
        <w:t xml:space="preserve"> narrative for AIPJ2, </w:t>
      </w:r>
      <w:r>
        <w:rPr>
          <w:rFonts w:asciiTheme="majorHAnsi" w:hAnsiTheme="majorHAnsi" w:cstheme="majorHAnsi"/>
          <w:color w:val="000000" w:themeColor="text1"/>
          <w:sz w:val="22"/>
          <w:szCs w:val="22"/>
        </w:rPr>
        <w:t xml:space="preserve">a clear rationale for directing and coordinating </w:t>
      </w:r>
      <w:r w:rsidRPr="005968A8">
        <w:rPr>
          <w:rFonts w:asciiTheme="majorHAnsi" w:hAnsiTheme="majorHAnsi" w:cstheme="majorHAnsi"/>
          <w:color w:val="000000" w:themeColor="text1"/>
          <w:sz w:val="22"/>
          <w:szCs w:val="22"/>
        </w:rPr>
        <w:t>related activities</w:t>
      </w:r>
      <w:r>
        <w:rPr>
          <w:rFonts w:asciiTheme="majorHAnsi" w:hAnsiTheme="majorHAnsi" w:cstheme="majorHAnsi"/>
          <w:color w:val="000000" w:themeColor="text1"/>
          <w:sz w:val="22"/>
          <w:szCs w:val="22"/>
        </w:rPr>
        <w:t xml:space="preserve"> and a basis for identifying lower priority activities.  Such an approach need not be comprehensive:  AIPJ2 could (indeed should) still retain some flexibility to support new ‘outlying’ activities in response to unforeseen opportunities. But it should influence programming and resourcing decisions.</w:t>
      </w:r>
      <w:r w:rsidR="00C52710">
        <w:rPr>
          <w:rFonts w:asciiTheme="majorHAnsi" w:hAnsiTheme="majorHAnsi" w:cstheme="majorHAnsi"/>
          <w:color w:val="000000" w:themeColor="text1"/>
          <w:sz w:val="22"/>
          <w:szCs w:val="22"/>
        </w:rPr>
        <w:t xml:space="preserve">   The concept of ‘democratic resilience’ could be useful in this regard but requires further elaboration by DFAT and AIPJ2 to be of substantive value in this regard.</w:t>
      </w:r>
    </w:p>
    <w:p w14:paraId="288378E0" w14:textId="77777777" w:rsidR="00B015C8" w:rsidRDefault="00B015C8" w:rsidP="00B015C8">
      <w:pPr>
        <w:pStyle w:val="ListParagraph"/>
        <w:numPr>
          <w:ilvl w:val="0"/>
          <w:numId w:val="12"/>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 xml:space="preserve">Reconsider the ‘pillar-based’ structure currently used to organise AIPJ2.  </w:t>
      </w:r>
      <w:r>
        <w:rPr>
          <w:rFonts w:asciiTheme="majorHAnsi" w:hAnsiTheme="majorHAnsi" w:cstheme="majorHAnsi"/>
          <w:color w:val="000000" w:themeColor="text1"/>
          <w:sz w:val="22"/>
          <w:szCs w:val="22"/>
        </w:rPr>
        <w:t>A problem-oriented approach would most likely be facilitated by a shift from AIPJ2’s current pillars to a more problem-oriented structure.   In the case of the pillars 1 and 4, this might also offer scope for cost savings if new management arrangements are introduced for work previously conducted under pillar 4.</w:t>
      </w:r>
    </w:p>
    <w:p w14:paraId="56C0E551" w14:textId="77777777" w:rsidR="00B015C8" w:rsidRPr="00AD38B2"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The question was also posed whether, with respect to AIPJ2’s engagement with civil society, there is a more efficient division of responsibilities across the Australian aid program in Indonesia.  Given the importance of justice expertise in informing the strategies pursued by civil society in work under AIPJ2, this is unlikely.  In addition, the centrality of government–civil society cooperation to AIPJ2’s successes suggests that offering these in combination within a justice program is critical.  While not impossible to deliver through a generic ‘civil society support’ function,</w:t>
      </w:r>
      <w:r w:rsidRPr="007D04A6">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the management and coordination challenges to achieve such collaboration are likely to be significantly greater if a cross-program arrangement.   The review team also noted, in the case of joint work on child marriage and inclusive prisons, the leverage potentially obtained from tackling common issues from different technical vantage points (legal, social, economic, etc).  </w:t>
      </w:r>
    </w:p>
    <w:p w14:paraId="412A3A41" w14:textId="77777777" w:rsidR="00B015C8"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addition to the above stocktake exercise, there are a number of specific areas where AIPJ2 can usefully strengthen its approach, set out below.  These could be facilitated by the outcome of the stocktake exercise but regardless should be addressed in their own right.</w:t>
      </w:r>
    </w:p>
    <w:p w14:paraId="0C09A3B0" w14:textId="77777777" w:rsidR="00B015C8" w:rsidRPr="002518AB" w:rsidRDefault="00B015C8" w:rsidP="00B015C8">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Governance arrangements</w:t>
      </w:r>
    </w:p>
    <w:p w14:paraId="68D942C5" w14:textId="04EECB70" w:rsidR="00B015C8" w:rsidRPr="00840C30" w:rsidRDefault="00B015C8" w:rsidP="00B015C8">
      <w:pPr>
        <w:tabs>
          <w:tab w:val="left" w:pos="709"/>
        </w:tabs>
        <w:spacing w:line="274" w:lineRule="auto"/>
        <w:rPr>
          <w:rFonts w:asciiTheme="majorHAnsi" w:hAnsiTheme="majorHAnsi" w:cstheme="majorHAnsi"/>
          <w:color w:val="000000" w:themeColor="text1"/>
          <w:sz w:val="22"/>
          <w:szCs w:val="22"/>
        </w:rPr>
      </w:pPr>
      <w:r w:rsidRPr="00835948">
        <w:rPr>
          <w:rFonts w:asciiTheme="majorHAnsi" w:hAnsiTheme="majorHAnsi" w:cstheme="majorHAnsi"/>
          <w:b/>
          <w:bCs/>
          <w:color w:val="000000" w:themeColor="text1"/>
          <w:sz w:val="22"/>
          <w:szCs w:val="22"/>
        </w:rPr>
        <w:t>AIPJ2 should explore in discussion with DFAT and Bappenas effective means of fostering more substantive discussion of strategy</w:t>
      </w:r>
      <w:r>
        <w:rPr>
          <w:rFonts w:asciiTheme="majorHAnsi" w:hAnsiTheme="majorHAnsi" w:cstheme="majorHAnsi"/>
          <w:color w:val="000000" w:themeColor="text1"/>
          <w:sz w:val="22"/>
          <w:szCs w:val="22"/>
        </w:rPr>
        <w:t xml:space="preserve"> </w:t>
      </w:r>
      <w:r w:rsidRPr="00835948">
        <w:rPr>
          <w:rFonts w:asciiTheme="majorHAnsi" w:hAnsiTheme="majorHAnsi" w:cstheme="majorHAnsi"/>
          <w:b/>
          <w:bCs/>
          <w:color w:val="000000" w:themeColor="text1"/>
          <w:sz w:val="22"/>
          <w:szCs w:val="22"/>
        </w:rPr>
        <w:t xml:space="preserve">at </w:t>
      </w:r>
      <w:r>
        <w:rPr>
          <w:rFonts w:asciiTheme="majorHAnsi" w:hAnsiTheme="majorHAnsi" w:cstheme="majorHAnsi"/>
          <w:b/>
          <w:bCs/>
          <w:color w:val="000000" w:themeColor="text1"/>
          <w:sz w:val="22"/>
          <w:szCs w:val="22"/>
        </w:rPr>
        <w:t>Partnership Board</w:t>
      </w:r>
      <w:r w:rsidRPr="00835948">
        <w:rPr>
          <w:rFonts w:asciiTheme="majorHAnsi" w:hAnsiTheme="majorHAnsi" w:cstheme="majorHAnsi"/>
          <w:b/>
          <w:bCs/>
          <w:color w:val="000000" w:themeColor="text1"/>
          <w:sz w:val="22"/>
          <w:szCs w:val="22"/>
        </w:rPr>
        <w:t xml:space="preserve"> meetings</w:t>
      </w:r>
      <w:r w:rsidR="00911ACF">
        <w:rPr>
          <w:rFonts w:asciiTheme="majorHAnsi" w:hAnsiTheme="majorHAnsi" w:cstheme="majorHAnsi"/>
          <w:b/>
          <w:bCs/>
          <w:color w:val="000000" w:themeColor="text1"/>
          <w:sz w:val="22"/>
          <w:szCs w:val="22"/>
        </w:rPr>
        <w:t xml:space="preserve"> (Recommendation 2)</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This should include how civil society representatives could be most effectively involved.  Options to consider might include reinstating the Partnership Conference and inviting (limited, perhaps rotating) civil society participation in Partnership Board meetings, or establishment of a (limited) number of discussion working groups with AIPJ2, government and civil society representation, that report to Partnership Board meetings.</w:t>
      </w:r>
    </w:p>
    <w:p w14:paraId="71E3635E" w14:textId="77777777" w:rsidR="00B015C8" w:rsidRPr="002518AB" w:rsidRDefault="00B015C8" w:rsidP="00B015C8">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Strengthening AIPJ2 strategies and M&amp;E systems</w:t>
      </w:r>
    </w:p>
    <w:p w14:paraId="3B680B41" w14:textId="72557637" w:rsidR="00B015C8"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 AIPJ2 team leader has recently been revising/refreshing AIPJ2 strategies for major areas of work.  This effort needs to be intensified.  </w:t>
      </w:r>
      <w:r>
        <w:rPr>
          <w:rFonts w:asciiTheme="majorHAnsi" w:hAnsiTheme="majorHAnsi" w:cstheme="majorHAnsi"/>
          <w:b/>
          <w:bCs/>
          <w:color w:val="000000" w:themeColor="text1"/>
          <w:sz w:val="22"/>
          <w:szCs w:val="22"/>
        </w:rPr>
        <w:t>AIPJ2 should establish clear strategies for all main areas/strands of the Partnership’s work that set out clearly the objective(s) being pursued, the assumptions about how change will occur and AIPJ2’s role in that process</w:t>
      </w:r>
      <w:r w:rsidR="00911ACF">
        <w:rPr>
          <w:rFonts w:asciiTheme="majorHAnsi" w:hAnsiTheme="majorHAnsi" w:cstheme="majorHAnsi"/>
          <w:b/>
          <w:bCs/>
          <w:color w:val="000000" w:themeColor="text1"/>
          <w:sz w:val="22"/>
          <w:szCs w:val="22"/>
        </w:rPr>
        <w:t xml:space="preserve"> (Recommendation 3)</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 xml:space="preserve">AIPJ2’s theory of change is too general to serve this function. Such strategies are essential tools in helping explain AIPJ2’s approach to external stakeholders, prioritise/shape new activities and facilitate performance assessment, reflection and adaptation – particularly in areas of support where there are few if any tangible, objective measures of progress. </w:t>
      </w:r>
    </w:p>
    <w:p w14:paraId="21848B11" w14:textId="142D5FB0" w:rsidR="00B015C8"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In order to facilitate the setting of meaningful objectives, </w:t>
      </w:r>
      <w:r>
        <w:rPr>
          <w:rFonts w:asciiTheme="majorHAnsi" w:hAnsiTheme="majorHAnsi" w:cstheme="majorHAnsi"/>
          <w:b/>
          <w:bCs/>
          <w:color w:val="000000" w:themeColor="text1"/>
          <w:sz w:val="22"/>
          <w:szCs w:val="22"/>
        </w:rPr>
        <w:t>DFAT and AIPJ2 need also to agree the distinction between what AIPJ2 is trying to achieve and what AIPJ2 is accountable for</w:t>
      </w:r>
      <w:r w:rsidR="00911ACF">
        <w:rPr>
          <w:rFonts w:asciiTheme="majorHAnsi" w:hAnsiTheme="majorHAnsi" w:cstheme="majorHAnsi"/>
          <w:b/>
          <w:bCs/>
          <w:color w:val="000000" w:themeColor="text1"/>
          <w:sz w:val="22"/>
          <w:szCs w:val="22"/>
        </w:rPr>
        <w:t xml:space="preserve"> (Recommendation 4)</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 xml:space="preserve">  </w:t>
      </w:r>
    </w:p>
    <w:p w14:paraId="74D7C578" w14:textId="25F823B2" w:rsidR="00B015C8" w:rsidRDefault="00B015C8" w:rsidP="00B015C8">
      <w:pPr>
        <w:tabs>
          <w:tab w:val="left" w:pos="709"/>
        </w:tabs>
        <w:spacing w:line="274"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Alongside the development of strategies, </w:t>
      </w:r>
      <w:r>
        <w:rPr>
          <w:rFonts w:asciiTheme="majorHAnsi" w:hAnsiTheme="majorHAnsi" w:cstheme="majorHAnsi"/>
          <w:b/>
          <w:bCs/>
          <w:color w:val="000000" w:themeColor="text1"/>
          <w:sz w:val="22"/>
          <w:szCs w:val="22"/>
        </w:rPr>
        <w:t>AIPJ2 should introduce its own internal reflection process, equivalent to a partner’s quarterly reflection exercise but conducted at the level of its strategies</w:t>
      </w:r>
      <w:r w:rsidR="00911ACF">
        <w:rPr>
          <w:rFonts w:asciiTheme="majorHAnsi" w:hAnsiTheme="majorHAnsi" w:cstheme="majorHAnsi"/>
          <w:b/>
          <w:bCs/>
          <w:color w:val="000000" w:themeColor="text1"/>
          <w:sz w:val="22"/>
          <w:szCs w:val="22"/>
        </w:rPr>
        <w:t xml:space="preserve"> (Recommendation 5)</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This process should draw on partners’ reflection reports, additional evaluative work conducted by AIPJ2 and staff judgement, as well as potential insights from expert advisors.</w:t>
      </w:r>
    </w:p>
    <w:p w14:paraId="14BF7293" w14:textId="52A825C0" w:rsidR="00B015C8" w:rsidRDefault="00B015C8" w:rsidP="00B015C8">
      <w:pPr>
        <w:tabs>
          <w:tab w:val="left" w:pos="709"/>
        </w:tabs>
        <w:spacing w:line="274" w:lineRule="auto"/>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 xml:space="preserve">For the programs implemented currently under pillar 2, </w:t>
      </w:r>
      <w:r w:rsidRPr="00827094">
        <w:rPr>
          <w:rFonts w:asciiTheme="majorHAnsi" w:hAnsiTheme="majorHAnsi" w:cstheme="majorHAnsi"/>
          <w:b/>
          <w:bCs/>
          <w:color w:val="000000" w:themeColor="text1"/>
          <w:sz w:val="22"/>
          <w:szCs w:val="22"/>
        </w:rPr>
        <w:t xml:space="preserve">AIPJ2 </w:t>
      </w:r>
      <w:r>
        <w:rPr>
          <w:rFonts w:asciiTheme="majorHAnsi" w:hAnsiTheme="majorHAnsi" w:cstheme="majorHAnsi"/>
          <w:b/>
          <w:bCs/>
          <w:color w:val="000000" w:themeColor="text1"/>
          <w:sz w:val="22"/>
          <w:szCs w:val="22"/>
        </w:rPr>
        <w:t xml:space="preserve">and </w:t>
      </w:r>
      <w:r w:rsidRPr="00827094">
        <w:rPr>
          <w:rFonts w:asciiTheme="majorHAnsi" w:hAnsiTheme="majorHAnsi" w:cstheme="majorHAnsi"/>
          <w:b/>
          <w:bCs/>
          <w:color w:val="000000" w:themeColor="text1"/>
          <w:sz w:val="22"/>
          <w:szCs w:val="22"/>
        </w:rPr>
        <w:t>Australian Government agencies</w:t>
      </w:r>
      <w:r>
        <w:rPr>
          <w:rFonts w:asciiTheme="majorHAnsi" w:hAnsiTheme="majorHAnsi" w:cstheme="majorHAnsi"/>
          <w:b/>
          <w:bCs/>
          <w:color w:val="000000" w:themeColor="text1"/>
          <w:sz w:val="22"/>
          <w:szCs w:val="22"/>
        </w:rPr>
        <w:t xml:space="preserve"> should </w:t>
      </w:r>
      <w:r w:rsidR="00323272">
        <w:rPr>
          <w:rFonts w:asciiTheme="majorHAnsi" w:hAnsiTheme="majorHAnsi" w:cstheme="majorHAnsi"/>
          <w:b/>
          <w:bCs/>
          <w:color w:val="000000" w:themeColor="text1"/>
          <w:sz w:val="22"/>
          <w:szCs w:val="22"/>
        </w:rPr>
        <w:t>continue on-going efforts</w:t>
      </w:r>
      <w:r>
        <w:rPr>
          <w:rFonts w:asciiTheme="majorHAnsi" w:hAnsiTheme="majorHAnsi" w:cstheme="majorHAnsi"/>
          <w:b/>
          <w:bCs/>
          <w:color w:val="000000" w:themeColor="text1"/>
          <w:sz w:val="22"/>
          <w:szCs w:val="22"/>
        </w:rPr>
        <w:t xml:space="preserve"> to improve the quality of M&amp;E reporting including: revising the template for routine reporting along the lines of that developed by PROSPERA;  and instituting a program of short case studies – at least one per funding agreement – to provide the basis for deeper insights about the effectiveness of support</w:t>
      </w:r>
      <w:r w:rsidR="00911ACF">
        <w:rPr>
          <w:rFonts w:asciiTheme="majorHAnsi" w:hAnsiTheme="majorHAnsi" w:cstheme="majorHAnsi"/>
          <w:b/>
          <w:bCs/>
          <w:color w:val="000000" w:themeColor="text1"/>
          <w:sz w:val="22"/>
          <w:szCs w:val="22"/>
        </w:rPr>
        <w:t xml:space="preserve"> (Recommendation 6)</w:t>
      </w:r>
      <w:r>
        <w:rPr>
          <w:rFonts w:asciiTheme="majorHAnsi" w:hAnsiTheme="majorHAnsi" w:cstheme="majorHAnsi"/>
          <w:b/>
          <w:bCs/>
          <w:color w:val="000000" w:themeColor="text1"/>
          <w:sz w:val="22"/>
          <w:szCs w:val="22"/>
        </w:rPr>
        <w:t xml:space="preserve">. </w:t>
      </w:r>
    </w:p>
    <w:p w14:paraId="0F9B2D20" w14:textId="13549B89" w:rsidR="00B015C8" w:rsidRDefault="00B015C8" w:rsidP="00B015C8">
      <w:pPr>
        <w:tabs>
          <w:tab w:val="left" w:pos="709"/>
        </w:tabs>
        <w:spacing w:line="274" w:lineRule="auto"/>
        <w:rPr>
          <w:rFonts w:ascii="Calibri Light" w:hAnsi="Calibri Light" w:cs="Calibri Light"/>
          <w:sz w:val="22"/>
          <w:szCs w:val="22"/>
        </w:rPr>
      </w:pPr>
      <w:r>
        <w:rPr>
          <w:rFonts w:asciiTheme="majorHAnsi" w:hAnsiTheme="majorHAnsi" w:cstheme="majorHAnsi"/>
          <w:b/>
          <w:bCs/>
          <w:color w:val="000000" w:themeColor="text1"/>
          <w:sz w:val="22"/>
          <w:szCs w:val="22"/>
        </w:rPr>
        <w:t xml:space="preserve">AIPJ2 should also strengthen </w:t>
      </w:r>
      <w:r w:rsidRPr="00BF07A1">
        <w:rPr>
          <w:rFonts w:asciiTheme="majorHAnsi" w:hAnsiTheme="majorHAnsi" w:cstheme="majorHAnsi"/>
          <w:b/>
          <w:bCs/>
          <w:color w:val="000000" w:themeColor="text1"/>
          <w:sz w:val="22"/>
          <w:szCs w:val="22"/>
        </w:rPr>
        <w:t xml:space="preserve">M&amp;E arrangements for </w:t>
      </w:r>
      <w:r>
        <w:rPr>
          <w:rFonts w:asciiTheme="majorHAnsi" w:hAnsiTheme="majorHAnsi" w:cstheme="majorHAnsi"/>
          <w:b/>
          <w:bCs/>
          <w:color w:val="000000" w:themeColor="text1"/>
          <w:sz w:val="22"/>
          <w:szCs w:val="22"/>
        </w:rPr>
        <w:t>its</w:t>
      </w:r>
      <w:r w:rsidRPr="00BF07A1">
        <w:rPr>
          <w:rFonts w:asciiTheme="majorHAnsi" w:hAnsiTheme="majorHAnsi" w:cstheme="majorHAnsi"/>
          <w:b/>
          <w:bCs/>
          <w:color w:val="000000" w:themeColor="text1"/>
          <w:sz w:val="22"/>
          <w:szCs w:val="22"/>
        </w:rPr>
        <w:t xml:space="preserve"> support for the prevention of violent extremism</w:t>
      </w:r>
      <w:r w:rsidR="00911ACF">
        <w:rPr>
          <w:rFonts w:asciiTheme="majorHAnsi" w:hAnsiTheme="majorHAnsi" w:cstheme="majorHAnsi"/>
          <w:b/>
          <w:bCs/>
          <w:color w:val="000000" w:themeColor="text1"/>
          <w:sz w:val="22"/>
          <w:szCs w:val="22"/>
        </w:rPr>
        <w:t xml:space="preserve"> (Recommendation 7)</w:t>
      </w:r>
      <w:r>
        <w:rPr>
          <w:rFonts w:asciiTheme="majorHAnsi" w:hAnsiTheme="majorHAnsi" w:cstheme="majorHAnsi"/>
          <w:color w:val="000000" w:themeColor="text1"/>
          <w:sz w:val="22"/>
          <w:szCs w:val="22"/>
        </w:rPr>
        <w:t xml:space="preserve">.  Given the uncertainties associated with assistance in this field, more effective M&amp;E arrangements will most likely hinge </w:t>
      </w:r>
      <w:r>
        <w:rPr>
          <w:rFonts w:ascii="Calibri Light" w:hAnsi="Calibri Light" w:cs="Calibri Light"/>
          <w:sz w:val="22"/>
          <w:szCs w:val="22"/>
        </w:rPr>
        <w:t>on a clearer objectives and strategy for this work and on an M&amp;E framework centred on learning about what works (and what does not) that can accommodate ‘judgements’ about progress (in the absence of ‘objective’ measures).  But there is also scope for use of deeper dive case study approaches on a selective and proportionate basis.  These should focus on the bigger spending areas of support and include an explicit focus on lesson-learning.</w:t>
      </w:r>
    </w:p>
    <w:p w14:paraId="4F1ECF2F" w14:textId="77777777" w:rsidR="00B015C8" w:rsidRDefault="00B015C8" w:rsidP="00B015C8">
      <w:pPr>
        <w:tabs>
          <w:tab w:val="left" w:pos="709"/>
        </w:tabs>
        <w:spacing w:line="274" w:lineRule="auto"/>
        <w:rPr>
          <w:rFonts w:ascii="Calibri Light" w:hAnsi="Calibri Light" w:cs="Calibri Light"/>
          <w:sz w:val="22"/>
          <w:szCs w:val="22"/>
        </w:rPr>
      </w:pPr>
      <w:r>
        <w:rPr>
          <w:rFonts w:ascii="Calibri Light" w:hAnsi="Calibri Light" w:cs="Calibri Light"/>
          <w:sz w:val="22"/>
          <w:szCs w:val="22"/>
          <w:u w:val="single"/>
        </w:rPr>
        <w:t>Internal and external</w:t>
      </w:r>
      <w:r w:rsidRPr="009D53FF">
        <w:rPr>
          <w:rFonts w:ascii="Calibri Light" w:hAnsi="Calibri Light" w:cs="Calibri Light"/>
          <w:sz w:val="22"/>
          <w:szCs w:val="22"/>
          <w:u w:val="single"/>
        </w:rPr>
        <w:t xml:space="preserve"> linkages </w:t>
      </w:r>
    </w:p>
    <w:p w14:paraId="6BFF1E81" w14:textId="77777777" w:rsidR="00B015C8" w:rsidRDefault="00B015C8" w:rsidP="00B015C8">
      <w:pPr>
        <w:tabs>
          <w:tab w:val="left" w:pos="709"/>
        </w:tabs>
        <w:spacing w:line="274" w:lineRule="auto"/>
        <w:rPr>
          <w:rFonts w:ascii="Calibri Light" w:hAnsi="Calibri Light" w:cs="Calibri Light"/>
          <w:sz w:val="22"/>
          <w:szCs w:val="22"/>
        </w:rPr>
      </w:pPr>
      <w:r>
        <w:rPr>
          <w:rFonts w:ascii="Calibri Light" w:hAnsi="Calibri Light" w:cs="Calibri Light"/>
          <w:sz w:val="22"/>
          <w:szCs w:val="22"/>
        </w:rPr>
        <w:t xml:space="preserve">The recommendations above relating to a problem-orientated approach, reconsideration of the pillar structure, sharpening of strategies and adoption of AIPJ2 quarterly reflection exercises would naturally facilitate a more joined up approach across (relevant) AIPJ2 activities.  </w:t>
      </w:r>
    </w:p>
    <w:p w14:paraId="3542324D" w14:textId="6F885DA3" w:rsidR="00B015C8" w:rsidRPr="00220506" w:rsidRDefault="00B015C8" w:rsidP="00B015C8">
      <w:pPr>
        <w:tabs>
          <w:tab w:val="left" w:pos="709"/>
        </w:tabs>
        <w:spacing w:line="274" w:lineRule="auto"/>
        <w:rPr>
          <w:rFonts w:ascii="Calibri Light" w:hAnsi="Calibri Light" w:cs="Calibri Light"/>
          <w:b/>
          <w:bCs/>
          <w:sz w:val="22"/>
          <w:szCs w:val="22"/>
        </w:rPr>
      </w:pPr>
      <w:r>
        <w:rPr>
          <w:rFonts w:ascii="Calibri Light" w:hAnsi="Calibri Light" w:cs="Calibri Light"/>
          <w:sz w:val="22"/>
          <w:szCs w:val="22"/>
        </w:rPr>
        <w:t xml:space="preserve">But there is also scope to share information better across the Partnership, even between activities that are not directly related to the same problem objective.  This applies particularly to activities conducted by Australian Government agencies under pillar 2, that tend to be both separate from other parts of AIPJ2 and from one another.  </w:t>
      </w:r>
      <w:r>
        <w:rPr>
          <w:rFonts w:ascii="Calibri Light" w:hAnsi="Calibri Light" w:cs="Calibri Light"/>
          <w:b/>
          <w:bCs/>
          <w:sz w:val="22"/>
          <w:szCs w:val="22"/>
        </w:rPr>
        <w:t xml:space="preserve">DFAT should promote and organise a more structured </w:t>
      </w:r>
      <w:r w:rsidRPr="00220506">
        <w:rPr>
          <w:rFonts w:ascii="Calibri Light" w:hAnsi="Calibri Light" w:cs="Calibri Light"/>
          <w:b/>
          <w:bCs/>
          <w:color w:val="000000" w:themeColor="text1"/>
          <w:sz w:val="22"/>
          <w:szCs w:val="22"/>
        </w:rPr>
        <w:t>exchange of information</w:t>
      </w:r>
      <w:r>
        <w:rPr>
          <w:rFonts w:ascii="Calibri Light" w:hAnsi="Calibri Light" w:cs="Calibri Light"/>
          <w:b/>
          <w:bCs/>
          <w:color w:val="000000" w:themeColor="text1"/>
          <w:sz w:val="22"/>
          <w:szCs w:val="22"/>
        </w:rPr>
        <w:t xml:space="preserve"> between Australian Government agencies and AIPJ2</w:t>
      </w:r>
      <w:r w:rsidR="00911ACF">
        <w:rPr>
          <w:rFonts w:ascii="Calibri Light" w:hAnsi="Calibri Light" w:cs="Calibri Light"/>
          <w:b/>
          <w:bCs/>
          <w:color w:val="000000" w:themeColor="text1"/>
          <w:sz w:val="22"/>
          <w:szCs w:val="22"/>
        </w:rPr>
        <w:t xml:space="preserve"> (Recommendation 8)</w:t>
      </w:r>
      <w:r w:rsidRPr="00220506">
        <w:rPr>
          <w:rFonts w:ascii="Calibri Light" w:hAnsi="Calibri Light" w:cs="Calibri Light"/>
          <w:b/>
          <w:bCs/>
          <w:color w:val="000000" w:themeColor="text1"/>
          <w:sz w:val="22"/>
          <w:szCs w:val="22"/>
        </w:rPr>
        <w:t>.</w:t>
      </w:r>
    </w:p>
    <w:p w14:paraId="47907C21" w14:textId="0C1298DB" w:rsidR="00B015C8" w:rsidRPr="00FA7FB9" w:rsidRDefault="00B015C8" w:rsidP="00B015C8">
      <w:pPr>
        <w:spacing w:line="274" w:lineRule="auto"/>
        <w:rPr>
          <w:rFonts w:ascii="Calibri Light" w:hAnsi="Calibri Light" w:cs="Calibri Light"/>
          <w:sz w:val="22"/>
          <w:szCs w:val="22"/>
        </w:rPr>
      </w:pPr>
      <w:r>
        <w:rPr>
          <w:rFonts w:ascii="Calibri Light" w:hAnsi="Calibri Light" w:cs="Calibri Light"/>
          <w:color w:val="000000" w:themeColor="text1"/>
          <w:sz w:val="22"/>
          <w:szCs w:val="22"/>
        </w:rPr>
        <w:t xml:space="preserve">Regarding </w:t>
      </w:r>
      <w:r w:rsidRPr="00A25945">
        <w:rPr>
          <w:rFonts w:ascii="Calibri Light" w:hAnsi="Calibri Light" w:cs="Calibri Light"/>
          <w:color w:val="000000" w:themeColor="text1"/>
          <w:sz w:val="22"/>
          <w:szCs w:val="22"/>
        </w:rPr>
        <w:t xml:space="preserve">linkages </w:t>
      </w:r>
      <w:r>
        <w:rPr>
          <w:rFonts w:ascii="Calibri Light" w:hAnsi="Calibri Light" w:cs="Calibri Light"/>
          <w:color w:val="000000" w:themeColor="text1"/>
          <w:sz w:val="22"/>
          <w:szCs w:val="22"/>
        </w:rPr>
        <w:t xml:space="preserve">between AIPJ2 and </w:t>
      </w:r>
      <w:r w:rsidRPr="00A25945">
        <w:rPr>
          <w:rFonts w:ascii="Calibri Light" w:hAnsi="Calibri Light" w:cs="Calibri Light"/>
          <w:color w:val="000000" w:themeColor="text1"/>
          <w:sz w:val="22"/>
          <w:szCs w:val="22"/>
        </w:rPr>
        <w:t>other DFAT programs</w:t>
      </w:r>
      <w:r>
        <w:rPr>
          <w:rFonts w:ascii="Calibri Light" w:hAnsi="Calibri Light" w:cs="Calibri Light"/>
          <w:color w:val="000000" w:themeColor="text1"/>
          <w:sz w:val="22"/>
          <w:szCs w:val="22"/>
        </w:rPr>
        <w:t>,</w:t>
      </w:r>
      <w:r w:rsidRPr="00A25945">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the review</w:t>
      </w:r>
      <w:r w:rsidRPr="007C1999">
        <w:rPr>
          <w:rFonts w:ascii="Calibri Light" w:hAnsi="Calibri Light" w:cs="Calibri Light"/>
          <w:color w:val="000000" w:themeColor="text1"/>
          <w:sz w:val="22"/>
          <w:szCs w:val="22"/>
        </w:rPr>
        <w:t xml:space="preserve"> found active examples of positive collaboration</w:t>
      </w:r>
      <w:r>
        <w:rPr>
          <w:rFonts w:ascii="Calibri Light" w:hAnsi="Calibri Light" w:cs="Calibri Light"/>
          <w:color w:val="000000" w:themeColor="text1"/>
          <w:sz w:val="22"/>
          <w:szCs w:val="22"/>
        </w:rPr>
        <w:t xml:space="preserve">, though these appeared dependent to an important degree on the personalities of the individuals involved.  A formal mechanism does not exist to promote collaboration across DFAT programs and help overcome institutional obstacles.  </w:t>
      </w:r>
      <w:r w:rsidRPr="007F309B">
        <w:rPr>
          <w:rFonts w:ascii="Calibri Light" w:hAnsi="Calibri Light" w:cs="Calibri Light"/>
          <w:b/>
          <w:bCs/>
          <w:color w:val="000000" w:themeColor="text1"/>
          <w:sz w:val="22"/>
          <w:szCs w:val="22"/>
        </w:rPr>
        <w:t>The recent initiative by the Australian Embassy to convene a Team Leaders’ meeting, which was attended by senior Embassy staff should be formalised into a routine event</w:t>
      </w:r>
      <w:r w:rsidR="00911ACF">
        <w:rPr>
          <w:rFonts w:ascii="Calibri Light" w:hAnsi="Calibri Light" w:cs="Calibri Light"/>
          <w:b/>
          <w:bCs/>
          <w:color w:val="000000" w:themeColor="text1"/>
          <w:sz w:val="22"/>
          <w:szCs w:val="22"/>
        </w:rPr>
        <w:t xml:space="preserve"> (Recommendation 9)</w:t>
      </w:r>
      <w:r w:rsidRPr="007F309B">
        <w:rPr>
          <w:rFonts w:ascii="Calibri Light" w:hAnsi="Calibri Light" w:cs="Calibri Light"/>
          <w:b/>
          <w:bCs/>
          <w:color w:val="000000" w:themeColor="text1"/>
          <w:sz w:val="22"/>
          <w:szCs w:val="22"/>
        </w:rPr>
        <w:t xml:space="preserve">. </w:t>
      </w:r>
    </w:p>
    <w:p w14:paraId="441A9AA6" w14:textId="43EA4144" w:rsidR="003B7B0C" w:rsidRPr="00B015C8" w:rsidRDefault="003B7B0C" w:rsidP="00B015C8">
      <w:pPr>
        <w:pStyle w:val="ListParagraph"/>
        <w:spacing w:before="240" w:after="240"/>
        <w:ind w:left="567"/>
        <w:contextualSpacing w:val="0"/>
        <w:rPr>
          <w:rFonts w:asciiTheme="majorHAnsi" w:hAnsiTheme="majorHAnsi" w:cstheme="majorHAnsi"/>
          <w:b/>
          <w:bCs/>
          <w:color w:val="00B0F0"/>
          <w:sz w:val="32"/>
          <w:szCs w:val="32"/>
        </w:rPr>
        <w:sectPr w:rsidR="003B7B0C" w:rsidRPr="00B015C8" w:rsidSect="003B7B0C">
          <w:headerReference w:type="even" r:id="rId14"/>
          <w:headerReference w:type="default" r:id="rId15"/>
          <w:footerReference w:type="default" r:id="rId16"/>
          <w:headerReference w:type="first" r:id="rId17"/>
          <w:pgSz w:w="11900" w:h="16840"/>
          <w:pgMar w:top="1482" w:right="1440" w:bottom="1440" w:left="1440" w:header="708" w:footer="708" w:gutter="0"/>
          <w:pgNumType w:fmt="lowerRoman" w:start="1"/>
          <w:cols w:space="708"/>
          <w:docGrid w:linePitch="360"/>
        </w:sectPr>
      </w:pPr>
    </w:p>
    <w:p w14:paraId="3651A90E" w14:textId="00291BC2" w:rsidR="0024495C" w:rsidRPr="000A2712" w:rsidRDefault="009D28C1" w:rsidP="00FD3E1F">
      <w:pPr>
        <w:pStyle w:val="ListParagraph"/>
        <w:numPr>
          <w:ilvl w:val="0"/>
          <w:numId w:val="1"/>
        </w:numPr>
        <w:spacing w:before="240" w:after="240"/>
        <w:ind w:left="567" w:hanging="567"/>
        <w:contextualSpacing w:val="0"/>
        <w:rPr>
          <w:rFonts w:asciiTheme="majorHAnsi" w:hAnsiTheme="majorHAnsi" w:cstheme="majorHAnsi"/>
          <w:b/>
          <w:bCs/>
          <w:color w:val="00B0F0"/>
          <w:sz w:val="32"/>
          <w:szCs w:val="32"/>
          <w:lang w:val="en-AU"/>
        </w:rPr>
      </w:pPr>
      <w:r w:rsidRPr="000A2712">
        <w:rPr>
          <w:rFonts w:asciiTheme="majorHAnsi" w:hAnsiTheme="majorHAnsi" w:cstheme="majorHAnsi"/>
          <w:b/>
          <w:bCs/>
          <w:color w:val="00B0F0"/>
          <w:sz w:val="32"/>
          <w:szCs w:val="32"/>
          <w:lang w:val="en-AU"/>
        </w:rPr>
        <w:t>Introduction</w:t>
      </w:r>
    </w:p>
    <w:p w14:paraId="75CF402B" w14:textId="033B98D2" w:rsidR="00162D39" w:rsidRPr="00CE4351" w:rsidRDefault="00FD3E1F"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 xml:space="preserve">The </w:t>
      </w:r>
      <w:r w:rsidR="008D1AAE" w:rsidRPr="00CE4351">
        <w:rPr>
          <w:rFonts w:asciiTheme="majorHAnsi" w:hAnsiTheme="majorHAnsi" w:cstheme="majorHAnsi"/>
          <w:b/>
          <w:bCs/>
          <w:color w:val="000000" w:themeColor="text1"/>
          <w:sz w:val="26"/>
          <w:szCs w:val="26"/>
          <w:lang w:val="en-AU"/>
        </w:rPr>
        <w:t>Partnership</w:t>
      </w:r>
    </w:p>
    <w:p w14:paraId="4CB19591" w14:textId="122A639D" w:rsidR="006109C0" w:rsidRPr="000A2712" w:rsidRDefault="00162D39"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 xml:space="preserve">The Australia Indonesia Partnership for Justice </w:t>
      </w:r>
      <w:r w:rsidR="00A8564C" w:rsidRPr="000A2712">
        <w:rPr>
          <w:rFonts w:ascii="Calibri Light" w:hAnsi="Calibri Light" w:cs="Calibri Light"/>
          <w:sz w:val="22"/>
          <w:szCs w:val="22"/>
          <w:lang w:val="en-AU"/>
        </w:rPr>
        <w:t xml:space="preserve">phase </w:t>
      </w:r>
      <w:r w:rsidRPr="000A2712">
        <w:rPr>
          <w:rFonts w:ascii="Calibri Light" w:hAnsi="Calibri Light" w:cs="Calibri Light"/>
          <w:sz w:val="22"/>
          <w:szCs w:val="22"/>
          <w:lang w:val="en-AU"/>
        </w:rPr>
        <w:t xml:space="preserve">2 (AIPJ2) is a </w:t>
      </w:r>
      <w:r w:rsidR="00A8564C" w:rsidRPr="000A2712">
        <w:rPr>
          <w:rFonts w:ascii="Calibri Light" w:hAnsi="Calibri Light" w:cs="Calibri Light"/>
          <w:sz w:val="22"/>
          <w:szCs w:val="22"/>
          <w:lang w:val="en-AU"/>
        </w:rPr>
        <w:t>five-year</w:t>
      </w:r>
      <w:r w:rsidR="00930C94" w:rsidRPr="000A2712">
        <w:rPr>
          <w:rFonts w:ascii="Calibri Light" w:hAnsi="Calibri Light" w:cs="Calibri Light"/>
          <w:sz w:val="22"/>
          <w:szCs w:val="22"/>
          <w:lang w:val="en-AU"/>
        </w:rPr>
        <w:t>, AUD 40 million</w:t>
      </w:r>
      <w:r w:rsidR="006109C0" w:rsidRPr="000A2712">
        <w:rPr>
          <w:rFonts w:ascii="Calibri Light" w:hAnsi="Calibri Light" w:cs="Calibri Light"/>
          <w:sz w:val="22"/>
          <w:szCs w:val="22"/>
          <w:lang w:val="en-AU"/>
        </w:rPr>
        <w:t xml:space="preserve"> </w:t>
      </w:r>
      <w:r w:rsidR="00062753" w:rsidRPr="000A2712">
        <w:rPr>
          <w:rFonts w:ascii="Calibri Light" w:hAnsi="Calibri Light" w:cs="Calibri Light"/>
          <w:sz w:val="22"/>
          <w:szCs w:val="22"/>
          <w:lang w:val="en-AU"/>
        </w:rPr>
        <w:t>i</w:t>
      </w:r>
      <w:r w:rsidR="00A8564C" w:rsidRPr="000A2712">
        <w:rPr>
          <w:rFonts w:ascii="Calibri Light" w:hAnsi="Calibri Light" w:cs="Calibri Light"/>
          <w:sz w:val="22"/>
          <w:szCs w:val="22"/>
          <w:lang w:val="en-AU"/>
        </w:rPr>
        <w:t xml:space="preserve">nvestment </w:t>
      </w:r>
      <w:r w:rsidRPr="000A2712">
        <w:rPr>
          <w:rFonts w:ascii="Calibri Light" w:hAnsi="Calibri Light" w:cs="Calibri Light"/>
          <w:sz w:val="22"/>
          <w:szCs w:val="22"/>
          <w:lang w:val="en-AU"/>
        </w:rPr>
        <w:t>by the Department of Foreign Affairs and Trade (DFAT)</w:t>
      </w:r>
      <w:r w:rsidR="00A8564C" w:rsidRPr="000A2712">
        <w:rPr>
          <w:rFonts w:ascii="Calibri Light" w:hAnsi="Calibri Light" w:cs="Calibri Light"/>
          <w:sz w:val="22"/>
          <w:szCs w:val="22"/>
          <w:lang w:val="en-AU"/>
        </w:rPr>
        <w:t xml:space="preserve"> that began in April 2017 and is due to complete in March 2022</w:t>
      </w:r>
      <w:r w:rsidR="00FF6F1B">
        <w:rPr>
          <w:rFonts w:ascii="Calibri Light" w:hAnsi="Calibri Light" w:cs="Calibri Light"/>
          <w:sz w:val="22"/>
          <w:szCs w:val="22"/>
          <w:lang w:val="en-AU"/>
        </w:rPr>
        <w:t xml:space="preserve">, with the possibility of a five-year extension </w:t>
      </w:r>
      <w:r w:rsidR="00566D28">
        <w:rPr>
          <w:rFonts w:ascii="Calibri Light" w:hAnsi="Calibri Light" w:cs="Calibri Light"/>
          <w:sz w:val="22"/>
          <w:szCs w:val="22"/>
          <w:lang w:val="en-AU"/>
        </w:rPr>
        <w:t>sub</w:t>
      </w:r>
      <w:r w:rsidR="00EE5879">
        <w:rPr>
          <w:rFonts w:ascii="Calibri Light" w:hAnsi="Calibri Light" w:cs="Calibri Light"/>
          <w:sz w:val="22"/>
          <w:szCs w:val="22"/>
          <w:lang w:val="en-AU"/>
        </w:rPr>
        <w:t>ject to</w:t>
      </w:r>
      <w:r w:rsidR="00FF6F1B">
        <w:rPr>
          <w:rFonts w:ascii="Calibri Light" w:hAnsi="Calibri Light" w:cs="Calibri Light"/>
          <w:sz w:val="22"/>
          <w:szCs w:val="22"/>
          <w:lang w:val="en-AU"/>
        </w:rPr>
        <w:t xml:space="preserve"> DFAT approval</w:t>
      </w:r>
      <w:r w:rsidR="00A8564C" w:rsidRPr="000A2712">
        <w:rPr>
          <w:rFonts w:ascii="Calibri Light" w:hAnsi="Calibri Light" w:cs="Calibri Light"/>
          <w:sz w:val="22"/>
          <w:szCs w:val="22"/>
          <w:lang w:val="en-AU"/>
        </w:rPr>
        <w:t xml:space="preserve">. </w:t>
      </w:r>
      <w:r w:rsidR="00A16179">
        <w:rPr>
          <w:rFonts w:ascii="Calibri Light" w:hAnsi="Calibri Light" w:cs="Calibri Light"/>
          <w:sz w:val="22"/>
          <w:szCs w:val="22"/>
          <w:lang w:val="en-AU"/>
        </w:rPr>
        <w:t xml:space="preserve"> </w:t>
      </w:r>
      <w:r w:rsidR="006A7873" w:rsidRPr="000A2712">
        <w:rPr>
          <w:rFonts w:ascii="Calibri Light" w:hAnsi="Calibri Light" w:cs="Calibri Light"/>
          <w:sz w:val="22"/>
          <w:szCs w:val="22"/>
          <w:lang w:val="en-AU"/>
        </w:rPr>
        <w:t xml:space="preserve">The current </w:t>
      </w:r>
      <w:r w:rsidR="009A6BBD" w:rsidRPr="000A2712">
        <w:rPr>
          <w:rFonts w:ascii="Calibri Light" w:hAnsi="Calibri Light" w:cs="Calibri Light"/>
          <w:sz w:val="22"/>
          <w:szCs w:val="22"/>
          <w:lang w:val="en-AU"/>
        </w:rPr>
        <w:t xml:space="preserve">AIPJ2 </w:t>
      </w:r>
      <w:r w:rsidR="007713F5" w:rsidRPr="000A2712">
        <w:rPr>
          <w:rFonts w:ascii="Calibri Light" w:hAnsi="Calibri Light" w:cs="Calibri Light"/>
          <w:sz w:val="22"/>
          <w:szCs w:val="22"/>
          <w:lang w:val="en-AU"/>
        </w:rPr>
        <w:t xml:space="preserve">was </w:t>
      </w:r>
      <w:r w:rsidR="00930C94" w:rsidRPr="000A2712">
        <w:rPr>
          <w:rFonts w:ascii="Calibri Light" w:hAnsi="Calibri Light" w:cs="Calibri Light"/>
          <w:sz w:val="22"/>
          <w:szCs w:val="22"/>
          <w:lang w:val="en-AU"/>
        </w:rPr>
        <w:t>created</w:t>
      </w:r>
      <w:r w:rsidR="007713F5" w:rsidRPr="000A2712">
        <w:rPr>
          <w:rFonts w:ascii="Calibri Light" w:hAnsi="Calibri Light" w:cs="Calibri Light"/>
          <w:sz w:val="22"/>
          <w:szCs w:val="22"/>
          <w:lang w:val="en-AU"/>
        </w:rPr>
        <w:t xml:space="preserve"> </w:t>
      </w:r>
      <w:r w:rsidR="00DF5232" w:rsidRPr="000A2712">
        <w:rPr>
          <w:rFonts w:ascii="Calibri Light" w:hAnsi="Calibri Light" w:cs="Calibri Light"/>
          <w:sz w:val="22"/>
          <w:szCs w:val="22"/>
          <w:lang w:val="en-AU"/>
        </w:rPr>
        <w:t xml:space="preserve">from both the </w:t>
      </w:r>
      <w:r w:rsidR="00FD4195" w:rsidRPr="000A2712">
        <w:rPr>
          <w:rFonts w:ascii="Calibri Light" w:hAnsi="Calibri Light" w:cs="Calibri Light"/>
          <w:sz w:val="22"/>
          <w:szCs w:val="22"/>
          <w:lang w:val="en-AU"/>
        </w:rPr>
        <w:t>earlier</w:t>
      </w:r>
      <w:r w:rsidR="007713F5" w:rsidRPr="000A2712">
        <w:rPr>
          <w:rFonts w:ascii="Calibri Light" w:hAnsi="Calibri Light" w:cs="Calibri Light"/>
          <w:sz w:val="22"/>
          <w:szCs w:val="22"/>
          <w:lang w:val="en-AU"/>
        </w:rPr>
        <w:t xml:space="preserve">, </w:t>
      </w:r>
      <w:r w:rsidR="00827417" w:rsidRPr="000A2712">
        <w:rPr>
          <w:rFonts w:ascii="Calibri Light" w:hAnsi="Calibri Light" w:cs="Calibri Light"/>
          <w:sz w:val="22"/>
          <w:szCs w:val="22"/>
          <w:lang w:val="en-AU"/>
        </w:rPr>
        <w:t>larger</w:t>
      </w:r>
      <w:r w:rsidR="009A6BBD" w:rsidRPr="000A2712">
        <w:rPr>
          <w:rFonts w:ascii="Calibri Light" w:hAnsi="Calibri Light" w:cs="Calibri Light"/>
          <w:sz w:val="22"/>
          <w:szCs w:val="22"/>
          <w:lang w:val="en-AU"/>
        </w:rPr>
        <w:t xml:space="preserve"> phase </w:t>
      </w:r>
      <w:r w:rsidR="00827417" w:rsidRPr="000A2712">
        <w:rPr>
          <w:rFonts w:ascii="Calibri Light" w:hAnsi="Calibri Light" w:cs="Calibri Light"/>
          <w:sz w:val="22"/>
          <w:szCs w:val="22"/>
          <w:lang w:val="en-AU"/>
        </w:rPr>
        <w:t xml:space="preserve">of </w:t>
      </w:r>
      <w:r w:rsidR="007713F5" w:rsidRPr="000A2712">
        <w:rPr>
          <w:rFonts w:ascii="Calibri Light" w:hAnsi="Calibri Light" w:cs="Calibri Light"/>
          <w:sz w:val="22"/>
          <w:szCs w:val="22"/>
          <w:lang w:val="en-AU"/>
        </w:rPr>
        <w:t xml:space="preserve">Australian </w:t>
      </w:r>
      <w:r w:rsidR="00827417" w:rsidRPr="000A2712">
        <w:rPr>
          <w:rFonts w:ascii="Calibri Light" w:hAnsi="Calibri Light" w:cs="Calibri Light"/>
          <w:sz w:val="22"/>
          <w:szCs w:val="22"/>
          <w:lang w:val="en-AU"/>
        </w:rPr>
        <w:t xml:space="preserve">support </w:t>
      </w:r>
      <w:r w:rsidR="00062753" w:rsidRPr="000A2712">
        <w:rPr>
          <w:rFonts w:ascii="Calibri Light" w:hAnsi="Calibri Light" w:cs="Calibri Light"/>
          <w:sz w:val="22"/>
          <w:szCs w:val="22"/>
          <w:lang w:val="en-AU"/>
        </w:rPr>
        <w:t>for</w:t>
      </w:r>
      <w:r w:rsidR="009A6BBD" w:rsidRPr="000A2712">
        <w:rPr>
          <w:rFonts w:ascii="Calibri Light" w:hAnsi="Calibri Light" w:cs="Calibri Light"/>
          <w:sz w:val="22"/>
          <w:szCs w:val="22"/>
          <w:lang w:val="en-AU"/>
        </w:rPr>
        <w:t xml:space="preserve"> law and justice </w:t>
      </w:r>
      <w:r w:rsidR="00062753" w:rsidRPr="000A2712">
        <w:rPr>
          <w:rFonts w:ascii="Calibri Light" w:hAnsi="Calibri Light" w:cs="Calibri Light"/>
          <w:sz w:val="22"/>
          <w:szCs w:val="22"/>
          <w:lang w:val="en-AU"/>
        </w:rPr>
        <w:t>reform</w:t>
      </w:r>
      <w:r w:rsidR="00827417" w:rsidRPr="000A2712">
        <w:rPr>
          <w:rFonts w:ascii="Calibri Light" w:hAnsi="Calibri Light" w:cs="Calibri Light"/>
          <w:sz w:val="22"/>
          <w:szCs w:val="22"/>
          <w:lang w:val="en-AU"/>
        </w:rPr>
        <w:t xml:space="preserve"> in Indonesia (AUD </w:t>
      </w:r>
      <w:r w:rsidR="008D1AAE" w:rsidRPr="000A2712">
        <w:rPr>
          <w:rFonts w:ascii="Calibri Light" w:hAnsi="Calibri Light" w:cs="Calibri Light"/>
          <w:sz w:val="22"/>
          <w:szCs w:val="22"/>
          <w:lang w:val="en-AU"/>
        </w:rPr>
        <w:t xml:space="preserve">55 </w:t>
      </w:r>
      <w:r w:rsidR="00827417" w:rsidRPr="000A2712">
        <w:rPr>
          <w:rFonts w:ascii="Calibri Light" w:hAnsi="Calibri Light" w:cs="Calibri Light"/>
          <w:sz w:val="22"/>
          <w:szCs w:val="22"/>
          <w:lang w:val="en-AU"/>
        </w:rPr>
        <w:t xml:space="preserve">million) </w:t>
      </w:r>
      <w:r w:rsidR="004F3669" w:rsidRPr="000A2712">
        <w:rPr>
          <w:rFonts w:ascii="Calibri Light" w:hAnsi="Calibri Light" w:cs="Calibri Light"/>
          <w:sz w:val="22"/>
          <w:szCs w:val="22"/>
          <w:lang w:val="en-AU"/>
        </w:rPr>
        <w:t xml:space="preserve">and </w:t>
      </w:r>
      <w:r w:rsidR="00827417" w:rsidRPr="000A2712">
        <w:rPr>
          <w:rFonts w:ascii="Calibri Light" w:hAnsi="Calibri Light" w:cs="Calibri Light"/>
          <w:sz w:val="22"/>
          <w:szCs w:val="22"/>
          <w:lang w:val="en-AU"/>
        </w:rPr>
        <w:t>ODA-eligible expenditure on security</w:t>
      </w:r>
      <w:r w:rsidR="00774BA4" w:rsidRPr="000A2712">
        <w:rPr>
          <w:rFonts w:ascii="Calibri Light" w:hAnsi="Calibri Light" w:cs="Calibri Light"/>
          <w:sz w:val="22"/>
          <w:szCs w:val="22"/>
          <w:lang w:val="en-AU"/>
        </w:rPr>
        <w:t xml:space="preserve">/transnational crime prevention </w:t>
      </w:r>
      <w:r w:rsidR="00827417" w:rsidRPr="000A2712">
        <w:rPr>
          <w:rFonts w:ascii="Calibri Light" w:hAnsi="Calibri Light" w:cs="Calibri Light"/>
          <w:sz w:val="22"/>
          <w:szCs w:val="22"/>
          <w:lang w:val="en-AU"/>
        </w:rPr>
        <w:t>and counter-terrorism</w:t>
      </w:r>
      <w:r w:rsidR="006C227F" w:rsidRPr="000A2712">
        <w:rPr>
          <w:rFonts w:ascii="Calibri Light" w:hAnsi="Calibri Light" w:cs="Calibri Light"/>
          <w:sz w:val="22"/>
          <w:szCs w:val="22"/>
          <w:lang w:val="en-AU"/>
        </w:rPr>
        <w:t xml:space="preserve"> </w:t>
      </w:r>
      <w:r w:rsidR="00DF5232" w:rsidRPr="000A2712">
        <w:rPr>
          <w:rFonts w:ascii="Calibri Light" w:hAnsi="Calibri Light" w:cs="Calibri Light"/>
          <w:sz w:val="22"/>
          <w:szCs w:val="22"/>
          <w:lang w:val="en-AU"/>
        </w:rPr>
        <w:t>support</w:t>
      </w:r>
      <w:r w:rsidR="00A16179">
        <w:rPr>
          <w:rFonts w:ascii="Calibri Light" w:hAnsi="Calibri Light" w:cs="Calibri Light"/>
          <w:sz w:val="22"/>
          <w:szCs w:val="22"/>
          <w:lang w:val="en-AU"/>
        </w:rPr>
        <w:t xml:space="preserve"> </w:t>
      </w:r>
      <w:r w:rsidR="00774BA4" w:rsidRPr="000A2712">
        <w:rPr>
          <w:rFonts w:ascii="Calibri Light" w:hAnsi="Calibri Light" w:cs="Calibri Light"/>
          <w:sz w:val="22"/>
          <w:szCs w:val="22"/>
          <w:lang w:val="en-AU"/>
        </w:rPr>
        <w:t xml:space="preserve">– </w:t>
      </w:r>
      <w:r w:rsidR="008D1AAE" w:rsidRPr="000A2712">
        <w:rPr>
          <w:rFonts w:ascii="Calibri Light" w:hAnsi="Calibri Light" w:cs="Calibri Light"/>
          <w:sz w:val="22"/>
          <w:szCs w:val="22"/>
          <w:lang w:val="en-AU"/>
        </w:rPr>
        <w:t xml:space="preserve">which </w:t>
      </w:r>
      <w:r w:rsidR="00774BA4" w:rsidRPr="000A2712">
        <w:rPr>
          <w:rFonts w:ascii="Calibri Light" w:hAnsi="Calibri Light" w:cs="Calibri Light"/>
          <w:sz w:val="22"/>
          <w:szCs w:val="22"/>
          <w:lang w:val="en-AU"/>
        </w:rPr>
        <w:t xml:space="preserve">previously </w:t>
      </w:r>
      <w:r w:rsidR="008D1AAE" w:rsidRPr="000A2712">
        <w:rPr>
          <w:rFonts w:ascii="Calibri Light" w:hAnsi="Calibri Light" w:cs="Calibri Light"/>
          <w:sz w:val="22"/>
          <w:szCs w:val="22"/>
          <w:lang w:val="en-AU"/>
        </w:rPr>
        <w:t xml:space="preserve">amounted to AUD 5 million as </w:t>
      </w:r>
      <w:r w:rsidR="00774BA4" w:rsidRPr="000A2712">
        <w:rPr>
          <w:rFonts w:ascii="Calibri Light" w:hAnsi="Calibri Light" w:cs="Calibri Light"/>
          <w:sz w:val="22"/>
          <w:szCs w:val="22"/>
          <w:lang w:val="en-AU"/>
        </w:rPr>
        <w:t>part of the Australia Indonesia Security Cooperation Program (AISCP)</w:t>
      </w:r>
      <w:r w:rsidR="009A6BBD"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p>
    <w:p w14:paraId="626D1C66" w14:textId="2879C39D" w:rsidR="0067414C" w:rsidRPr="000A2712" w:rsidRDefault="005B77B4" w:rsidP="006B32D6">
      <w:pPr>
        <w:pStyle w:val="ListParagraph"/>
        <w:numPr>
          <w:ilvl w:val="2"/>
          <w:numId w:val="3"/>
        </w:numPr>
        <w:tabs>
          <w:tab w:val="clear" w:pos="1701"/>
          <w:tab w:val="left" w:pos="567"/>
        </w:tabs>
        <w:spacing w:after="240"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AIPJ2 is designed as a wide-ranging, flexible facility to enable iterative, responsive programming in a dynamic and sensitive sector.</w:t>
      </w:r>
      <w:r w:rsidR="00A16179">
        <w:rPr>
          <w:rFonts w:ascii="Calibri Light" w:hAnsi="Calibri Light" w:cs="Calibri Light"/>
          <w:sz w:val="22"/>
          <w:szCs w:val="22"/>
          <w:lang w:val="en-AU"/>
        </w:rPr>
        <w:t xml:space="preserve"> </w:t>
      </w:r>
      <w:r w:rsidR="00B67836" w:rsidRPr="000A2712">
        <w:rPr>
          <w:rFonts w:ascii="Calibri Light" w:hAnsi="Calibri Light" w:cs="Calibri Light"/>
          <w:sz w:val="22"/>
          <w:szCs w:val="22"/>
          <w:lang w:val="en-AU"/>
        </w:rPr>
        <w:t>It is also a relatively small investment</w:t>
      </w:r>
      <w:r w:rsidR="00295394" w:rsidRPr="000A2712">
        <w:rPr>
          <w:rFonts w:ascii="Calibri Light" w:hAnsi="Calibri Light" w:cs="Calibri Light"/>
          <w:sz w:val="22"/>
          <w:szCs w:val="22"/>
          <w:lang w:val="en-AU"/>
        </w:rPr>
        <w:t xml:space="preserve">, </w:t>
      </w:r>
      <w:r w:rsidR="008573F5">
        <w:rPr>
          <w:rFonts w:ascii="Calibri Light" w:hAnsi="Calibri Light" w:cs="Calibri Light"/>
          <w:sz w:val="22"/>
          <w:szCs w:val="22"/>
          <w:lang w:val="en-AU"/>
        </w:rPr>
        <w:t xml:space="preserve">annually </w:t>
      </w:r>
      <w:r w:rsidR="00797928" w:rsidRPr="000A2712">
        <w:rPr>
          <w:rFonts w:ascii="Calibri Light" w:hAnsi="Calibri Light" w:cs="Calibri Light"/>
          <w:sz w:val="22"/>
          <w:szCs w:val="22"/>
          <w:lang w:val="en-AU"/>
        </w:rPr>
        <w:t xml:space="preserve">at </w:t>
      </w:r>
      <w:r w:rsidR="00B67836" w:rsidRPr="000A2712">
        <w:rPr>
          <w:rFonts w:ascii="Calibri Light" w:hAnsi="Calibri Light" w:cs="Calibri Light"/>
          <w:sz w:val="22"/>
          <w:szCs w:val="22"/>
          <w:lang w:val="en-AU"/>
        </w:rPr>
        <w:t>less than 0.</w:t>
      </w:r>
      <w:r w:rsidR="00A66023">
        <w:rPr>
          <w:rFonts w:ascii="Calibri Light" w:hAnsi="Calibri Light" w:cs="Calibri Light"/>
          <w:sz w:val="22"/>
          <w:szCs w:val="22"/>
          <w:lang w:val="en-AU"/>
        </w:rPr>
        <w:t>1</w:t>
      </w:r>
      <w:r w:rsidR="00B67836" w:rsidRPr="000A2712">
        <w:rPr>
          <w:rFonts w:ascii="Calibri Light" w:hAnsi="Calibri Light" w:cs="Calibri Light"/>
          <w:sz w:val="22"/>
          <w:szCs w:val="22"/>
          <w:lang w:val="en-AU"/>
        </w:rPr>
        <w:t>% of the Indonesian State Budget for law and security organisations</w:t>
      </w:r>
      <w:r w:rsidR="00797928" w:rsidRPr="000A2712">
        <w:rPr>
          <w:rStyle w:val="FootnoteReference"/>
          <w:rFonts w:ascii="Calibri Light" w:hAnsi="Calibri Light" w:cs="Calibri Light"/>
          <w:sz w:val="22"/>
          <w:szCs w:val="22"/>
          <w:lang w:val="en-AU"/>
        </w:rPr>
        <w:footnoteReference w:id="2"/>
      </w:r>
      <w:r w:rsidR="00797928"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With </w:t>
      </w:r>
      <w:r w:rsidR="004A60AB" w:rsidRPr="000A2712">
        <w:rPr>
          <w:rFonts w:ascii="Calibri Light" w:hAnsi="Calibri Light" w:cs="Calibri Light"/>
          <w:sz w:val="22"/>
          <w:szCs w:val="22"/>
          <w:lang w:val="en-AU"/>
        </w:rPr>
        <w:t xml:space="preserve">relatively modest resources, </w:t>
      </w:r>
      <w:r w:rsidRPr="000A2712">
        <w:rPr>
          <w:rFonts w:ascii="Calibri Light" w:hAnsi="Calibri Light" w:cs="Calibri Light"/>
          <w:sz w:val="22"/>
          <w:szCs w:val="22"/>
          <w:lang w:val="en-AU"/>
        </w:rPr>
        <w:t xml:space="preserve">AIPJ2 </w:t>
      </w:r>
      <w:r w:rsidR="004A60AB" w:rsidRPr="000A2712">
        <w:rPr>
          <w:rFonts w:ascii="Calibri Light" w:hAnsi="Calibri Light" w:cs="Calibri Light"/>
          <w:sz w:val="22"/>
          <w:szCs w:val="22"/>
          <w:lang w:val="en-AU"/>
        </w:rPr>
        <w:t>works primarily through partnerships – with both government and civil society – to leverage existing Indonesian capabilities and resources in support of reform.</w:t>
      </w:r>
      <w:r w:rsidR="00A16179">
        <w:rPr>
          <w:rFonts w:ascii="Calibri Light" w:hAnsi="Calibri Light" w:cs="Calibri Light"/>
          <w:sz w:val="22"/>
          <w:szCs w:val="22"/>
          <w:lang w:val="en-AU"/>
        </w:rPr>
        <w:t xml:space="preserve"> </w:t>
      </w:r>
      <w:r w:rsidR="004A60AB" w:rsidRPr="000A2712">
        <w:rPr>
          <w:rFonts w:ascii="Calibri Light" w:hAnsi="Calibri Light" w:cs="Calibri Light"/>
          <w:sz w:val="22"/>
          <w:szCs w:val="22"/>
          <w:lang w:val="en-AU"/>
        </w:rPr>
        <w:t xml:space="preserve">Some assistance is also provided to augment partners’ capacity. </w:t>
      </w:r>
      <w:r w:rsidRPr="000A2712">
        <w:rPr>
          <w:rFonts w:ascii="Calibri Light" w:hAnsi="Calibri Light" w:cs="Calibri Light"/>
          <w:sz w:val="22"/>
          <w:szCs w:val="22"/>
          <w:lang w:val="en-AU"/>
        </w:rPr>
        <w:t xml:space="preserve">AIPJ2 is </w:t>
      </w:r>
      <w:r w:rsidR="00FD4195" w:rsidRPr="000A2712">
        <w:rPr>
          <w:rFonts w:ascii="Calibri Light" w:hAnsi="Calibri Light" w:cs="Calibri Light"/>
          <w:sz w:val="22"/>
          <w:szCs w:val="22"/>
          <w:lang w:val="en-AU"/>
        </w:rPr>
        <w:t xml:space="preserve">organised around </w:t>
      </w:r>
      <w:r w:rsidR="00666465" w:rsidRPr="000A2712">
        <w:rPr>
          <w:rFonts w:ascii="Calibri Light" w:hAnsi="Calibri Light" w:cs="Calibri Light"/>
          <w:sz w:val="22"/>
          <w:szCs w:val="22"/>
          <w:lang w:val="en-AU"/>
        </w:rPr>
        <w:t>five</w:t>
      </w:r>
      <w:r w:rsidR="00FD4195" w:rsidRPr="000A2712">
        <w:rPr>
          <w:rFonts w:ascii="Calibri Light" w:hAnsi="Calibri Light" w:cs="Calibri Light"/>
          <w:sz w:val="22"/>
          <w:szCs w:val="22"/>
          <w:lang w:val="en-AU"/>
        </w:rPr>
        <w:t xml:space="preserve"> </w:t>
      </w:r>
      <w:r w:rsidR="00666465" w:rsidRPr="000A2712">
        <w:rPr>
          <w:rFonts w:ascii="Calibri Light" w:hAnsi="Calibri Light" w:cs="Calibri Light"/>
          <w:sz w:val="22"/>
          <w:szCs w:val="22"/>
          <w:lang w:val="en-AU"/>
        </w:rPr>
        <w:t>‘</w:t>
      </w:r>
      <w:r w:rsidR="00FD4195" w:rsidRPr="000A2712">
        <w:rPr>
          <w:rFonts w:ascii="Calibri Light" w:hAnsi="Calibri Light" w:cs="Calibri Light"/>
          <w:sz w:val="22"/>
          <w:szCs w:val="22"/>
          <w:lang w:val="en-AU"/>
        </w:rPr>
        <w:t>pillars</w:t>
      </w:r>
      <w:r w:rsidR="00666465" w:rsidRPr="000A2712">
        <w:rPr>
          <w:rFonts w:ascii="Calibri Light" w:hAnsi="Calibri Light" w:cs="Calibri Light"/>
          <w:sz w:val="22"/>
          <w:szCs w:val="22"/>
          <w:lang w:val="en-AU"/>
        </w:rPr>
        <w:t>’</w:t>
      </w:r>
      <w:r w:rsidR="00FD4195" w:rsidRPr="000A2712">
        <w:rPr>
          <w:rFonts w:ascii="Calibri Light" w:hAnsi="Calibri Light" w:cs="Calibri Light"/>
          <w:sz w:val="22"/>
          <w:szCs w:val="22"/>
          <w:lang w:val="en-AU"/>
        </w:rPr>
        <w:t>:</w:t>
      </w:r>
    </w:p>
    <w:tbl>
      <w:tblPr>
        <w:tblStyle w:val="TableGrid"/>
        <w:tblW w:w="99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8"/>
        <w:gridCol w:w="6662"/>
        <w:gridCol w:w="2268"/>
      </w:tblGrid>
      <w:tr w:rsidR="004E7ECB" w:rsidRPr="000A2712" w14:paraId="02620D9D" w14:textId="77777777" w:rsidTr="00196960">
        <w:tc>
          <w:tcPr>
            <w:tcW w:w="988" w:type="dxa"/>
          </w:tcPr>
          <w:p w14:paraId="5B0E0D15" w14:textId="68634012" w:rsidR="006C421A" w:rsidRPr="000A2712" w:rsidRDefault="006C421A" w:rsidP="00531678">
            <w:pPr>
              <w:pStyle w:val="ListParagraph"/>
              <w:tabs>
                <w:tab w:val="left" w:pos="567"/>
              </w:tabs>
              <w:spacing w:before="80"/>
              <w:ind w:left="0"/>
              <w:contextualSpacing w:val="0"/>
              <w:rPr>
                <w:rFonts w:ascii="Calibri Light" w:hAnsi="Calibri Light" w:cs="Calibri Light"/>
                <w:b/>
                <w:bCs/>
                <w:i/>
                <w:iCs/>
                <w:sz w:val="22"/>
                <w:szCs w:val="22"/>
                <w:lang w:val="en-AU"/>
              </w:rPr>
            </w:pPr>
            <w:r w:rsidRPr="000A2712">
              <w:rPr>
                <w:rFonts w:ascii="Calibri Light" w:hAnsi="Calibri Light" w:cs="Calibri Light"/>
                <w:b/>
                <w:bCs/>
                <w:i/>
                <w:iCs/>
                <w:sz w:val="22"/>
                <w:szCs w:val="22"/>
                <w:lang w:val="en-AU"/>
              </w:rPr>
              <w:t>Pillar 1:</w:t>
            </w:r>
          </w:p>
        </w:tc>
        <w:tc>
          <w:tcPr>
            <w:tcW w:w="6662" w:type="dxa"/>
            <w:tcBorders>
              <w:right w:val="single" w:sz="4" w:space="0" w:color="BFBFBF" w:themeColor="background1" w:themeShade="BF"/>
            </w:tcBorders>
          </w:tcPr>
          <w:p w14:paraId="4518D7A3" w14:textId="57874EA8" w:rsidR="006C421A" w:rsidRPr="000A2712" w:rsidRDefault="006C421A" w:rsidP="006C421A">
            <w:pPr>
              <w:pStyle w:val="ListParagraph"/>
              <w:tabs>
                <w:tab w:val="left" w:pos="176"/>
              </w:tabs>
              <w:spacing w:before="40" w:after="40"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predominantly justice for women and girls, court reform, commercial dispute resolution and anti-corruption activities;</w:t>
            </w:r>
          </w:p>
        </w:tc>
        <w:tc>
          <w:tcPr>
            <w:tcW w:w="2268" w:type="dxa"/>
            <w:vMerge w:val="restart"/>
            <w:tcBorders>
              <w:left w:val="single" w:sz="4" w:space="0" w:color="BFBFBF" w:themeColor="background1" w:themeShade="BF"/>
            </w:tcBorders>
          </w:tcPr>
          <w:p w14:paraId="6E08308B" w14:textId="7690746D" w:rsidR="006C421A" w:rsidRPr="000A2712" w:rsidRDefault="006B6E4E" w:rsidP="0067414C">
            <w:pPr>
              <w:pStyle w:val="ListParagraph"/>
              <w:tabs>
                <w:tab w:val="left" w:pos="567"/>
              </w:tabs>
              <w:spacing w:line="274" w:lineRule="auto"/>
              <w:ind w:left="0"/>
              <w:contextualSpacing w:val="0"/>
              <w:rPr>
                <w:rFonts w:ascii="Calibri Light" w:hAnsi="Calibri Light" w:cs="Calibri Light"/>
                <w:sz w:val="22"/>
                <w:szCs w:val="22"/>
                <w:lang w:val="en-AU"/>
              </w:rPr>
            </w:pPr>
            <w:r w:rsidRPr="000A2712">
              <w:rPr>
                <w:rFonts w:ascii="Calibri Light" w:hAnsi="Calibri Light" w:cs="Calibri Light"/>
                <w:i/>
                <w:iCs/>
                <w:sz w:val="22"/>
                <w:szCs w:val="22"/>
                <w:lang w:val="en-AU"/>
              </w:rPr>
              <w:t>Law and justice</w:t>
            </w:r>
          </w:p>
          <w:p w14:paraId="7C6C0F1F" w14:textId="2B6C3FF9" w:rsidR="005640D0" w:rsidRPr="000A2712" w:rsidRDefault="00196960" w:rsidP="0067414C">
            <w:pPr>
              <w:pStyle w:val="ListParagraph"/>
              <w:tabs>
                <w:tab w:val="left" w:pos="567"/>
              </w:tabs>
              <w:spacing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r</w:t>
            </w:r>
            <w:r w:rsidR="006B6E4E" w:rsidRPr="000A2712">
              <w:rPr>
                <w:rFonts w:ascii="Calibri Light" w:hAnsi="Calibri Light" w:cs="Calibri Light"/>
                <w:i/>
                <w:iCs/>
                <w:sz w:val="22"/>
                <w:szCs w:val="22"/>
                <w:lang w:val="en-AU"/>
              </w:rPr>
              <w:t>elated</w:t>
            </w:r>
          </w:p>
          <w:p w14:paraId="65156F77" w14:textId="2F785171" w:rsidR="005640D0" w:rsidRPr="000A2712" w:rsidRDefault="00A16179" w:rsidP="0067414C">
            <w:pPr>
              <w:pStyle w:val="ListParagraph"/>
              <w:tabs>
                <w:tab w:val="left" w:pos="567"/>
              </w:tabs>
              <w:spacing w:line="274" w:lineRule="auto"/>
              <w:ind w:left="0"/>
              <w:contextualSpacing w:val="0"/>
              <w:rPr>
                <w:rFonts w:ascii="Calibri Light" w:hAnsi="Calibri Light" w:cs="Calibri Light"/>
                <w:sz w:val="22"/>
                <w:szCs w:val="22"/>
                <w:lang w:val="en-AU"/>
              </w:rPr>
            </w:pPr>
            <w:r>
              <w:rPr>
                <w:rFonts w:ascii="Calibri Light" w:hAnsi="Calibri Light" w:cs="Calibri Light"/>
                <w:sz w:val="22"/>
                <w:szCs w:val="22"/>
                <w:lang w:val="en-AU"/>
              </w:rPr>
              <w:t xml:space="preserve"> </w:t>
            </w:r>
          </w:p>
        </w:tc>
      </w:tr>
      <w:tr w:rsidR="004E7ECB" w:rsidRPr="000A2712" w14:paraId="03A6B3D1" w14:textId="77777777" w:rsidTr="00531678">
        <w:tc>
          <w:tcPr>
            <w:tcW w:w="988" w:type="dxa"/>
            <w:tcBorders>
              <w:bottom w:val="dotted" w:sz="4" w:space="0" w:color="BFBFBF" w:themeColor="background1" w:themeShade="BF"/>
            </w:tcBorders>
          </w:tcPr>
          <w:p w14:paraId="276D7414" w14:textId="2DCA9929" w:rsidR="006C421A" w:rsidRPr="000A2712" w:rsidRDefault="006C421A" w:rsidP="00531678">
            <w:pPr>
              <w:pStyle w:val="ListParagraph"/>
              <w:tabs>
                <w:tab w:val="left" w:pos="567"/>
              </w:tabs>
              <w:spacing w:before="80"/>
              <w:ind w:left="0"/>
              <w:contextualSpacing w:val="0"/>
              <w:rPr>
                <w:rFonts w:ascii="Calibri Light" w:hAnsi="Calibri Light" w:cs="Calibri Light"/>
                <w:b/>
                <w:bCs/>
                <w:i/>
                <w:iCs/>
                <w:sz w:val="22"/>
                <w:szCs w:val="22"/>
                <w:lang w:val="en-AU"/>
              </w:rPr>
            </w:pPr>
            <w:r w:rsidRPr="000A2712">
              <w:rPr>
                <w:rFonts w:ascii="Calibri Light" w:hAnsi="Calibri Light" w:cs="Calibri Light"/>
                <w:b/>
                <w:bCs/>
                <w:i/>
                <w:iCs/>
                <w:sz w:val="22"/>
                <w:szCs w:val="22"/>
                <w:lang w:val="en-AU"/>
              </w:rPr>
              <w:t>Pillar 4:</w:t>
            </w:r>
          </w:p>
        </w:tc>
        <w:tc>
          <w:tcPr>
            <w:tcW w:w="6662" w:type="dxa"/>
            <w:tcBorders>
              <w:bottom w:val="dotted" w:sz="4" w:space="0" w:color="BFBFBF" w:themeColor="background1" w:themeShade="BF"/>
              <w:right w:val="single" w:sz="4" w:space="0" w:color="BFBFBF" w:themeColor="background1" w:themeShade="BF"/>
            </w:tcBorders>
          </w:tcPr>
          <w:p w14:paraId="2D0AE8BA" w14:textId="36361045" w:rsidR="006C421A" w:rsidRPr="000A2712" w:rsidRDefault="006C421A" w:rsidP="005057AA">
            <w:pPr>
              <w:pStyle w:val="ListParagraph"/>
              <w:tabs>
                <w:tab w:val="left" w:pos="567"/>
              </w:tabs>
              <w:spacing w:before="40"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corrections reform;</w:t>
            </w:r>
          </w:p>
        </w:tc>
        <w:tc>
          <w:tcPr>
            <w:tcW w:w="2268" w:type="dxa"/>
            <w:vMerge/>
            <w:tcBorders>
              <w:left w:val="single" w:sz="4" w:space="0" w:color="BFBFBF" w:themeColor="background1" w:themeShade="BF"/>
              <w:bottom w:val="dotted" w:sz="4" w:space="0" w:color="BFBFBF" w:themeColor="background1" w:themeShade="BF"/>
            </w:tcBorders>
          </w:tcPr>
          <w:p w14:paraId="168EE9A9" w14:textId="77777777" w:rsidR="006C421A" w:rsidRPr="000A2712" w:rsidRDefault="006C421A" w:rsidP="0067414C">
            <w:pPr>
              <w:pStyle w:val="ListParagraph"/>
              <w:tabs>
                <w:tab w:val="left" w:pos="567"/>
              </w:tabs>
              <w:spacing w:line="274" w:lineRule="auto"/>
              <w:ind w:left="0"/>
              <w:contextualSpacing w:val="0"/>
              <w:rPr>
                <w:rFonts w:ascii="Calibri Light" w:hAnsi="Calibri Light" w:cs="Calibri Light"/>
                <w:sz w:val="22"/>
                <w:szCs w:val="22"/>
                <w:lang w:val="en-AU"/>
              </w:rPr>
            </w:pPr>
          </w:p>
        </w:tc>
      </w:tr>
      <w:tr w:rsidR="00196960" w:rsidRPr="000A2712" w14:paraId="7AB0198E" w14:textId="77777777" w:rsidTr="00531678">
        <w:tc>
          <w:tcPr>
            <w:tcW w:w="988" w:type="dxa"/>
            <w:tcBorders>
              <w:top w:val="dotted" w:sz="4" w:space="0" w:color="BFBFBF" w:themeColor="background1" w:themeShade="BF"/>
            </w:tcBorders>
          </w:tcPr>
          <w:p w14:paraId="3D19DBCE" w14:textId="77777777" w:rsidR="00196960" w:rsidRPr="000A2712" w:rsidRDefault="00196960" w:rsidP="00531678">
            <w:pPr>
              <w:pStyle w:val="ListParagraph"/>
              <w:tabs>
                <w:tab w:val="left" w:pos="567"/>
              </w:tabs>
              <w:spacing w:before="80"/>
              <w:ind w:left="0"/>
              <w:contextualSpacing w:val="0"/>
              <w:rPr>
                <w:rFonts w:ascii="Calibri Light" w:hAnsi="Calibri Light" w:cs="Calibri Light"/>
                <w:b/>
                <w:bCs/>
                <w:i/>
                <w:iCs/>
                <w:sz w:val="8"/>
                <w:szCs w:val="8"/>
                <w:lang w:val="en-AU"/>
              </w:rPr>
            </w:pPr>
          </w:p>
        </w:tc>
        <w:tc>
          <w:tcPr>
            <w:tcW w:w="6662" w:type="dxa"/>
            <w:tcBorders>
              <w:top w:val="dotted" w:sz="4" w:space="0" w:color="BFBFBF" w:themeColor="background1" w:themeShade="BF"/>
            </w:tcBorders>
          </w:tcPr>
          <w:p w14:paraId="24123804" w14:textId="77777777" w:rsidR="00196960" w:rsidRPr="000A2712" w:rsidRDefault="00196960" w:rsidP="00531678">
            <w:pPr>
              <w:pStyle w:val="ListParagraph"/>
              <w:tabs>
                <w:tab w:val="left" w:pos="567"/>
              </w:tabs>
              <w:spacing w:before="80"/>
              <w:ind w:left="0"/>
              <w:contextualSpacing w:val="0"/>
              <w:rPr>
                <w:rFonts w:ascii="Calibri Light" w:hAnsi="Calibri Light" w:cs="Calibri Light"/>
                <w:b/>
                <w:bCs/>
                <w:i/>
                <w:iCs/>
                <w:sz w:val="8"/>
                <w:szCs w:val="8"/>
                <w:lang w:val="en-AU"/>
              </w:rPr>
            </w:pPr>
          </w:p>
        </w:tc>
        <w:tc>
          <w:tcPr>
            <w:tcW w:w="2268" w:type="dxa"/>
            <w:tcBorders>
              <w:top w:val="dotted" w:sz="4" w:space="0" w:color="BFBFBF" w:themeColor="background1" w:themeShade="BF"/>
              <w:bottom w:val="single" w:sz="4" w:space="0" w:color="FFFFFF" w:themeColor="background1"/>
            </w:tcBorders>
          </w:tcPr>
          <w:p w14:paraId="69FBC48C" w14:textId="77777777" w:rsidR="00196960" w:rsidRPr="000A2712" w:rsidRDefault="00196960" w:rsidP="00196960">
            <w:pPr>
              <w:pStyle w:val="ListParagraph"/>
              <w:tabs>
                <w:tab w:val="left" w:pos="567"/>
              </w:tabs>
              <w:ind w:left="0"/>
              <w:contextualSpacing w:val="0"/>
              <w:rPr>
                <w:rFonts w:ascii="Calibri Light" w:hAnsi="Calibri Light" w:cs="Calibri Light"/>
                <w:sz w:val="8"/>
                <w:szCs w:val="8"/>
                <w:lang w:val="en-AU"/>
              </w:rPr>
            </w:pPr>
          </w:p>
        </w:tc>
      </w:tr>
      <w:tr w:rsidR="004E7ECB" w:rsidRPr="000A2712" w14:paraId="7CA0E880" w14:textId="77777777" w:rsidTr="00531678">
        <w:tc>
          <w:tcPr>
            <w:tcW w:w="988" w:type="dxa"/>
          </w:tcPr>
          <w:p w14:paraId="06B0EA4C" w14:textId="58F7C800" w:rsidR="00BF2CA3" w:rsidRPr="000A2712" w:rsidRDefault="00BF2CA3" w:rsidP="00531678">
            <w:pPr>
              <w:pStyle w:val="ListParagraph"/>
              <w:tabs>
                <w:tab w:val="left" w:pos="567"/>
              </w:tabs>
              <w:spacing w:before="80"/>
              <w:ind w:left="0"/>
              <w:contextualSpacing w:val="0"/>
              <w:rPr>
                <w:rFonts w:ascii="Calibri Light" w:hAnsi="Calibri Light" w:cs="Calibri Light"/>
                <w:b/>
                <w:bCs/>
                <w:i/>
                <w:iCs/>
                <w:sz w:val="22"/>
                <w:szCs w:val="22"/>
                <w:lang w:val="en-AU"/>
              </w:rPr>
            </w:pPr>
            <w:r w:rsidRPr="000A2712">
              <w:rPr>
                <w:rFonts w:ascii="Calibri Light" w:hAnsi="Calibri Light" w:cs="Calibri Light"/>
                <w:b/>
                <w:bCs/>
                <w:i/>
                <w:iCs/>
                <w:sz w:val="22"/>
                <w:szCs w:val="22"/>
                <w:lang w:val="en-AU"/>
              </w:rPr>
              <w:t>Pillar 2:</w:t>
            </w:r>
          </w:p>
        </w:tc>
        <w:tc>
          <w:tcPr>
            <w:tcW w:w="6662" w:type="dxa"/>
            <w:tcBorders>
              <w:right w:val="single" w:sz="4" w:space="0" w:color="BFBFBF" w:themeColor="background1" w:themeShade="BF"/>
            </w:tcBorders>
          </w:tcPr>
          <w:p w14:paraId="4C192A2C" w14:textId="3C1EB029" w:rsidR="00BF2CA3" w:rsidRPr="000A2712" w:rsidRDefault="00BF2CA3" w:rsidP="00BF2CA3">
            <w:pPr>
              <w:pStyle w:val="ListParagraph"/>
              <w:tabs>
                <w:tab w:val="left" w:pos="567"/>
              </w:tabs>
              <w:spacing w:before="80" w:after="40"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transnational crime prevention and security strengthening</w:t>
            </w:r>
          </w:p>
        </w:tc>
        <w:tc>
          <w:tcPr>
            <w:tcW w:w="2268" w:type="dxa"/>
            <w:vMerge w:val="restart"/>
            <w:tcBorders>
              <w:left w:val="single" w:sz="4" w:space="0" w:color="BFBFBF" w:themeColor="background1" w:themeShade="BF"/>
              <w:bottom w:val="dotted" w:sz="4" w:space="0" w:color="BFBFBF" w:themeColor="background1" w:themeShade="BF"/>
            </w:tcBorders>
          </w:tcPr>
          <w:p w14:paraId="63E47EE7" w14:textId="2F980839" w:rsidR="00BF2CA3" w:rsidRPr="000A2712" w:rsidRDefault="00BF2CA3" w:rsidP="00921A12">
            <w:pPr>
              <w:pStyle w:val="ListParagraph"/>
              <w:pBdr>
                <w:left w:val="single" w:sz="4" w:space="4" w:color="BFBFBF" w:themeColor="background1" w:themeShade="BF"/>
              </w:pBdr>
              <w:tabs>
                <w:tab w:val="left" w:pos="567"/>
              </w:tabs>
              <w:spacing w:line="274" w:lineRule="auto"/>
              <w:ind w:left="0"/>
              <w:contextualSpacing w:val="0"/>
              <w:rPr>
                <w:rFonts w:ascii="Calibri Light" w:hAnsi="Calibri Light" w:cs="Calibri Light"/>
                <w:i/>
                <w:iCs/>
                <w:sz w:val="22"/>
                <w:szCs w:val="22"/>
                <w:lang w:val="en-AU"/>
              </w:rPr>
            </w:pPr>
            <w:r w:rsidRPr="000A2712">
              <w:rPr>
                <w:rFonts w:ascii="Calibri Light" w:hAnsi="Calibri Light" w:cs="Calibri Light"/>
                <w:i/>
                <w:iCs/>
                <w:sz w:val="22"/>
                <w:szCs w:val="22"/>
                <w:lang w:val="en-AU"/>
              </w:rPr>
              <w:t xml:space="preserve">Security </w:t>
            </w:r>
            <w:r w:rsidR="004E7ECB" w:rsidRPr="000A2712">
              <w:rPr>
                <w:rFonts w:ascii="Calibri Light" w:hAnsi="Calibri Light" w:cs="Calibri Light"/>
                <w:i/>
                <w:iCs/>
                <w:sz w:val="22"/>
                <w:szCs w:val="22"/>
                <w:lang w:val="en-AU"/>
              </w:rPr>
              <w:t>/ trans-</w:t>
            </w:r>
          </w:p>
          <w:p w14:paraId="7C73AC2B" w14:textId="4A70A53D" w:rsidR="00BF2CA3" w:rsidRPr="000A2712" w:rsidRDefault="004E7ECB" w:rsidP="00921A12">
            <w:pPr>
              <w:pStyle w:val="ListParagraph"/>
              <w:pBdr>
                <w:left w:val="single" w:sz="4" w:space="4" w:color="BFBFBF" w:themeColor="background1" w:themeShade="BF"/>
              </w:pBdr>
              <w:tabs>
                <w:tab w:val="left" w:pos="567"/>
              </w:tabs>
              <w:spacing w:line="274" w:lineRule="auto"/>
              <w:ind w:left="0"/>
              <w:contextualSpacing w:val="0"/>
              <w:rPr>
                <w:rFonts w:ascii="Calibri Light" w:hAnsi="Calibri Light" w:cs="Calibri Light"/>
                <w:sz w:val="22"/>
                <w:szCs w:val="22"/>
                <w:lang w:val="en-AU"/>
              </w:rPr>
            </w:pPr>
            <w:r w:rsidRPr="000A2712">
              <w:rPr>
                <w:rFonts w:ascii="Calibri Light" w:hAnsi="Calibri Light" w:cs="Calibri Light"/>
                <w:i/>
                <w:iCs/>
                <w:sz w:val="22"/>
                <w:szCs w:val="22"/>
                <w:lang w:val="en-AU"/>
              </w:rPr>
              <w:t>national crime</w:t>
            </w:r>
            <w:r w:rsidR="00196960" w:rsidRPr="000A2712">
              <w:rPr>
                <w:rFonts w:ascii="Calibri Light" w:hAnsi="Calibri Light" w:cs="Calibri Light"/>
                <w:sz w:val="22"/>
                <w:szCs w:val="22"/>
                <w:lang w:val="en-AU"/>
              </w:rPr>
              <w:t xml:space="preserve"> </w:t>
            </w:r>
            <w:r w:rsidR="00BF2CA3" w:rsidRPr="000A2712">
              <w:rPr>
                <w:rFonts w:ascii="Calibri Light" w:hAnsi="Calibri Light" w:cs="Calibri Light"/>
                <w:i/>
                <w:iCs/>
                <w:sz w:val="22"/>
                <w:szCs w:val="22"/>
                <w:lang w:val="en-AU"/>
              </w:rPr>
              <w:t>related</w:t>
            </w:r>
          </w:p>
        </w:tc>
      </w:tr>
      <w:tr w:rsidR="004E7ECB" w:rsidRPr="000A2712" w14:paraId="22F10BCE" w14:textId="77777777" w:rsidTr="00531678">
        <w:tc>
          <w:tcPr>
            <w:tcW w:w="988" w:type="dxa"/>
            <w:tcBorders>
              <w:bottom w:val="dotted" w:sz="4" w:space="0" w:color="BFBFBF" w:themeColor="background1" w:themeShade="BF"/>
            </w:tcBorders>
          </w:tcPr>
          <w:p w14:paraId="44047282" w14:textId="483FDAD4" w:rsidR="00E2427A" w:rsidRPr="000A2712" w:rsidRDefault="00E2427A" w:rsidP="00531678">
            <w:pPr>
              <w:pStyle w:val="ListParagraph"/>
              <w:tabs>
                <w:tab w:val="left" w:pos="567"/>
              </w:tabs>
              <w:spacing w:before="80"/>
              <w:ind w:left="0"/>
              <w:contextualSpacing w:val="0"/>
              <w:rPr>
                <w:rFonts w:ascii="Calibri Light" w:hAnsi="Calibri Light" w:cs="Calibri Light"/>
                <w:b/>
                <w:bCs/>
                <w:i/>
                <w:iCs/>
                <w:sz w:val="22"/>
                <w:szCs w:val="22"/>
                <w:lang w:val="en-AU"/>
              </w:rPr>
            </w:pPr>
            <w:r w:rsidRPr="000A2712">
              <w:rPr>
                <w:rFonts w:ascii="Calibri Light" w:hAnsi="Calibri Light" w:cs="Calibri Light"/>
                <w:b/>
                <w:bCs/>
                <w:i/>
                <w:iCs/>
                <w:sz w:val="22"/>
                <w:szCs w:val="22"/>
                <w:lang w:val="en-AU"/>
              </w:rPr>
              <w:t>Pillar 3:</w:t>
            </w:r>
          </w:p>
        </w:tc>
        <w:tc>
          <w:tcPr>
            <w:tcW w:w="6662" w:type="dxa"/>
            <w:tcBorders>
              <w:bottom w:val="dotted" w:sz="4" w:space="0" w:color="BFBFBF" w:themeColor="background1" w:themeShade="BF"/>
              <w:right w:val="single" w:sz="4" w:space="0" w:color="BFBFBF" w:themeColor="background1" w:themeShade="BF"/>
            </w:tcBorders>
          </w:tcPr>
          <w:p w14:paraId="79A9B060" w14:textId="1708D010" w:rsidR="00E2427A" w:rsidRPr="000A2712" w:rsidRDefault="00E2427A" w:rsidP="00E2427A">
            <w:pPr>
              <w:pStyle w:val="ListParagraph"/>
              <w:tabs>
                <w:tab w:val="left" w:pos="567"/>
              </w:tabs>
              <w:spacing w:before="40" w:after="40"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activities aimed at the prevention of violent extremism</w:t>
            </w:r>
          </w:p>
        </w:tc>
        <w:tc>
          <w:tcPr>
            <w:tcW w:w="2268" w:type="dxa"/>
            <w:vMerge/>
            <w:tcBorders>
              <w:left w:val="single" w:sz="4" w:space="0" w:color="BFBFBF" w:themeColor="background1" w:themeShade="BF"/>
              <w:bottom w:val="dotted" w:sz="4" w:space="0" w:color="BFBFBF" w:themeColor="background1" w:themeShade="BF"/>
            </w:tcBorders>
          </w:tcPr>
          <w:p w14:paraId="7DE05A31" w14:textId="77777777" w:rsidR="00E2427A" w:rsidRPr="000A2712" w:rsidRDefault="00E2427A" w:rsidP="00E2427A">
            <w:pPr>
              <w:pStyle w:val="ListParagraph"/>
              <w:tabs>
                <w:tab w:val="left" w:pos="567"/>
              </w:tabs>
              <w:spacing w:line="274" w:lineRule="auto"/>
              <w:ind w:left="0"/>
              <w:contextualSpacing w:val="0"/>
              <w:rPr>
                <w:rFonts w:ascii="Calibri Light" w:hAnsi="Calibri Light" w:cs="Calibri Light"/>
                <w:sz w:val="22"/>
                <w:szCs w:val="22"/>
                <w:lang w:val="en-AU"/>
              </w:rPr>
            </w:pPr>
          </w:p>
        </w:tc>
      </w:tr>
      <w:tr w:rsidR="004E7ECB" w:rsidRPr="000A2712" w14:paraId="1D246193" w14:textId="77777777" w:rsidTr="00531678">
        <w:tc>
          <w:tcPr>
            <w:tcW w:w="988" w:type="dxa"/>
            <w:tcBorders>
              <w:top w:val="dotted" w:sz="4" w:space="0" w:color="BFBFBF" w:themeColor="background1" w:themeShade="BF"/>
            </w:tcBorders>
          </w:tcPr>
          <w:p w14:paraId="145E9702" w14:textId="5C185D92" w:rsidR="00E2427A" w:rsidRPr="000A2712" w:rsidRDefault="00E2427A" w:rsidP="00531678">
            <w:pPr>
              <w:pStyle w:val="ListParagraph"/>
              <w:tabs>
                <w:tab w:val="left" w:pos="567"/>
              </w:tabs>
              <w:spacing w:before="80"/>
              <w:ind w:left="0"/>
              <w:contextualSpacing w:val="0"/>
              <w:rPr>
                <w:rFonts w:ascii="Calibri Light" w:hAnsi="Calibri Light" w:cs="Calibri Light"/>
                <w:b/>
                <w:bCs/>
                <w:i/>
                <w:iCs/>
                <w:sz w:val="22"/>
                <w:szCs w:val="22"/>
                <w:lang w:val="en-AU"/>
              </w:rPr>
            </w:pPr>
          </w:p>
        </w:tc>
        <w:tc>
          <w:tcPr>
            <w:tcW w:w="6662" w:type="dxa"/>
            <w:tcBorders>
              <w:top w:val="dotted" w:sz="4" w:space="0" w:color="BFBFBF" w:themeColor="background1" w:themeShade="BF"/>
            </w:tcBorders>
          </w:tcPr>
          <w:p w14:paraId="0BD3F1E9" w14:textId="77777777" w:rsidR="00E2427A" w:rsidRPr="000A2712" w:rsidRDefault="00E2427A" w:rsidP="00E2427A">
            <w:pPr>
              <w:pStyle w:val="ListParagraph"/>
              <w:tabs>
                <w:tab w:val="left" w:pos="567"/>
              </w:tabs>
              <w:spacing w:line="274" w:lineRule="auto"/>
              <w:ind w:left="0"/>
              <w:contextualSpacing w:val="0"/>
              <w:rPr>
                <w:rFonts w:ascii="Calibri Light" w:hAnsi="Calibri Light" w:cs="Calibri Light"/>
                <w:sz w:val="22"/>
                <w:szCs w:val="22"/>
                <w:lang w:val="en-AU"/>
              </w:rPr>
            </w:pPr>
          </w:p>
        </w:tc>
        <w:tc>
          <w:tcPr>
            <w:tcW w:w="2268" w:type="dxa"/>
            <w:tcBorders>
              <w:top w:val="dotted" w:sz="4" w:space="0" w:color="BFBFBF" w:themeColor="background1" w:themeShade="BF"/>
              <w:bottom w:val="single" w:sz="4" w:space="0" w:color="FFFFFF" w:themeColor="background1"/>
            </w:tcBorders>
          </w:tcPr>
          <w:p w14:paraId="5CF42460" w14:textId="77777777" w:rsidR="00E2427A" w:rsidRPr="000A2712" w:rsidRDefault="00E2427A" w:rsidP="00E2427A">
            <w:pPr>
              <w:pStyle w:val="ListParagraph"/>
              <w:tabs>
                <w:tab w:val="left" w:pos="567"/>
              </w:tabs>
              <w:spacing w:line="274" w:lineRule="auto"/>
              <w:ind w:left="0"/>
              <w:contextualSpacing w:val="0"/>
              <w:rPr>
                <w:rFonts w:ascii="Calibri Light" w:hAnsi="Calibri Light" w:cs="Calibri Light"/>
                <w:sz w:val="22"/>
                <w:szCs w:val="22"/>
                <w:lang w:val="en-AU"/>
              </w:rPr>
            </w:pPr>
          </w:p>
        </w:tc>
      </w:tr>
      <w:tr w:rsidR="004E7ECB" w:rsidRPr="000A2712" w14:paraId="75311F1F" w14:textId="77777777" w:rsidTr="00531678">
        <w:tc>
          <w:tcPr>
            <w:tcW w:w="988" w:type="dxa"/>
            <w:tcBorders>
              <w:bottom w:val="single" w:sz="4" w:space="0" w:color="FFFFFF" w:themeColor="background1"/>
            </w:tcBorders>
          </w:tcPr>
          <w:p w14:paraId="17C0110F" w14:textId="0755CB3B" w:rsidR="00E2427A" w:rsidRPr="000A2712" w:rsidRDefault="00E2427A" w:rsidP="00531678">
            <w:pPr>
              <w:pStyle w:val="ListParagraph"/>
              <w:tabs>
                <w:tab w:val="left" w:pos="567"/>
              </w:tabs>
              <w:spacing w:before="80"/>
              <w:ind w:left="0"/>
              <w:contextualSpacing w:val="0"/>
              <w:rPr>
                <w:rFonts w:ascii="Calibri Light" w:hAnsi="Calibri Light" w:cs="Calibri Light"/>
                <w:b/>
                <w:bCs/>
                <w:i/>
                <w:iCs/>
                <w:sz w:val="22"/>
                <w:szCs w:val="22"/>
                <w:lang w:val="en-AU"/>
              </w:rPr>
            </w:pPr>
            <w:r w:rsidRPr="000A2712">
              <w:rPr>
                <w:rFonts w:ascii="Calibri Light" w:hAnsi="Calibri Light" w:cs="Calibri Light"/>
                <w:b/>
                <w:bCs/>
                <w:i/>
                <w:iCs/>
                <w:sz w:val="22"/>
                <w:szCs w:val="22"/>
                <w:lang w:val="en-AU"/>
              </w:rPr>
              <w:t>Pillar 5:</w:t>
            </w:r>
          </w:p>
        </w:tc>
        <w:tc>
          <w:tcPr>
            <w:tcW w:w="6662" w:type="dxa"/>
            <w:tcBorders>
              <w:bottom w:val="single" w:sz="4" w:space="0" w:color="FFFFFF" w:themeColor="background1"/>
              <w:right w:val="single" w:sz="4" w:space="0" w:color="BFBFBF" w:themeColor="background1" w:themeShade="BF"/>
            </w:tcBorders>
          </w:tcPr>
          <w:p w14:paraId="3E5B18F5" w14:textId="5A8B5EB4" w:rsidR="00E2427A" w:rsidRPr="000A2712" w:rsidRDefault="00E2427A" w:rsidP="00E2427A">
            <w:pPr>
              <w:pStyle w:val="ListParagraph"/>
              <w:tabs>
                <w:tab w:val="left" w:pos="567"/>
              </w:tabs>
              <w:spacing w:before="40" w:after="40" w:line="274" w:lineRule="auto"/>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partnership development knowledge management and communications, coordination and some gender equity and social inclusion-related work</w:t>
            </w:r>
            <w:r w:rsidRPr="000A2712">
              <w:rPr>
                <w:rStyle w:val="FootnoteReference"/>
                <w:rFonts w:ascii="Calibri Light" w:hAnsi="Calibri Light" w:cs="Calibri Light"/>
                <w:sz w:val="22"/>
                <w:szCs w:val="22"/>
                <w:lang w:val="en-AU"/>
              </w:rPr>
              <w:footnoteReference w:id="3"/>
            </w:r>
          </w:p>
        </w:tc>
        <w:tc>
          <w:tcPr>
            <w:tcW w:w="2268" w:type="dxa"/>
            <w:tcBorders>
              <w:left w:val="single" w:sz="4" w:space="0" w:color="BFBFBF" w:themeColor="background1" w:themeShade="BF"/>
              <w:bottom w:val="single" w:sz="4" w:space="0" w:color="FFFFFF" w:themeColor="background1"/>
            </w:tcBorders>
          </w:tcPr>
          <w:p w14:paraId="47D944CC" w14:textId="7AE2F0EC" w:rsidR="00E2427A" w:rsidRPr="000A2712" w:rsidRDefault="00531678" w:rsidP="00531678">
            <w:pPr>
              <w:pStyle w:val="ListParagraph"/>
              <w:tabs>
                <w:tab w:val="left" w:pos="567"/>
              </w:tabs>
              <w:spacing w:line="274" w:lineRule="auto"/>
              <w:ind w:left="0"/>
              <w:contextualSpacing w:val="0"/>
              <w:rPr>
                <w:rFonts w:ascii="Calibri Light" w:hAnsi="Calibri Light" w:cs="Calibri Light"/>
                <w:i/>
                <w:iCs/>
                <w:sz w:val="22"/>
                <w:szCs w:val="22"/>
                <w:lang w:val="en-AU"/>
              </w:rPr>
            </w:pPr>
            <w:r w:rsidRPr="000A2712">
              <w:rPr>
                <w:rFonts w:ascii="Calibri Light" w:hAnsi="Calibri Light" w:cs="Calibri Light"/>
                <w:i/>
                <w:iCs/>
                <w:sz w:val="22"/>
                <w:szCs w:val="22"/>
                <w:lang w:val="en-AU"/>
              </w:rPr>
              <w:t>Cross-cutting</w:t>
            </w:r>
          </w:p>
        </w:tc>
      </w:tr>
    </w:tbl>
    <w:p w14:paraId="35DED2B8" w14:textId="77777777" w:rsidR="006C421A" w:rsidRPr="000A2712" w:rsidRDefault="006C421A" w:rsidP="00A46CD8">
      <w:pPr>
        <w:spacing w:line="274" w:lineRule="auto"/>
        <w:rPr>
          <w:rFonts w:ascii="Calibri Light" w:hAnsi="Calibri Light" w:cs="Calibri Light"/>
          <w:sz w:val="22"/>
          <w:szCs w:val="22"/>
          <w:lang w:val="en-AU"/>
        </w:rPr>
      </w:pPr>
    </w:p>
    <w:p w14:paraId="20A9DF82" w14:textId="71CCEE85" w:rsidR="00343D33" w:rsidRPr="000A2712" w:rsidRDefault="00343D33"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Pillars 1</w:t>
      </w:r>
      <w:r w:rsidR="00531678"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3</w:t>
      </w:r>
      <w:r w:rsidR="00531678" w:rsidRPr="000A2712">
        <w:rPr>
          <w:rFonts w:ascii="Calibri Light" w:hAnsi="Calibri Light" w:cs="Calibri Light"/>
          <w:sz w:val="22"/>
          <w:szCs w:val="22"/>
          <w:lang w:val="en-AU"/>
        </w:rPr>
        <w:t xml:space="preserve">, 4 and </w:t>
      </w:r>
      <w:r w:rsidRPr="000A2712">
        <w:rPr>
          <w:rFonts w:ascii="Calibri Light" w:hAnsi="Calibri Light" w:cs="Calibri Light"/>
          <w:sz w:val="22"/>
          <w:szCs w:val="22"/>
          <w:lang w:val="en-AU"/>
        </w:rPr>
        <w:t xml:space="preserve">5 are managed by Cardno </w:t>
      </w:r>
      <w:r w:rsidR="002735EB" w:rsidRPr="000A2712">
        <w:rPr>
          <w:rFonts w:ascii="Calibri Light" w:hAnsi="Calibri Light" w:cs="Calibri Light"/>
          <w:sz w:val="22"/>
          <w:szCs w:val="22"/>
          <w:lang w:val="en-AU"/>
        </w:rPr>
        <w:t xml:space="preserve">(the managing contractor) </w:t>
      </w:r>
      <w:r w:rsidRPr="000A2712">
        <w:rPr>
          <w:rFonts w:ascii="Calibri Light" w:hAnsi="Calibri Light" w:cs="Calibri Light"/>
          <w:sz w:val="22"/>
          <w:szCs w:val="22"/>
          <w:lang w:val="en-AU"/>
        </w:rPr>
        <w:t xml:space="preserve">and governed by </w:t>
      </w:r>
      <w:r w:rsidR="002735EB" w:rsidRPr="000A2712">
        <w:rPr>
          <w:rFonts w:ascii="Calibri Light" w:hAnsi="Calibri Light" w:cs="Calibri Light"/>
          <w:sz w:val="22"/>
          <w:szCs w:val="22"/>
          <w:lang w:val="en-AU"/>
        </w:rPr>
        <w:t>a Partnership Board made</w:t>
      </w:r>
      <w:r w:rsidR="000F25C2" w:rsidRPr="000A2712">
        <w:rPr>
          <w:rFonts w:ascii="Calibri Light" w:hAnsi="Calibri Light" w:cs="Calibri Light"/>
          <w:sz w:val="22"/>
          <w:szCs w:val="22"/>
          <w:lang w:val="en-AU"/>
        </w:rPr>
        <w:t xml:space="preserve"> up</w:t>
      </w:r>
      <w:r w:rsidR="002735EB" w:rsidRPr="000A2712">
        <w:rPr>
          <w:rFonts w:ascii="Calibri Light" w:hAnsi="Calibri Light" w:cs="Calibri Light"/>
          <w:sz w:val="22"/>
          <w:szCs w:val="22"/>
          <w:lang w:val="en-AU"/>
        </w:rPr>
        <w:t xml:space="preserve"> of DFAT, Indonesia’s National Planning Agency (Bappenas) and Cardno</w:t>
      </w:r>
      <w:r w:rsidR="000F25C2" w:rsidRPr="000A2712">
        <w:rPr>
          <w:rFonts w:ascii="Calibri Light" w:hAnsi="Calibri Light" w:cs="Calibri Light"/>
          <w:sz w:val="22"/>
          <w:szCs w:val="22"/>
          <w:lang w:val="en-AU"/>
        </w:rPr>
        <w:t xml:space="preserve">, </w:t>
      </w:r>
      <w:r w:rsidR="008D1AAE" w:rsidRPr="000A2712">
        <w:rPr>
          <w:rFonts w:ascii="Calibri Light" w:hAnsi="Calibri Light" w:cs="Calibri Light"/>
          <w:sz w:val="22"/>
          <w:szCs w:val="22"/>
          <w:lang w:val="en-AU"/>
        </w:rPr>
        <w:t xml:space="preserve">that </w:t>
      </w:r>
      <w:r w:rsidR="002735EB" w:rsidRPr="000A2712">
        <w:rPr>
          <w:rFonts w:ascii="Calibri Light" w:hAnsi="Calibri Light" w:cs="Calibri Light"/>
          <w:sz w:val="22"/>
          <w:szCs w:val="22"/>
          <w:lang w:val="en-AU"/>
        </w:rPr>
        <w:t>agrees the workplan annually.</w:t>
      </w:r>
      <w:r w:rsidR="00A16179">
        <w:rPr>
          <w:rFonts w:ascii="Calibri Light" w:hAnsi="Calibri Light" w:cs="Calibri Light"/>
          <w:sz w:val="22"/>
          <w:szCs w:val="22"/>
          <w:lang w:val="en-AU"/>
        </w:rPr>
        <w:t xml:space="preserve"> </w:t>
      </w:r>
      <w:r w:rsidR="002735EB" w:rsidRPr="000A2712">
        <w:rPr>
          <w:rFonts w:ascii="Calibri Light" w:hAnsi="Calibri Light" w:cs="Calibri Light"/>
          <w:sz w:val="22"/>
          <w:szCs w:val="22"/>
          <w:lang w:val="en-AU"/>
        </w:rPr>
        <w:t xml:space="preserve">Pillar 2 </w:t>
      </w:r>
      <w:r w:rsidR="000F25C2" w:rsidRPr="000A2712">
        <w:rPr>
          <w:rFonts w:ascii="Calibri Light" w:hAnsi="Calibri Light" w:cs="Calibri Light"/>
          <w:sz w:val="22"/>
          <w:szCs w:val="22"/>
          <w:lang w:val="en-AU"/>
        </w:rPr>
        <w:t xml:space="preserve">sits outside of this arrangement and </w:t>
      </w:r>
      <w:r w:rsidR="002735EB" w:rsidRPr="000A2712">
        <w:rPr>
          <w:rFonts w:ascii="Calibri Light" w:hAnsi="Calibri Light" w:cs="Calibri Light"/>
          <w:sz w:val="22"/>
          <w:szCs w:val="22"/>
          <w:lang w:val="en-AU"/>
        </w:rPr>
        <w:t>comprises a series of partnerships between Australian Government agencies and their Indonesian government counterparts.</w:t>
      </w:r>
      <w:r w:rsidR="00A16179">
        <w:rPr>
          <w:rFonts w:ascii="Calibri Light" w:hAnsi="Calibri Light" w:cs="Calibri Light"/>
          <w:sz w:val="22"/>
          <w:szCs w:val="22"/>
          <w:lang w:val="en-AU"/>
        </w:rPr>
        <w:t xml:space="preserve"> </w:t>
      </w:r>
      <w:r w:rsidR="000F25C2" w:rsidRPr="000A2712">
        <w:rPr>
          <w:rFonts w:ascii="Calibri Light" w:hAnsi="Calibri Light" w:cs="Calibri Light"/>
          <w:sz w:val="22"/>
          <w:szCs w:val="22"/>
          <w:lang w:val="en-AU"/>
        </w:rPr>
        <w:t>Pillar 2 a</w:t>
      </w:r>
      <w:r w:rsidR="002735EB" w:rsidRPr="000A2712">
        <w:rPr>
          <w:rFonts w:ascii="Calibri Light" w:hAnsi="Calibri Light" w:cs="Calibri Light"/>
          <w:sz w:val="22"/>
          <w:szCs w:val="22"/>
          <w:lang w:val="en-AU"/>
        </w:rPr>
        <w:t xml:space="preserve">ctivities are </w:t>
      </w:r>
      <w:r w:rsidR="000F25C2" w:rsidRPr="000A2712">
        <w:rPr>
          <w:rFonts w:ascii="Calibri Light" w:hAnsi="Calibri Light" w:cs="Calibri Light"/>
          <w:sz w:val="22"/>
          <w:szCs w:val="22"/>
          <w:lang w:val="en-AU"/>
        </w:rPr>
        <w:t>largely managed and implemented separately by the respective Australian agencies, though</w:t>
      </w:r>
      <w:r w:rsidR="003521EC" w:rsidRPr="000A2712">
        <w:rPr>
          <w:rFonts w:ascii="Calibri Light" w:hAnsi="Calibri Light" w:cs="Calibri Light"/>
          <w:sz w:val="22"/>
          <w:szCs w:val="22"/>
          <w:lang w:val="en-AU"/>
        </w:rPr>
        <w:t xml:space="preserve"> </w:t>
      </w:r>
      <w:r w:rsidR="002475E7" w:rsidRPr="000A2712">
        <w:rPr>
          <w:rFonts w:ascii="Calibri Light" w:hAnsi="Calibri Light" w:cs="Calibri Light"/>
          <w:sz w:val="22"/>
          <w:szCs w:val="22"/>
          <w:lang w:val="en-AU"/>
        </w:rPr>
        <w:t xml:space="preserve">DFAT approves the </w:t>
      </w:r>
      <w:r w:rsidR="003521EC" w:rsidRPr="000A2712">
        <w:rPr>
          <w:rFonts w:ascii="Calibri Light" w:hAnsi="Calibri Light" w:cs="Calibri Light"/>
          <w:sz w:val="22"/>
          <w:szCs w:val="22"/>
          <w:lang w:val="en-AU"/>
        </w:rPr>
        <w:t>funding for</w:t>
      </w:r>
      <w:r w:rsidR="000F25C2" w:rsidRPr="000A2712">
        <w:rPr>
          <w:rFonts w:ascii="Calibri Light" w:hAnsi="Calibri Light" w:cs="Calibri Light"/>
          <w:sz w:val="22"/>
          <w:szCs w:val="22"/>
          <w:lang w:val="en-AU"/>
        </w:rPr>
        <w:t xml:space="preserve"> activities and </w:t>
      </w:r>
      <w:r w:rsidR="003521EC" w:rsidRPr="000A2712">
        <w:rPr>
          <w:rFonts w:ascii="Calibri Light" w:hAnsi="Calibri Light" w:cs="Calibri Light"/>
          <w:sz w:val="22"/>
          <w:szCs w:val="22"/>
          <w:lang w:val="en-AU"/>
        </w:rPr>
        <w:t>AIPJ2’s</w:t>
      </w:r>
      <w:r w:rsidR="000F25C2" w:rsidRPr="000A2712">
        <w:rPr>
          <w:rFonts w:ascii="Calibri Light" w:hAnsi="Calibri Light" w:cs="Calibri Light"/>
          <w:sz w:val="22"/>
          <w:szCs w:val="22"/>
          <w:lang w:val="en-AU"/>
        </w:rPr>
        <w:t xml:space="preserve"> Partnership Board receives progress reports</w:t>
      </w:r>
      <w:r w:rsidR="002372DD" w:rsidRPr="000A2712">
        <w:rPr>
          <w:rFonts w:ascii="Calibri Light" w:hAnsi="Calibri Light" w:cs="Calibri Light"/>
          <w:sz w:val="22"/>
          <w:szCs w:val="22"/>
          <w:lang w:val="en-AU"/>
        </w:rPr>
        <w:t xml:space="preserve"> on the work every six months</w:t>
      </w:r>
      <w:r w:rsidR="000F25C2" w:rsidRPr="000A2712">
        <w:rPr>
          <w:rFonts w:ascii="Calibri Light" w:hAnsi="Calibri Light" w:cs="Calibri Light"/>
          <w:sz w:val="22"/>
          <w:szCs w:val="22"/>
          <w:lang w:val="en-AU"/>
        </w:rPr>
        <w:t xml:space="preserve">. </w:t>
      </w:r>
    </w:p>
    <w:p w14:paraId="1A5D4BA1" w14:textId="05E9179D" w:rsidR="00930C94" w:rsidRPr="000A2712" w:rsidRDefault="002372DD" w:rsidP="006B32D6">
      <w:pPr>
        <w:pStyle w:val="ListParagraph"/>
        <w:numPr>
          <w:ilvl w:val="2"/>
          <w:numId w:val="3"/>
        </w:numPr>
        <w:tabs>
          <w:tab w:val="clear" w:pos="1701"/>
          <w:tab w:val="left" w:pos="567"/>
        </w:tabs>
        <w:spacing w:line="274" w:lineRule="auto"/>
        <w:contextualSpacing w:val="0"/>
        <w:rPr>
          <w:rFonts w:ascii="Calibri Light" w:hAnsi="Calibri Light" w:cs="Calibri Light"/>
          <w:color w:val="000000" w:themeColor="text1"/>
          <w:lang w:val="en-AU"/>
        </w:rPr>
      </w:pPr>
      <w:r w:rsidRPr="000A2712">
        <w:rPr>
          <w:rFonts w:ascii="Calibri Light" w:hAnsi="Calibri Light" w:cs="Calibri Light"/>
          <w:sz w:val="22"/>
          <w:szCs w:val="22"/>
          <w:lang w:val="en-AU"/>
        </w:rPr>
        <w:t>T</w:t>
      </w:r>
      <w:r w:rsidR="00930C94" w:rsidRPr="000A2712">
        <w:rPr>
          <w:rFonts w:ascii="Calibri Light" w:hAnsi="Calibri Light" w:cs="Calibri Light"/>
          <w:sz w:val="22"/>
          <w:szCs w:val="22"/>
          <w:lang w:val="en-AU"/>
        </w:rPr>
        <w:t>he goal of</w:t>
      </w:r>
      <w:r w:rsidRPr="000A2712">
        <w:rPr>
          <w:rFonts w:ascii="Calibri Light" w:hAnsi="Calibri Light" w:cs="Calibri Light"/>
          <w:sz w:val="22"/>
          <w:szCs w:val="22"/>
          <w:lang w:val="en-AU"/>
        </w:rPr>
        <w:t xml:space="preserve"> AIPJ2 is to</w:t>
      </w:r>
      <w:r w:rsidR="00930C94" w:rsidRPr="000A2712">
        <w:rPr>
          <w:rFonts w:ascii="Calibri Light" w:hAnsi="Calibri Light" w:cs="Calibri Light"/>
          <w:sz w:val="22"/>
          <w:szCs w:val="22"/>
          <w:lang w:val="en-AU"/>
        </w:rPr>
        <w:t xml:space="preserve"> contribut</w:t>
      </w:r>
      <w:r w:rsidRPr="000A2712">
        <w:rPr>
          <w:rFonts w:ascii="Calibri Light" w:hAnsi="Calibri Light" w:cs="Calibri Light"/>
          <w:sz w:val="22"/>
          <w:szCs w:val="22"/>
          <w:lang w:val="en-AU"/>
        </w:rPr>
        <w:t xml:space="preserve">e </w:t>
      </w:r>
      <w:r w:rsidR="00930C94" w:rsidRPr="000A2712">
        <w:rPr>
          <w:rFonts w:ascii="Calibri Light" w:hAnsi="Calibri Light" w:cs="Calibri Light"/>
          <w:sz w:val="22"/>
          <w:szCs w:val="22"/>
          <w:lang w:val="en-AU"/>
        </w:rPr>
        <w:t xml:space="preserve">to: </w:t>
      </w:r>
    </w:p>
    <w:p w14:paraId="082B1990" w14:textId="77777777" w:rsidR="00930C94" w:rsidRPr="000A2712" w:rsidRDefault="00930C94" w:rsidP="00930C94">
      <w:pPr>
        <w:pStyle w:val="ListParagraph"/>
        <w:tabs>
          <w:tab w:val="left" w:pos="709"/>
        </w:tabs>
        <w:spacing w:before="0" w:after="240"/>
        <w:ind w:left="567" w:right="516"/>
        <w:contextualSpacing w:val="0"/>
        <w:jc w:val="mediumKashida"/>
        <w:rPr>
          <w:rFonts w:ascii="Calibri Light" w:hAnsi="Calibri Light" w:cs="Calibri Light"/>
          <w:sz w:val="21"/>
          <w:szCs w:val="21"/>
          <w:lang w:val="en-AU"/>
        </w:rPr>
      </w:pPr>
      <w:r w:rsidRPr="000A2712">
        <w:rPr>
          <w:rFonts w:ascii="Calibri Light" w:hAnsi="Calibri Light" w:cs="Calibri Light"/>
          <w:sz w:val="21"/>
          <w:szCs w:val="21"/>
          <w:lang w:val="en-AU"/>
        </w:rPr>
        <w:t>“strong and accessible justice and security institutions that enhance respect for enforceable rights and rules-based governance systems and, over time, contribute to stability and prosperity in Indonesia and the region.”</w:t>
      </w:r>
    </w:p>
    <w:p w14:paraId="1740D9E8" w14:textId="274E2563" w:rsidR="00B36C4E" w:rsidRPr="000A2712" w:rsidRDefault="00B36C4E" w:rsidP="002372DD">
      <w:pPr>
        <w:pStyle w:val="ListParagraph"/>
        <w:tabs>
          <w:tab w:val="left" w:pos="567"/>
        </w:tabs>
        <w:ind w:left="0"/>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 xml:space="preserve">The objectives originally proposed for AIPJ2 </w:t>
      </w:r>
      <w:r w:rsidR="00582FBC" w:rsidRPr="000A2712">
        <w:rPr>
          <w:rFonts w:asciiTheme="majorHAnsi" w:hAnsiTheme="majorHAnsi" w:cstheme="majorHAnsi"/>
          <w:color w:val="000000" w:themeColor="text1"/>
          <w:sz w:val="22"/>
          <w:szCs w:val="22"/>
          <w:lang w:val="en-AU"/>
        </w:rPr>
        <w:t xml:space="preserve">have been </w:t>
      </w:r>
      <w:r w:rsidR="008035F9" w:rsidRPr="000A2712">
        <w:rPr>
          <w:rFonts w:asciiTheme="majorHAnsi" w:hAnsiTheme="majorHAnsi" w:cstheme="majorHAnsi"/>
          <w:color w:val="000000" w:themeColor="text1"/>
          <w:sz w:val="22"/>
          <w:szCs w:val="22"/>
          <w:lang w:val="en-AU"/>
        </w:rPr>
        <w:t xml:space="preserve">elevated </w:t>
      </w:r>
      <w:r w:rsidR="00AF0464" w:rsidRPr="000A2712">
        <w:rPr>
          <w:rFonts w:asciiTheme="majorHAnsi" w:hAnsiTheme="majorHAnsi" w:cstheme="majorHAnsi"/>
          <w:color w:val="000000" w:themeColor="text1"/>
          <w:sz w:val="22"/>
          <w:szCs w:val="22"/>
          <w:lang w:val="en-AU"/>
        </w:rPr>
        <w:t>to ‘broader goals’</w:t>
      </w:r>
      <w:r w:rsidR="00EF3083" w:rsidRPr="000A2712">
        <w:rPr>
          <w:rFonts w:asciiTheme="majorHAnsi" w:hAnsiTheme="majorHAnsi" w:cstheme="majorHAnsi"/>
          <w:color w:val="000000" w:themeColor="text1"/>
          <w:sz w:val="22"/>
          <w:szCs w:val="22"/>
          <w:lang w:val="en-AU"/>
        </w:rPr>
        <w:t xml:space="preserve"> and replaced with end-of-facility outcomes that focus </w:t>
      </w:r>
      <w:r w:rsidR="000C4810" w:rsidRPr="000A2712">
        <w:rPr>
          <w:rFonts w:asciiTheme="majorHAnsi" w:hAnsiTheme="majorHAnsi" w:cstheme="majorHAnsi"/>
          <w:color w:val="000000" w:themeColor="text1"/>
          <w:sz w:val="22"/>
          <w:szCs w:val="22"/>
          <w:lang w:val="en-AU"/>
        </w:rPr>
        <w:t xml:space="preserve">on </w:t>
      </w:r>
      <w:r w:rsidR="008035F9" w:rsidRPr="000A2712">
        <w:rPr>
          <w:rFonts w:asciiTheme="majorHAnsi" w:hAnsiTheme="majorHAnsi" w:cstheme="majorHAnsi"/>
          <w:color w:val="000000" w:themeColor="text1"/>
          <w:sz w:val="22"/>
          <w:szCs w:val="22"/>
          <w:lang w:val="en-AU"/>
        </w:rPr>
        <w:t>informing the development of policies and plans relevant to AIPJ2’s areas of interest</w:t>
      </w:r>
      <w:r w:rsidR="00335666" w:rsidRPr="000A2712">
        <w:rPr>
          <w:rFonts w:asciiTheme="majorHAnsi" w:hAnsiTheme="majorHAnsi" w:cstheme="majorHAnsi"/>
          <w:color w:val="000000" w:themeColor="text1"/>
          <w:sz w:val="22"/>
          <w:szCs w:val="22"/>
          <w:lang w:val="en-AU"/>
        </w:rPr>
        <w:t xml:space="preserve"> (see box 1)</w:t>
      </w:r>
      <w:r w:rsidR="000C4810"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r w:rsidR="00EF3083" w:rsidRPr="000A2712">
        <w:rPr>
          <w:rFonts w:ascii="Calibri Light" w:hAnsi="Calibri Light" w:cs="Calibri Light"/>
          <w:sz w:val="22"/>
          <w:szCs w:val="22"/>
          <w:lang w:val="en-AU"/>
        </w:rPr>
        <w:t xml:space="preserve">AIPJ2’s </w:t>
      </w:r>
      <w:r w:rsidR="008D2D00" w:rsidRPr="000A2712">
        <w:rPr>
          <w:rFonts w:ascii="Calibri Light" w:hAnsi="Calibri Light" w:cs="Calibri Light"/>
          <w:sz w:val="22"/>
          <w:szCs w:val="22"/>
          <w:lang w:val="en-AU"/>
        </w:rPr>
        <w:t>theory of chan</w:t>
      </w:r>
      <w:r w:rsidR="00067348" w:rsidRPr="000A2712">
        <w:rPr>
          <w:rFonts w:ascii="Calibri Light" w:hAnsi="Calibri Light" w:cs="Calibri Light"/>
          <w:sz w:val="22"/>
          <w:szCs w:val="22"/>
          <w:lang w:val="en-AU"/>
        </w:rPr>
        <w:t>ge</w:t>
      </w:r>
      <w:r w:rsidR="00D35472" w:rsidRPr="000A2712">
        <w:rPr>
          <w:rFonts w:ascii="Calibri Light" w:hAnsi="Calibri Light" w:cs="Calibri Light"/>
          <w:sz w:val="22"/>
          <w:szCs w:val="22"/>
          <w:lang w:val="en-AU"/>
        </w:rPr>
        <w:t xml:space="preserve"> </w:t>
      </w:r>
      <w:r w:rsidR="00444977" w:rsidRPr="000A2712">
        <w:rPr>
          <w:rFonts w:ascii="Calibri Light" w:hAnsi="Calibri Light" w:cs="Calibri Light"/>
          <w:sz w:val="22"/>
          <w:szCs w:val="22"/>
          <w:lang w:val="en-AU"/>
        </w:rPr>
        <w:t xml:space="preserve">– i.e. how </w:t>
      </w:r>
      <w:r w:rsidR="00050354" w:rsidRPr="000A2712">
        <w:rPr>
          <w:rFonts w:ascii="Calibri Light" w:hAnsi="Calibri Light" w:cs="Calibri Light"/>
          <w:sz w:val="22"/>
          <w:szCs w:val="22"/>
          <w:lang w:val="en-AU"/>
        </w:rPr>
        <w:t xml:space="preserve">AIPJ2 </w:t>
      </w:r>
      <w:r w:rsidR="006067C4" w:rsidRPr="000A2712">
        <w:rPr>
          <w:rFonts w:ascii="Calibri Light" w:hAnsi="Calibri Light" w:cs="Calibri Light"/>
          <w:sz w:val="22"/>
          <w:szCs w:val="22"/>
          <w:lang w:val="en-AU"/>
        </w:rPr>
        <w:t xml:space="preserve">expects </w:t>
      </w:r>
      <w:r w:rsidR="00050354" w:rsidRPr="000A2712">
        <w:rPr>
          <w:rFonts w:ascii="Calibri Light" w:hAnsi="Calibri Light" w:cs="Calibri Light"/>
          <w:sz w:val="22"/>
          <w:szCs w:val="22"/>
          <w:lang w:val="en-AU"/>
        </w:rPr>
        <w:t xml:space="preserve">those outcomes to come about – </w:t>
      </w:r>
      <w:r w:rsidR="00EF3083" w:rsidRPr="000A2712">
        <w:rPr>
          <w:rFonts w:ascii="Calibri Light" w:hAnsi="Calibri Light" w:cs="Calibri Light"/>
          <w:sz w:val="22"/>
          <w:szCs w:val="22"/>
          <w:lang w:val="en-AU"/>
        </w:rPr>
        <w:t>is</w:t>
      </w:r>
      <w:r w:rsidR="00050354" w:rsidRPr="000A2712">
        <w:rPr>
          <w:rFonts w:ascii="Calibri Light" w:hAnsi="Calibri Light" w:cs="Calibri Light"/>
          <w:sz w:val="22"/>
          <w:szCs w:val="22"/>
          <w:lang w:val="en-AU"/>
        </w:rPr>
        <w:t xml:space="preserve"> </w:t>
      </w:r>
      <w:r w:rsidR="00EF3083" w:rsidRPr="000A2712">
        <w:rPr>
          <w:rFonts w:ascii="Calibri Light" w:hAnsi="Calibri Light" w:cs="Calibri Light"/>
          <w:sz w:val="22"/>
          <w:szCs w:val="22"/>
          <w:lang w:val="en-AU"/>
        </w:rPr>
        <w:t xml:space="preserve">relatively simple and </w:t>
      </w:r>
      <w:r w:rsidR="006067C4" w:rsidRPr="000A2712">
        <w:rPr>
          <w:rFonts w:ascii="Calibri Light" w:hAnsi="Calibri Light" w:cs="Calibri Light"/>
          <w:sz w:val="22"/>
          <w:szCs w:val="22"/>
          <w:lang w:val="en-AU"/>
        </w:rPr>
        <w:t xml:space="preserve">largely </w:t>
      </w:r>
      <w:r w:rsidR="00295CA5" w:rsidRPr="000A2712">
        <w:rPr>
          <w:rFonts w:ascii="Calibri Light" w:hAnsi="Calibri Light" w:cs="Calibri Light"/>
          <w:sz w:val="22"/>
          <w:szCs w:val="22"/>
          <w:lang w:val="en-AU"/>
        </w:rPr>
        <w:t>outline</w:t>
      </w:r>
      <w:r w:rsidR="006067C4" w:rsidRPr="000A2712">
        <w:rPr>
          <w:rFonts w:ascii="Calibri Light" w:hAnsi="Calibri Light" w:cs="Calibri Light"/>
          <w:sz w:val="22"/>
          <w:szCs w:val="22"/>
          <w:lang w:val="en-AU"/>
        </w:rPr>
        <w:t xml:space="preserve">s </w:t>
      </w:r>
      <w:r w:rsidR="005E5292" w:rsidRPr="000A2712">
        <w:rPr>
          <w:rFonts w:ascii="Calibri Light" w:hAnsi="Calibri Light" w:cs="Calibri Light"/>
          <w:sz w:val="22"/>
          <w:szCs w:val="22"/>
          <w:lang w:val="en-AU"/>
        </w:rPr>
        <w:t>AIPJ2’s</w:t>
      </w:r>
      <w:r w:rsidR="00BA1492" w:rsidRPr="000A2712">
        <w:rPr>
          <w:rFonts w:ascii="Calibri Light" w:hAnsi="Calibri Light" w:cs="Calibri Light"/>
          <w:sz w:val="22"/>
          <w:szCs w:val="22"/>
          <w:lang w:val="en-AU"/>
        </w:rPr>
        <w:t xml:space="preserve"> main </w:t>
      </w:r>
      <w:r w:rsidR="00491C21" w:rsidRPr="000A2712">
        <w:rPr>
          <w:rFonts w:ascii="Calibri Light" w:hAnsi="Calibri Light" w:cs="Calibri Light"/>
          <w:sz w:val="22"/>
          <w:szCs w:val="22"/>
          <w:lang w:val="en-AU"/>
        </w:rPr>
        <w:t>forms</w:t>
      </w:r>
      <w:r w:rsidR="00BA1492" w:rsidRPr="000A2712">
        <w:rPr>
          <w:rFonts w:ascii="Calibri Light" w:hAnsi="Calibri Light" w:cs="Calibri Light"/>
          <w:sz w:val="22"/>
          <w:szCs w:val="22"/>
          <w:lang w:val="en-AU"/>
        </w:rPr>
        <w:t xml:space="preserve"> of</w:t>
      </w:r>
      <w:r w:rsidR="005E5292" w:rsidRPr="000A2712">
        <w:rPr>
          <w:rFonts w:ascii="Calibri Light" w:hAnsi="Calibri Light" w:cs="Calibri Light"/>
          <w:sz w:val="22"/>
          <w:szCs w:val="22"/>
          <w:lang w:val="en-AU"/>
        </w:rPr>
        <w:t xml:space="preserve"> support: </w:t>
      </w:r>
      <w:r w:rsidR="00BA1492" w:rsidRPr="000A2712">
        <w:rPr>
          <w:rFonts w:ascii="Calibri Light" w:hAnsi="Calibri Light" w:cs="Calibri Light"/>
          <w:sz w:val="22"/>
          <w:szCs w:val="22"/>
          <w:lang w:val="en-AU"/>
        </w:rPr>
        <w:t>enhanc</w:t>
      </w:r>
      <w:r w:rsidR="00523EFA" w:rsidRPr="000A2712">
        <w:rPr>
          <w:rFonts w:ascii="Calibri Light" w:hAnsi="Calibri Light" w:cs="Calibri Light"/>
          <w:sz w:val="22"/>
          <w:szCs w:val="22"/>
          <w:lang w:val="en-AU"/>
        </w:rPr>
        <w:t>ing</w:t>
      </w:r>
      <w:r w:rsidR="00BA1492" w:rsidRPr="000A2712">
        <w:rPr>
          <w:rFonts w:ascii="Calibri Light" w:hAnsi="Calibri Light" w:cs="Calibri Light"/>
          <w:sz w:val="22"/>
          <w:szCs w:val="22"/>
          <w:lang w:val="en-AU"/>
        </w:rPr>
        <w:t xml:space="preserve"> </w:t>
      </w:r>
      <w:r w:rsidR="00335666" w:rsidRPr="000A2712">
        <w:rPr>
          <w:rFonts w:ascii="Calibri Light" w:hAnsi="Calibri Light" w:cs="Calibri Light"/>
          <w:sz w:val="22"/>
          <w:szCs w:val="22"/>
          <w:lang w:val="en-AU"/>
        </w:rPr>
        <w:t xml:space="preserve">partnerships, </w:t>
      </w:r>
      <w:r w:rsidR="00491C21" w:rsidRPr="000A2712">
        <w:rPr>
          <w:rFonts w:ascii="Calibri Light" w:hAnsi="Calibri Light" w:cs="Calibri Light"/>
          <w:sz w:val="22"/>
          <w:szCs w:val="22"/>
          <w:lang w:val="en-AU"/>
        </w:rPr>
        <w:t xml:space="preserve">enhancing </w:t>
      </w:r>
      <w:r w:rsidR="00BA1492" w:rsidRPr="000A2712">
        <w:rPr>
          <w:rFonts w:ascii="Calibri Light" w:hAnsi="Calibri Light" w:cs="Calibri Light"/>
          <w:sz w:val="22"/>
          <w:szCs w:val="22"/>
          <w:lang w:val="en-AU"/>
        </w:rPr>
        <w:t>knowledge</w:t>
      </w:r>
      <w:r w:rsidR="00474DE0" w:rsidRPr="000A2712">
        <w:rPr>
          <w:rFonts w:ascii="Calibri Light" w:hAnsi="Calibri Light" w:cs="Calibri Light"/>
          <w:sz w:val="22"/>
          <w:szCs w:val="22"/>
          <w:lang w:val="en-AU"/>
        </w:rPr>
        <w:t xml:space="preserve"> (including on the rights of women and people with disability</w:t>
      </w:r>
      <w:r w:rsidR="00C55D1D" w:rsidRPr="000A2712">
        <w:rPr>
          <w:rFonts w:ascii="Calibri Light" w:hAnsi="Calibri Light" w:cs="Calibri Light"/>
          <w:sz w:val="22"/>
          <w:szCs w:val="22"/>
          <w:lang w:val="en-AU"/>
        </w:rPr>
        <w:t xml:space="preserve">) and </w:t>
      </w:r>
      <w:r w:rsidR="00491C21" w:rsidRPr="000A2712">
        <w:rPr>
          <w:rFonts w:ascii="Calibri Light" w:hAnsi="Calibri Light" w:cs="Calibri Light"/>
          <w:sz w:val="22"/>
          <w:szCs w:val="22"/>
          <w:lang w:val="en-AU"/>
        </w:rPr>
        <w:t xml:space="preserve">helping build </w:t>
      </w:r>
      <w:r w:rsidR="00523EFA" w:rsidRPr="000A2712">
        <w:rPr>
          <w:rFonts w:ascii="Calibri Light" w:hAnsi="Calibri Light" w:cs="Calibri Light"/>
          <w:sz w:val="22"/>
          <w:szCs w:val="22"/>
          <w:lang w:val="en-AU"/>
        </w:rPr>
        <w:t>organisational capacity</w:t>
      </w:r>
      <w:r w:rsidR="00F55407">
        <w:rPr>
          <w:rFonts w:ascii="Calibri Light" w:hAnsi="Calibri Light" w:cs="Calibri Light"/>
          <w:sz w:val="22"/>
          <w:szCs w:val="22"/>
          <w:lang w:val="en-AU"/>
        </w:rPr>
        <w:t xml:space="preserve"> (annex 4)</w:t>
      </w:r>
      <w:r w:rsidR="00C55D1D" w:rsidRPr="000A2712">
        <w:rPr>
          <w:rFonts w:ascii="Calibri Light" w:hAnsi="Calibri Light" w:cs="Calibri Light"/>
          <w:sz w:val="22"/>
          <w:szCs w:val="22"/>
          <w:lang w:val="en-AU"/>
        </w:rPr>
        <w:t>.</w:t>
      </w:r>
    </w:p>
    <w:p w14:paraId="273726CB" w14:textId="66DC151E" w:rsidR="00FB4CFB" w:rsidRPr="000A2712" w:rsidRDefault="005F22A1" w:rsidP="00FB4CFB">
      <w:pPr>
        <w:tabs>
          <w:tab w:val="left" w:pos="567"/>
        </w:tabs>
        <w:rPr>
          <w:rFonts w:ascii="Calibri Light" w:hAnsi="Calibri Light" w:cs="Calibri Light"/>
          <w:sz w:val="22"/>
          <w:szCs w:val="22"/>
          <w:lang w:val="en-AU"/>
        </w:rPr>
      </w:pPr>
      <w:r w:rsidRPr="000A2712">
        <w:rPr>
          <w:rStyle w:val="IntenseEmphasis"/>
          <w:lang w:val="en-AU"/>
        </w:rPr>
        <w:t>Box 1:</w:t>
      </w:r>
      <w:r w:rsidR="00A16179">
        <w:rPr>
          <w:rFonts w:ascii="Calibri Light" w:hAnsi="Calibri Light" w:cs="Calibri Light"/>
          <w:b/>
          <w:bCs/>
          <w:sz w:val="21"/>
          <w:szCs w:val="21"/>
          <w:lang w:val="en-AU"/>
        </w:rPr>
        <w:t xml:space="preserve"> </w:t>
      </w:r>
      <w:r w:rsidRPr="000A2712">
        <w:rPr>
          <w:rFonts w:ascii="Calibri Light" w:hAnsi="Calibri Light" w:cs="Calibri Light"/>
          <w:b/>
          <w:bCs/>
          <w:sz w:val="21"/>
          <w:szCs w:val="21"/>
          <w:lang w:val="en-AU"/>
        </w:rPr>
        <w:t>AIPJ2 objectives</w:t>
      </w:r>
      <w:r w:rsidR="00A16179">
        <w:rPr>
          <w:rFonts w:ascii="Calibri Light" w:hAnsi="Calibri Light" w:cs="Calibri Light"/>
          <w:b/>
          <w:bCs/>
          <w:sz w:val="21"/>
          <w:szCs w:val="21"/>
          <w:lang w:val="en-AU"/>
        </w:rPr>
        <w:t xml:space="preserve"> </w:t>
      </w:r>
      <w:r w:rsidRPr="000A2712">
        <w:rPr>
          <w:rFonts w:ascii="Calibri Light" w:hAnsi="Calibri Light" w:cs="Calibri Light"/>
          <w:b/>
          <w:bCs/>
          <w:sz w:val="21"/>
          <w:szCs w:val="21"/>
          <w:lang w:val="en-AU"/>
        </w:rPr>
        <w:t xml:space="preserve">                                     </w:t>
      </w:r>
    </w:p>
    <w:tbl>
      <w:tblPr>
        <w:tblStyle w:val="TableGrid"/>
        <w:tblpPr w:leftFromText="180" w:rightFromText="180" w:vertAnchor="text" w:horzAnchor="margin" w:tblpXSpec="center" w:tblpY="-10"/>
        <w:tblOverlap w:val="never"/>
        <w:tblW w:w="96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771"/>
        <w:gridCol w:w="4863"/>
      </w:tblGrid>
      <w:tr w:rsidR="00FD7D34" w:rsidRPr="000A2712" w14:paraId="0F8804DA" w14:textId="77777777" w:rsidTr="00CF0B30">
        <w:trPr>
          <w:jc w:val="center"/>
        </w:trPr>
        <w:tc>
          <w:tcPr>
            <w:tcW w:w="4771" w:type="dxa"/>
            <w:shd w:val="clear" w:color="auto" w:fill="E7E6E6" w:themeFill="background2"/>
          </w:tcPr>
          <w:p w14:paraId="42E0C9A9" w14:textId="5D6DCCA1" w:rsidR="0093381D" w:rsidRPr="000A2712" w:rsidRDefault="0093381D" w:rsidP="002475E7">
            <w:pPr>
              <w:rPr>
                <w:rFonts w:ascii="Calibri Light" w:hAnsi="Calibri Light" w:cs="Calibri Light"/>
                <w:b/>
                <w:bCs/>
                <w:sz w:val="18"/>
                <w:szCs w:val="18"/>
                <w:lang w:val="en-AU"/>
              </w:rPr>
            </w:pPr>
          </w:p>
        </w:tc>
        <w:tc>
          <w:tcPr>
            <w:tcW w:w="4863" w:type="dxa"/>
            <w:shd w:val="clear" w:color="auto" w:fill="E7E6E6" w:themeFill="background2"/>
          </w:tcPr>
          <w:p w14:paraId="44A52BA4" w14:textId="77777777" w:rsidR="0093381D" w:rsidRPr="000A2712" w:rsidRDefault="0093381D" w:rsidP="002475E7">
            <w:pPr>
              <w:ind w:left="172"/>
              <w:rPr>
                <w:rFonts w:ascii="Calibri Light" w:hAnsi="Calibri Light" w:cs="Calibri Light"/>
                <w:b/>
                <w:bCs/>
                <w:sz w:val="15"/>
                <w:szCs w:val="15"/>
                <w:u w:val="single"/>
                <w:lang w:val="en-AU"/>
              </w:rPr>
            </w:pPr>
          </w:p>
        </w:tc>
      </w:tr>
      <w:tr w:rsidR="0093381D" w:rsidRPr="000A2712" w14:paraId="609E6D35" w14:textId="77777777" w:rsidTr="00CF0B30">
        <w:trPr>
          <w:jc w:val="center"/>
        </w:trPr>
        <w:tc>
          <w:tcPr>
            <w:tcW w:w="4771" w:type="dxa"/>
            <w:shd w:val="clear" w:color="auto" w:fill="E7E6E6" w:themeFill="background2"/>
          </w:tcPr>
          <w:p w14:paraId="702EE39A" w14:textId="3F2F9C2D" w:rsidR="0093381D" w:rsidRPr="000A2712" w:rsidRDefault="002815B8" w:rsidP="002475E7">
            <w:pPr>
              <w:spacing w:before="20" w:after="20"/>
              <w:jc w:val="right"/>
              <w:rPr>
                <w:rFonts w:ascii="Calibri Light" w:hAnsi="Calibri Light" w:cs="Calibri Light"/>
                <w:b/>
                <w:bCs/>
                <w:sz w:val="20"/>
                <w:szCs w:val="20"/>
                <w:u w:val="single"/>
                <w:lang w:val="en-AU"/>
              </w:rPr>
            </w:pPr>
            <w:r w:rsidRPr="000A2712">
              <w:rPr>
                <w:rFonts w:ascii="Calibri Light" w:hAnsi="Calibri Light" w:cs="Calibri Light"/>
                <w:b/>
                <w:bCs/>
                <w:sz w:val="20"/>
                <w:szCs w:val="20"/>
                <w:u w:val="single"/>
                <w:lang w:val="en-AU"/>
              </w:rPr>
              <w:t>Initially p</w:t>
            </w:r>
            <w:r w:rsidR="0093381D" w:rsidRPr="000A2712">
              <w:rPr>
                <w:rFonts w:ascii="Calibri Light" w:hAnsi="Calibri Light" w:cs="Calibri Light"/>
                <w:b/>
                <w:bCs/>
                <w:sz w:val="20"/>
                <w:szCs w:val="20"/>
                <w:u w:val="single"/>
                <w:lang w:val="en-AU"/>
              </w:rPr>
              <w:t xml:space="preserve">roposed objectives </w:t>
            </w:r>
          </w:p>
        </w:tc>
        <w:tc>
          <w:tcPr>
            <w:tcW w:w="4863" w:type="dxa"/>
            <w:tcBorders>
              <w:bottom w:val="nil"/>
            </w:tcBorders>
            <w:shd w:val="clear" w:color="auto" w:fill="E7E6E6" w:themeFill="background2"/>
          </w:tcPr>
          <w:p w14:paraId="51DE84EE" w14:textId="5BC8E4FE" w:rsidR="0093381D" w:rsidRPr="000A2712" w:rsidRDefault="0093381D" w:rsidP="002475E7">
            <w:pPr>
              <w:spacing w:before="20" w:after="20"/>
              <w:rPr>
                <w:rFonts w:ascii="Calibri Light" w:hAnsi="Calibri Light" w:cs="Calibri Light"/>
                <w:b/>
                <w:bCs/>
                <w:sz w:val="20"/>
                <w:szCs w:val="20"/>
                <w:u w:val="single"/>
                <w:lang w:val="en-AU"/>
              </w:rPr>
            </w:pPr>
            <w:r w:rsidRPr="000A2712">
              <w:rPr>
                <w:rFonts w:ascii="Calibri Light" w:hAnsi="Calibri Light" w:cs="Calibri Light"/>
                <w:b/>
                <w:bCs/>
                <w:sz w:val="20"/>
                <w:szCs w:val="20"/>
                <w:u w:val="single"/>
                <w:lang w:val="en-AU"/>
              </w:rPr>
              <w:t xml:space="preserve">Current </w:t>
            </w:r>
            <w:r w:rsidR="00AA02F2" w:rsidRPr="000A2712">
              <w:rPr>
                <w:rFonts w:ascii="Calibri Light" w:hAnsi="Calibri Light" w:cs="Calibri Light"/>
                <w:b/>
                <w:bCs/>
                <w:sz w:val="20"/>
                <w:szCs w:val="20"/>
                <w:u w:val="single"/>
                <w:lang w:val="en-AU"/>
              </w:rPr>
              <w:t>end-of-facility outcomes</w:t>
            </w:r>
          </w:p>
        </w:tc>
      </w:tr>
      <w:tr w:rsidR="0093381D" w:rsidRPr="000A2712" w14:paraId="629A5F18" w14:textId="77777777" w:rsidTr="00CF0B30">
        <w:trPr>
          <w:jc w:val="center"/>
        </w:trPr>
        <w:tc>
          <w:tcPr>
            <w:tcW w:w="4771" w:type="dxa"/>
            <w:tcBorders>
              <w:right w:val="single" w:sz="4" w:space="0" w:color="BFBFBF" w:themeColor="background1" w:themeShade="BF"/>
            </w:tcBorders>
            <w:shd w:val="clear" w:color="auto" w:fill="E7E6E6" w:themeFill="background2"/>
          </w:tcPr>
          <w:p w14:paraId="38D086C9" w14:textId="77777777" w:rsidR="0093381D" w:rsidRPr="000A2712" w:rsidRDefault="0093381D" w:rsidP="002475E7">
            <w:pPr>
              <w:spacing w:before="120" w:after="60"/>
              <w:jc w:val="right"/>
              <w:rPr>
                <w:rFonts w:ascii="Calibri Light" w:hAnsi="Calibri Light" w:cs="Calibri Light"/>
                <w:sz w:val="16"/>
                <w:szCs w:val="16"/>
                <w:lang w:val="en-AU"/>
              </w:rPr>
            </w:pPr>
          </w:p>
        </w:tc>
        <w:tc>
          <w:tcPr>
            <w:tcW w:w="4863" w:type="dxa"/>
            <w:tcBorders>
              <w:top w:val="nil"/>
              <w:left w:val="single" w:sz="4" w:space="0" w:color="BFBFBF" w:themeColor="background1" w:themeShade="BF"/>
              <w:bottom w:val="nil"/>
            </w:tcBorders>
            <w:shd w:val="clear" w:color="auto" w:fill="E7E6E6" w:themeFill="background2"/>
          </w:tcPr>
          <w:p w14:paraId="32CFA284" w14:textId="77777777" w:rsidR="0093381D" w:rsidRPr="000A2712" w:rsidRDefault="0093381D" w:rsidP="002475E7">
            <w:pPr>
              <w:spacing w:before="120" w:after="60"/>
              <w:ind w:left="28"/>
              <w:rPr>
                <w:rFonts w:ascii="Calibri Light" w:hAnsi="Calibri Light" w:cs="Calibri Light"/>
                <w:sz w:val="18"/>
                <w:szCs w:val="18"/>
                <w:lang w:val="en-AU"/>
              </w:rPr>
            </w:pPr>
            <w:r w:rsidRPr="000A2712">
              <w:rPr>
                <w:rFonts w:ascii="Calibri Light" w:hAnsi="Calibri Light" w:cs="Calibri Light"/>
                <w:sz w:val="18"/>
                <w:szCs w:val="18"/>
                <w:lang w:val="en-AU"/>
              </w:rPr>
              <w:t>GOI partner policies and implementation plans that…</w:t>
            </w:r>
          </w:p>
        </w:tc>
      </w:tr>
      <w:tr w:rsidR="0093381D" w:rsidRPr="000A2712" w14:paraId="110D40E9" w14:textId="77777777" w:rsidTr="00CF0B30">
        <w:trPr>
          <w:jc w:val="center"/>
        </w:trPr>
        <w:tc>
          <w:tcPr>
            <w:tcW w:w="4771" w:type="dxa"/>
            <w:tcBorders>
              <w:right w:val="single" w:sz="4" w:space="0" w:color="BFBFBF" w:themeColor="background1" w:themeShade="BF"/>
            </w:tcBorders>
            <w:shd w:val="clear" w:color="auto" w:fill="E7E6E6" w:themeFill="background2"/>
          </w:tcPr>
          <w:p w14:paraId="573EFDF3" w14:textId="77777777" w:rsidR="0093381D" w:rsidRPr="000A2712" w:rsidRDefault="0093381D" w:rsidP="002475E7">
            <w:pPr>
              <w:spacing w:before="40" w:after="40"/>
              <w:ind w:left="22" w:hanging="22"/>
              <w:jc w:val="right"/>
              <w:rPr>
                <w:rFonts w:ascii="Calibri Light" w:hAnsi="Calibri Light" w:cs="Calibri Light"/>
                <w:sz w:val="18"/>
                <w:szCs w:val="18"/>
                <w:lang w:val="en-AU"/>
              </w:rPr>
            </w:pPr>
            <w:r w:rsidRPr="000A2712">
              <w:rPr>
                <w:rFonts w:ascii="Calibri Light" w:hAnsi="Calibri Light" w:cs="Calibri Light"/>
                <w:sz w:val="18"/>
                <w:szCs w:val="18"/>
                <w:lang w:val="en-AU"/>
              </w:rPr>
              <w:t>1. Transparency, accountability and anticorruption reforms within judicial and government institutions are embedded in process and practice</w:t>
            </w:r>
          </w:p>
        </w:tc>
        <w:tc>
          <w:tcPr>
            <w:tcW w:w="4863" w:type="dxa"/>
            <w:tcBorders>
              <w:top w:val="nil"/>
              <w:left w:val="single" w:sz="4" w:space="0" w:color="BFBFBF" w:themeColor="background1" w:themeShade="BF"/>
              <w:bottom w:val="nil"/>
            </w:tcBorders>
            <w:shd w:val="clear" w:color="auto" w:fill="E7E6E6" w:themeFill="background2"/>
          </w:tcPr>
          <w:p w14:paraId="26A13223" w14:textId="77777777" w:rsidR="0093381D" w:rsidRPr="000A2712" w:rsidRDefault="0093381D" w:rsidP="002475E7">
            <w:pPr>
              <w:spacing w:before="20" w:after="20"/>
              <w:ind w:left="308"/>
              <w:rPr>
                <w:rFonts w:ascii="Calibri Light" w:hAnsi="Calibri Light" w:cs="Calibri Light"/>
                <w:i/>
                <w:iCs/>
                <w:sz w:val="18"/>
                <w:szCs w:val="18"/>
                <w:lang w:val="en-AU"/>
              </w:rPr>
            </w:pPr>
            <w:r w:rsidRPr="000A2712">
              <w:rPr>
                <w:rFonts w:ascii="Calibri Light" w:hAnsi="Calibri Light" w:cs="Calibri Light"/>
                <w:i/>
                <w:iCs/>
                <w:sz w:val="18"/>
                <w:szCs w:val="18"/>
                <w:lang w:val="en-AU"/>
              </w:rPr>
              <w:t>1… promote transparency, accountability and anti-corruption …</w:t>
            </w:r>
          </w:p>
        </w:tc>
      </w:tr>
      <w:tr w:rsidR="0093381D" w:rsidRPr="000A2712" w14:paraId="41E993EA" w14:textId="77777777" w:rsidTr="00CF0B30">
        <w:trPr>
          <w:jc w:val="center"/>
        </w:trPr>
        <w:tc>
          <w:tcPr>
            <w:tcW w:w="4771" w:type="dxa"/>
            <w:tcBorders>
              <w:right w:val="single" w:sz="4" w:space="0" w:color="BFBFBF" w:themeColor="background1" w:themeShade="BF"/>
            </w:tcBorders>
            <w:shd w:val="clear" w:color="auto" w:fill="E7E6E6" w:themeFill="background2"/>
          </w:tcPr>
          <w:p w14:paraId="447FD61A" w14:textId="77777777" w:rsidR="0093381D" w:rsidRPr="000A2712" w:rsidRDefault="0093381D" w:rsidP="002475E7">
            <w:pPr>
              <w:spacing w:before="40" w:after="40"/>
              <w:jc w:val="right"/>
              <w:rPr>
                <w:rFonts w:ascii="Calibri Light" w:hAnsi="Calibri Light" w:cs="Calibri Light"/>
                <w:sz w:val="18"/>
                <w:szCs w:val="18"/>
                <w:lang w:val="en-AU"/>
              </w:rPr>
            </w:pPr>
            <w:r w:rsidRPr="000A2712">
              <w:rPr>
                <w:rFonts w:ascii="Calibri Light" w:hAnsi="Calibri Light" w:cs="Calibri Light"/>
                <w:sz w:val="18"/>
                <w:szCs w:val="18"/>
                <w:lang w:val="en-AU"/>
              </w:rPr>
              <w:t>2. Indonesian organisations are preventing and investigating transnational crime more effectively</w:t>
            </w:r>
          </w:p>
        </w:tc>
        <w:tc>
          <w:tcPr>
            <w:tcW w:w="4863" w:type="dxa"/>
            <w:tcBorders>
              <w:top w:val="nil"/>
              <w:left w:val="single" w:sz="4" w:space="0" w:color="BFBFBF" w:themeColor="background1" w:themeShade="BF"/>
              <w:bottom w:val="nil"/>
            </w:tcBorders>
            <w:shd w:val="clear" w:color="auto" w:fill="E7E6E6" w:themeFill="background2"/>
          </w:tcPr>
          <w:p w14:paraId="77458AC5" w14:textId="77777777" w:rsidR="0093381D" w:rsidRPr="000A2712" w:rsidRDefault="0093381D" w:rsidP="002475E7">
            <w:pPr>
              <w:spacing w:before="20" w:after="20"/>
              <w:ind w:left="308" w:right="-144"/>
              <w:rPr>
                <w:rFonts w:ascii="Calibri Light" w:hAnsi="Calibri Light" w:cs="Calibri Light"/>
                <w:i/>
                <w:iCs/>
                <w:sz w:val="18"/>
                <w:szCs w:val="18"/>
                <w:lang w:val="en-AU"/>
              </w:rPr>
            </w:pPr>
            <w:r w:rsidRPr="000A2712">
              <w:rPr>
                <w:rFonts w:ascii="Calibri Light" w:hAnsi="Calibri Light" w:cs="Calibri Light"/>
                <w:i/>
                <w:iCs/>
                <w:sz w:val="18"/>
                <w:szCs w:val="18"/>
                <w:lang w:val="en-AU"/>
              </w:rPr>
              <w:t>2… help prevent and investigate transnational crimes …</w:t>
            </w:r>
          </w:p>
        </w:tc>
      </w:tr>
      <w:tr w:rsidR="0093381D" w:rsidRPr="000A2712" w14:paraId="20BC3880" w14:textId="77777777" w:rsidTr="00CF0B30">
        <w:trPr>
          <w:jc w:val="center"/>
        </w:trPr>
        <w:tc>
          <w:tcPr>
            <w:tcW w:w="4771" w:type="dxa"/>
            <w:tcBorders>
              <w:right w:val="single" w:sz="4" w:space="0" w:color="BFBFBF" w:themeColor="background1" w:themeShade="BF"/>
            </w:tcBorders>
            <w:shd w:val="clear" w:color="auto" w:fill="E7E6E6" w:themeFill="background2"/>
          </w:tcPr>
          <w:p w14:paraId="38DC44A9" w14:textId="77777777" w:rsidR="0093381D" w:rsidRPr="000A2712" w:rsidRDefault="0093381D" w:rsidP="002475E7">
            <w:pPr>
              <w:spacing w:before="40" w:after="40"/>
              <w:jc w:val="right"/>
              <w:rPr>
                <w:rFonts w:ascii="Calibri Light" w:hAnsi="Calibri Light" w:cs="Calibri Light"/>
                <w:sz w:val="18"/>
                <w:szCs w:val="18"/>
                <w:lang w:val="en-AU"/>
              </w:rPr>
            </w:pPr>
            <w:r w:rsidRPr="000A2712">
              <w:rPr>
                <w:rFonts w:ascii="Calibri Light" w:hAnsi="Calibri Light" w:cs="Calibri Light"/>
                <w:sz w:val="18"/>
                <w:szCs w:val="18"/>
                <w:lang w:val="en-AU"/>
              </w:rPr>
              <w:t>3. Violent conflict is reduced through government and civil society promoting tolerance and countering radicalisation</w:t>
            </w:r>
          </w:p>
        </w:tc>
        <w:tc>
          <w:tcPr>
            <w:tcW w:w="4863" w:type="dxa"/>
            <w:tcBorders>
              <w:top w:val="nil"/>
              <w:left w:val="single" w:sz="4" w:space="0" w:color="BFBFBF" w:themeColor="background1" w:themeShade="BF"/>
              <w:bottom w:val="nil"/>
            </w:tcBorders>
            <w:shd w:val="clear" w:color="auto" w:fill="E7E6E6" w:themeFill="background2"/>
          </w:tcPr>
          <w:p w14:paraId="7542DA43" w14:textId="77777777" w:rsidR="0093381D" w:rsidRPr="000A2712" w:rsidRDefault="0093381D" w:rsidP="002475E7">
            <w:pPr>
              <w:spacing w:before="20" w:after="20"/>
              <w:ind w:left="308"/>
              <w:rPr>
                <w:rFonts w:ascii="Calibri Light" w:hAnsi="Calibri Light" w:cs="Calibri Light"/>
                <w:i/>
                <w:iCs/>
                <w:sz w:val="18"/>
                <w:szCs w:val="18"/>
                <w:lang w:val="en-AU"/>
              </w:rPr>
            </w:pPr>
            <w:r w:rsidRPr="000A2712">
              <w:rPr>
                <w:rFonts w:ascii="Calibri Light" w:hAnsi="Calibri Light" w:cs="Calibri Light"/>
                <w:i/>
                <w:iCs/>
                <w:sz w:val="18"/>
                <w:szCs w:val="18"/>
                <w:lang w:val="en-AU"/>
              </w:rPr>
              <w:t>3… prevent violent extremism …</w:t>
            </w:r>
          </w:p>
        </w:tc>
      </w:tr>
      <w:tr w:rsidR="0093381D" w:rsidRPr="000A2712" w14:paraId="2FE58142" w14:textId="77777777" w:rsidTr="00CF0B30">
        <w:trPr>
          <w:jc w:val="center"/>
        </w:trPr>
        <w:tc>
          <w:tcPr>
            <w:tcW w:w="4771" w:type="dxa"/>
            <w:tcBorders>
              <w:right w:val="single" w:sz="4" w:space="0" w:color="BFBFBF" w:themeColor="background1" w:themeShade="BF"/>
            </w:tcBorders>
            <w:shd w:val="clear" w:color="auto" w:fill="E7E6E6" w:themeFill="background2"/>
          </w:tcPr>
          <w:p w14:paraId="6FD03939" w14:textId="77777777" w:rsidR="0093381D" w:rsidRPr="000A2712" w:rsidRDefault="0093381D" w:rsidP="002475E7">
            <w:pPr>
              <w:spacing w:before="40" w:after="40"/>
              <w:jc w:val="right"/>
              <w:rPr>
                <w:rFonts w:ascii="Calibri Light" w:hAnsi="Calibri Light" w:cs="Calibri Light"/>
                <w:sz w:val="18"/>
                <w:szCs w:val="18"/>
                <w:lang w:val="en-AU"/>
              </w:rPr>
            </w:pPr>
            <w:r w:rsidRPr="000A2712">
              <w:rPr>
                <w:rFonts w:ascii="Calibri Light" w:hAnsi="Calibri Light" w:cs="Calibri Light"/>
                <w:sz w:val="18"/>
                <w:szCs w:val="18"/>
                <w:lang w:val="en-AU"/>
              </w:rPr>
              <w:t>4. Police, courts and correctional services are collaborating to enforce rights and uphold the rule of law</w:t>
            </w:r>
          </w:p>
        </w:tc>
        <w:tc>
          <w:tcPr>
            <w:tcW w:w="4863" w:type="dxa"/>
            <w:tcBorders>
              <w:top w:val="nil"/>
              <w:left w:val="single" w:sz="4" w:space="0" w:color="BFBFBF" w:themeColor="background1" w:themeShade="BF"/>
              <w:bottom w:val="nil"/>
            </w:tcBorders>
            <w:shd w:val="clear" w:color="auto" w:fill="E7E6E6" w:themeFill="background2"/>
          </w:tcPr>
          <w:p w14:paraId="22303ECA" w14:textId="0CE95942" w:rsidR="0093381D" w:rsidRPr="000A2712" w:rsidRDefault="0093381D" w:rsidP="002475E7">
            <w:pPr>
              <w:spacing w:before="20" w:after="20"/>
              <w:ind w:left="308"/>
              <w:rPr>
                <w:rFonts w:ascii="Calibri Light" w:hAnsi="Calibri Light" w:cs="Calibri Light"/>
                <w:i/>
                <w:iCs/>
                <w:sz w:val="18"/>
                <w:szCs w:val="18"/>
                <w:lang w:val="en-AU"/>
              </w:rPr>
            </w:pPr>
            <w:r w:rsidRPr="000A2712">
              <w:rPr>
                <w:rFonts w:ascii="Calibri Light" w:hAnsi="Calibri Light" w:cs="Calibri Light"/>
                <w:i/>
                <w:iCs/>
                <w:sz w:val="18"/>
                <w:szCs w:val="18"/>
                <w:lang w:val="en-AU"/>
              </w:rPr>
              <w:t>4… support correctional service reform and uphold the rule of law….</w:t>
            </w:r>
          </w:p>
        </w:tc>
      </w:tr>
      <w:tr w:rsidR="0093381D" w:rsidRPr="000A2712" w14:paraId="59A29C62" w14:textId="77777777" w:rsidTr="00CF0B30">
        <w:trPr>
          <w:jc w:val="center"/>
        </w:trPr>
        <w:tc>
          <w:tcPr>
            <w:tcW w:w="4771" w:type="dxa"/>
            <w:vMerge w:val="restart"/>
            <w:tcBorders>
              <w:right w:val="single" w:sz="4" w:space="0" w:color="BFBFBF" w:themeColor="background1" w:themeShade="BF"/>
            </w:tcBorders>
            <w:shd w:val="clear" w:color="auto" w:fill="E7E6E6" w:themeFill="background2"/>
          </w:tcPr>
          <w:p w14:paraId="129C8B75" w14:textId="77777777" w:rsidR="0093381D" w:rsidRPr="000A2712" w:rsidRDefault="0093381D" w:rsidP="002475E7">
            <w:pPr>
              <w:spacing w:before="40" w:after="40"/>
              <w:jc w:val="right"/>
              <w:rPr>
                <w:rFonts w:ascii="Calibri Light" w:hAnsi="Calibri Light" w:cs="Calibri Light"/>
                <w:sz w:val="18"/>
                <w:szCs w:val="18"/>
                <w:lang w:val="en-AU"/>
              </w:rPr>
            </w:pPr>
            <w:r w:rsidRPr="000A2712">
              <w:rPr>
                <w:rFonts w:ascii="Calibri Light" w:hAnsi="Calibri Light" w:cs="Calibri Light"/>
                <w:sz w:val="18"/>
                <w:szCs w:val="18"/>
                <w:lang w:val="en-AU"/>
              </w:rPr>
              <w:t>5. Justice and legal services promote greater accessibility and enhance gender equality</w:t>
            </w:r>
          </w:p>
        </w:tc>
        <w:tc>
          <w:tcPr>
            <w:tcW w:w="4863" w:type="dxa"/>
            <w:tcBorders>
              <w:top w:val="nil"/>
              <w:left w:val="single" w:sz="4" w:space="0" w:color="BFBFBF" w:themeColor="background1" w:themeShade="BF"/>
              <w:bottom w:val="nil"/>
            </w:tcBorders>
            <w:shd w:val="clear" w:color="auto" w:fill="E7E6E6" w:themeFill="background2"/>
          </w:tcPr>
          <w:p w14:paraId="1A9ED01D" w14:textId="77777777" w:rsidR="0093381D" w:rsidRPr="000A2712" w:rsidRDefault="0093381D" w:rsidP="002475E7">
            <w:pPr>
              <w:spacing w:before="20" w:after="20"/>
              <w:ind w:left="308"/>
              <w:rPr>
                <w:rFonts w:ascii="Calibri Light" w:hAnsi="Calibri Light" w:cs="Calibri Light"/>
                <w:i/>
                <w:iCs/>
                <w:sz w:val="18"/>
                <w:szCs w:val="18"/>
                <w:lang w:val="en-AU"/>
              </w:rPr>
            </w:pPr>
            <w:r w:rsidRPr="000A2712">
              <w:rPr>
                <w:rFonts w:ascii="Calibri Light" w:hAnsi="Calibri Light" w:cs="Calibri Light"/>
                <w:i/>
                <w:iCs/>
                <w:sz w:val="18"/>
                <w:szCs w:val="18"/>
                <w:lang w:val="en-AU"/>
              </w:rPr>
              <w:t>5… support gender and disability rights …</w:t>
            </w:r>
          </w:p>
        </w:tc>
      </w:tr>
      <w:tr w:rsidR="0093381D" w:rsidRPr="000A2712" w14:paraId="6B3330AC" w14:textId="77777777" w:rsidTr="00CF0B30">
        <w:trPr>
          <w:jc w:val="center"/>
        </w:trPr>
        <w:tc>
          <w:tcPr>
            <w:tcW w:w="4771" w:type="dxa"/>
            <w:vMerge/>
            <w:tcBorders>
              <w:right w:val="single" w:sz="4" w:space="0" w:color="BFBFBF" w:themeColor="background1" w:themeShade="BF"/>
            </w:tcBorders>
            <w:shd w:val="clear" w:color="auto" w:fill="E7E6E6" w:themeFill="background2"/>
          </w:tcPr>
          <w:p w14:paraId="4E56501D" w14:textId="77777777" w:rsidR="0093381D" w:rsidRPr="000A2712" w:rsidRDefault="0093381D" w:rsidP="002475E7">
            <w:pPr>
              <w:spacing w:before="20" w:after="20"/>
              <w:jc w:val="right"/>
              <w:rPr>
                <w:rFonts w:ascii="Calibri Light" w:hAnsi="Calibri Light" w:cs="Calibri Light"/>
                <w:sz w:val="18"/>
                <w:szCs w:val="18"/>
                <w:lang w:val="en-AU"/>
              </w:rPr>
            </w:pPr>
          </w:p>
        </w:tc>
        <w:tc>
          <w:tcPr>
            <w:tcW w:w="4863" w:type="dxa"/>
            <w:tcBorders>
              <w:top w:val="nil"/>
              <w:left w:val="single" w:sz="4" w:space="0" w:color="BFBFBF" w:themeColor="background1" w:themeShade="BF"/>
              <w:bottom w:val="nil"/>
            </w:tcBorders>
            <w:shd w:val="clear" w:color="auto" w:fill="E7E6E6" w:themeFill="background2"/>
          </w:tcPr>
          <w:p w14:paraId="604C53AE" w14:textId="77777777" w:rsidR="0093381D" w:rsidRPr="000A2712" w:rsidRDefault="0093381D" w:rsidP="002475E7">
            <w:pPr>
              <w:spacing w:before="120" w:after="20"/>
              <w:ind w:left="28"/>
              <w:rPr>
                <w:rFonts w:ascii="Calibri Light" w:hAnsi="Calibri Light" w:cs="Calibri Light"/>
                <w:sz w:val="18"/>
                <w:szCs w:val="18"/>
                <w:lang w:val="en-AU"/>
              </w:rPr>
            </w:pPr>
            <w:r w:rsidRPr="000A2712">
              <w:rPr>
                <w:rFonts w:ascii="Calibri Light" w:hAnsi="Calibri Light" w:cs="Calibri Light"/>
                <w:sz w:val="18"/>
                <w:szCs w:val="18"/>
                <w:lang w:val="en-AU"/>
              </w:rPr>
              <w:t>… are informed by evidence of sub-national practice, the rights of women and PWD, inputs from CSOs and international good practice</w:t>
            </w:r>
          </w:p>
        </w:tc>
      </w:tr>
      <w:tr w:rsidR="00A46CD8" w:rsidRPr="000A2712" w14:paraId="7A81E650" w14:textId="77777777" w:rsidTr="00CF0B30">
        <w:trPr>
          <w:trHeight w:val="64"/>
          <w:jc w:val="center"/>
        </w:trPr>
        <w:tc>
          <w:tcPr>
            <w:tcW w:w="9634" w:type="dxa"/>
            <w:gridSpan w:val="2"/>
            <w:shd w:val="clear" w:color="auto" w:fill="E7E6E6" w:themeFill="background2"/>
          </w:tcPr>
          <w:p w14:paraId="25DF16FE" w14:textId="455A80C4" w:rsidR="0093381D" w:rsidRPr="000A2712" w:rsidRDefault="0093381D" w:rsidP="002475E7">
            <w:pPr>
              <w:spacing w:before="120" w:after="60"/>
              <w:rPr>
                <w:rFonts w:ascii="Calibri Light" w:hAnsi="Calibri Light" w:cs="Calibri Light"/>
                <w:b/>
                <w:bCs/>
                <w:sz w:val="15"/>
                <w:szCs w:val="15"/>
                <w:lang w:val="en-AU"/>
              </w:rPr>
            </w:pPr>
            <w:r w:rsidRPr="000A2712">
              <w:rPr>
                <w:rFonts w:ascii="Calibri Light" w:hAnsi="Calibri Light" w:cs="Calibri Light"/>
                <w:b/>
                <w:bCs/>
                <w:sz w:val="15"/>
                <w:szCs w:val="15"/>
                <w:lang w:val="en-AU"/>
              </w:rPr>
              <w:t>Abbrs:</w:t>
            </w:r>
            <w:r w:rsidR="00A16179">
              <w:rPr>
                <w:rFonts w:ascii="Calibri Light" w:hAnsi="Calibri Light" w:cs="Calibri Light"/>
                <w:b/>
                <w:bCs/>
                <w:sz w:val="15"/>
                <w:szCs w:val="15"/>
                <w:lang w:val="en-AU"/>
              </w:rPr>
              <w:t xml:space="preserve"> </w:t>
            </w:r>
            <w:r w:rsidRPr="000A2712">
              <w:rPr>
                <w:rFonts w:ascii="Calibri Light" w:hAnsi="Calibri Light" w:cs="Calibri Light"/>
                <w:sz w:val="15"/>
                <w:szCs w:val="15"/>
                <w:lang w:val="en-AU"/>
              </w:rPr>
              <w:t>GOI: Government of Indonesia;</w:t>
            </w:r>
            <w:r w:rsidR="00A16179">
              <w:rPr>
                <w:rFonts w:ascii="Calibri Light" w:hAnsi="Calibri Light" w:cs="Calibri Light"/>
                <w:sz w:val="15"/>
                <w:szCs w:val="15"/>
                <w:lang w:val="en-AU"/>
              </w:rPr>
              <w:t xml:space="preserve"> </w:t>
            </w:r>
            <w:r w:rsidRPr="000A2712">
              <w:rPr>
                <w:rFonts w:ascii="Calibri Light" w:hAnsi="Calibri Light" w:cs="Calibri Light"/>
                <w:sz w:val="15"/>
                <w:szCs w:val="15"/>
                <w:lang w:val="en-AU"/>
              </w:rPr>
              <w:t>PWD: People with disability;</w:t>
            </w:r>
            <w:r w:rsidR="00A16179">
              <w:rPr>
                <w:rFonts w:ascii="Calibri Light" w:hAnsi="Calibri Light" w:cs="Calibri Light"/>
                <w:sz w:val="15"/>
                <w:szCs w:val="15"/>
                <w:lang w:val="en-AU"/>
              </w:rPr>
              <w:t xml:space="preserve"> </w:t>
            </w:r>
            <w:r w:rsidRPr="000A2712">
              <w:rPr>
                <w:rFonts w:ascii="Calibri Light" w:hAnsi="Calibri Light" w:cs="Calibri Light"/>
                <w:sz w:val="15"/>
                <w:szCs w:val="15"/>
                <w:lang w:val="en-AU"/>
              </w:rPr>
              <w:t>CSOs: Civil society organisations</w:t>
            </w:r>
            <w:r w:rsidRPr="000A2712">
              <w:rPr>
                <w:rFonts w:ascii="Calibri Light" w:hAnsi="Calibri Light" w:cs="Calibri Light"/>
                <w:b/>
                <w:bCs/>
                <w:sz w:val="15"/>
                <w:szCs w:val="15"/>
                <w:lang w:val="en-AU"/>
              </w:rPr>
              <w:t>.</w:t>
            </w:r>
          </w:p>
        </w:tc>
      </w:tr>
    </w:tbl>
    <w:p w14:paraId="3178F5F5" w14:textId="145546D2" w:rsidR="005E310E" w:rsidRPr="000A2712" w:rsidRDefault="005E310E" w:rsidP="005E310E">
      <w:pPr>
        <w:pStyle w:val="ListParagraph"/>
        <w:ind w:left="1134" w:right="80"/>
        <w:jc w:val="right"/>
        <w:rPr>
          <w:rFonts w:ascii="Calibri Light" w:hAnsi="Calibri Light" w:cs="Calibri Light"/>
          <w:sz w:val="16"/>
          <w:szCs w:val="16"/>
          <w:lang w:val="en-AU"/>
        </w:rPr>
      </w:pPr>
      <w:r w:rsidRPr="000A2712">
        <w:rPr>
          <w:rFonts w:ascii="Calibri Light" w:hAnsi="Calibri Light" w:cs="Calibri Light"/>
          <w:sz w:val="16"/>
          <w:szCs w:val="16"/>
          <w:lang w:val="en-AU"/>
        </w:rPr>
        <w:t xml:space="preserve">Source: AIPJ2 design document and </w:t>
      </w:r>
      <w:r w:rsidR="00F10680" w:rsidRPr="000A2712">
        <w:rPr>
          <w:rFonts w:ascii="Calibri Light" w:hAnsi="Calibri Light" w:cs="Calibri Light"/>
          <w:sz w:val="16"/>
          <w:szCs w:val="16"/>
          <w:lang w:val="en-AU"/>
        </w:rPr>
        <w:t xml:space="preserve">MEL </w:t>
      </w:r>
      <w:r w:rsidR="007F2A6D" w:rsidRPr="000A2712">
        <w:rPr>
          <w:rFonts w:ascii="Calibri Light" w:hAnsi="Calibri Light" w:cs="Calibri Light"/>
          <w:sz w:val="16"/>
          <w:szCs w:val="16"/>
          <w:lang w:val="en-AU"/>
        </w:rPr>
        <w:t>framework (Dec 2017)</w:t>
      </w:r>
    </w:p>
    <w:p w14:paraId="1175CC8F" w14:textId="00FB93E2" w:rsidR="0071377A" w:rsidRPr="000A2712" w:rsidRDefault="006C227F" w:rsidP="006B32D6">
      <w:pPr>
        <w:pStyle w:val="ListParagraph"/>
        <w:numPr>
          <w:ilvl w:val="2"/>
          <w:numId w:val="3"/>
        </w:numPr>
        <w:tabs>
          <w:tab w:val="clear" w:pos="1701"/>
          <w:tab w:val="left" w:pos="567"/>
        </w:tabs>
        <w:spacing w:before="360"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The original design of AIPJ2 earmarked up to AUD 23.5 million for law and justice related activities and AUD 16.5 million for security/counter-terrorism related activities.</w:t>
      </w:r>
      <w:r w:rsidR="004F3669" w:rsidRPr="000A2712">
        <w:rPr>
          <w:rFonts w:ascii="Calibri Light" w:hAnsi="Calibri Light" w:cs="Calibri Light"/>
          <w:sz w:val="22"/>
          <w:szCs w:val="22"/>
          <w:lang w:val="en-AU"/>
        </w:rPr>
        <w:t xml:space="preserve"> Expenditure to date </w:t>
      </w:r>
      <w:r w:rsidR="009918EB">
        <w:rPr>
          <w:rFonts w:ascii="Calibri Light" w:hAnsi="Calibri Light" w:cs="Calibri Light"/>
          <w:sz w:val="22"/>
          <w:szCs w:val="22"/>
          <w:lang w:val="en-AU"/>
        </w:rPr>
        <w:t xml:space="preserve">and has been in line with </w:t>
      </w:r>
      <w:r w:rsidR="003E2A86">
        <w:rPr>
          <w:rFonts w:ascii="Calibri Light" w:hAnsi="Calibri Light" w:cs="Calibri Light"/>
          <w:sz w:val="22"/>
          <w:szCs w:val="22"/>
          <w:lang w:val="en-AU"/>
        </w:rPr>
        <w:t xml:space="preserve">overall </w:t>
      </w:r>
      <w:r w:rsidR="009918EB">
        <w:rPr>
          <w:rFonts w:ascii="Calibri Light" w:hAnsi="Calibri Light" w:cs="Calibri Light"/>
          <w:sz w:val="22"/>
          <w:szCs w:val="22"/>
          <w:lang w:val="en-AU"/>
        </w:rPr>
        <w:t>budget</w:t>
      </w:r>
      <w:r w:rsidR="003E2A86">
        <w:rPr>
          <w:rFonts w:ascii="Calibri Light" w:hAnsi="Calibri Light" w:cs="Calibri Light"/>
          <w:sz w:val="22"/>
          <w:szCs w:val="22"/>
          <w:lang w:val="en-AU"/>
        </w:rPr>
        <w:t xml:space="preserve">s but programmatic allocations have </w:t>
      </w:r>
      <w:r w:rsidR="004F3669" w:rsidRPr="000A2712">
        <w:rPr>
          <w:rFonts w:ascii="Calibri Light" w:hAnsi="Calibri Light" w:cs="Calibri Light"/>
          <w:sz w:val="22"/>
          <w:szCs w:val="22"/>
          <w:lang w:val="en-AU"/>
        </w:rPr>
        <w:t xml:space="preserve">been </w:t>
      </w:r>
      <w:r w:rsidR="00EF27E6">
        <w:rPr>
          <w:rFonts w:ascii="Calibri Light" w:hAnsi="Calibri Light" w:cs="Calibri Light"/>
          <w:sz w:val="22"/>
          <w:szCs w:val="22"/>
          <w:lang w:val="en-AU"/>
        </w:rPr>
        <w:t xml:space="preserve">estimated by the mid-term review </w:t>
      </w:r>
      <w:r w:rsidR="004F3669" w:rsidRPr="000A2712">
        <w:rPr>
          <w:rFonts w:ascii="Calibri Light" w:hAnsi="Calibri Light" w:cs="Calibri Light"/>
          <w:sz w:val="22"/>
          <w:szCs w:val="22"/>
          <w:lang w:val="en-AU"/>
        </w:rPr>
        <w:t>as follows</w:t>
      </w:r>
      <w:r w:rsidR="00DF023F" w:rsidRPr="000A2712">
        <w:rPr>
          <w:rFonts w:ascii="Calibri Light" w:hAnsi="Calibri Light" w:cs="Calibri Light"/>
          <w:sz w:val="22"/>
          <w:szCs w:val="22"/>
          <w:lang w:val="en-AU"/>
        </w:rPr>
        <w:t>:</w:t>
      </w:r>
      <w:r w:rsidR="00606C2D" w:rsidRPr="000A2712">
        <w:rPr>
          <w:rFonts w:ascii="Calibri Light" w:hAnsi="Calibri Light" w:cs="Calibri Light"/>
          <w:sz w:val="22"/>
          <w:szCs w:val="22"/>
          <w:lang w:val="en-AU"/>
        </w:rPr>
        <w:t xml:space="preserve"> </w:t>
      </w:r>
    </w:p>
    <w:p w14:paraId="64A8C763" w14:textId="41EBE68A" w:rsidR="00DD55A3" w:rsidRPr="000A2712" w:rsidRDefault="00DD55A3" w:rsidP="009D34A9">
      <w:pPr>
        <w:pStyle w:val="ListParagraph"/>
        <w:contextualSpacing w:val="0"/>
        <w:rPr>
          <w:rFonts w:ascii="Calibri Light" w:hAnsi="Calibri Light" w:cs="Calibri Light"/>
          <w:sz w:val="21"/>
          <w:szCs w:val="21"/>
          <w:lang w:val="en-AU"/>
        </w:rPr>
      </w:pPr>
      <w:r w:rsidRPr="000A2712">
        <w:rPr>
          <w:rStyle w:val="IntenseEmphasis"/>
          <w:sz w:val="21"/>
          <w:szCs w:val="21"/>
          <w:lang w:val="en-AU"/>
        </w:rPr>
        <w:t>Table 1</w:t>
      </w:r>
      <w:r w:rsidRPr="000A2712">
        <w:rPr>
          <w:rFonts w:ascii="Calibri Light" w:hAnsi="Calibri Light" w:cs="Calibri Light"/>
          <w:b/>
          <w:bCs/>
          <w:sz w:val="21"/>
          <w:szCs w:val="21"/>
          <w:lang w:val="en-AU"/>
        </w:rPr>
        <w:t xml:space="preserve">: </w:t>
      </w:r>
      <w:r w:rsidR="00697EC7" w:rsidRPr="000A2712">
        <w:rPr>
          <w:rFonts w:ascii="Calibri Light" w:hAnsi="Calibri Light" w:cs="Calibri Light"/>
          <w:b/>
          <w:bCs/>
          <w:sz w:val="21"/>
          <w:szCs w:val="21"/>
          <w:lang w:val="en-AU"/>
        </w:rPr>
        <w:t>Estimated p</w:t>
      </w:r>
      <w:r w:rsidR="004051EE" w:rsidRPr="000A2712">
        <w:rPr>
          <w:rFonts w:ascii="Calibri Light" w:hAnsi="Calibri Light" w:cs="Calibri Light"/>
          <w:b/>
          <w:bCs/>
          <w:sz w:val="21"/>
          <w:szCs w:val="21"/>
          <w:lang w:val="en-AU"/>
        </w:rPr>
        <w:t xml:space="preserve">rogrammatic and operational </w:t>
      </w:r>
      <w:r w:rsidRPr="000A2712">
        <w:rPr>
          <w:rFonts w:ascii="Calibri Light" w:hAnsi="Calibri Light" w:cs="Calibri Light"/>
          <w:b/>
          <w:bCs/>
          <w:sz w:val="21"/>
          <w:szCs w:val="21"/>
          <w:lang w:val="en-AU"/>
        </w:rPr>
        <w:t>expenditure</w:t>
      </w:r>
      <w:r w:rsidR="00ED02A8" w:rsidRPr="000A2712">
        <w:rPr>
          <w:rFonts w:ascii="Calibri Light" w:hAnsi="Calibri Light" w:cs="Calibri Light"/>
          <w:b/>
          <w:bCs/>
          <w:sz w:val="21"/>
          <w:szCs w:val="21"/>
          <w:lang w:val="en-AU"/>
        </w:rPr>
        <w:tab/>
      </w:r>
      <w:r w:rsidR="00ED02A8" w:rsidRPr="000A2712">
        <w:rPr>
          <w:rFonts w:ascii="Calibri Light" w:hAnsi="Calibri Light" w:cs="Calibri Light"/>
          <w:b/>
          <w:bCs/>
          <w:sz w:val="21"/>
          <w:szCs w:val="21"/>
          <w:lang w:val="en-AU"/>
        </w:rPr>
        <w:tab/>
      </w:r>
      <w:r w:rsidR="00ED02A8" w:rsidRPr="000A2712">
        <w:rPr>
          <w:rFonts w:ascii="Calibri Light" w:hAnsi="Calibri Light" w:cs="Calibri Light"/>
          <w:sz w:val="21"/>
          <w:szCs w:val="21"/>
          <w:lang w:val="en-AU"/>
        </w:rPr>
        <w:t>(AUD millions)</w:t>
      </w:r>
    </w:p>
    <w:tbl>
      <w:tblPr>
        <w:tblStyle w:val="TableGrid"/>
        <w:tblW w:w="8364"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402"/>
        <w:gridCol w:w="1418"/>
        <w:gridCol w:w="1276"/>
        <w:gridCol w:w="1417"/>
        <w:gridCol w:w="851"/>
      </w:tblGrid>
      <w:tr w:rsidR="00697EC7" w:rsidRPr="000A2712" w14:paraId="31AA03EB" w14:textId="77777777" w:rsidTr="0043078F">
        <w:trPr>
          <w:jc w:val="center"/>
        </w:trPr>
        <w:tc>
          <w:tcPr>
            <w:tcW w:w="3402" w:type="dxa"/>
          </w:tcPr>
          <w:p w14:paraId="39F61913" w14:textId="75587AC1" w:rsidR="00697EC7" w:rsidRPr="000A2712" w:rsidRDefault="00697EC7" w:rsidP="00ED02A8">
            <w:pPr>
              <w:pStyle w:val="ListParagraph"/>
              <w:spacing w:before="40" w:after="40"/>
              <w:ind w:left="0"/>
              <w:rPr>
                <w:rFonts w:ascii="Calibri Light" w:hAnsi="Calibri Light" w:cs="Calibri Light"/>
                <w:sz w:val="20"/>
                <w:szCs w:val="20"/>
                <w:lang w:val="en-AU"/>
              </w:rPr>
            </w:pPr>
          </w:p>
        </w:tc>
        <w:tc>
          <w:tcPr>
            <w:tcW w:w="1418" w:type="dxa"/>
          </w:tcPr>
          <w:p w14:paraId="312CCE43" w14:textId="77777777" w:rsidR="00697EC7" w:rsidRPr="000A2712" w:rsidRDefault="00697EC7" w:rsidP="001D7E08">
            <w:pPr>
              <w:pStyle w:val="ListParagraph"/>
              <w:spacing w:before="40" w:after="40"/>
              <w:ind w:left="0"/>
              <w:contextualSpacing w:val="0"/>
              <w:jc w:val="right"/>
              <w:rPr>
                <w:rFonts w:ascii="Calibri Light" w:hAnsi="Calibri Light" w:cs="Calibri Light"/>
                <w:i/>
                <w:iCs/>
                <w:sz w:val="18"/>
                <w:szCs w:val="18"/>
                <w:lang w:val="en-AU"/>
              </w:rPr>
            </w:pPr>
            <w:r w:rsidRPr="000A2712">
              <w:rPr>
                <w:rFonts w:ascii="Calibri Light" w:hAnsi="Calibri Light" w:cs="Calibri Light"/>
                <w:i/>
                <w:iCs/>
                <w:sz w:val="18"/>
                <w:szCs w:val="18"/>
                <w:lang w:val="en-AU"/>
              </w:rPr>
              <w:t>Apr17 – Jun18</w:t>
            </w:r>
          </w:p>
        </w:tc>
        <w:tc>
          <w:tcPr>
            <w:tcW w:w="1276" w:type="dxa"/>
          </w:tcPr>
          <w:p w14:paraId="1EF1AA72" w14:textId="77777777" w:rsidR="00697EC7" w:rsidRPr="000A2712" w:rsidRDefault="00697EC7" w:rsidP="001D7E08">
            <w:pPr>
              <w:pStyle w:val="ListParagraph"/>
              <w:spacing w:before="40" w:after="40"/>
              <w:ind w:left="0"/>
              <w:contextualSpacing w:val="0"/>
              <w:jc w:val="right"/>
              <w:rPr>
                <w:rFonts w:ascii="Calibri Light" w:hAnsi="Calibri Light" w:cs="Calibri Light"/>
                <w:i/>
                <w:iCs/>
                <w:sz w:val="18"/>
                <w:szCs w:val="18"/>
                <w:lang w:val="en-AU"/>
              </w:rPr>
            </w:pPr>
            <w:r w:rsidRPr="000A2712">
              <w:rPr>
                <w:rFonts w:ascii="Calibri Light" w:hAnsi="Calibri Light" w:cs="Calibri Light"/>
                <w:i/>
                <w:iCs/>
                <w:sz w:val="18"/>
                <w:szCs w:val="18"/>
                <w:lang w:val="en-AU"/>
              </w:rPr>
              <w:t>Jul18 – Jun19</w:t>
            </w:r>
          </w:p>
        </w:tc>
        <w:tc>
          <w:tcPr>
            <w:tcW w:w="1417" w:type="dxa"/>
          </w:tcPr>
          <w:p w14:paraId="3824A38B" w14:textId="77777777" w:rsidR="00697EC7" w:rsidRPr="000A2712" w:rsidRDefault="00697EC7" w:rsidP="001D7E08">
            <w:pPr>
              <w:pStyle w:val="ListParagraph"/>
              <w:spacing w:before="40" w:after="40"/>
              <w:ind w:left="0"/>
              <w:contextualSpacing w:val="0"/>
              <w:jc w:val="right"/>
              <w:rPr>
                <w:rFonts w:ascii="Calibri Light" w:hAnsi="Calibri Light" w:cs="Calibri Light"/>
                <w:i/>
                <w:iCs/>
                <w:sz w:val="18"/>
                <w:szCs w:val="18"/>
                <w:lang w:val="en-AU"/>
              </w:rPr>
            </w:pPr>
            <w:r w:rsidRPr="000A2712">
              <w:rPr>
                <w:rFonts w:ascii="Calibri Light" w:hAnsi="Calibri Light" w:cs="Calibri Light"/>
                <w:i/>
                <w:iCs/>
                <w:sz w:val="18"/>
                <w:szCs w:val="18"/>
                <w:lang w:val="en-AU"/>
              </w:rPr>
              <w:t>Total to date</w:t>
            </w:r>
          </w:p>
        </w:tc>
        <w:tc>
          <w:tcPr>
            <w:tcW w:w="851" w:type="dxa"/>
          </w:tcPr>
          <w:p w14:paraId="70A2D3F3" w14:textId="77777777" w:rsidR="00697EC7" w:rsidRPr="000A2712" w:rsidRDefault="00697EC7" w:rsidP="001D7E08">
            <w:pPr>
              <w:pStyle w:val="ListParagraph"/>
              <w:spacing w:before="40" w:after="40"/>
              <w:ind w:left="0"/>
              <w:jc w:val="right"/>
              <w:rPr>
                <w:rFonts w:ascii="Calibri Light" w:hAnsi="Calibri Light" w:cs="Calibri Light"/>
                <w:i/>
                <w:iCs/>
                <w:sz w:val="18"/>
                <w:szCs w:val="18"/>
                <w:lang w:val="en-AU"/>
              </w:rPr>
            </w:pPr>
            <w:r w:rsidRPr="000A2712">
              <w:rPr>
                <w:rFonts w:ascii="Calibri Light" w:hAnsi="Calibri Light" w:cs="Calibri Light"/>
                <w:i/>
                <w:iCs/>
                <w:sz w:val="18"/>
                <w:szCs w:val="18"/>
                <w:lang w:val="en-AU"/>
              </w:rPr>
              <w:t>%</w:t>
            </w:r>
          </w:p>
        </w:tc>
      </w:tr>
      <w:tr w:rsidR="002A351E" w:rsidRPr="000A2712" w14:paraId="6A59F278" w14:textId="77777777" w:rsidTr="0043078F">
        <w:trPr>
          <w:jc w:val="center"/>
        </w:trPr>
        <w:tc>
          <w:tcPr>
            <w:tcW w:w="3402" w:type="dxa"/>
          </w:tcPr>
          <w:p w14:paraId="086DE234" w14:textId="6B3B59EB" w:rsidR="002A351E" w:rsidRPr="000A2712" w:rsidRDefault="002A351E"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Pillar 1</w:t>
            </w:r>
            <w:r w:rsidR="006A2430" w:rsidRPr="000A2712">
              <w:rPr>
                <w:rFonts w:ascii="Calibri Light" w:hAnsi="Calibri Light" w:cs="Calibri Light"/>
                <w:sz w:val="18"/>
                <w:szCs w:val="18"/>
                <w:lang w:val="en-AU"/>
              </w:rPr>
              <w:t>: Law and justice reforms</w:t>
            </w:r>
          </w:p>
        </w:tc>
        <w:tc>
          <w:tcPr>
            <w:tcW w:w="1418" w:type="dxa"/>
          </w:tcPr>
          <w:p w14:paraId="595294F5" w14:textId="4917B44A" w:rsidR="002A351E" w:rsidRPr="000A2712" w:rsidRDefault="00ED02A8"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1.6</w:t>
            </w:r>
          </w:p>
        </w:tc>
        <w:tc>
          <w:tcPr>
            <w:tcW w:w="1276" w:type="dxa"/>
          </w:tcPr>
          <w:p w14:paraId="5C7AB635" w14:textId="07DDE057" w:rsidR="002A351E" w:rsidRPr="000A2712" w:rsidRDefault="001D31B2"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1.6</w:t>
            </w:r>
          </w:p>
        </w:tc>
        <w:tc>
          <w:tcPr>
            <w:tcW w:w="1417" w:type="dxa"/>
          </w:tcPr>
          <w:p w14:paraId="0A87A094" w14:textId="1043E214" w:rsidR="002A351E" w:rsidRPr="000A2712" w:rsidRDefault="00942B8F"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3.2</w:t>
            </w:r>
          </w:p>
        </w:tc>
        <w:tc>
          <w:tcPr>
            <w:tcW w:w="851" w:type="dxa"/>
          </w:tcPr>
          <w:p w14:paraId="10280524" w14:textId="7151ED1E" w:rsidR="002A351E" w:rsidRPr="000A2712" w:rsidRDefault="008E719B"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18%</w:t>
            </w:r>
          </w:p>
        </w:tc>
      </w:tr>
      <w:tr w:rsidR="002A351E" w:rsidRPr="000A2712" w14:paraId="78311372" w14:textId="77777777" w:rsidTr="0043078F">
        <w:trPr>
          <w:jc w:val="center"/>
        </w:trPr>
        <w:tc>
          <w:tcPr>
            <w:tcW w:w="3402" w:type="dxa"/>
          </w:tcPr>
          <w:p w14:paraId="17B7CEDF" w14:textId="63879BBA" w:rsidR="002A351E" w:rsidRPr="000A2712" w:rsidRDefault="002A351E"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Pillar 2</w:t>
            </w:r>
            <w:r w:rsidR="006A2430" w:rsidRPr="000A2712">
              <w:rPr>
                <w:rFonts w:ascii="Calibri Light" w:hAnsi="Calibri Light" w:cs="Calibri Light"/>
                <w:sz w:val="18"/>
                <w:szCs w:val="18"/>
                <w:lang w:val="en-AU"/>
              </w:rPr>
              <w:t>: Security and transnational crime</w:t>
            </w:r>
          </w:p>
        </w:tc>
        <w:tc>
          <w:tcPr>
            <w:tcW w:w="1418" w:type="dxa"/>
          </w:tcPr>
          <w:p w14:paraId="58E90380" w14:textId="4411165E" w:rsidR="002A351E" w:rsidRPr="000A2712" w:rsidRDefault="00942B8F"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2.1</w:t>
            </w:r>
          </w:p>
        </w:tc>
        <w:tc>
          <w:tcPr>
            <w:tcW w:w="1276" w:type="dxa"/>
          </w:tcPr>
          <w:p w14:paraId="4E2A9ACC" w14:textId="0A52A00B" w:rsidR="002A351E" w:rsidRPr="000A2712" w:rsidRDefault="00942B8F"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1.6</w:t>
            </w:r>
          </w:p>
        </w:tc>
        <w:tc>
          <w:tcPr>
            <w:tcW w:w="1417" w:type="dxa"/>
          </w:tcPr>
          <w:p w14:paraId="23C792EB" w14:textId="068854B0" w:rsidR="002A351E" w:rsidRPr="000A2712" w:rsidRDefault="00782C57"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3.7</w:t>
            </w:r>
          </w:p>
        </w:tc>
        <w:tc>
          <w:tcPr>
            <w:tcW w:w="851" w:type="dxa"/>
          </w:tcPr>
          <w:p w14:paraId="3A5C0B7A" w14:textId="46ECA724" w:rsidR="002A351E" w:rsidRPr="000A2712" w:rsidRDefault="008E719B"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21%</w:t>
            </w:r>
          </w:p>
        </w:tc>
      </w:tr>
      <w:tr w:rsidR="002A351E" w:rsidRPr="000A2712" w14:paraId="25E036FD" w14:textId="77777777" w:rsidTr="0043078F">
        <w:trPr>
          <w:jc w:val="center"/>
        </w:trPr>
        <w:tc>
          <w:tcPr>
            <w:tcW w:w="3402" w:type="dxa"/>
          </w:tcPr>
          <w:p w14:paraId="0DC3EB3D" w14:textId="247F7327" w:rsidR="002A351E" w:rsidRPr="000A2712" w:rsidRDefault="002A351E"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Pillar 3</w:t>
            </w:r>
            <w:r w:rsidR="006A2430" w:rsidRPr="000A2712">
              <w:rPr>
                <w:rFonts w:ascii="Calibri Light" w:hAnsi="Calibri Light" w:cs="Calibri Light"/>
                <w:sz w:val="18"/>
                <w:szCs w:val="18"/>
                <w:lang w:val="en-AU"/>
              </w:rPr>
              <w:t>: Prevention of violent extremism</w:t>
            </w:r>
          </w:p>
        </w:tc>
        <w:tc>
          <w:tcPr>
            <w:tcW w:w="1418" w:type="dxa"/>
          </w:tcPr>
          <w:p w14:paraId="764B742A" w14:textId="59B65408" w:rsidR="002A351E" w:rsidRPr="000A2712" w:rsidRDefault="00782C57"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1.7</w:t>
            </w:r>
          </w:p>
        </w:tc>
        <w:tc>
          <w:tcPr>
            <w:tcW w:w="1276" w:type="dxa"/>
          </w:tcPr>
          <w:p w14:paraId="6C42405C" w14:textId="1274D77F" w:rsidR="002A351E" w:rsidRPr="000A2712" w:rsidRDefault="00782C57"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1.6</w:t>
            </w:r>
          </w:p>
        </w:tc>
        <w:tc>
          <w:tcPr>
            <w:tcW w:w="1417" w:type="dxa"/>
          </w:tcPr>
          <w:p w14:paraId="132B9CA4" w14:textId="71D12EB3" w:rsidR="002A351E" w:rsidRPr="000A2712" w:rsidRDefault="002D29C8"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3.3</w:t>
            </w:r>
          </w:p>
        </w:tc>
        <w:tc>
          <w:tcPr>
            <w:tcW w:w="851" w:type="dxa"/>
          </w:tcPr>
          <w:p w14:paraId="0B250291" w14:textId="7D9E5BCB" w:rsidR="002A351E" w:rsidRPr="000A2712" w:rsidRDefault="008E719B"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19%</w:t>
            </w:r>
          </w:p>
        </w:tc>
      </w:tr>
      <w:tr w:rsidR="002A351E" w:rsidRPr="000A2712" w14:paraId="06563DDB" w14:textId="77777777" w:rsidTr="0043078F">
        <w:trPr>
          <w:jc w:val="center"/>
        </w:trPr>
        <w:tc>
          <w:tcPr>
            <w:tcW w:w="3402" w:type="dxa"/>
          </w:tcPr>
          <w:p w14:paraId="25AA583C" w14:textId="0BABAF52" w:rsidR="002A351E" w:rsidRPr="000A2712" w:rsidRDefault="002A351E"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Pillar 4</w:t>
            </w:r>
            <w:r w:rsidR="006A2430" w:rsidRPr="000A2712">
              <w:rPr>
                <w:rFonts w:ascii="Calibri Light" w:hAnsi="Calibri Light" w:cs="Calibri Light"/>
                <w:sz w:val="18"/>
                <w:szCs w:val="18"/>
                <w:lang w:val="en-AU"/>
              </w:rPr>
              <w:t>: Corrections reform</w:t>
            </w:r>
          </w:p>
        </w:tc>
        <w:tc>
          <w:tcPr>
            <w:tcW w:w="1418" w:type="dxa"/>
          </w:tcPr>
          <w:p w14:paraId="2C178483" w14:textId="7C16754F" w:rsidR="002A351E" w:rsidRPr="000A2712" w:rsidRDefault="002D29C8"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1.0</w:t>
            </w:r>
          </w:p>
        </w:tc>
        <w:tc>
          <w:tcPr>
            <w:tcW w:w="1276" w:type="dxa"/>
          </w:tcPr>
          <w:p w14:paraId="3BF78496" w14:textId="4362057B" w:rsidR="002A351E" w:rsidRPr="000A2712" w:rsidRDefault="002D29C8"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0.7</w:t>
            </w:r>
          </w:p>
        </w:tc>
        <w:tc>
          <w:tcPr>
            <w:tcW w:w="1417" w:type="dxa"/>
          </w:tcPr>
          <w:p w14:paraId="02574062" w14:textId="55F102B7" w:rsidR="002A351E" w:rsidRPr="000A2712" w:rsidRDefault="002D29C8"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1.7</w:t>
            </w:r>
          </w:p>
        </w:tc>
        <w:tc>
          <w:tcPr>
            <w:tcW w:w="851" w:type="dxa"/>
          </w:tcPr>
          <w:p w14:paraId="684DA8EB" w14:textId="7BDAD8C5" w:rsidR="002A351E" w:rsidRPr="000A2712" w:rsidRDefault="008E719B"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10</w:t>
            </w:r>
            <w:r w:rsidR="00D16C60" w:rsidRPr="000A2712">
              <w:rPr>
                <w:rFonts w:ascii="Calibri Light" w:hAnsi="Calibri Light" w:cs="Calibri Light"/>
                <w:sz w:val="18"/>
                <w:szCs w:val="18"/>
                <w:lang w:val="en-AU"/>
              </w:rPr>
              <w:t>%</w:t>
            </w:r>
          </w:p>
        </w:tc>
      </w:tr>
      <w:tr w:rsidR="00563089" w:rsidRPr="000A2712" w14:paraId="42955125" w14:textId="77777777" w:rsidTr="005057AA">
        <w:trPr>
          <w:jc w:val="center"/>
        </w:trPr>
        <w:tc>
          <w:tcPr>
            <w:tcW w:w="3402" w:type="dxa"/>
          </w:tcPr>
          <w:p w14:paraId="485237DA" w14:textId="03AB9E30" w:rsidR="00563089" w:rsidRPr="000A2712" w:rsidRDefault="006A2430"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 xml:space="preserve">Pillar 5: </w:t>
            </w:r>
            <w:r w:rsidR="00563089" w:rsidRPr="000A2712">
              <w:rPr>
                <w:rFonts w:ascii="Calibri Light" w:hAnsi="Calibri Light" w:cs="Calibri Light"/>
                <w:sz w:val="18"/>
                <w:szCs w:val="18"/>
                <w:lang w:val="en-AU"/>
              </w:rPr>
              <w:t>Partner development</w:t>
            </w:r>
            <w:r w:rsidR="008E4A8F">
              <w:rPr>
                <w:rFonts w:ascii="Calibri Light" w:hAnsi="Calibri Light" w:cs="Calibri Light"/>
                <w:sz w:val="18"/>
                <w:szCs w:val="18"/>
                <w:lang w:val="en-AU"/>
              </w:rPr>
              <w:t xml:space="preserve"> </w:t>
            </w:r>
            <w:r w:rsidRPr="000A2712">
              <w:rPr>
                <w:rFonts w:ascii="Calibri Light" w:hAnsi="Calibri Light" w:cs="Calibri Light"/>
                <w:sz w:val="18"/>
                <w:szCs w:val="18"/>
                <w:lang w:val="en-AU"/>
              </w:rPr>
              <w:t>and GEDSI-specific funds</w:t>
            </w:r>
          </w:p>
        </w:tc>
        <w:tc>
          <w:tcPr>
            <w:tcW w:w="1418" w:type="dxa"/>
            <w:vAlign w:val="center"/>
          </w:tcPr>
          <w:p w14:paraId="15358CDA" w14:textId="756048BC" w:rsidR="00563089" w:rsidRPr="000A2712" w:rsidRDefault="005057AA" w:rsidP="005057AA">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1.3</w:t>
            </w:r>
          </w:p>
        </w:tc>
        <w:tc>
          <w:tcPr>
            <w:tcW w:w="1276" w:type="dxa"/>
            <w:vAlign w:val="center"/>
          </w:tcPr>
          <w:p w14:paraId="426934D4" w14:textId="0C99B606" w:rsidR="00563089" w:rsidRPr="000A2712" w:rsidRDefault="00DF4871" w:rsidP="005057AA">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0.</w:t>
            </w:r>
            <w:r w:rsidR="005057AA" w:rsidRPr="000A2712">
              <w:rPr>
                <w:rFonts w:ascii="Calibri Light" w:hAnsi="Calibri Light" w:cs="Calibri Light"/>
                <w:sz w:val="18"/>
                <w:szCs w:val="18"/>
                <w:lang w:val="en-AU"/>
              </w:rPr>
              <w:t>9</w:t>
            </w:r>
          </w:p>
        </w:tc>
        <w:tc>
          <w:tcPr>
            <w:tcW w:w="1417" w:type="dxa"/>
            <w:vAlign w:val="center"/>
          </w:tcPr>
          <w:p w14:paraId="591C743E" w14:textId="39A3A674" w:rsidR="00563089" w:rsidRPr="000A2712" w:rsidRDefault="005057AA" w:rsidP="005057AA">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2.2</w:t>
            </w:r>
          </w:p>
        </w:tc>
        <w:tc>
          <w:tcPr>
            <w:tcW w:w="851" w:type="dxa"/>
            <w:vAlign w:val="center"/>
          </w:tcPr>
          <w:p w14:paraId="33A45673" w14:textId="61C94639" w:rsidR="00563089" w:rsidRPr="000A2712" w:rsidRDefault="005057AA" w:rsidP="005057AA">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12</w:t>
            </w:r>
            <w:r w:rsidR="00855C0E" w:rsidRPr="000A2712">
              <w:rPr>
                <w:rFonts w:ascii="Calibri Light" w:hAnsi="Calibri Light" w:cs="Calibri Light"/>
                <w:sz w:val="18"/>
                <w:szCs w:val="18"/>
                <w:lang w:val="en-AU"/>
              </w:rPr>
              <w:t>%</w:t>
            </w:r>
          </w:p>
        </w:tc>
      </w:tr>
      <w:tr w:rsidR="002A351E" w:rsidRPr="000A2712" w14:paraId="783F685E" w14:textId="77777777" w:rsidTr="0043078F">
        <w:trPr>
          <w:jc w:val="center"/>
        </w:trPr>
        <w:tc>
          <w:tcPr>
            <w:tcW w:w="3402" w:type="dxa"/>
          </w:tcPr>
          <w:p w14:paraId="239D1DF1" w14:textId="6C2FFB7E" w:rsidR="002A351E" w:rsidRPr="000A2712" w:rsidRDefault="002A351E"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Program</w:t>
            </w:r>
            <w:r w:rsidR="000815E4" w:rsidRPr="000A2712">
              <w:rPr>
                <w:rFonts w:ascii="Calibri Light" w:hAnsi="Calibri Light" w:cs="Calibri Light"/>
                <w:sz w:val="18"/>
                <w:szCs w:val="18"/>
                <w:lang w:val="en-AU"/>
              </w:rPr>
              <w:t>m</w:t>
            </w:r>
            <w:r w:rsidR="006A2430" w:rsidRPr="000A2712">
              <w:rPr>
                <w:rFonts w:ascii="Calibri Light" w:hAnsi="Calibri Light" w:cs="Calibri Light"/>
                <w:sz w:val="18"/>
                <w:szCs w:val="18"/>
                <w:lang w:val="en-AU"/>
              </w:rPr>
              <w:t>e/strategic</w:t>
            </w:r>
            <w:r w:rsidRPr="000A2712">
              <w:rPr>
                <w:rFonts w:ascii="Calibri Light" w:hAnsi="Calibri Light" w:cs="Calibri Light"/>
                <w:sz w:val="18"/>
                <w:szCs w:val="18"/>
                <w:lang w:val="en-AU"/>
              </w:rPr>
              <w:t xml:space="preserve"> management</w:t>
            </w:r>
          </w:p>
        </w:tc>
        <w:tc>
          <w:tcPr>
            <w:tcW w:w="1418" w:type="dxa"/>
          </w:tcPr>
          <w:p w14:paraId="5526D299" w14:textId="222AFEE5" w:rsidR="002A351E" w:rsidRPr="000A2712" w:rsidRDefault="008F267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0.7</w:t>
            </w:r>
          </w:p>
        </w:tc>
        <w:tc>
          <w:tcPr>
            <w:tcW w:w="1276" w:type="dxa"/>
          </w:tcPr>
          <w:p w14:paraId="7B67342B" w14:textId="7D1C289B" w:rsidR="002A351E" w:rsidRPr="000A2712" w:rsidRDefault="008F267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0.6</w:t>
            </w:r>
          </w:p>
        </w:tc>
        <w:tc>
          <w:tcPr>
            <w:tcW w:w="1417" w:type="dxa"/>
          </w:tcPr>
          <w:p w14:paraId="33324B10" w14:textId="09DC85C6" w:rsidR="002A351E" w:rsidRPr="000A2712" w:rsidRDefault="008F267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1.3</w:t>
            </w:r>
          </w:p>
        </w:tc>
        <w:tc>
          <w:tcPr>
            <w:tcW w:w="851" w:type="dxa"/>
          </w:tcPr>
          <w:p w14:paraId="2B76664D" w14:textId="22F48902" w:rsidR="002A351E" w:rsidRPr="000A2712" w:rsidRDefault="000815E4"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8%</w:t>
            </w:r>
          </w:p>
        </w:tc>
      </w:tr>
      <w:tr w:rsidR="002A351E" w:rsidRPr="000A2712" w14:paraId="7A6DC355" w14:textId="77777777" w:rsidTr="0043078F">
        <w:trPr>
          <w:jc w:val="center"/>
        </w:trPr>
        <w:tc>
          <w:tcPr>
            <w:tcW w:w="3402" w:type="dxa"/>
          </w:tcPr>
          <w:p w14:paraId="3393DA88" w14:textId="547FB602" w:rsidR="002A351E" w:rsidRPr="000A2712" w:rsidRDefault="006A2430"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 xml:space="preserve">Operational </w:t>
            </w:r>
            <w:r w:rsidR="002A351E" w:rsidRPr="000A2712">
              <w:rPr>
                <w:rFonts w:ascii="Calibri Light" w:hAnsi="Calibri Light" w:cs="Calibri Light"/>
                <w:sz w:val="18"/>
                <w:szCs w:val="18"/>
                <w:lang w:val="en-AU"/>
              </w:rPr>
              <w:t xml:space="preserve">management &amp; </w:t>
            </w:r>
            <w:r w:rsidRPr="000A2712">
              <w:rPr>
                <w:rFonts w:ascii="Calibri Light" w:hAnsi="Calibri Light" w:cs="Calibri Light"/>
                <w:sz w:val="18"/>
                <w:szCs w:val="18"/>
                <w:lang w:val="en-AU"/>
              </w:rPr>
              <w:t xml:space="preserve">running </w:t>
            </w:r>
            <w:r w:rsidR="002A351E" w:rsidRPr="000A2712">
              <w:rPr>
                <w:rFonts w:ascii="Calibri Light" w:hAnsi="Calibri Light" w:cs="Calibri Light"/>
                <w:sz w:val="18"/>
                <w:szCs w:val="18"/>
                <w:lang w:val="en-AU"/>
              </w:rPr>
              <w:t>costs</w:t>
            </w:r>
          </w:p>
        </w:tc>
        <w:tc>
          <w:tcPr>
            <w:tcW w:w="1418" w:type="dxa"/>
          </w:tcPr>
          <w:p w14:paraId="2F357B1E" w14:textId="62183A5C" w:rsidR="002A351E" w:rsidRPr="000A2712" w:rsidRDefault="00E568E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1.2</w:t>
            </w:r>
          </w:p>
        </w:tc>
        <w:tc>
          <w:tcPr>
            <w:tcW w:w="1276" w:type="dxa"/>
          </w:tcPr>
          <w:p w14:paraId="50B8245B" w14:textId="19DA065B" w:rsidR="002A351E" w:rsidRPr="000A2712" w:rsidRDefault="00E568E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0.8</w:t>
            </w:r>
          </w:p>
        </w:tc>
        <w:tc>
          <w:tcPr>
            <w:tcW w:w="1417" w:type="dxa"/>
          </w:tcPr>
          <w:p w14:paraId="118C9729" w14:textId="21BFE0C8" w:rsidR="002A351E" w:rsidRPr="000A2712" w:rsidRDefault="00E568EA"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2.0</w:t>
            </w:r>
          </w:p>
        </w:tc>
        <w:tc>
          <w:tcPr>
            <w:tcW w:w="851" w:type="dxa"/>
          </w:tcPr>
          <w:p w14:paraId="598FBDB6" w14:textId="2F0E11D9" w:rsidR="002A351E" w:rsidRPr="000A2712" w:rsidRDefault="00C474D7" w:rsidP="009D34A9">
            <w:pPr>
              <w:pStyle w:val="ListParagraph"/>
              <w:spacing w:before="40" w:after="4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6%</w:t>
            </w:r>
          </w:p>
        </w:tc>
      </w:tr>
      <w:tr w:rsidR="002A351E" w:rsidRPr="000A2712" w14:paraId="7C2CD335" w14:textId="77777777" w:rsidTr="0043078F">
        <w:trPr>
          <w:jc w:val="center"/>
        </w:trPr>
        <w:tc>
          <w:tcPr>
            <w:tcW w:w="3402" w:type="dxa"/>
          </w:tcPr>
          <w:p w14:paraId="53AAE93F" w14:textId="77777777" w:rsidR="002A351E" w:rsidRPr="000A2712" w:rsidRDefault="002A351E" w:rsidP="009D34A9">
            <w:pPr>
              <w:pStyle w:val="ListParagraph"/>
              <w:spacing w:before="60" w:after="8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TOTAL</w:t>
            </w:r>
          </w:p>
        </w:tc>
        <w:tc>
          <w:tcPr>
            <w:tcW w:w="1418" w:type="dxa"/>
          </w:tcPr>
          <w:p w14:paraId="7B2AF96F" w14:textId="19B1E8A6" w:rsidR="002A351E" w:rsidRPr="000A2712" w:rsidRDefault="00B01337" w:rsidP="009D34A9">
            <w:pPr>
              <w:pStyle w:val="ListParagraph"/>
              <w:spacing w:before="60" w:after="8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9.5</w:t>
            </w:r>
          </w:p>
        </w:tc>
        <w:tc>
          <w:tcPr>
            <w:tcW w:w="1276" w:type="dxa"/>
          </w:tcPr>
          <w:p w14:paraId="0D3EED5A" w14:textId="753F7A5A" w:rsidR="002A351E" w:rsidRPr="000A2712" w:rsidRDefault="00F91226" w:rsidP="009D34A9">
            <w:pPr>
              <w:pStyle w:val="ListParagraph"/>
              <w:spacing w:before="60" w:after="8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7.9</w:t>
            </w:r>
          </w:p>
        </w:tc>
        <w:tc>
          <w:tcPr>
            <w:tcW w:w="1417" w:type="dxa"/>
          </w:tcPr>
          <w:p w14:paraId="0684FE3C" w14:textId="7ED85FB7" w:rsidR="002A351E" w:rsidRPr="000A2712" w:rsidRDefault="00F91226" w:rsidP="009D34A9">
            <w:pPr>
              <w:pStyle w:val="ListParagraph"/>
              <w:spacing w:before="60" w:after="80"/>
              <w:ind w:left="0"/>
              <w:contextualSpacing w:val="0"/>
              <w:jc w:val="right"/>
              <w:rPr>
                <w:rFonts w:ascii="Calibri Light" w:hAnsi="Calibri Light" w:cs="Calibri Light"/>
                <w:sz w:val="18"/>
                <w:szCs w:val="18"/>
                <w:lang w:val="en-AU"/>
              </w:rPr>
            </w:pPr>
            <w:r w:rsidRPr="000A2712">
              <w:rPr>
                <w:rFonts w:ascii="Calibri Light" w:hAnsi="Calibri Light" w:cs="Calibri Light"/>
                <w:sz w:val="18"/>
                <w:szCs w:val="18"/>
                <w:lang w:val="en-AU"/>
              </w:rPr>
              <w:t>17.4</w:t>
            </w:r>
          </w:p>
        </w:tc>
        <w:tc>
          <w:tcPr>
            <w:tcW w:w="851" w:type="dxa"/>
          </w:tcPr>
          <w:p w14:paraId="371A0489" w14:textId="77777777" w:rsidR="002A351E" w:rsidRPr="000A2712" w:rsidRDefault="002A351E" w:rsidP="009D34A9">
            <w:pPr>
              <w:pStyle w:val="ListParagraph"/>
              <w:spacing w:before="60" w:after="80"/>
              <w:ind w:left="0"/>
              <w:contextualSpacing w:val="0"/>
              <w:jc w:val="right"/>
              <w:rPr>
                <w:rFonts w:ascii="Calibri Light" w:hAnsi="Calibri Light" w:cs="Calibri Light"/>
                <w:sz w:val="18"/>
                <w:szCs w:val="18"/>
                <w:lang w:val="en-AU"/>
              </w:rPr>
            </w:pPr>
          </w:p>
        </w:tc>
      </w:tr>
    </w:tbl>
    <w:p w14:paraId="5EAF977B" w14:textId="3822874D" w:rsidR="00DD55A3" w:rsidRPr="000A2712" w:rsidRDefault="00697EC7" w:rsidP="00697EC7">
      <w:pPr>
        <w:pStyle w:val="ListParagraph"/>
        <w:jc w:val="right"/>
        <w:rPr>
          <w:rFonts w:ascii="Calibri Light" w:hAnsi="Calibri Light" w:cs="Calibri Light"/>
          <w:sz w:val="16"/>
          <w:szCs w:val="16"/>
          <w:lang w:val="en-AU"/>
        </w:rPr>
      </w:pPr>
      <w:r w:rsidRPr="000A2712">
        <w:rPr>
          <w:rFonts w:ascii="Calibri Light" w:hAnsi="Calibri Light" w:cs="Calibri Light"/>
          <w:sz w:val="16"/>
          <w:szCs w:val="16"/>
          <w:lang w:val="en-AU"/>
        </w:rPr>
        <w:t xml:space="preserve">Source: </w:t>
      </w:r>
      <w:r w:rsidR="005057AA" w:rsidRPr="000A2712">
        <w:rPr>
          <w:rFonts w:ascii="Calibri Light" w:hAnsi="Calibri Light" w:cs="Calibri Light"/>
          <w:sz w:val="16"/>
          <w:szCs w:val="16"/>
          <w:lang w:val="en-AU"/>
        </w:rPr>
        <w:t>M</w:t>
      </w:r>
      <w:r w:rsidRPr="000A2712">
        <w:rPr>
          <w:rFonts w:ascii="Calibri Light" w:hAnsi="Calibri Light" w:cs="Calibri Light"/>
          <w:sz w:val="16"/>
          <w:szCs w:val="16"/>
          <w:lang w:val="en-AU"/>
        </w:rPr>
        <w:t xml:space="preserve">id-term </w:t>
      </w:r>
      <w:r w:rsidR="005057AA" w:rsidRPr="000A2712">
        <w:rPr>
          <w:rFonts w:ascii="Calibri Light" w:hAnsi="Calibri Light" w:cs="Calibri Light"/>
          <w:sz w:val="16"/>
          <w:szCs w:val="16"/>
          <w:lang w:val="en-AU"/>
        </w:rPr>
        <w:t>R</w:t>
      </w:r>
      <w:r w:rsidRPr="000A2712">
        <w:rPr>
          <w:rFonts w:ascii="Calibri Light" w:hAnsi="Calibri Light" w:cs="Calibri Light"/>
          <w:sz w:val="16"/>
          <w:szCs w:val="16"/>
          <w:lang w:val="en-AU"/>
        </w:rPr>
        <w:t>eview estimates from AIPJ2 management data</w:t>
      </w:r>
    </w:p>
    <w:p w14:paraId="74E9DE78" w14:textId="4B08925C" w:rsidR="00257972" w:rsidRPr="000A2712" w:rsidRDefault="00257972" w:rsidP="00697EC7">
      <w:pPr>
        <w:pStyle w:val="ListParagraph"/>
        <w:jc w:val="right"/>
        <w:rPr>
          <w:rFonts w:ascii="Calibri Light" w:hAnsi="Calibri Light" w:cs="Calibri Light"/>
          <w:sz w:val="16"/>
          <w:szCs w:val="16"/>
          <w:lang w:val="en-AU"/>
        </w:rPr>
      </w:pPr>
    </w:p>
    <w:p w14:paraId="138E3154" w14:textId="1D6967AD" w:rsidR="00744914" w:rsidRPr="00CE4351" w:rsidRDefault="00744914"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Australia</w:t>
      </w:r>
      <w:r w:rsidR="007A3F95" w:rsidRPr="00CE4351">
        <w:rPr>
          <w:rFonts w:asciiTheme="majorHAnsi" w:hAnsiTheme="majorHAnsi" w:cstheme="majorHAnsi"/>
          <w:b/>
          <w:bCs/>
          <w:color w:val="000000" w:themeColor="text1"/>
          <w:sz w:val="26"/>
          <w:szCs w:val="26"/>
          <w:lang w:val="en-AU"/>
        </w:rPr>
        <w:t xml:space="preserve">-Indonesia </w:t>
      </w:r>
      <w:r w:rsidRPr="00CE4351">
        <w:rPr>
          <w:rFonts w:asciiTheme="majorHAnsi" w:hAnsiTheme="majorHAnsi" w:cstheme="majorHAnsi"/>
          <w:b/>
          <w:bCs/>
          <w:color w:val="000000" w:themeColor="text1"/>
          <w:sz w:val="26"/>
          <w:szCs w:val="26"/>
          <w:lang w:val="en-AU"/>
        </w:rPr>
        <w:t>law and justice</w:t>
      </w:r>
      <w:r w:rsidR="007A3F95" w:rsidRPr="00CE4351">
        <w:rPr>
          <w:rFonts w:asciiTheme="majorHAnsi" w:hAnsiTheme="majorHAnsi" w:cstheme="majorHAnsi"/>
          <w:b/>
          <w:bCs/>
          <w:color w:val="000000" w:themeColor="text1"/>
          <w:sz w:val="26"/>
          <w:szCs w:val="26"/>
          <w:lang w:val="en-AU"/>
        </w:rPr>
        <w:t xml:space="preserve"> and security cooperation</w:t>
      </w:r>
    </w:p>
    <w:p w14:paraId="56186834" w14:textId="5BEC21A9" w:rsidR="001A219A" w:rsidRPr="000A2712" w:rsidRDefault="00744914"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Australia has been a long-standing partner to the law and justice sector in Indonesia. AIPJ2 follows earlier Australian funded programs – AIPJ1</w:t>
      </w:r>
      <w:r w:rsidR="00BB2F2C" w:rsidRPr="000A2712">
        <w:rPr>
          <w:rFonts w:ascii="Calibri Light" w:hAnsi="Calibri Light" w:cs="Calibri Light"/>
          <w:sz w:val="22"/>
          <w:szCs w:val="22"/>
          <w:lang w:val="en-AU"/>
        </w:rPr>
        <w:t xml:space="preserve"> and transition </w:t>
      </w:r>
      <w:r w:rsidRPr="000A2712">
        <w:rPr>
          <w:rFonts w:ascii="Calibri Light" w:hAnsi="Calibri Light" w:cs="Calibri Light"/>
          <w:sz w:val="22"/>
          <w:szCs w:val="22"/>
          <w:lang w:val="en-AU"/>
        </w:rPr>
        <w:t>(2011-201</w:t>
      </w:r>
      <w:r w:rsidR="00BB2F2C" w:rsidRPr="000A2712">
        <w:rPr>
          <w:rFonts w:ascii="Calibri Light" w:hAnsi="Calibri Light" w:cs="Calibri Light"/>
          <w:sz w:val="22"/>
          <w:szCs w:val="22"/>
          <w:lang w:val="en-AU"/>
        </w:rPr>
        <w:t>7</w:t>
      </w:r>
      <w:r w:rsidRPr="000A2712">
        <w:rPr>
          <w:rFonts w:ascii="Calibri Light" w:hAnsi="Calibri Light" w:cs="Calibri Light"/>
          <w:sz w:val="22"/>
          <w:szCs w:val="22"/>
          <w:lang w:val="en-AU"/>
        </w:rPr>
        <w:t>; $</w:t>
      </w:r>
      <w:r w:rsidR="008D1AAE" w:rsidRPr="000A2712">
        <w:rPr>
          <w:rFonts w:ascii="Calibri Light" w:hAnsi="Calibri Light" w:cs="Calibri Light"/>
          <w:sz w:val="22"/>
          <w:szCs w:val="22"/>
          <w:lang w:val="en-AU"/>
        </w:rPr>
        <w:t>54.6</w:t>
      </w:r>
      <w:r w:rsidRPr="000A2712">
        <w:rPr>
          <w:rFonts w:ascii="Calibri Light" w:hAnsi="Calibri Light" w:cs="Calibri Light"/>
          <w:sz w:val="22"/>
          <w:szCs w:val="22"/>
          <w:lang w:val="en-AU"/>
        </w:rPr>
        <w:t xml:space="preserve"> million); the Legal Development Facility (2004-2010; $25.3 million) and smaller investments from the 1990s. These investments focused on supporting the legal and judicial reforms that have occurred alongside wider political transitions in Indonesia since the 1990s. </w:t>
      </w:r>
    </w:p>
    <w:p w14:paraId="32D5D0CA" w14:textId="5C224FC8" w:rsidR="001A219A" w:rsidRPr="000A2712" w:rsidRDefault="001A219A"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 xml:space="preserve">Australia-Indonesia relations in the security sector </w:t>
      </w:r>
      <w:r w:rsidR="007A3F95" w:rsidRPr="000A2712">
        <w:rPr>
          <w:rFonts w:ascii="Calibri Light" w:hAnsi="Calibri Light" w:cs="Calibri Light"/>
          <w:sz w:val="22"/>
          <w:szCs w:val="22"/>
          <w:lang w:val="en-AU"/>
        </w:rPr>
        <w:t>are</w:t>
      </w:r>
      <w:r w:rsidR="003707E8" w:rsidRPr="000A2712">
        <w:rPr>
          <w:rFonts w:ascii="Calibri Light" w:hAnsi="Calibri Light" w:cs="Calibri Light"/>
          <w:sz w:val="22"/>
          <w:szCs w:val="22"/>
          <w:lang w:val="en-AU"/>
        </w:rPr>
        <w:t xml:space="preserve"> </w:t>
      </w:r>
      <w:r w:rsidR="00376756" w:rsidRPr="000A2712">
        <w:rPr>
          <w:rFonts w:ascii="Calibri Light" w:hAnsi="Calibri Light" w:cs="Calibri Light"/>
          <w:sz w:val="22"/>
          <w:szCs w:val="22"/>
          <w:lang w:val="en-AU"/>
        </w:rPr>
        <w:t xml:space="preserve">also </w:t>
      </w:r>
      <w:r w:rsidR="003707E8" w:rsidRPr="000A2712">
        <w:rPr>
          <w:rFonts w:ascii="Calibri Light" w:hAnsi="Calibri Light" w:cs="Calibri Light"/>
          <w:sz w:val="22"/>
          <w:szCs w:val="22"/>
          <w:lang w:val="en-AU"/>
        </w:rPr>
        <w:t>long-standing.</w:t>
      </w:r>
      <w:r w:rsidR="00A16179">
        <w:rPr>
          <w:rFonts w:ascii="Calibri Light" w:hAnsi="Calibri Light" w:cs="Calibri Light"/>
          <w:sz w:val="22"/>
          <w:szCs w:val="22"/>
          <w:lang w:val="en-AU"/>
        </w:rPr>
        <w:t xml:space="preserve"> </w:t>
      </w:r>
      <w:r w:rsidR="003707E8" w:rsidRPr="000A2712">
        <w:rPr>
          <w:rFonts w:ascii="Calibri Light" w:hAnsi="Calibri Light" w:cs="Calibri Light"/>
          <w:sz w:val="22"/>
          <w:szCs w:val="22"/>
          <w:lang w:val="en-AU"/>
        </w:rPr>
        <w:t xml:space="preserve">Following a </w:t>
      </w:r>
      <w:r w:rsidR="00D02114" w:rsidRPr="000A2712">
        <w:rPr>
          <w:rFonts w:ascii="Calibri Light" w:hAnsi="Calibri Light" w:cs="Calibri Light"/>
          <w:sz w:val="22"/>
          <w:szCs w:val="22"/>
          <w:lang w:val="en-AU"/>
        </w:rPr>
        <w:t>period of strained relati</w:t>
      </w:r>
      <w:r w:rsidR="00BD44FE" w:rsidRPr="000A2712">
        <w:rPr>
          <w:rFonts w:ascii="Calibri Light" w:hAnsi="Calibri Light" w:cs="Calibri Light"/>
          <w:sz w:val="22"/>
          <w:szCs w:val="22"/>
          <w:lang w:val="en-AU"/>
        </w:rPr>
        <w:t>o</w:t>
      </w:r>
      <w:r w:rsidR="00D02114" w:rsidRPr="000A2712">
        <w:rPr>
          <w:rFonts w:ascii="Calibri Light" w:hAnsi="Calibri Light" w:cs="Calibri Light"/>
          <w:sz w:val="22"/>
          <w:szCs w:val="22"/>
          <w:lang w:val="en-AU"/>
        </w:rPr>
        <w:t>ns in the 1990s,a</w:t>
      </w:r>
      <w:r w:rsidR="00376756" w:rsidRPr="000A2712">
        <w:rPr>
          <w:rFonts w:ascii="Calibri Light" w:hAnsi="Calibri Light" w:cs="Calibri Light"/>
          <w:sz w:val="22"/>
          <w:szCs w:val="22"/>
          <w:lang w:val="en-AU"/>
        </w:rPr>
        <w:t xml:space="preserve"> series of</w:t>
      </w:r>
      <w:r w:rsidRPr="000A2712">
        <w:rPr>
          <w:rFonts w:ascii="Calibri Light" w:hAnsi="Calibri Light" w:cs="Calibri Light"/>
          <w:sz w:val="22"/>
          <w:szCs w:val="22"/>
          <w:lang w:val="en-AU"/>
        </w:rPr>
        <w:t xml:space="preserve"> acts of terrorism in Indonesia</w:t>
      </w:r>
      <w:r w:rsidR="00D02114" w:rsidRPr="000A2712">
        <w:rPr>
          <w:rFonts w:ascii="Calibri Light" w:hAnsi="Calibri Light" w:cs="Calibri Light"/>
          <w:sz w:val="22"/>
          <w:szCs w:val="22"/>
          <w:lang w:val="en-AU"/>
        </w:rPr>
        <w:t xml:space="preserve"> in the 2000s</w:t>
      </w:r>
      <w:r w:rsidR="00376756" w:rsidRPr="000A2712">
        <w:rPr>
          <w:rFonts w:ascii="Calibri Light" w:hAnsi="Calibri Light" w:cs="Calibri Light"/>
          <w:sz w:val="22"/>
          <w:szCs w:val="22"/>
          <w:lang w:val="en-AU"/>
        </w:rPr>
        <w:t xml:space="preserve"> reinvigorated </w:t>
      </w:r>
      <w:r w:rsidR="00BD44FE" w:rsidRPr="000A2712">
        <w:rPr>
          <w:rFonts w:ascii="Calibri Light" w:hAnsi="Calibri Light" w:cs="Calibri Light"/>
          <w:sz w:val="22"/>
          <w:szCs w:val="22"/>
          <w:lang w:val="en-AU"/>
        </w:rPr>
        <w:t>cooperation</w:t>
      </w:r>
      <w:r w:rsidR="00376756" w:rsidRPr="000A2712">
        <w:rPr>
          <w:rFonts w:ascii="Calibri Light" w:hAnsi="Calibri Light" w:cs="Calibri Light"/>
          <w:sz w:val="22"/>
          <w:szCs w:val="22"/>
          <w:lang w:val="en-AU"/>
        </w:rPr>
        <w:t xml:space="preserve"> and</w:t>
      </w:r>
      <w:r w:rsidRPr="000A2712">
        <w:rPr>
          <w:rFonts w:ascii="Calibri Light" w:hAnsi="Calibri Light" w:cs="Calibri Light"/>
          <w:sz w:val="22"/>
          <w:szCs w:val="22"/>
          <w:lang w:val="en-AU"/>
        </w:rPr>
        <w:t xml:space="preserve"> prompted the signing of the Joint Declaration on Comprehensive Partnership </w:t>
      </w:r>
      <w:r w:rsidR="00376756" w:rsidRPr="000A2712">
        <w:rPr>
          <w:rFonts w:ascii="Calibri Light" w:hAnsi="Calibri Light" w:cs="Calibri Light"/>
          <w:sz w:val="22"/>
          <w:szCs w:val="22"/>
          <w:lang w:val="en-AU"/>
        </w:rPr>
        <w:t>in</w:t>
      </w:r>
      <w:r w:rsidRPr="000A2712">
        <w:rPr>
          <w:rFonts w:ascii="Calibri Light" w:hAnsi="Calibri Light" w:cs="Calibri Light"/>
          <w:sz w:val="22"/>
          <w:szCs w:val="22"/>
          <w:lang w:val="en-AU"/>
        </w:rPr>
        <w:t xml:space="preserve"> 2006 (the “Lombok Treaty”)</w:t>
      </w:r>
      <w:r w:rsidR="00D02114"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r w:rsidR="00D02114" w:rsidRPr="000A2712">
        <w:rPr>
          <w:rFonts w:ascii="Calibri Light" w:hAnsi="Calibri Light" w:cs="Calibri Light"/>
          <w:sz w:val="22"/>
          <w:szCs w:val="22"/>
          <w:lang w:val="en-AU"/>
        </w:rPr>
        <w:t>The Treaty</w:t>
      </w:r>
      <w:r w:rsidR="00BD44FE" w:rsidRPr="000A2712">
        <w:rPr>
          <w:rFonts w:ascii="Calibri Light" w:hAnsi="Calibri Light" w:cs="Calibri Light"/>
          <w:sz w:val="22"/>
          <w:szCs w:val="22"/>
          <w:lang w:val="en-AU"/>
        </w:rPr>
        <w:t xml:space="preserve"> </w:t>
      </w:r>
      <w:r w:rsidR="00BB2F2C" w:rsidRPr="000A2712">
        <w:rPr>
          <w:rFonts w:ascii="Calibri Light" w:hAnsi="Calibri Light" w:cs="Calibri Light"/>
          <w:sz w:val="22"/>
          <w:szCs w:val="22"/>
          <w:lang w:val="en-AU"/>
        </w:rPr>
        <w:t>–</w:t>
      </w:r>
      <w:r w:rsidR="00BD44FE" w:rsidRPr="000A2712">
        <w:rPr>
          <w:rFonts w:ascii="Calibri Light" w:hAnsi="Calibri Light" w:cs="Calibri Light"/>
          <w:sz w:val="22"/>
          <w:szCs w:val="22"/>
          <w:lang w:val="en-AU"/>
        </w:rPr>
        <w:t xml:space="preserve"> effective</w:t>
      </w:r>
      <w:r w:rsidR="00BB2F2C" w:rsidRPr="000A2712">
        <w:rPr>
          <w:rFonts w:ascii="Calibri Light" w:hAnsi="Calibri Light" w:cs="Calibri Light"/>
          <w:sz w:val="22"/>
          <w:szCs w:val="22"/>
          <w:lang w:val="en-AU"/>
        </w:rPr>
        <w:t xml:space="preserve"> </w:t>
      </w:r>
      <w:r w:rsidR="00BD44FE" w:rsidRPr="000A2712">
        <w:rPr>
          <w:rFonts w:ascii="Calibri Light" w:hAnsi="Calibri Light" w:cs="Calibri Light"/>
          <w:sz w:val="22"/>
          <w:szCs w:val="22"/>
          <w:lang w:val="en-AU"/>
        </w:rPr>
        <w:t xml:space="preserve">since February 2008 </w:t>
      </w:r>
      <w:r w:rsidR="00BB2F2C" w:rsidRPr="000A2712">
        <w:rPr>
          <w:rFonts w:ascii="Calibri Light" w:hAnsi="Calibri Light" w:cs="Calibri Light"/>
          <w:sz w:val="22"/>
          <w:szCs w:val="22"/>
          <w:lang w:val="en-AU"/>
        </w:rPr>
        <w:t>–</w:t>
      </w:r>
      <w:r w:rsidR="00D02114" w:rsidRPr="000A2712">
        <w:rPr>
          <w:rFonts w:ascii="Calibri Light" w:hAnsi="Calibri Light" w:cs="Calibri Light"/>
          <w:sz w:val="22"/>
          <w:szCs w:val="22"/>
          <w:lang w:val="en-AU"/>
        </w:rPr>
        <w:t xml:space="preserve"> includes</w:t>
      </w:r>
      <w:r w:rsidR="008E4A8F">
        <w:rPr>
          <w:rFonts w:ascii="Calibri Light" w:hAnsi="Calibri Light" w:cs="Calibri Light"/>
          <w:sz w:val="22"/>
          <w:szCs w:val="22"/>
          <w:lang w:val="en-AU"/>
        </w:rPr>
        <w:t xml:space="preserve"> </w:t>
      </w:r>
      <w:r w:rsidR="00376756" w:rsidRPr="000A2712">
        <w:rPr>
          <w:rFonts w:ascii="Calibri Light" w:hAnsi="Calibri Light" w:cs="Calibri Light"/>
          <w:sz w:val="22"/>
          <w:szCs w:val="22"/>
          <w:lang w:val="en-AU"/>
        </w:rPr>
        <w:t>cooperation in</w:t>
      </w:r>
      <w:r w:rsidRPr="000A2712">
        <w:rPr>
          <w:rFonts w:ascii="Calibri Light" w:hAnsi="Calibri Light" w:cs="Calibri Light"/>
          <w:sz w:val="22"/>
          <w:szCs w:val="22"/>
          <w:lang w:val="en-AU"/>
        </w:rPr>
        <w:t>: defe</w:t>
      </w:r>
      <w:r w:rsidR="00D02114" w:rsidRPr="000A2712">
        <w:rPr>
          <w:rFonts w:ascii="Calibri Light" w:hAnsi="Calibri Light" w:cs="Calibri Light"/>
          <w:sz w:val="22"/>
          <w:szCs w:val="22"/>
          <w:lang w:val="en-AU"/>
        </w:rPr>
        <w:t>nc</w:t>
      </w:r>
      <w:r w:rsidRPr="000A2712">
        <w:rPr>
          <w:rFonts w:ascii="Calibri Light" w:hAnsi="Calibri Light" w:cs="Calibri Light"/>
          <w:sz w:val="22"/>
          <w:szCs w:val="22"/>
          <w:lang w:val="en-AU"/>
        </w:rPr>
        <w:t xml:space="preserve">e; law enforcement; counter-terrorism; intelligence; maritime security; flight security and safety; </w:t>
      </w:r>
      <w:r w:rsidR="00D02114" w:rsidRPr="000A2712">
        <w:rPr>
          <w:rFonts w:ascii="Calibri Light" w:hAnsi="Calibri Light" w:cs="Calibri Light"/>
          <w:sz w:val="22"/>
          <w:szCs w:val="22"/>
          <w:lang w:val="en-AU"/>
        </w:rPr>
        <w:t xml:space="preserve">and </w:t>
      </w:r>
      <w:r w:rsidRPr="000A2712">
        <w:rPr>
          <w:rFonts w:ascii="Calibri Light" w:hAnsi="Calibri Light" w:cs="Calibri Light"/>
          <w:sz w:val="22"/>
          <w:szCs w:val="22"/>
          <w:lang w:val="en-AU"/>
        </w:rPr>
        <w:t>proliferation of weapons of mass destruction.</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Australia and Indonesia reaffirmed </w:t>
      </w:r>
      <w:r w:rsidR="00D02114" w:rsidRPr="000A2712">
        <w:rPr>
          <w:rFonts w:ascii="Calibri Light" w:hAnsi="Calibri Light" w:cs="Calibri Light"/>
          <w:sz w:val="22"/>
          <w:szCs w:val="22"/>
          <w:lang w:val="en-AU"/>
        </w:rPr>
        <w:t xml:space="preserve">this </w:t>
      </w:r>
      <w:r w:rsidRPr="000A2712">
        <w:rPr>
          <w:rFonts w:ascii="Calibri Light" w:hAnsi="Calibri Light" w:cs="Calibri Light"/>
          <w:sz w:val="22"/>
          <w:szCs w:val="22"/>
          <w:lang w:val="en-AU"/>
        </w:rPr>
        <w:t>commitment in August 2014 by signing a Joint Understanding </w:t>
      </w:r>
      <w:r w:rsidR="00BD44FE" w:rsidRPr="000A2712">
        <w:rPr>
          <w:rFonts w:ascii="Calibri Light" w:hAnsi="Calibri Light" w:cs="Calibri Light"/>
          <w:sz w:val="22"/>
          <w:szCs w:val="22"/>
          <w:lang w:val="en-AU"/>
        </w:rPr>
        <w:t>on the</w:t>
      </w:r>
      <w:r w:rsidR="008E4A8F">
        <w:rPr>
          <w:rFonts w:ascii="Calibri Light" w:hAnsi="Calibri Light" w:cs="Calibri Light"/>
          <w:sz w:val="22"/>
          <w:szCs w:val="22"/>
          <w:lang w:val="en-AU"/>
        </w:rPr>
        <w:t xml:space="preserve"> </w:t>
      </w:r>
      <w:r w:rsidRPr="000A2712">
        <w:rPr>
          <w:rFonts w:ascii="Calibri Light" w:hAnsi="Calibri Light" w:cs="Calibri Light"/>
          <w:sz w:val="22"/>
          <w:szCs w:val="22"/>
          <w:lang w:val="en-AU"/>
        </w:rPr>
        <w:t>implementation of the Lombok Treaty</w:t>
      </w:r>
      <w:r w:rsidR="00BD44FE"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to </w:t>
      </w:r>
      <w:r w:rsidR="00BD44FE" w:rsidRPr="000A2712">
        <w:rPr>
          <w:rFonts w:ascii="Calibri Light" w:hAnsi="Calibri Light" w:cs="Calibri Light"/>
          <w:sz w:val="22"/>
          <w:szCs w:val="22"/>
          <w:lang w:val="en-AU"/>
        </w:rPr>
        <w:t xml:space="preserve">improve arrangements for </w:t>
      </w:r>
      <w:r w:rsidRPr="000A2712">
        <w:rPr>
          <w:rFonts w:ascii="Calibri Light" w:hAnsi="Calibri Light" w:cs="Calibri Light"/>
          <w:sz w:val="22"/>
          <w:szCs w:val="22"/>
          <w:lang w:val="en-AU"/>
        </w:rPr>
        <w:t xml:space="preserve">intelligence cooperation between </w:t>
      </w:r>
      <w:r w:rsidR="00830ABC">
        <w:rPr>
          <w:rFonts w:ascii="Calibri Light" w:hAnsi="Calibri Light" w:cs="Calibri Light"/>
          <w:sz w:val="22"/>
          <w:szCs w:val="22"/>
          <w:lang w:val="en-AU"/>
        </w:rPr>
        <w:t>national</w:t>
      </w:r>
      <w:r w:rsidRPr="000A2712">
        <w:rPr>
          <w:rFonts w:ascii="Calibri Light" w:hAnsi="Calibri Light" w:cs="Calibri Light"/>
          <w:sz w:val="22"/>
          <w:szCs w:val="22"/>
          <w:lang w:val="en-AU"/>
        </w:rPr>
        <w:t xml:space="preserve"> agencies.</w:t>
      </w:r>
    </w:p>
    <w:p w14:paraId="111123E3" w14:textId="29AF849F" w:rsidR="001A219A" w:rsidRPr="000A2712" w:rsidRDefault="00744914" w:rsidP="006B32D6">
      <w:pPr>
        <w:pStyle w:val="ListParagraph"/>
        <w:numPr>
          <w:ilvl w:val="2"/>
          <w:numId w:val="3"/>
        </w:numPr>
        <w:tabs>
          <w:tab w:val="clear" w:pos="1701"/>
          <w:tab w:val="left" w:pos="567"/>
        </w:tabs>
        <w:spacing w:line="274" w:lineRule="auto"/>
        <w:contextualSpacing w:val="0"/>
        <w:rPr>
          <w:rFonts w:asciiTheme="majorHAnsi" w:hAnsiTheme="majorHAnsi" w:cstheme="majorHAnsi"/>
          <w:color w:val="000000" w:themeColor="text1"/>
          <w:sz w:val="22"/>
          <w:szCs w:val="22"/>
          <w:lang w:val="en-AU"/>
        </w:rPr>
      </w:pPr>
      <w:r w:rsidRPr="000A2712">
        <w:rPr>
          <w:rFonts w:ascii="Calibri Light" w:hAnsi="Calibri Light" w:cs="Calibri Light"/>
          <w:sz w:val="22"/>
          <w:szCs w:val="22"/>
          <w:lang w:val="en-AU"/>
        </w:rPr>
        <w:t xml:space="preserve">During this period, justice institutions and citizen experience of justice in Indonesia have undergone significant change. The courts have become increasingly </w:t>
      </w:r>
      <w:r w:rsidRPr="000A2712">
        <w:rPr>
          <w:rFonts w:ascii="Calibri Light" w:hAnsi="Calibri Light" w:cs="Calibri Light"/>
          <w:color w:val="000000" w:themeColor="text1"/>
          <w:sz w:val="22"/>
          <w:szCs w:val="22"/>
          <w:lang w:val="en-AU"/>
        </w:rPr>
        <w:t xml:space="preserve">independent </w:t>
      </w:r>
      <w:r w:rsidR="00376756" w:rsidRPr="000A2712">
        <w:rPr>
          <w:rFonts w:asciiTheme="majorHAnsi" w:hAnsiTheme="majorHAnsi" w:cstheme="majorHAnsi"/>
          <w:color w:val="000000" w:themeColor="text1"/>
          <w:sz w:val="22"/>
          <w:szCs w:val="22"/>
          <w:lang w:val="en-AU"/>
        </w:rPr>
        <w:t>of direct government intervention</w:t>
      </w:r>
      <w:r w:rsidR="007A3F95" w:rsidRPr="000A2712">
        <w:rPr>
          <w:rFonts w:asciiTheme="majorHAnsi" w:hAnsiTheme="majorHAnsi" w:cstheme="majorHAnsi"/>
          <w:color w:val="000000" w:themeColor="text1"/>
          <w:sz w:val="22"/>
          <w:szCs w:val="22"/>
          <w:lang w:val="en-AU"/>
        </w:rPr>
        <w:t xml:space="preserve"> and have</w:t>
      </w:r>
      <w:r w:rsidR="00376756" w:rsidRPr="000A2712">
        <w:rPr>
          <w:rFonts w:asciiTheme="majorHAnsi" w:hAnsiTheme="majorHAnsi" w:cstheme="majorHAnsi"/>
          <w:color w:val="000000" w:themeColor="text1"/>
          <w:sz w:val="22"/>
          <w:szCs w:val="22"/>
          <w:lang w:val="en-AU"/>
        </w:rPr>
        <w:t xml:space="preserve"> continue</w:t>
      </w:r>
      <w:r w:rsidR="007A3F95" w:rsidRPr="000A2712">
        <w:rPr>
          <w:rFonts w:asciiTheme="majorHAnsi" w:hAnsiTheme="majorHAnsi" w:cstheme="majorHAnsi"/>
          <w:color w:val="000000" w:themeColor="text1"/>
          <w:sz w:val="22"/>
          <w:szCs w:val="22"/>
          <w:lang w:val="en-AU"/>
        </w:rPr>
        <w:t>d</w:t>
      </w:r>
      <w:r w:rsidR="00376756" w:rsidRPr="000A2712">
        <w:rPr>
          <w:rFonts w:asciiTheme="majorHAnsi" w:hAnsiTheme="majorHAnsi" w:cstheme="majorHAnsi"/>
          <w:color w:val="000000" w:themeColor="text1"/>
          <w:sz w:val="22"/>
          <w:szCs w:val="22"/>
          <w:lang w:val="en-AU"/>
        </w:rPr>
        <w:t xml:space="preserve"> to improve public access to court decisions, the monitoring </w:t>
      </w:r>
      <w:r w:rsidR="00A01F54" w:rsidRPr="000A2712">
        <w:rPr>
          <w:rFonts w:asciiTheme="majorHAnsi" w:hAnsiTheme="majorHAnsi" w:cstheme="majorHAnsi"/>
          <w:color w:val="000000" w:themeColor="text1"/>
          <w:sz w:val="22"/>
          <w:szCs w:val="22"/>
          <w:lang w:val="en-AU"/>
        </w:rPr>
        <w:t xml:space="preserve">of </w:t>
      </w:r>
      <w:r w:rsidR="00376756" w:rsidRPr="000A2712">
        <w:rPr>
          <w:rFonts w:asciiTheme="majorHAnsi" w:hAnsiTheme="majorHAnsi" w:cstheme="majorHAnsi"/>
          <w:color w:val="000000" w:themeColor="text1"/>
          <w:sz w:val="22"/>
          <w:szCs w:val="22"/>
          <w:lang w:val="en-AU"/>
        </w:rPr>
        <w:t>judicial conduct</w:t>
      </w:r>
      <w:r w:rsidR="00B4668F" w:rsidRPr="000A2712">
        <w:rPr>
          <w:rFonts w:asciiTheme="majorHAnsi" w:hAnsiTheme="majorHAnsi" w:cstheme="majorHAnsi"/>
          <w:color w:val="000000" w:themeColor="text1"/>
          <w:sz w:val="22"/>
          <w:szCs w:val="22"/>
          <w:lang w:val="en-AU"/>
        </w:rPr>
        <w:t xml:space="preserve"> and the </w:t>
      </w:r>
      <w:r w:rsidR="00376756" w:rsidRPr="000A2712">
        <w:rPr>
          <w:rFonts w:asciiTheme="majorHAnsi" w:hAnsiTheme="majorHAnsi" w:cstheme="majorHAnsi"/>
          <w:color w:val="000000" w:themeColor="text1"/>
          <w:sz w:val="22"/>
          <w:szCs w:val="22"/>
          <w:lang w:val="en-AU"/>
        </w:rPr>
        <w:t>moderni</w:t>
      </w:r>
      <w:r w:rsidR="00B4668F" w:rsidRPr="000A2712">
        <w:rPr>
          <w:rFonts w:asciiTheme="majorHAnsi" w:hAnsiTheme="majorHAnsi" w:cstheme="majorHAnsi"/>
          <w:color w:val="000000" w:themeColor="text1"/>
          <w:sz w:val="22"/>
          <w:szCs w:val="22"/>
          <w:lang w:val="en-AU"/>
        </w:rPr>
        <w:t>sation</w:t>
      </w:r>
      <w:r w:rsidR="00376756" w:rsidRPr="000A2712">
        <w:rPr>
          <w:rFonts w:asciiTheme="majorHAnsi" w:hAnsiTheme="majorHAnsi" w:cstheme="majorHAnsi"/>
          <w:color w:val="000000" w:themeColor="text1"/>
          <w:sz w:val="22"/>
          <w:szCs w:val="22"/>
          <w:lang w:val="en-AU"/>
        </w:rPr>
        <w:t xml:space="preserve"> </w:t>
      </w:r>
      <w:r w:rsidR="00B4668F" w:rsidRPr="000A2712">
        <w:rPr>
          <w:rFonts w:asciiTheme="majorHAnsi" w:hAnsiTheme="majorHAnsi" w:cstheme="majorHAnsi"/>
          <w:color w:val="000000" w:themeColor="text1"/>
          <w:sz w:val="22"/>
          <w:szCs w:val="22"/>
          <w:lang w:val="en-AU"/>
        </w:rPr>
        <w:t xml:space="preserve">of </w:t>
      </w:r>
      <w:r w:rsidR="00376756" w:rsidRPr="000A2712">
        <w:rPr>
          <w:rFonts w:asciiTheme="majorHAnsi" w:hAnsiTheme="majorHAnsi" w:cstheme="majorHAnsi"/>
          <w:color w:val="000000" w:themeColor="text1"/>
          <w:sz w:val="22"/>
          <w:szCs w:val="22"/>
          <w:lang w:val="en-AU"/>
        </w:rPr>
        <w:t>case management. The state auxiliary bodies, such as the Judicial Commission</w:t>
      </w:r>
      <w:r w:rsidR="001F1BE3">
        <w:rPr>
          <w:rFonts w:asciiTheme="majorHAnsi" w:hAnsiTheme="majorHAnsi" w:cstheme="majorHAnsi"/>
          <w:color w:val="000000" w:themeColor="text1"/>
          <w:sz w:val="22"/>
          <w:szCs w:val="22"/>
          <w:lang w:val="en-AU"/>
        </w:rPr>
        <w:t xml:space="preserve"> (</w:t>
      </w:r>
      <w:r w:rsidR="001F1BE3">
        <w:rPr>
          <w:rFonts w:asciiTheme="majorHAnsi" w:hAnsiTheme="majorHAnsi" w:cstheme="majorHAnsi"/>
          <w:i/>
          <w:iCs/>
          <w:color w:val="000000" w:themeColor="text1"/>
          <w:sz w:val="22"/>
          <w:szCs w:val="22"/>
          <w:lang w:val="en-AU"/>
        </w:rPr>
        <w:t>Komisi Yudisial</w:t>
      </w:r>
      <w:r w:rsidR="001F1BE3">
        <w:rPr>
          <w:rFonts w:asciiTheme="majorHAnsi" w:hAnsiTheme="majorHAnsi" w:cstheme="majorHAnsi"/>
          <w:color w:val="000000" w:themeColor="text1"/>
          <w:sz w:val="22"/>
          <w:szCs w:val="22"/>
          <w:lang w:val="en-AU"/>
        </w:rPr>
        <w:t xml:space="preserve"> or </w:t>
      </w:r>
      <w:r w:rsidR="001F1BE3" w:rsidRPr="00B245DF">
        <w:rPr>
          <w:rFonts w:asciiTheme="majorHAnsi" w:hAnsiTheme="majorHAnsi" w:cstheme="majorHAnsi"/>
          <w:color w:val="000000" w:themeColor="text1"/>
          <w:sz w:val="22"/>
          <w:szCs w:val="22"/>
          <w:lang w:val="en-AU"/>
        </w:rPr>
        <w:t>KY</w:t>
      </w:r>
      <w:r w:rsidR="001F1BE3">
        <w:rPr>
          <w:rFonts w:asciiTheme="majorHAnsi" w:hAnsiTheme="majorHAnsi" w:cstheme="majorHAnsi"/>
          <w:color w:val="000000" w:themeColor="text1"/>
          <w:sz w:val="22"/>
          <w:szCs w:val="22"/>
          <w:lang w:val="en-AU"/>
        </w:rPr>
        <w:t>)</w:t>
      </w:r>
      <w:r w:rsidR="00376756" w:rsidRPr="000A2712">
        <w:rPr>
          <w:rFonts w:asciiTheme="majorHAnsi" w:hAnsiTheme="majorHAnsi" w:cstheme="majorHAnsi"/>
          <w:color w:val="000000" w:themeColor="text1"/>
          <w:sz w:val="22"/>
          <w:szCs w:val="22"/>
          <w:lang w:val="en-AU"/>
        </w:rPr>
        <w:t xml:space="preserve"> and the </w:t>
      </w:r>
      <w:r w:rsidR="00A01F54" w:rsidRPr="000A2712">
        <w:rPr>
          <w:rFonts w:asciiTheme="majorHAnsi" w:hAnsiTheme="majorHAnsi" w:cstheme="majorHAnsi"/>
          <w:color w:val="000000" w:themeColor="text1"/>
          <w:sz w:val="22"/>
          <w:szCs w:val="22"/>
          <w:lang w:val="en-AU"/>
        </w:rPr>
        <w:t>Corruption Eradication Commission</w:t>
      </w:r>
      <w:r w:rsidR="00D94603">
        <w:rPr>
          <w:rFonts w:asciiTheme="majorHAnsi" w:hAnsiTheme="majorHAnsi" w:cstheme="majorHAnsi"/>
          <w:color w:val="000000" w:themeColor="text1"/>
          <w:sz w:val="22"/>
          <w:szCs w:val="22"/>
          <w:lang w:val="en-AU"/>
        </w:rPr>
        <w:t xml:space="preserve"> (</w:t>
      </w:r>
      <w:r w:rsidR="00D94603">
        <w:rPr>
          <w:rFonts w:asciiTheme="majorHAnsi" w:hAnsiTheme="majorHAnsi" w:cstheme="majorHAnsi"/>
          <w:i/>
          <w:iCs/>
          <w:color w:val="000000" w:themeColor="text1"/>
          <w:sz w:val="22"/>
          <w:szCs w:val="22"/>
          <w:lang w:val="en-AU"/>
        </w:rPr>
        <w:t>Komisi Pemberantasan Korupsi</w:t>
      </w:r>
      <w:r w:rsidR="00D94603">
        <w:rPr>
          <w:rFonts w:asciiTheme="majorHAnsi" w:hAnsiTheme="majorHAnsi" w:cstheme="majorHAnsi"/>
          <w:color w:val="000000" w:themeColor="text1"/>
          <w:sz w:val="22"/>
          <w:szCs w:val="22"/>
          <w:lang w:val="en-AU"/>
        </w:rPr>
        <w:t xml:space="preserve"> or </w:t>
      </w:r>
      <w:r w:rsidR="00D94603" w:rsidRPr="00B245DF">
        <w:rPr>
          <w:rFonts w:asciiTheme="majorHAnsi" w:hAnsiTheme="majorHAnsi" w:cstheme="majorHAnsi"/>
          <w:color w:val="000000" w:themeColor="text1"/>
          <w:sz w:val="22"/>
          <w:szCs w:val="22"/>
          <w:lang w:val="en-AU"/>
        </w:rPr>
        <w:t>KPK)</w:t>
      </w:r>
      <w:r w:rsidR="00376756" w:rsidRPr="00B245DF">
        <w:rPr>
          <w:rFonts w:asciiTheme="majorHAnsi" w:hAnsiTheme="majorHAnsi" w:cstheme="majorHAnsi"/>
          <w:color w:val="000000" w:themeColor="text1"/>
          <w:sz w:val="22"/>
          <w:szCs w:val="22"/>
          <w:lang w:val="en-AU"/>
        </w:rPr>
        <w:t>,</w:t>
      </w:r>
      <w:r w:rsidR="00376756" w:rsidRPr="000A2712">
        <w:rPr>
          <w:rFonts w:asciiTheme="majorHAnsi" w:hAnsiTheme="majorHAnsi" w:cstheme="majorHAnsi"/>
          <w:color w:val="000000" w:themeColor="text1"/>
          <w:sz w:val="22"/>
          <w:szCs w:val="22"/>
          <w:lang w:val="en-AU"/>
        </w:rPr>
        <w:t xml:space="preserve"> </w:t>
      </w:r>
      <w:r w:rsidR="00A01F54" w:rsidRPr="000A2712">
        <w:rPr>
          <w:rFonts w:asciiTheme="majorHAnsi" w:hAnsiTheme="majorHAnsi" w:cstheme="majorHAnsi"/>
          <w:color w:val="000000" w:themeColor="text1"/>
          <w:sz w:val="22"/>
          <w:szCs w:val="22"/>
          <w:lang w:val="en-AU"/>
        </w:rPr>
        <w:t>have been</w:t>
      </w:r>
      <w:r w:rsidR="00376756" w:rsidRPr="000A2712">
        <w:rPr>
          <w:rFonts w:asciiTheme="majorHAnsi" w:hAnsiTheme="majorHAnsi" w:cstheme="majorHAnsi"/>
          <w:color w:val="000000" w:themeColor="text1"/>
          <w:sz w:val="22"/>
          <w:szCs w:val="22"/>
          <w:lang w:val="en-AU"/>
        </w:rPr>
        <w:t xml:space="preserve"> formed to </w:t>
      </w:r>
      <w:r w:rsidR="009416C9" w:rsidRPr="000A2712">
        <w:rPr>
          <w:rFonts w:asciiTheme="majorHAnsi" w:hAnsiTheme="majorHAnsi" w:cstheme="majorHAnsi"/>
          <w:color w:val="000000" w:themeColor="text1"/>
          <w:sz w:val="22"/>
          <w:szCs w:val="22"/>
          <w:lang w:val="en-AU"/>
        </w:rPr>
        <w:t>uncover</w:t>
      </w:r>
      <w:r w:rsidR="00376756" w:rsidRPr="000A2712">
        <w:rPr>
          <w:rFonts w:asciiTheme="majorHAnsi" w:hAnsiTheme="majorHAnsi" w:cstheme="majorHAnsi"/>
          <w:color w:val="000000" w:themeColor="text1"/>
          <w:sz w:val="22"/>
          <w:szCs w:val="22"/>
          <w:lang w:val="en-AU"/>
        </w:rPr>
        <w:t xml:space="preserve"> weaknesses </w:t>
      </w:r>
      <w:r w:rsidR="00A01F54" w:rsidRPr="000A2712">
        <w:rPr>
          <w:rFonts w:asciiTheme="majorHAnsi" w:hAnsiTheme="majorHAnsi" w:cstheme="majorHAnsi"/>
          <w:color w:val="000000" w:themeColor="text1"/>
          <w:sz w:val="22"/>
          <w:szCs w:val="22"/>
          <w:lang w:val="en-AU"/>
        </w:rPr>
        <w:t xml:space="preserve">in the justice sector and government more broadly </w:t>
      </w:r>
      <w:r w:rsidR="00376756" w:rsidRPr="000A2712">
        <w:rPr>
          <w:rFonts w:asciiTheme="majorHAnsi" w:hAnsiTheme="majorHAnsi" w:cstheme="majorHAnsi"/>
          <w:color w:val="000000" w:themeColor="text1"/>
          <w:sz w:val="22"/>
          <w:szCs w:val="22"/>
          <w:lang w:val="en-AU"/>
        </w:rPr>
        <w:t xml:space="preserve">and to serve as a trigger for reform. </w:t>
      </w:r>
      <w:r w:rsidR="00A01F54" w:rsidRPr="000A2712">
        <w:rPr>
          <w:rFonts w:asciiTheme="majorHAnsi" w:hAnsiTheme="majorHAnsi" w:cstheme="majorHAnsi"/>
          <w:color w:val="000000" w:themeColor="text1"/>
          <w:sz w:val="22"/>
          <w:szCs w:val="22"/>
          <w:lang w:val="en-AU"/>
        </w:rPr>
        <w:t>I</w:t>
      </w:r>
      <w:r w:rsidR="00376756" w:rsidRPr="000A2712">
        <w:rPr>
          <w:rFonts w:asciiTheme="majorHAnsi" w:hAnsiTheme="majorHAnsi" w:cstheme="majorHAnsi"/>
          <w:color w:val="000000" w:themeColor="text1"/>
          <w:sz w:val="22"/>
          <w:szCs w:val="22"/>
          <w:lang w:val="en-AU"/>
        </w:rPr>
        <w:t xml:space="preserve">nvolvement of </w:t>
      </w:r>
      <w:r w:rsidR="00B4668F" w:rsidRPr="000A2712">
        <w:rPr>
          <w:rFonts w:asciiTheme="majorHAnsi" w:hAnsiTheme="majorHAnsi" w:cstheme="majorHAnsi"/>
          <w:color w:val="000000" w:themeColor="text1"/>
          <w:sz w:val="22"/>
          <w:szCs w:val="22"/>
          <w:lang w:val="en-AU"/>
        </w:rPr>
        <w:t>civil society organisations has increased significantly</w:t>
      </w:r>
      <w:r w:rsidR="00376756" w:rsidRPr="000A2712">
        <w:rPr>
          <w:rFonts w:asciiTheme="majorHAnsi" w:hAnsiTheme="majorHAnsi" w:cstheme="majorHAnsi"/>
          <w:color w:val="000000" w:themeColor="text1"/>
          <w:sz w:val="22"/>
          <w:szCs w:val="22"/>
          <w:lang w:val="en-AU"/>
        </w:rPr>
        <w:t>, both as watchdog</w:t>
      </w:r>
      <w:r w:rsidR="00B4668F" w:rsidRPr="000A2712">
        <w:rPr>
          <w:rFonts w:asciiTheme="majorHAnsi" w:hAnsiTheme="majorHAnsi" w:cstheme="majorHAnsi"/>
          <w:color w:val="000000" w:themeColor="text1"/>
          <w:sz w:val="22"/>
          <w:szCs w:val="22"/>
          <w:lang w:val="en-AU"/>
        </w:rPr>
        <w:t>s</w:t>
      </w:r>
      <w:r w:rsidR="00376756" w:rsidRPr="000A2712">
        <w:rPr>
          <w:rFonts w:asciiTheme="majorHAnsi" w:hAnsiTheme="majorHAnsi" w:cstheme="majorHAnsi"/>
          <w:color w:val="000000" w:themeColor="text1"/>
          <w:sz w:val="22"/>
          <w:szCs w:val="22"/>
          <w:lang w:val="en-AU"/>
        </w:rPr>
        <w:t xml:space="preserve"> and critical partner</w:t>
      </w:r>
      <w:r w:rsidR="00B4668F" w:rsidRPr="000A2712">
        <w:rPr>
          <w:rFonts w:asciiTheme="majorHAnsi" w:hAnsiTheme="majorHAnsi" w:cstheme="majorHAnsi"/>
          <w:color w:val="000000" w:themeColor="text1"/>
          <w:sz w:val="22"/>
          <w:szCs w:val="22"/>
          <w:lang w:val="en-AU"/>
        </w:rPr>
        <w:t>s</w:t>
      </w:r>
      <w:r w:rsidR="00376756" w:rsidRPr="000A2712">
        <w:rPr>
          <w:rFonts w:asciiTheme="majorHAnsi" w:hAnsiTheme="majorHAnsi" w:cstheme="majorHAnsi"/>
          <w:color w:val="000000" w:themeColor="text1"/>
          <w:sz w:val="22"/>
          <w:szCs w:val="22"/>
          <w:lang w:val="en-AU"/>
        </w:rPr>
        <w:t xml:space="preserve"> </w:t>
      </w:r>
      <w:r w:rsidR="00B4668F" w:rsidRPr="000A2712">
        <w:rPr>
          <w:rFonts w:asciiTheme="majorHAnsi" w:hAnsiTheme="majorHAnsi" w:cstheme="majorHAnsi"/>
          <w:color w:val="000000" w:themeColor="text1"/>
          <w:sz w:val="22"/>
          <w:szCs w:val="22"/>
          <w:lang w:val="en-AU"/>
        </w:rPr>
        <w:t>for</w:t>
      </w:r>
      <w:r w:rsidR="00376756" w:rsidRPr="000A2712">
        <w:rPr>
          <w:rFonts w:asciiTheme="majorHAnsi" w:hAnsiTheme="majorHAnsi" w:cstheme="majorHAnsi"/>
          <w:color w:val="000000" w:themeColor="text1"/>
          <w:sz w:val="22"/>
          <w:szCs w:val="22"/>
          <w:lang w:val="en-AU"/>
        </w:rPr>
        <w:t xml:space="preserve"> reform. Th</w:t>
      </w:r>
      <w:r w:rsidR="00A01F54" w:rsidRPr="000A2712">
        <w:rPr>
          <w:rFonts w:asciiTheme="majorHAnsi" w:hAnsiTheme="majorHAnsi" w:cstheme="majorHAnsi"/>
          <w:color w:val="000000" w:themeColor="text1"/>
          <w:sz w:val="22"/>
          <w:szCs w:val="22"/>
          <w:lang w:val="en-AU"/>
        </w:rPr>
        <w:t>is</w:t>
      </w:r>
      <w:r w:rsidR="00376756" w:rsidRPr="000A2712">
        <w:rPr>
          <w:rFonts w:asciiTheme="majorHAnsi" w:hAnsiTheme="majorHAnsi" w:cstheme="majorHAnsi"/>
          <w:color w:val="000000" w:themeColor="text1"/>
          <w:sz w:val="22"/>
          <w:szCs w:val="22"/>
          <w:lang w:val="en-AU"/>
        </w:rPr>
        <w:t xml:space="preserve"> </w:t>
      </w:r>
      <w:r w:rsidR="00917A00">
        <w:rPr>
          <w:rFonts w:asciiTheme="majorHAnsi" w:hAnsiTheme="majorHAnsi" w:cstheme="majorHAnsi"/>
          <w:color w:val="000000" w:themeColor="text1"/>
          <w:sz w:val="22"/>
          <w:szCs w:val="22"/>
          <w:lang w:val="en-AU"/>
        </w:rPr>
        <w:t>expan</w:t>
      </w:r>
      <w:r w:rsidR="00894D6B">
        <w:rPr>
          <w:rFonts w:asciiTheme="majorHAnsi" w:hAnsiTheme="majorHAnsi" w:cstheme="majorHAnsi"/>
          <w:color w:val="000000" w:themeColor="text1"/>
          <w:sz w:val="22"/>
          <w:szCs w:val="22"/>
          <w:lang w:val="en-AU"/>
        </w:rPr>
        <w:t>ded</w:t>
      </w:r>
      <w:r w:rsidR="00376756" w:rsidRPr="000A2712">
        <w:rPr>
          <w:rFonts w:asciiTheme="majorHAnsi" w:hAnsiTheme="majorHAnsi" w:cstheme="majorHAnsi"/>
          <w:color w:val="000000" w:themeColor="text1"/>
          <w:sz w:val="22"/>
          <w:szCs w:val="22"/>
          <w:lang w:val="en-AU"/>
        </w:rPr>
        <w:t xml:space="preserve"> interaction between </w:t>
      </w:r>
      <w:r w:rsidR="00A01F54" w:rsidRPr="000A2712">
        <w:rPr>
          <w:rFonts w:asciiTheme="majorHAnsi" w:hAnsiTheme="majorHAnsi" w:cstheme="majorHAnsi"/>
          <w:color w:val="000000" w:themeColor="text1"/>
          <w:sz w:val="22"/>
          <w:szCs w:val="22"/>
          <w:lang w:val="en-AU"/>
        </w:rPr>
        <w:t>government</w:t>
      </w:r>
      <w:r w:rsidR="00376756" w:rsidRPr="000A2712">
        <w:rPr>
          <w:rFonts w:asciiTheme="majorHAnsi" w:hAnsiTheme="majorHAnsi" w:cstheme="majorHAnsi"/>
          <w:color w:val="000000" w:themeColor="text1"/>
          <w:sz w:val="22"/>
          <w:szCs w:val="22"/>
          <w:lang w:val="en-AU"/>
        </w:rPr>
        <w:t xml:space="preserve"> institutions and </w:t>
      </w:r>
      <w:r w:rsidR="00B4668F" w:rsidRPr="000A2712">
        <w:rPr>
          <w:rFonts w:asciiTheme="majorHAnsi" w:hAnsiTheme="majorHAnsi" w:cstheme="majorHAnsi"/>
          <w:color w:val="000000" w:themeColor="text1"/>
          <w:sz w:val="22"/>
          <w:szCs w:val="22"/>
          <w:lang w:val="en-AU"/>
        </w:rPr>
        <w:t xml:space="preserve">civil society </w:t>
      </w:r>
      <w:r w:rsidR="00A01F54" w:rsidRPr="000A2712">
        <w:rPr>
          <w:rFonts w:asciiTheme="majorHAnsi" w:hAnsiTheme="majorHAnsi" w:cstheme="majorHAnsi"/>
          <w:color w:val="000000" w:themeColor="text1"/>
          <w:sz w:val="22"/>
          <w:szCs w:val="22"/>
          <w:lang w:val="en-AU"/>
        </w:rPr>
        <w:t xml:space="preserve">has </w:t>
      </w:r>
      <w:r w:rsidR="00376756" w:rsidRPr="000A2712">
        <w:rPr>
          <w:rFonts w:asciiTheme="majorHAnsi" w:hAnsiTheme="majorHAnsi" w:cstheme="majorHAnsi"/>
          <w:color w:val="000000" w:themeColor="text1"/>
          <w:sz w:val="22"/>
          <w:szCs w:val="22"/>
          <w:lang w:val="en-AU"/>
        </w:rPr>
        <w:t xml:space="preserve">clearly marked </w:t>
      </w:r>
      <w:r w:rsidR="00B4668F" w:rsidRPr="000A2712">
        <w:rPr>
          <w:rFonts w:asciiTheme="majorHAnsi" w:hAnsiTheme="majorHAnsi" w:cstheme="majorHAnsi"/>
          <w:color w:val="000000" w:themeColor="text1"/>
          <w:sz w:val="22"/>
          <w:szCs w:val="22"/>
          <w:lang w:val="en-AU"/>
        </w:rPr>
        <w:t xml:space="preserve">the post-Soeharto era. </w:t>
      </w:r>
    </w:p>
    <w:p w14:paraId="02122048" w14:textId="130DE98D" w:rsidR="000953FA" w:rsidRPr="000A2712" w:rsidRDefault="00744914"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At the same time, significant challenges persist. Corruption remains widespread, including within the justice sector itself, diluting citizen trust.</w:t>
      </w:r>
      <w:r w:rsidR="00A16179">
        <w:rPr>
          <w:rFonts w:ascii="Calibri Light" w:hAnsi="Calibri Light" w:cs="Calibri Light"/>
          <w:sz w:val="22"/>
          <w:szCs w:val="22"/>
          <w:lang w:val="en-AU"/>
        </w:rPr>
        <w:t xml:space="preserve"> </w:t>
      </w:r>
      <w:r w:rsidR="004452F6" w:rsidRPr="000A2712">
        <w:rPr>
          <w:rFonts w:ascii="Calibri Light" w:hAnsi="Calibri Light" w:cs="Calibri Light"/>
          <w:sz w:val="22"/>
          <w:szCs w:val="22"/>
          <w:lang w:val="en-AU"/>
        </w:rPr>
        <w:t xml:space="preserve">In the World Justice Project’s Rule of Law Index, Indonesia ranks lower than </w:t>
      </w:r>
      <w:r w:rsidR="000953FA" w:rsidRPr="000A2712">
        <w:rPr>
          <w:rFonts w:ascii="Calibri Light" w:hAnsi="Calibri Light" w:cs="Calibri Light"/>
          <w:sz w:val="22"/>
          <w:szCs w:val="22"/>
          <w:lang w:val="en-AU"/>
        </w:rPr>
        <w:t>ot</w:t>
      </w:r>
      <w:r w:rsidR="004452F6" w:rsidRPr="000A2712">
        <w:rPr>
          <w:rFonts w:ascii="Calibri Light" w:hAnsi="Calibri Light" w:cs="Calibri Light"/>
          <w:sz w:val="22"/>
          <w:szCs w:val="22"/>
          <w:lang w:val="en-AU"/>
        </w:rPr>
        <w:t xml:space="preserve">her </w:t>
      </w:r>
      <w:r w:rsidR="000953FA" w:rsidRPr="000A2712">
        <w:rPr>
          <w:rFonts w:ascii="Calibri Light" w:hAnsi="Calibri Light" w:cs="Calibri Light"/>
          <w:sz w:val="22"/>
          <w:szCs w:val="22"/>
          <w:lang w:val="en-AU"/>
        </w:rPr>
        <w:t xml:space="preserve">major </w:t>
      </w:r>
      <w:r w:rsidR="004452F6" w:rsidRPr="000A2712">
        <w:rPr>
          <w:rFonts w:ascii="Calibri Light" w:hAnsi="Calibri Light" w:cs="Calibri Light"/>
          <w:sz w:val="22"/>
          <w:szCs w:val="22"/>
          <w:lang w:val="en-AU"/>
        </w:rPr>
        <w:t xml:space="preserve">ASEAN </w:t>
      </w:r>
      <w:r w:rsidR="005B21CE" w:rsidRPr="000A2712">
        <w:rPr>
          <w:rFonts w:ascii="Calibri Light" w:hAnsi="Calibri Light" w:cs="Calibri Light"/>
          <w:sz w:val="22"/>
          <w:szCs w:val="22"/>
          <w:lang w:val="en-AU"/>
        </w:rPr>
        <w:t>nations on the overall quality of the criminal and civil justice systems and for corruption – though within this, relative strengths and weaknesses are evident for selected measures (figure 1).</w:t>
      </w:r>
      <w:r w:rsidR="000953FA" w:rsidRPr="000A2712">
        <w:rPr>
          <w:noProof/>
          <w:lang w:val="en-AU" w:eastAsia="en-AU"/>
        </w:rPr>
        <w:drawing>
          <wp:inline distT="0" distB="0" distL="0" distR="0" wp14:anchorId="06306EBB" wp14:editId="07E2C7BF">
            <wp:extent cx="5727700" cy="2581275"/>
            <wp:effectExtent l="0" t="0" r="6350" b="0"/>
            <wp:docPr id="10" name="Chart 10">
              <a:extLst xmlns:a="http://schemas.openxmlformats.org/drawingml/2006/main">
                <a:ext uri="{FF2B5EF4-FFF2-40B4-BE49-F238E27FC236}">
                  <a16:creationId xmlns:a16="http://schemas.microsoft.com/office/drawing/2014/main" id="{70FB7E3C-B0DA-4448-A1A6-F159D7709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953FA" w:rsidRPr="000A2712">
        <w:rPr>
          <w:rFonts w:ascii="Calibri Light" w:hAnsi="Calibri Light" w:cs="Calibri Light"/>
          <w:sz w:val="22"/>
          <w:szCs w:val="22"/>
          <w:lang w:val="en-AU"/>
        </w:rPr>
        <w:t xml:space="preserve"> </w:t>
      </w:r>
    </w:p>
    <w:p w14:paraId="332564F7" w14:textId="7AAE26F8" w:rsidR="00830ABC" w:rsidRDefault="00A16179" w:rsidP="006B32D6">
      <w:pPr>
        <w:pStyle w:val="ListParagraph"/>
        <w:numPr>
          <w:ilvl w:val="2"/>
          <w:numId w:val="3"/>
        </w:numPr>
        <w:tabs>
          <w:tab w:val="clear" w:pos="1701"/>
          <w:tab w:val="left" w:pos="567"/>
        </w:tabs>
        <w:spacing w:line="274" w:lineRule="auto"/>
        <w:contextualSpacing w:val="0"/>
        <w:rPr>
          <w:rFonts w:ascii="Calibri Light" w:hAnsi="Calibri Light" w:cs="Calibri Light"/>
          <w:color w:val="000000" w:themeColor="text1"/>
          <w:sz w:val="22"/>
          <w:szCs w:val="22"/>
          <w:lang w:val="en-AU"/>
        </w:rPr>
      </w:pPr>
      <w:r>
        <w:rPr>
          <w:rFonts w:asciiTheme="majorHAnsi" w:hAnsiTheme="majorHAnsi" w:cstheme="majorHAnsi"/>
          <w:color w:val="000000" w:themeColor="text1"/>
          <w:sz w:val="22"/>
          <w:szCs w:val="22"/>
          <w:lang w:val="en-AU"/>
        </w:rPr>
        <w:t xml:space="preserve"> </w:t>
      </w:r>
      <w:r w:rsidR="00A01F54" w:rsidRPr="000A2712">
        <w:rPr>
          <w:rFonts w:asciiTheme="majorHAnsi" w:hAnsiTheme="majorHAnsi" w:cstheme="majorHAnsi"/>
          <w:color w:val="000000" w:themeColor="text1"/>
          <w:sz w:val="22"/>
          <w:szCs w:val="22"/>
          <w:lang w:val="en-AU"/>
        </w:rPr>
        <w:t xml:space="preserve">Widespread </w:t>
      </w:r>
      <w:r w:rsidR="001A219A" w:rsidRPr="000A2712">
        <w:rPr>
          <w:rFonts w:asciiTheme="majorHAnsi" w:hAnsiTheme="majorHAnsi" w:cstheme="majorHAnsi"/>
          <w:color w:val="000000" w:themeColor="text1"/>
          <w:sz w:val="22"/>
          <w:szCs w:val="22"/>
          <w:lang w:val="en-AU"/>
        </w:rPr>
        <w:t>perception</w:t>
      </w:r>
      <w:r w:rsidR="00A01F54" w:rsidRPr="000A2712">
        <w:rPr>
          <w:rFonts w:asciiTheme="majorHAnsi" w:hAnsiTheme="majorHAnsi" w:cstheme="majorHAnsi"/>
          <w:color w:val="000000" w:themeColor="text1"/>
          <w:sz w:val="22"/>
          <w:szCs w:val="22"/>
          <w:lang w:val="en-AU"/>
        </w:rPr>
        <w:t>s persist</w:t>
      </w:r>
      <w:r w:rsidR="001A219A" w:rsidRPr="000A2712">
        <w:rPr>
          <w:rFonts w:asciiTheme="majorHAnsi" w:hAnsiTheme="majorHAnsi" w:cstheme="majorHAnsi"/>
          <w:color w:val="000000" w:themeColor="text1"/>
          <w:sz w:val="22"/>
          <w:szCs w:val="22"/>
          <w:lang w:val="en-AU"/>
        </w:rPr>
        <w:t xml:space="preserve"> that the litigation process </w:t>
      </w:r>
      <w:r w:rsidR="00830ABC">
        <w:rPr>
          <w:rFonts w:asciiTheme="majorHAnsi" w:hAnsiTheme="majorHAnsi" w:cstheme="majorHAnsi"/>
          <w:color w:val="000000" w:themeColor="text1"/>
          <w:sz w:val="22"/>
          <w:szCs w:val="22"/>
          <w:lang w:val="en-AU"/>
        </w:rPr>
        <w:t>is lengthy</w:t>
      </w:r>
      <w:r w:rsidR="001A219A" w:rsidRPr="000A2712">
        <w:rPr>
          <w:rFonts w:asciiTheme="majorHAnsi" w:hAnsiTheme="majorHAnsi" w:cstheme="majorHAnsi"/>
          <w:color w:val="000000" w:themeColor="text1"/>
          <w:sz w:val="22"/>
          <w:szCs w:val="22"/>
          <w:lang w:val="en-AU"/>
        </w:rPr>
        <w:t xml:space="preserve">, involves </w:t>
      </w:r>
      <w:r w:rsidR="00A01F54" w:rsidRPr="000A2712">
        <w:rPr>
          <w:rFonts w:asciiTheme="majorHAnsi" w:hAnsiTheme="majorHAnsi" w:cstheme="majorHAnsi"/>
          <w:color w:val="000000" w:themeColor="text1"/>
          <w:sz w:val="22"/>
          <w:szCs w:val="22"/>
          <w:lang w:val="en-AU"/>
        </w:rPr>
        <w:t xml:space="preserve">high </w:t>
      </w:r>
      <w:r w:rsidR="001A219A" w:rsidRPr="000A2712">
        <w:rPr>
          <w:rFonts w:asciiTheme="majorHAnsi" w:hAnsiTheme="majorHAnsi" w:cstheme="majorHAnsi"/>
          <w:color w:val="000000" w:themeColor="text1"/>
          <w:sz w:val="22"/>
          <w:szCs w:val="22"/>
          <w:lang w:val="en-AU"/>
        </w:rPr>
        <w:t xml:space="preserve">costs, and enforcement of </w:t>
      </w:r>
      <w:r w:rsidR="00A01F54" w:rsidRPr="000A2712">
        <w:rPr>
          <w:rFonts w:asciiTheme="majorHAnsi" w:hAnsiTheme="majorHAnsi" w:cstheme="majorHAnsi"/>
          <w:color w:val="000000" w:themeColor="text1"/>
          <w:sz w:val="22"/>
          <w:szCs w:val="22"/>
          <w:lang w:val="en-AU"/>
        </w:rPr>
        <w:t xml:space="preserve">judicial </w:t>
      </w:r>
      <w:r w:rsidR="001A219A" w:rsidRPr="000A2712">
        <w:rPr>
          <w:rFonts w:asciiTheme="majorHAnsi" w:hAnsiTheme="majorHAnsi" w:cstheme="majorHAnsi"/>
          <w:color w:val="000000" w:themeColor="text1"/>
          <w:sz w:val="22"/>
          <w:szCs w:val="22"/>
          <w:lang w:val="en-AU"/>
        </w:rPr>
        <w:t>decision</w:t>
      </w:r>
      <w:r w:rsidR="00A01F54" w:rsidRPr="000A2712">
        <w:rPr>
          <w:rFonts w:asciiTheme="majorHAnsi" w:hAnsiTheme="majorHAnsi" w:cstheme="majorHAnsi"/>
          <w:color w:val="000000" w:themeColor="text1"/>
          <w:sz w:val="22"/>
          <w:szCs w:val="22"/>
          <w:lang w:val="en-AU"/>
        </w:rPr>
        <w:t>s</w:t>
      </w:r>
      <w:r w:rsidR="00013A13" w:rsidRPr="000A2712">
        <w:rPr>
          <w:rFonts w:asciiTheme="majorHAnsi" w:hAnsiTheme="majorHAnsi" w:cstheme="majorHAnsi"/>
          <w:color w:val="000000" w:themeColor="text1"/>
          <w:sz w:val="22"/>
          <w:szCs w:val="22"/>
          <w:lang w:val="en-AU"/>
        </w:rPr>
        <w:t xml:space="preserve"> is weak</w:t>
      </w:r>
      <w:r w:rsidR="001A219A" w:rsidRPr="000A2712">
        <w:rPr>
          <w:rFonts w:asciiTheme="majorHAnsi" w:hAnsiTheme="majorHAnsi" w:cstheme="majorHAnsi"/>
          <w:color w:val="000000" w:themeColor="text1"/>
          <w:sz w:val="22"/>
          <w:szCs w:val="22"/>
          <w:lang w:val="en-AU"/>
        </w:rPr>
        <w:t xml:space="preserve">. </w:t>
      </w:r>
      <w:r w:rsidR="00536A2C" w:rsidRPr="000A2712">
        <w:rPr>
          <w:rFonts w:asciiTheme="majorHAnsi" w:hAnsiTheme="majorHAnsi" w:cstheme="majorHAnsi"/>
          <w:color w:val="000000" w:themeColor="text1"/>
          <w:sz w:val="22"/>
          <w:szCs w:val="22"/>
          <w:lang w:val="en-AU"/>
        </w:rPr>
        <w:t>The number of civil lawsuits going to all courts in Indonesia is relatively stagnant at around 30,000 p.a. and very small given the size of the economy, reflecting people’s lack of confidence in the system.</w:t>
      </w:r>
      <w:r>
        <w:rPr>
          <w:rFonts w:asciiTheme="majorHAnsi" w:hAnsiTheme="majorHAnsi" w:cstheme="majorHAnsi"/>
          <w:color w:val="000000" w:themeColor="text1"/>
          <w:sz w:val="22"/>
          <w:szCs w:val="22"/>
          <w:lang w:val="en-AU"/>
        </w:rPr>
        <w:t xml:space="preserve"> </w:t>
      </w:r>
      <w:r w:rsidR="00744914" w:rsidRPr="000A2712">
        <w:rPr>
          <w:rFonts w:ascii="Calibri Light" w:hAnsi="Calibri Light" w:cs="Calibri Light"/>
          <w:color w:val="000000" w:themeColor="text1"/>
          <w:sz w:val="22"/>
          <w:szCs w:val="22"/>
          <w:lang w:val="en-AU"/>
        </w:rPr>
        <w:t>The costs of contract enforcement remain high and limit Indonesia’s progress against the World Bank’s Ease of Doing Business score</w:t>
      </w:r>
      <w:r w:rsidR="00536A2C" w:rsidRPr="000A2712">
        <w:rPr>
          <w:rStyle w:val="FootnoteReference"/>
          <w:rFonts w:ascii="Calibri Light" w:hAnsi="Calibri Light" w:cs="Calibri Light"/>
          <w:color w:val="000000" w:themeColor="text1"/>
          <w:sz w:val="22"/>
          <w:szCs w:val="22"/>
          <w:lang w:val="en-AU"/>
        </w:rPr>
        <w:footnoteReference w:id="4"/>
      </w:r>
      <w:r w:rsidR="00744914" w:rsidRPr="000A2712">
        <w:rPr>
          <w:rFonts w:ascii="Calibri Light" w:hAnsi="Calibri Light" w:cs="Calibri Light"/>
          <w:color w:val="000000" w:themeColor="text1"/>
          <w:sz w:val="22"/>
          <w:szCs w:val="22"/>
          <w:lang w:val="en-AU"/>
        </w:rPr>
        <w:t xml:space="preserve">. </w:t>
      </w:r>
    </w:p>
    <w:p w14:paraId="7116124E" w14:textId="7811996D" w:rsidR="00744914" w:rsidRPr="000A2712" w:rsidRDefault="00744914" w:rsidP="006B32D6">
      <w:pPr>
        <w:pStyle w:val="ListParagraph"/>
        <w:numPr>
          <w:ilvl w:val="2"/>
          <w:numId w:val="3"/>
        </w:numPr>
        <w:tabs>
          <w:tab w:val="clear" w:pos="1701"/>
          <w:tab w:val="left" w:pos="567"/>
        </w:tabs>
        <w:spacing w:line="274" w:lineRule="auto"/>
        <w:contextualSpacing w:val="0"/>
        <w:rPr>
          <w:rFonts w:ascii="Calibri Light" w:hAnsi="Calibri Light" w:cs="Calibri Light"/>
          <w:color w:val="000000" w:themeColor="text1"/>
          <w:sz w:val="22"/>
          <w:szCs w:val="22"/>
          <w:lang w:val="en-AU"/>
        </w:rPr>
      </w:pPr>
      <w:r w:rsidRPr="000A2712">
        <w:rPr>
          <w:rFonts w:ascii="Calibri Light" w:hAnsi="Calibri Light" w:cs="Calibri Light"/>
          <w:color w:val="000000" w:themeColor="text1"/>
          <w:sz w:val="22"/>
          <w:szCs w:val="22"/>
          <w:lang w:val="en-AU"/>
        </w:rPr>
        <w:t xml:space="preserve">Prison overcrowding remains at extreme levels </w:t>
      </w:r>
      <w:r w:rsidR="00013A13" w:rsidRPr="000A2712">
        <w:rPr>
          <w:rFonts w:ascii="Calibri Light" w:hAnsi="Calibri Light" w:cs="Calibri Light"/>
          <w:color w:val="000000" w:themeColor="text1"/>
          <w:sz w:val="22"/>
          <w:szCs w:val="22"/>
          <w:lang w:val="en-AU"/>
        </w:rPr>
        <w:t xml:space="preserve">with the number of detainees and prisoners rising by 45% in the past 5 years </w:t>
      </w:r>
      <w:r w:rsidR="00536A2C" w:rsidRPr="000A2712">
        <w:rPr>
          <w:rFonts w:ascii="Calibri Light" w:hAnsi="Calibri Light" w:cs="Calibri Light"/>
          <w:color w:val="000000" w:themeColor="text1"/>
          <w:sz w:val="22"/>
          <w:szCs w:val="22"/>
          <w:lang w:val="en-AU"/>
        </w:rPr>
        <w:t>and</w:t>
      </w:r>
      <w:r w:rsidR="00013A13" w:rsidRPr="000A2712">
        <w:rPr>
          <w:rFonts w:ascii="Calibri Light" w:hAnsi="Calibri Light" w:cs="Calibri Light"/>
          <w:color w:val="000000" w:themeColor="text1"/>
          <w:sz w:val="22"/>
          <w:szCs w:val="22"/>
          <w:lang w:val="en-AU"/>
        </w:rPr>
        <w:t xml:space="preserve"> </w:t>
      </w:r>
      <w:r w:rsidR="00830ABC">
        <w:rPr>
          <w:rFonts w:ascii="Calibri Light" w:hAnsi="Calibri Light" w:cs="Calibri Light"/>
          <w:color w:val="000000" w:themeColor="text1"/>
          <w:sz w:val="22"/>
          <w:szCs w:val="22"/>
          <w:lang w:val="en-AU"/>
        </w:rPr>
        <w:t xml:space="preserve">prison </w:t>
      </w:r>
      <w:r w:rsidR="00013A13" w:rsidRPr="000A2712">
        <w:rPr>
          <w:rFonts w:ascii="Calibri Light" w:hAnsi="Calibri Light" w:cs="Calibri Light"/>
          <w:color w:val="000000" w:themeColor="text1"/>
          <w:sz w:val="22"/>
          <w:szCs w:val="22"/>
          <w:lang w:val="en-AU"/>
        </w:rPr>
        <w:t xml:space="preserve">capacity </w:t>
      </w:r>
      <w:r w:rsidR="00684539" w:rsidRPr="000A2712">
        <w:rPr>
          <w:rFonts w:ascii="Calibri Light" w:hAnsi="Calibri Light" w:cs="Calibri Light"/>
          <w:color w:val="000000" w:themeColor="text1"/>
          <w:sz w:val="22"/>
          <w:szCs w:val="22"/>
          <w:lang w:val="en-AU"/>
        </w:rPr>
        <w:t>increasing</w:t>
      </w:r>
      <w:r w:rsidR="00013A13" w:rsidRPr="000A2712">
        <w:rPr>
          <w:rFonts w:ascii="Calibri Light" w:hAnsi="Calibri Light" w:cs="Calibri Light"/>
          <w:color w:val="000000" w:themeColor="text1"/>
          <w:sz w:val="22"/>
          <w:szCs w:val="22"/>
          <w:lang w:val="en-AU"/>
        </w:rPr>
        <w:t xml:space="preserve"> by only 4% in the same period.</w:t>
      </w:r>
      <w:r w:rsidR="00A16179">
        <w:rPr>
          <w:rFonts w:ascii="Calibri Light" w:hAnsi="Calibri Light" w:cs="Calibri Light"/>
          <w:color w:val="000000" w:themeColor="text1"/>
          <w:sz w:val="22"/>
          <w:szCs w:val="22"/>
          <w:lang w:val="en-AU"/>
        </w:rPr>
        <w:t xml:space="preserve"> </w:t>
      </w:r>
      <w:r w:rsidRPr="000A2712">
        <w:rPr>
          <w:rFonts w:ascii="Calibri Light" w:hAnsi="Calibri Light" w:cs="Calibri Light"/>
          <w:color w:val="000000" w:themeColor="text1"/>
          <w:sz w:val="22"/>
          <w:szCs w:val="22"/>
          <w:lang w:val="en-AU"/>
        </w:rPr>
        <w:t>Women, minority religious and ethnic groups and people with disabilities remain at a disadvantage in being able to enforce their rights</w:t>
      </w:r>
      <w:r w:rsidR="00830ABC">
        <w:rPr>
          <w:rFonts w:ascii="Calibri Light" w:hAnsi="Calibri Light" w:cs="Calibri Light"/>
          <w:color w:val="000000" w:themeColor="text1"/>
          <w:sz w:val="22"/>
          <w:szCs w:val="22"/>
          <w:lang w:val="en-AU"/>
        </w:rPr>
        <w:t>.</w:t>
      </w:r>
      <w:r w:rsidR="008C40CD" w:rsidRPr="000A2712">
        <w:rPr>
          <w:rFonts w:ascii="Calibri Light" w:hAnsi="Calibri Light" w:cs="Calibri Light"/>
          <w:color w:val="000000" w:themeColor="text1"/>
          <w:sz w:val="22"/>
          <w:szCs w:val="22"/>
          <w:lang w:val="en-AU"/>
        </w:rPr>
        <w:t xml:space="preserve"> </w:t>
      </w:r>
      <w:r w:rsidR="00830ABC">
        <w:rPr>
          <w:rFonts w:ascii="Calibri Light" w:hAnsi="Calibri Light" w:cs="Calibri Light"/>
          <w:color w:val="000000" w:themeColor="text1"/>
          <w:sz w:val="22"/>
          <w:szCs w:val="22"/>
          <w:lang w:val="en-AU"/>
        </w:rPr>
        <w:t>C</w:t>
      </w:r>
      <w:r w:rsidR="008C40CD" w:rsidRPr="000A2712">
        <w:rPr>
          <w:rFonts w:ascii="Calibri Light" w:hAnsi="Calibri Light" w:cs="Calibri Light"/>
          <w:color w:val="000000" w:themeColor="text1"/>
          <w:sz w:val="22"/>
          <w:szCs w:val="22"/>
          <w:lang w:val="en-AU"/>
        </w:rPr>
        <w:t xml:space="preserve">ritics claim </w:t>
      </w:r>
      <w:r w:rsidR="00A74B78" w:rsidRPr="000A2712">
        <w:rPr>
          <w:rFonts w:ascii="Calibri Light" w:hAnsi="Calibri Light" w:cs="Calibri Light"/>
          <w:color w:val="000000" w:themeColor="text1"/>
          <w:sz w:val="22"/>
          <w:szCs w:val="22"/>
          <w:lang w:val="en-AU"/>
        </w:rPr>
        <w:t xml:space="preserve">legal reforms have been driven more by their instrumental value for economic development agendas, and less by concerns about </w:t>
      </w:r>
      <w:r w:rsidR="008C40CD" w:rsidRPr="000A2712">
        <w:rPr>
          <w:rFonts w:ascii="Calibri Light" w:hAnsi="Calibri Light" w:cs="Calibri Light"/>
          <w:color w:val="000000" w:themeColor="text1"/>
          <w:sz w:val="22"/>
          <w:szCs w:val="22"/>
          <w:lang w:val="en-AU"/>
        </w:rPr>
        <w:t>human rights</w:t>
      </w:r>
      <w:r w:rsidRPr="000A2712">
        <w:rPr>
          <w:rFonts w:ascii="Calibri Light" w:hAnsi="Calibri Light" w:cs="Calibri Light"/>
          <w:color w:val="000000" w:themeColor="text1"/>
          <w:sz w:val="22"/>
          <w:szCs w:val="22"/>
          <w:lang w:val="en-AU"/>
        </w:rPr>
        <w:t>.</w:t>
      </w:r>
    </w:p>
    <w:p w14:paraId="358D5B10" w14:textId="492EE937" w:rsidR="009F6C26" w:rsidRPr="000A2712" w:rsidRDefault="009F6C26"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8"/>
          <w:szCs w:val="28"/>
          <w:lang w:val="en-AU"/>
        </w:rPr>
      </w:pPr>
      <w:r w:rsidRPr="000A2712">
        <w:rPr>
          <w:rFonts w:asciiTheme="majorHAnsi" w:hAnsiTheme="majorHAnsi" w:cstheme="majorHAnsi"/>
          <w:b/>
          <w:bCs/>
          <w:color w:val="000000" w:themeColor="text1"/>
          <w:sz w:val="28"/>
          <w:szCs w:val="28"/>
          <w:lang w:val="en-AU"/>
        </w:rPr>
        <w:t>The mid-term review</w:t>
      </w:r>
    </w:p>
    <w:p w14:paraId="7C8F27E9" w14:textId="00A50EFE" w:rsidR="0014627C" w:rsidRPr="000A2712" w:rsidRDefault="0014627C" w:rsidP="006B32D6">
      <w:pPr>
        <w:pStyle w:val="ListParagraph"/>
        <w:numPr>
          <w:ilvl w:val="2"/>
          <w:numId w:val="3"/>
        </w:numPr>
        <w:tabs>
          <w:tab w:val="clear" w:pos="1701"/>
          <w:tab w:val="left" w:pos="567"/>
        </w:tabs>
        <w:spacing w:line="274" w:lineRule="auto"/>
        <w:contextualSpacing w:val="0"/>
        <w:rPr>
          <w:rFonts w:ascii="Calibri Light" w:hAnsi="Calibri Light" w:cs="Calibri Light"/>
          <w:sz w:val="22"/>
          <w:szCs w:val="22"/>
          <w:lang w:val="en-AU"/>
        </w:rPr>
      </w:pPr>
      <w:bookmarkStart w:id="1" w:name="_Hlk19939504"/>
      <w:r w:rsidRPr="000A2712">
        <w:rPr>
          <w:rFonts w:ascii="Calibri Light" w:hAnsi="Calibri Light" w:cs="Calibri Light"/>
          <w:sz w:val="22"/>
          <w:szCs w:val="22"/>
          <w:lang w:val="en-AU"/>
        </w:rPr>
        <w:t>The review was conducted by a three-person team:</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Lisa Denney – a justice and security sector expert, experienced on issues of access to</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justice, political economy and adaptive programming;</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Binziad Kadafi, a</w:t>
      </w:r>
      <w:r w:rsidR="00285FFB" w:rsidRPr="000A2712">
        <w:rPr>
          <w:rFonts w:ascii="Calibri Light" w:hAnsi="Calibri Light" w:cs="Calibri Light"/>
          <w:sz w:val="22"/>
          <w:szCs w:val="22"/>
          <w:lang w:val="en-AU"/>
        </w:rPr>
        <w:t>n</w:t>
      </w:r>
      <w:r w:rsidR="008A5929"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experienced Indonesian legal expert, whose work has covered many aspects of AIPJ2’s portfolio;</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and Simon Henderson – evaluation specialist (team leader).</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The </w:t>
      </w:r>
      <w:r w:rsidR="00331339" w:rsidRPr="000A2712">
        <w:rPr>
          <w:rFonts w:ascii="Calibri Light" w:hAnsi="Calibri Light" w:cs="Calibri Light"/>
          <w:sz w:val="22"/>
          <w:szCs w:val="22"/>
          <w:lang w:val="en-AU"/>
        </w:rPr>
        <w:t>review</w:t>
      </w:r>
      <w:r w:rsidRPr="000A2712">
        <w:rPr>
          <w:rFonts w:ascii="Calibri Light" w:hAnsi="Calibri Light" w:cs="Calibri Light"/>
          <w:sz w:val="22"/>
          <w:szCs w:val="22"/>
          <w:lang w:val="en-AU"/>
        </w:rPr>
        <w:t xml:space="preserve"> was </w:t>
      </w:r>
      <w:r w:rsidR="00331339" w:rsidRPr="000A2712">
        <w:rPr>
          <w:rFonts w:ascii="Calibri Light" w:hAnsi="Calibri Light" w:cs="Calibri Light"/>
          <w:sz w:val="22"/>
          <w:szCs w:val="22"/>
          <w:lang w:val="en-AU"/>
        </w:rPr>
        <w:t>implemented</w:t>
      </w:r>
      <w:r w:rsidRPr="000A2712">
        <w:rPr>
          <w:rFonts w:ascii="Calibri Light" w:hAnsi="Calibri Light" w:cs="Calibri Light"/>
          <w:sz w:val="22"/>
          <w:szCs w:val="22"/>
          <w:lang w:val="en-AU"/>
        </w:rPr>
        <w:t xml:space="preserve"> </w:t>
      </w:r>
      <w:r w:rsidR="000C4002" w:rsidRPr="000A2712">
        <w:rPr>
          <w:rFonts w:ascii="Calibri Light" w:hAnsi="Calibri Light" w:cs="Calibri Light"/>
          <w:sz w:val="22"/>
          <w:szCs w:val="22"/>
          <w:lang w:val="en-AU"/>
        </w:rPr>
        <w:t>during May – September 2019</w:t>
      </w:r>
      <w:r w:rsidR="00FA3E73"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in three phases: </w:t>
      </w:r>
      <w:r w:rsidR="00331339" w:rsidRPr="000A2712">
        <w:rPr>
          <w:rFonts w:ascii="Calibri Light" w:hAnsi="Calibri Light" w:cs="Calibri Light"/>
          <w:sz w:val="22"/>
          <w:szCs w:val="22"/>
          <w:lang w:val="en-AU"/>
        </w:rPr>
        <w:t xml:space="preserve">a) </w:t>
      </w:r>
      <w:r w:rsidR="006F0CE1" w:rsidRPr="000A2712">
        <w:rPr>
          <w:rFonts w:ascii="Calibri Light" w:hAnsi="Calibri Light" w:cs="Calibri Light"/>
          <w:sz w:val="22"/>
          <w:szCs w:val="22"/>
          <w:lang w:val="en-AU"/>
        </w:rPr>
        <w:t>d</w:t>
      </w:r>
      <w:r w:rsidRPr="000A2712">
        <w:rPr>
          <w:rFonts w:ascii="Calibri Light" w:hAnsi="Calibri Light" w:cs="Calibri Light"/>
          <w:sz w:val="22"/>
          <w:szCs w:val="22"/>
          <w:lang w:val="en-AU"/>
        </w:rPr>
        <w:t xml:space="preserve">ocument review, preliminary </w:t>
      </w:r>
      <w:r w:rsidR="006F0CE1" w:rsidRPr="000A2712">
        <w:rPr>
          <w:rFonts w:ascii="Calibri Light" w:hAnsi="Calibri Light" w:cs="Calibri Light"/>
          <w:sz w:val="22"/>
          <w:szCs w:val="22"/>
          <w:lang w:val="en-AU"/>
        </w:rPr>
        <w:t xml:space="preserve">scoping </w:t>
      </w:r>
      <w:r w:rsidRPr="000A2712">
        <w:rPr>
          <w:rFonts w:ascii="Calibri Light" w:hAnsi="Calibri Light" w:cs="Calibri Light"/>
          <w:sz w:val="22"/>
          <w:szCs w:val="22"/>
          <w:lang w:val="en-AU"/>
        </w:rPr>
        <w:t>discussions</w:t>
      </w:r>
      <w:r w:rsidR="006F0CE1"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and review planning</w:t>
      </w:r>
      <w:r w:rsidR="00FA3E73" w:rsidRPr="000A2712">
        <w:rPr>
          <w:rFonts w:ascii="Calibri Light" w:hAnsi="Calibri Light" w:cs="Calibri Light"/>
          <w:sz w:val="22"/>
          <w:szCs w:val="22"/>
          <w:lang w:val="en-AU"/>
        </w:rPr>
        <w:t xml:space="preserve">; </w:t>
      </w:r>
      <w:r w:rsidR="00331339" w:rsidRPr="000A2712">
        <w:rPr>
          <w:rFonts w:ascii="Calibri Light" w:hAnsi="Calibri Light" w:cs="Calibri Light"/>
          <w:sz w:val="22"/>
          <w:szCs w:val="22"/>
          <w:lang w:val="en-AU"/>
        </w:rPr>
        <w:t xml:space="preserve">b) </w:t>
      </w:r>
      <w:r w:rsidR="00FA3E73" w:rsidRPr="000A2712">
        <w:rPr>
          <w:rFonts w:ascii="Calibri Light" w:hAnsi="Calibri Light" w:cs="Calibri Light"/>
          <w:sz w:val="22"/>
          <w:szCs w:val="22"/>
          <w:lang w:val="en-AU"/>
        </w:rPr>
        <w:t>i</w:t>
      </w:r>
      <w:r w:rsidR="006F0CE1" w:rsidRPr="000A2712">
        <w:rPr>
          <w:rFonts w:ascii="Calibri Light" w:hAnsi="Calibri Light" w:cs="Calibri Light"/>
          <w:sz w:val="22"/>
          <w:szCs w:val="22"/>
          <w:lang w:val="en-AU"/>
        </w:rPr>
        <w:t>n-country consultations (</w:t>
      </w:r>
      <w:r w:rsidR="00331339" w:rsidRPr="000A2712">
        <w:rPr>
          <w:rFonts w:ascii="Calibri Light" w:hAnsi="Calibri Light" w:cs="Calibri Light"/>
          <w:sz w:val="22"/>
          <w:szCs w:val="22"/>
          <w:lang w:val="en-AU"/>
        </w:rPr>
        <w:t xml:space="preserve">held during </w:t>
      </w:r>
      <w:r w:rsidR="001F6359" w:rsidRPr="000A2712">
        <w:rPr>
          <w:rFonts w:ascii="Calibri Light" w:hAnsi="Calibri Light" w:cs="Calibri Light"/>
          <w:sz w:val="22"/>
          <w:szCs w:val="22"/>
          <w:lang w:val="en-AU"/>
        </w:rPr>
        <w:t xml:space="preserve">1-12 July); </w:t>
      </w:r>
      <w:r w:rsidR="00331339" w:rsidRPr="000A2712">
        <w:rPr>
          <w:rFonts w:ascii="Calibri Light" w:hAnsi="Calibri Light" w:cs="Calibri Light"/>
          <w:sz w:val="22"/>
          <w:szCs w:val="22"/>
          <w:lang w:val="en-AU"/>
        </w:rPr>
        <w:t xml:space="preserve">and c) </w:t>
      </w:r>
      <w:r w:rsidR="001F6359" w:rsidRPr="000A2712">
        <w:rPr>
          <w:rFonts w:ascii="Calibri Light" w:hAnsi="Calibri Light" w:cs="Calibri Light"/>
          <w:sz w:val="22"/>
          <w:szCs w:val="22"/>
          <w:lang w:val="en-AU"/>
        </w:rPr>
        <w:t>data analysis</w:t>
      </w:r>
      <w:r w:rsidR="00FA3E73" w:rsidRPr="000A2712">
        <w:rPr>
          <w:rFonts w:ascii="Calibri Light" w:hAnsi="Calibri Light" w:cs="Calibri Light"/>
          <w:sz w:val="22"/>
          <w:szCs w:val="22"/>
          <w:lang w:val="en-AU"/>
        </w:rPr>
        <w:t>, follow-up questions</w:t>
      </w:r>
      <w:r w:rsidR="001F6359" w:rsidRPr="000A2712">
        <w:rPr>
          <w:rFonts w:ascii="Calibri Light" w:hAnsi="Calibri Light" w:cs="Calibri Light"/>
          <w:sz w:val="22"/>
          <w:szCs w:val="22"/>
          <w:lang w:val="en-AU"/>
        </w:rPr>
        <w:t xml:space="preserve"> and report writing</w:t>
      </w:r>
      <w:r w:rsidR="00BA01BA" w:rsidRPr="000A2712">
        <w:rPr>
          <w:rFonts w:ascii="Calibri Light" w:hAnsi="Calibri Light" w:cs="Calibri Light"/>
          <w:sz w:val="22"/>
          <w:szCs w:val="22"/>
          <w:lang w:val="en-AU"/>
        </w:rPr>
        <w:t>.</w:t>
      </w:r>
    </w:p>
    <w:p w14:paraId="4A74325A" w14:textId="004C4B66" w:rsidR="00A34EB9" w:rsidRPr="000A2712" w:rsidRDefault="006E66D2" w:rsidP="00471C7F">
      <w:pPr>
        <w:pStyle w:val="ListParagraph"/>
        <w:numPr>
          <w:ilvl w:val="2"/>
          <w:numId w:val="3"/>
        </w:numPr>
        <w:tabs>
          <w:tab w:val="clear" w:pos="1701"/>
          <w:tab w:val="left" w:pos="567"/>
        </w:tabs>
        <w:spacing w:before="100" w:beforeAutospacing="1" w:after="100" w:afterAutospacing="1" w:line="274" w:lineRule="auto"/>
        <w:contextualSpacing w:val="0"/>
        <w:rPr>
          <w:rFonts w:ascii="Calibri Light" w:hAnsi="Calibri Light" w:cs="Calibri Light"/>
          <w:sz w:val="22"/>
          <w:szCs w:val="22"/>
          <w:lang w:val="en-AU"/>
        </w:rPr>
      </w:pPr>
      <w:r w:rsidRPr="000A2712">
        <w:rPr>
          <w:rFonts w:ascii="Calibri Light" w:hAnsi="Calibri Light" w:cs="Calibri Light"/>
          <w:sz w:val="22"/>
          <w:szCs w:val="22"/>
          <w:lang w:val="en-AU"/>
        </w:rPr>
        <w:t xml:space="preserve">The primary purpose of the mid-term review </w:t>
      </w:r>
      <w:r w:rsidR="00E47CFE" w:rsidRPr="000A2712">
        <w:rPr>
          <w:rFonts w:ascii="Calibri Light" w:hAnsi="Calibri Light" w:cs="Calibri Light"/>
          <w:sz w:val="22"/>
          <w:szCs w:val="22"/>
          <w:lang w:val="en-AU"/>
        </w:rPr>
        <w:t>was</w:t>
      </w:r>
      <w:r w:rsidR="007F6C01" w:rsidRPr="000A2712">
        <w:rPr>
          <w:rFonts w:ascii="Calibri Light" w:hAnsi="Calibri Light" w:cs="Calibri Light"/>
          <w:sz w:val="22"/>
          <w:szCs w:val="22"/>
          <w:lang w:val="en-AU"/>
        </w:rPr>
        <w:t xml:space="preserve"> formative:</w:t>
      </w:r>
      <w:r w:rsidR="00A16179">
        <w:rPr>
          <w:rFonts w:ascii="Calibri Light" w:hAnsi="Calibri Light" w:cs="Calibri Light"/>
          <w:sz w:val="22"/>
          <w:szCs w:val="22"/>
          <w:lang w:val="en-AU"/>
        </w:rPr>
        <w:t xml:space="preserve"> </w:t>
      </w:r>
      <w:r w:rsidRPr="000A2712">
        <w:rPr>
          <w:rFonts w:ascii="Calibri Light" w:hAnsi="Calibri Light" w:cs="Calibri Light"/>
          <w:sz w:val="22"/>
          <w:szCs w:val="22"/>
          <w:lang w:val="en-AU"/>
        </w:rPr>
        <w:t xml:space="preserve">to provide DFAT with an independent assessment of progress </w:t>
      </w:r>
      <w:r w:rsidR="007F6C01" w:rsidRPr="000A2712">
        <w:rPr>
          <w:rFonts w:ascii="Calibri Light" w:hAnsi="Calibri Light" w:cs="Calibri Light"/>
          <w:sz w:val="22"/>
          <w:szCs w:val="22"/>
          <w:lang w:val="en-AU"/>
        </w:rPr>
        <w:t xml:space="preserve">that </w:t>
      </w:r>
      <w:r w:rsidR="00C970B9" w:rsidRPr="000A2712">
        <w:rPr>
          <w:rFonts w:ascii="Calibri Light" w:hAnsi="Calibri Light" w:cs="Calibri Light"/>
          <w:sz w:val="22"/>
          <w:szCs w:val="22"/>
          <w:lang w:val="en-AU"/>
        </w:rPr>
        <w:t>could</w:t>
      </w:r>
      <w:r w:rsidRPr="000A2712">
        <w:rPr>
          <w:rFonts w:ascii="Calibri Light" w:hAnsi="Calibri Light" w:cs="Calibri Light"/>
          <w:sz w:val="22"/>
          <w:szCs w:val="22"/>
          <w:lang w:val="en-AU"/>
        </w:rPr>
        <w:t xml:space="preserve"> inform the </w:t>
      </w:r>
      <w:r w:rsidR="00C970B9" w:rsidRPr="000A2712">
        <w:rPr>
          <w:rFonts w:ascii="Calibri Light" w:hAnsi="Calibri Light" w:cs="Calibri Light"/>
          <w:sz w:val="22"/>
          <w:szCs w:val="22"/>
          <w:lang w:val="en-AU"/>
        </w:rPr>
        <w:t>remainder of the phase</w:t>
      </w:r>
      <w:r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r w:rsidR="00262AFF">
        <w:rPr>
          <w:rFonts w:ascii="Calibri Light" w:hAnsi="Calibri Light" w:cs="Calibri Light"/>
          <w:sz w:val="22"/>
          <w:szCs w:val="22"/>
          <w:lang w:val="en-AU"/>
        </w:rPr>
        <w:t xml:space="preserve"> </w:t>
      </w:r>
      <w:r w:rsidR="00262AFF">
        <w:rPr>
          <w:rFonts w:ascii="Calibri Light" w:hAnsi="Calibri Light" w:cs="Calibri Light"/>
          <w:sz w:val="22"/>
          <w:szCs w:val="22"/>
        </w:rPr>
        <w:t xml:space="preserve">A summative assessment of AIPJ2 achievements was not undertaken.  </w:t>
      </w:r>
      <w:r w:rsidR="00525F4D" w:rsidRPr="000A2712">
        <w:rPr>
          <w:rFonts w:ascii="Calibri Light" w:hAnsi="Calibri Light" w:cs="Calibri Light"/>
          <w:sz w:val="22"/>
          <w:szCs w:val="22"/>
          <w:lang w:val="en-AU"/>
        </w:rPr>
        <w:t xml:space="preserve">Annex 1 provides a copy of the review’s terms of reference. </w:t>
      </w:r>
      <w:bookmarkEnd w:id="1"/>
      <w:r w:rsidR="004304F1" w:rsidRPr="000A2712">
        <w:rPr>
          <w:rFonts w:ascii="Calibri Light" w:hAnsi="Calibri Light" w:cs="Calibri Light"/>
          <w:sz w:val="22"/>
          <w:szCs w:val="22"/>
          <w:lang w:val="en-AU"/>
        </w:rPr>
        <w:t xml:space="preserve">The following key </w:t>
      </w:r>
      <w:r w:rsidR="007150B7" w:rsidRPr="000A2712">
        <w:rPr>
          <w:rFonts w:ascii="Calibri Light" w:hAnsi="Calibri Light" w:cs="Calibri Light"/>
          <w:sz w:val="22"/>
          <w:szCs w:val="22"/>
          <w:lang w:val="en-AU"/>
        </w:rPr>
        <w:t xml:space="preserve">questions </w:t>
      </w:r>
      <w:r w:rsidR="00800FDB" w:rsidRPr="000A2712">
        <w:rPr>
          <w:rFonts w:ascii="Calibri Light" w:hAnsi="Calibri Light" w:cs="Calibri Light"/>
          <w:sz w:val="22"/>
          <w:szCs w:val="22"/>
          <w:lang w:val="en-AU"/>
        </w:rPr>
        <w:t>shaped the focus of enquiry: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0"/>
      </w:tblGrid>
      <w:tr w:rsidR="0083388D" w:rsidRPr="000A2712" w14:paraId="29AA01C9" w14:textId="77777777" w:rsidTr="002F46AA">
        <w:tc>
          <w:tcPr>
            <w:tcW w:w="9010" w:type="dxa"/>
          </w:tcPr>
          <w:p w14:paraId="4872A180" w14:textId="74D562BC" w:rsidR="00E05FD3" w:rsidRPr="000A2712" w:rsidRDefault="00800FDB" w:rsidP="00570B23">
            <w:pPr>
              <w:pStyle w:val="ListParagraph"/>
              <w:tabs>
                <w:tab w:val="left" w:pos="567"/>
              </w:tabs>
              <w:spacing w:before="40" w:after="40"/>
              <w:ind w:left="0"/>
              <w:contextualSpacing w:val="0"/>
              <w:rPr>
                <w:rFonts w:ascii="Calibri Light" w:eastAsia="Times New Roman" w:hAnsi="Calibri Light" w:cs="Calibri Light"/>
                <w:sz w:val="18"/>
                <w:lang w:val="en-AU" w:eastAsia="en-AU"/>
              </w:rPr>
            </w:pPr>
            <w:r w:rsidRPr="000A2712">
              <w:rPr>
                <w:rFonts w:ascii="Calibri Light" w:hAnsi="Calibri Light" w:cs="Calibri Light"/>
                <w:sz w:val="22"/>
                <w:szCs w:val="22"/>
                <w:lang w:val="en-AU"/>
              </w:rPr>
              <w:t xml:space="preserve"> </w:t>
            </w:r>
            <w:r w:rsidR="00E05FD3" w:rsidRPr="000A2712">
              <w:rPr>
                <w:rStyle w:val="IntenseEmphasis"/>
                <w:sz w:val="21"/>
                <w:szCs w:val="21"/>
                <w:lang w:val="en-AU"/>
              </w:rPr>
              <w:t>Box 2</w:t>
            </w:r>
            <w:r w:rsidR="00E05FD3" w:rsidRPr="000A2712">
              <w:rPr>
                <w:rFonts w:ascii="Calibri Light" w:hAnsi="Calibri Light" w:cs="Calibri Light"/>
                <w:b/>
                <w:bCs/>
                <w:sz w:val="21"/>
                <w:szCs w:val="21"/>
                <w:lang w:val="en-AU"/>
              </w:rPr>
              <w:t>: Key review questions</w:t>
            </w:r>
          </w:p>
          <w:p w14:paraId="5B56AEEB" w14:textId="77777777" w:rsidR="00E05FD3" w:rsidRPr="000A2712" w:rsidRDefault="00E05FD3" w:rsidP="00570B23">
            <w:pPr>
              <w:pStyle w:val="ListParagraph"/>
              <w:tabs>
                <w:tab w:val="left" w:pos="567"/>
              </w:tabs>
              <w:spacing w:before="40" w:after="40"/>
              <w:ind w:left="0"/>
              <w:contextualSpacing w:val="0"/>
              <w:rPr>
                <w:rFonts w:ascii="Calibri Light" w:eastAsia="Times New Roman" w:hAnsi="Calibri Light" w:cs="Calibri Light"/>
                <w:sz w:val="8"/>
                <w:szCs w:val="14"/>
                <w:lang w:val="en-AU" w:eastAsia="en-AU"/>
              </w:rPr>
            </w:pPr>
          </w:p>
          <w:p w14:paraId="11169049" w14:textId="70AA9658" w:rsidR="0083388D" w:rsidRPr="000A2712" w:rsidRDefault="00A446EF" w:rsidP="00570B23">
            <w:pPr>
              <w:pStyle w:val="ListParagraph"/>
              <w:tabs>
                <w:tab w:val="left" w:pos="567"/>
              </w:tabs>
              <w:spacing w:before="40" w:after="40"/>
              <w:ind w:left="0"/>
              <w:contextualSpacing w:val="0"/>
              <w:rPr>
                <w:rFonts w:ascii="Calibri Light" w:hAnsi="Calibri Light" w:cs="Calibri Light"/>
                <w:sz w:val="18"/>
                <w:lang w:val="en-AU"/>
              </w:rPr>
            </w:pPr>
            <w:r w:rsidRPr="000A2712">
              <w:rPr>
                <w:rFonts w:ascii="Calibri Light" w:eastAsia="Times New Roman" w:hAnsi="Calibri Light" w:cs="Calibri Light"/>
                <w:sz w:val="18"/>
                <w:lang w:val="en-AU" w:eastAsia="en-AU"/>
              </w:rPr>
              <w:t>1. How is AIPJ2 targeting and contributing to democratic resilience in Indonesia? Is there scope to do more in the second half of the program?</w:t>
            </w:r>
          </w:p>
        </w:tc>
      </w:tr>
      <w:tr w:rsidR="0083388D" w:rsidRPr="000A2712" w14:paraId="4E457EF8" w14:textId="77777777" w:rsidTr="002F46AA">
        <w:tc>
          <w:tcPr>
            <w:tcW w:w="9010" w:type="dxa"/>
          </w:tcPr>
          <w:p w14:paraId="7A133782" w14:textId="0A1B7C95" w:rsidR="0083388D" w:rsidRPr="000A2712" w:rsidRDefault="00BE6D1B" w:rsidP="00570B23">
            <w:pPr>
              <w:pStyle w:val="ListParagraph"/>
              <w:tabs>
                <w:tab w:val="left" w:pos="567"/>
              </w:tabs>
              <w:spacing w:before="40" w:after="40"/>
              <w:ind w:left="0"/>
              <w:contextualSpacing w:val="0"/>
              <w:rPr>
                <w:rFonts w:ascii="Calibri Light" w:hAnsi="Calibri Light" w:cs="Calibri Light"/>
                <w:sz w:val="18"/>
                <w:lang w:val="en-AU"/>
              </w:rPr>
            </w:pPr>
            <w:r w:rsidRPr="000A2712">
              <w:rPr>
                <w:rFonts w:ascii="Calibri Light" w:eastAsia="Times New Roman" w:hAnsi="Calibri Light" w:cs="Calibri Light"/>
                <w:sz w:val="18"/>
                <w:lang w:val="en-AU" w:eastAsia="en-AU"/>
              </w:rPr>
              <w:t>2. To what extent is AIPJ2 achieving its intermediate end-of-facility outcomes and making progress towards its end-of-facility outcomes (EOFOs)?</w:t>
            </w:r>
          </w:p>
        </w:tc>
      </w:tr>
      <w:tr w:rsidR="0083388D" w:rsidRPr="000A2712" w14:paraId="303DC6A6" w14:textId="77777777" w:rsidTr="002F46AA">
        <w:tc>
          <w:tcPr>
            <w:tcW w:w="9010" w:type="dxa"/>
          </w:tcPr>
          <w:p w14:paraId="5B24DCF7" w14:textId="4076AB00" w:rsidR="0083388D" w:rsidRPr="000A2712" w:rsidRDefault="005174FA" w:rsidP="00570B23">
            <w:pPr>
              <w:pStyle w:val="ListParagraph"/>
              <w:tabs>
                <w:tab w:val="left" w:pos="567"/>
              </w:tabs>
              <w:spacing w:before="40" w:after="40"/>
              <w:ind w:left="0"/>
              <w:contextualSpacing w:val="0"/>
              <w:rPr>
                <w:rFonts w:ascii="Calibri Light" w:hAnsi="Calibri Light" w:cs="Calibri Light"/>
                <w:sz w:val="18"/>
                <w:lang w:val="en-AU"/>
              </w:rPr>
            </w:pPr>
            <w:r w:rsidRPr="000A2712">
              <w:rPr>
                <w:rFonts w:ascii="Calibri Light" w:eastAsia="Times New Roman" w:hAnsi="Calibri Light" w:cs="Calibri Light"/>
                <w:sz w:val="18"/>
                <w:lang w:val="en-AU" w:eastAsia="en-AU"/>
              </w:rPr>
              <w:t>3. To what extent is AIPJ2 building Indonesian civil society and government capacity?</w:t>
            </w:r>
          </w:p>
        </w:tc>
      </w:tr>
      <w:tr w:rsidR="0083388D" w:rsidRPr="000A2712" w14:paraId="455C78C5" w14:textId="77777777" w:rsidTr="002F46AA">
        <w:tc>
          <w:tcPr>
            <w:tcW w:w="9010" w:type="dxa"/>
          </w:tcPr>
          <w:p w14:paraId="4CFA9CC1" w14:textId="273486AC" w:rsidR="0083388D" w:rsidRPr="000A2712" w:rsidRDefault="00A47007" w:rsidP="00570B23">
            <w:pPr>
              <w:spacing w:before="40" w:after="40"/>
              <w:rPr>
                <w:rFonts w:asciiTheme="majorHAnsi" w:hAnsiTheme="majorHAnsi" w:cstheme="majorHAnsi"/>
                <w:sz w:val="18"/>
                <w:highlight w:val="yellow"/>
                <w:lang w:val="en-AU"/>
              </w:rPr>
            </w:pPr>
            <w:r w:rsidRPr="000A2712">
              <w:rPr>
                <w:rFonts w:ascii="Calibri Light" w:eastAsia="Times New Roman" w:hAnsi="Calibri Light" w:cs="Calibri Light"/>
                <w:sz w:val="18"/>
                <w:lang w:val="en-AU" w:eastAsia="en-AU"/>
              </w:rPr>
              <w:t>4. Is AIPJ2’s modality and budget appropriate to deliver the end-of -facility outcome?</w:t>
            </w:r>
            <w:r w:rsidRPr="000A2712">
              <w:rPr>
                <w:rFonts w:asciiTheme="majorHAnsi" w:hAnsiTheme="majorHAnsi" w:cstheme="majorHAnsi"/>
                <w:sz w:val="18"/>
                <w:highlight w:val="yellow"/>
                <w:lang w:val="en-AU"/>
              </w:rPr>
              <w:t xml:space="preserve"> </w:t>
            </w:r>
          </w:p>
        </w:tc>
      </w:tr>
      <w:tr w:rsidR="0083388D" w:rsidRPr="000A2712" w14:paraId="079ECD82" w14:textId="77777777" w:rsidTr="002F46AA">
        <w:tc>
          <w:tcPr>
            <w:tcW w:w="9010" w:type="dxa"/>
          </w:tcPr>
          <w:p w14:paraId="0792038C" w14:textId="1611215E" w:rsidR="0083388D" w:rsidRPr="000A2712" w:rsidRDefault="00804819" w:rsidP="00570B23">
            <w:pPr>
              <w:pStyle w:val="ListParagraph"/>
              <w:tabs>
                <w:tab w:val="left" w:pos="567"/>
              </w:tabs>
              <w:spacing w:before="40" w:after="40"/>
              <w:ind w:left="0"/>
              <w:contextualSpacing w:val="0"/>
              <w:rPr>
                <w:rFonts w:ascii="Calibri Light" w:hAnsi="Calibri Light" w:cs="Calibri Light"/>
                <w:sz w:val="18"/>
                <w:lang w:val="en-AU"/>
              </w:rPr>
            </w:pPr>
            <w:r w:rsidRPr="000A2712">
              <w:rPr>
                <w:rFonts w:ascii="Calibri Light" w:eastAsia="Times New Roman" w:hAnsi="Calibri Light" w:cs="Calibri Light"/>
                <w:sz w:val="18"/>
                <w:lang w:val="en-AU" w:eastAsia="en-AU"/>
              </w:rPr>
              <w:t>4a. Is the facility achieving value for money?</w:t>
            </w:r>
          </w:p>
        </w:tc>
      </w:tr>
      <w:tr w:rsidR="0083388D" w:rsidRPr="000A2712" w14:paraId="6653117A" w14:textId="77777777" w:rsidTr="002F46AA">
        <w:tc>
          <w:tcPr>
            <w:tcW w:w="9010" w:type="dxa"/>
          </w:tcPr>
          <w:p w14:paraId="41C69FA0" w14:textId="77777777" w:rsidR="0083388D" w:rsidRPr="000A2712" w:rsidRDefault="005F22A1" w:rsidP="005F22A1">
            <w:pPr>
              <w:pStyle w:val="ListParagraph"/>
              <w:tabs>
                <w:tab w:val="left" w:pos="567"/>
              </w:tabs>
              <w:spacing w:before="40" w:after="20"/>
              <w:ind w:left="0"/>
              <w:contextualSpacing w:val="0"/>
              <w:rPr>
                <w:rFonts w:ascii="Calibri Light" w:eastAsia="Times New Roman" w:hAnsi="Calibri Light" w:cs="Calibri Light"/>
                <w:sz w:val="18"/>
                <w:lang w:val="en-AU" w:eastAsia="en-AU"/>
              </w:rPr>
            </w:pPr>
            <w:r w:rsidRPr="000A2712">
              <w:rPr>
                <w:rFonts w:ascii="Calibri Light" w:eastAsia="Times New Roman" w:hAnsi="Calibri Light" w:cs="Calibri Light"/>
                <w:sz w:val="18"/>
                <w:lang w:val="en-AU" w:eastAsia="en-AU"/>
              </w:rPr>
              <w:t>5. Is the facility well equipped to deal with changes in Australian and/or Indonesian government policy?</w:t>
            </w:r>
          </w:p>
          <w:p w14:paraId="723E97D1" w14:textId="4E701C71" w:rsidR="00C970B9" w:rsidRPr="000A2712" w:rsidRDefault="00FC6616" w:rsidP="00FC6616">
            <w:pPr>
              <w:pStyle w:val="ListParagraph"/>
              <w:tabs>
                <w:tab w:val="left" w:pos="567"/>
              </w:tabs>
              <w:spacing w:before="120" w:after="20"/>
              <w:ind w:left="0"/>
              <w:contextualSpacing w:val="0"/>
              <w:jc w:val="right"/>
              <w:rPr>
                <w:rFonts w:ascii="Calibri Light" w:hAnsi="Calibri Light" w:cs="Calibri Light"/>
                <w:sz w:val="18"/>
                <w:lang w:val="en-AU"/>
              </w:rPr>
            </w:pPr>
            <w:r w:rsidRPr="000A2712">
              <w:rPr>
                <w:rFonts w:ascii="Calibri Light" w:hAnsi="Calibri Light" w:cs="Calibri Light"/>
                <w:sz w:val="18"/>
                <w:lang w:val="en-AU"/>
              </w:rPr>
              <w:t>(Mid-term review terms of reference)</w:t>
            </w:r>
          </w:p>
        </w:tc>
      </w:tr>
    </w:tbl>
    <w:p w14:paraId="6CBB0AAF" w14:textId="59371FF9" w:rsidR="00BB4658" w:rsidRPr="000A2712" w:rsidRDefault="00EF44E8" w:rsidP="006B32D6">
      <w:pPr>
        <w:pStyle w:val="ListParagraph"/>
        <w:numPr>
          <w:ilvl w:val="2"/>
          <w:numId w:val="3"/>
        </w:numPr>
        <w:tabs>
          <w:tab w:val="clear" w:pos="1701"/>
          <w:tab w:val="left" w:pos="567"/>
        </w:tabs>
        <w:spacing w:before="240" w:line="274" w:lineRule="auto"/>
        <w:contextualSpacing w:val="0"/>
        <w:rPr>
          <w:rFonts w:ascii="Calibri Light" w:hAnsi="Calibri Light" w:cs="Calibri Light"/>
          <w:sz w:val="22"/>
          <w:szCs w:val="22"/>
          <w:lang w:val="en-AU"/>
        </w:rPr>
      </w:pPr>
      <w:r>
        <w:rPr>
          <w:rFonts w:ascii="Calibri Light" w:hAnsi="Calibri Light" w:cs="Calibri Light"/>
          <w:sz w:val="22"/>
          <w:szCs w:val="22"/>
          <w:lang w:val="en-AU"/>
        </w:rPr>
        <w:t>T</w:t>
      </w:r>
      <w:r w:rsidR="00BB4658" w:rsidRPr="000A2712">
        <w:rPr>
          <w:rFonts w:ascii="Calibri Light" w:hAnsi="Calibri Light" w:cs="Calibri Light"/>
          <w:sz w:val="22"/>
          <w:szCs w:val="22"/>
          <w:lang w:val="en-AU"/>
        </w:rPr>
        <w:t xml:space="preserve">he review </w:t>
      </w:r>
      <w:r w:rsidR="00275F7F" w:rsidRPr="000A2712">
        <w:rPr>
          <w:rFonts w:ascii="Calibri Light" w:hAnsi="Calibri Light" w:cs="Calibri Light"/>
          <w:sz w:val="22"/>
          <w:szCs w:val="22"/>
          <w:lang w:val="en-AU"/>
        </w:rPr>
        <w:t xml:space="preserve">did not examine all aspects of AIPJ2’s work </w:t>
      </w:r>
      <w:r w:rsidR="000443D2" w:rsidRPr="000A2712">
        <w:rPr>
          <w:rFonts w:ascii="Calibri Light" w:hAnsi="Calibri Light" w:cs="Calibri Light"/>
          <w:sz w:val="22"/>
          <w:szCs w:val="22"/>
          <w:lang w:val="en-AU"/>
        </w:rPr>
        <w:t>in</w:t>
      </w:r>
      <w:r w:rsidR="00BB4658" w:rsidRPr="000A2712">
        <w:rPr>
          <w:rFonts w:ascii="Calibri Light" w:hAnsi="Calibri Light" w:cs="Calibri Light"/>
          <w:sz w:val="22"/>
          <w:szCs w:val="22"/>
          <w:lang w:val="en-AU"/>
        </w:rPr>
        <w:t xml:space="preserve"> the same depth</w:t>
      </w:r>
      <w:r w:rsidR="00230924" w:rsidRPr="000A2712">
        <w:rPr>
          <w:rFonts w:ascii="Calibri Light" w:hAnsi="Calibri Light" w:cs="Calibri Light"/>
          <w:sz w:val="22"/>
          <w:szCs w:val="22"/>
          <w:lang w:val="en-AU"/>
        </w:rPr>
        <w:t xml:space="preserve">, given </w:t>
      </w:r>
      <w:r w:rsidR="00830ABC">
        <w:rPr>
          <w:rFonts w:ascii="Calibri Light" w:hAnsi="Calibri Light" w:cs="Calibri Light"/>
          <w:sz w:val="22"/>
          <w:szCs w:val="22"/>
          <w:lang w:val="en-AU"/>
        </w:rPr>
        <w:t>its</w:t>
      </w:r>
      <w:r w:rsidR="00230924" w:rsidRPr="000A2712">
        <w:rPr>
          <w:rFonts w:ascii="Calibri Light" w:hAnsi="Calibri Light" w:cs="Calibri Light"/>
          <w:sz w:val="22"/>
          <w:szCs w:val="22"/>
          <w:lang w:val="en-AU"/>
        </w:rPr>
        <w:t xml:space="preserve"> range of activities and the time available</w:t>
      </w:r>
      <w:r w:rsidR="00BB4658"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r w:rsidR="00374520">
        <w:rPr>
          <w:rFonts w:ascii="Calibri Light" w:hAnsi="Calibri Light" w:cs="Calibri Light"/>
          <w:sz w:val="22"/>
          <w:szCs w:val="22"/>
        </w:rPr>
        <w:t xml:space="preserve">Instead, areas of AIPJ2’s work were purposively sampled to illustrate and inform the review’s judgement regarding key questions of interest to DFAT.  </w:t>
      </w:r>
      <w:r w:rsidR="00374520">
        <w:rPr>
          <w:rFonts w:ascii="Calibri Light" w:hAnsi="Calibri Light" w:cs="Calibri Light"/>
          <w:sz w:val="22"/>
          <w:szCs w:val="22"/>
          <w:lang w:val="en-AU"/>
        </w:rPr>
        <w:t xml:space="preserve">Annex 2 summarises the review’s methodology.  </w:t>
      </w:r>
      <w:r w:rsidR="00275F7F" w:rsidRPr="000A2712">
        <w:rPr>
          <w:rFonts w:ascii="Calibri Light" w:hAnsi="Calibri Light" w:cs="Calibri Light"/>
          <w:sz w:val="22"/>
          <w:szCs w:val="22"/>
          <w:lang w:val="en-AU"/>
        </w:rPr>
        <w:t xml:space="preserve">For Pillars 1 and 4, the review </w:t>
      </w:r>
      <w:r w:rsidR="00946119" w:rsidRPr="000A2712">
        <w:rPr>
          <w:rFonts w:ascii="Calibri Light" w:hAnsi="Calibri Light" w:cs="Calibri Light"/>
          <w:sz w:val="22"/>
          <w:szCs w:val="22"/>
          <w:lang w:val="en-AU"/>
        </w:rPr>
        <w:t xml:space="preserve">examined achievements and prospects </w:t>
      </w:r>
      <w:r w:rsidR="005B08CD" w:rsidRPr="000A2712">
        <w:rPr>
          <w:rFonts w:ascii="Calibri Light" w:hAnsi="Calibri Light" w:cs="Calibri Light"/>
          <w:sz w:val="22"/>
          <w:szCs w:val="22"/>
          <w:lang w:val="en-AU"/>
        </w:rPr>
        <w:t>for AIPJ2’s work on</w:t>
      </w:r>
      <w:r w:rsidR="00946119" w:rsidRPr="000A2712">
        <w:rPr>
          <w:rFonts w:ascii="Calibri Light" w:hAnsi="Calibri Light" w:cs="Calibri Light"/>
          <w:sz w:val="22"/>
          <w:szCs w:val="22"/>
          <w:lang w:val="en-AU"/>
        </w:rPr>
        <w:t xml:space="preserve"> </w:t>
      </w:r>
      <w:r w:rsidR="00275F7F" w:rsidRPr="000A2712">
        <w:rPr>
          <w:rFonts w:ascii="Calibri Light" w:hAnsi="Calibri Light" w:cs="Calibri Light"/>
          <w:sz w:val="22"/>
          <w:szCs w:val="22"/>
          <w:lang w:val="en-AU"/>
        </w:rPr>
        <w:t xml:space="preserve">court reform, </w:t>
      </w:r>
      <w:r w:rsidR="001402A5" w:rsidRPr="000A2712">
        <w:rPr>
          <w:rFonts w:ascii="Calibri Light" w:hAnsi="Calibri Light" w:cs="Calibri Light"/>
          <w:sz w:val="22"/>
          <w:szCs w:val="22"/>
          <w:lang w:val="en-AU"/>
        </w:rPr>
        <w:t xml:space="preserve">corrections reform, </w:t>
      </w:r>
      <w:r w:rsidR="00535363" w:rsidRPr="000A2712">
        <w:rPr>
          <w:rFonts w:ascii="Calibri Light" w:hAnsi="Calibri Light" w:cs="Calibri Light"/>
          <w:sz w:val="22"/>
          <w:szCs w:val="22"/>
          <w:lang w:val="en-AU"/>
        </w:rPr>
        <w:t>access to justice for women and girls</w:t>
      </w:r>
      <w:r w:rsidR="001402A5" w:rsidRPr="000A2712">
        <w:rPr>
          <w:rFonts w:ascii="Calibri Light" w:hAnsi="Calibri Light" w:cs="Calibri Light"/>
          <w:sz w:val="22"/>
          <w:szCs w:val="22"/>
          <w:lang w:val="en-AU"/>
        </w:rPr>
        <w:t xml:space="preserve"> </w:t>
      </w:r>
      <w:r w:rsidR="00946119" w:rsidRPr="000A2712">
        <w:rPr>
          <w:rFonts w:ascii="Calibri Light" w:hAnsi="Calibri Light" w:cs="Calibri Light"/>
          <w:sz w:val="22"/>
          <w:szCs w:val="22"/>
          <w:lang w:val="en-AU"/>
        </w:rPr>
        <w:t>and anti-corruption.</w:t>
      </w:r>
      <w:r w:rsidR="00A16179">
        <w:rPr>
          <w:rFonts w:ascii="Calibri Light" w:hAnsi="Calibri Light" w:cs="Calibri Light"/>
          <w:sz w:val="22"/>
          <w:szCs w:val="22"/>
          <w:lang w:val="en-AU"/>
        </w:rPr>
        <w:t xml:space="preserve"> </w:t>
      </w:r>
      <w:r w:rsidR="00946119" w:rsidRPr="000A2712">
        <w:rPr>
          <w:rFonts w:ascii="Calibri Light" w:hAnsi="Calibri Light" w:cs="Calibri Light"/>
          <w:sz w:val="22"/>
          <w:szCs w:val="22"/>
          <w:lang w:val="en-AU"/>
        </w:rPr>
        <w:t xml:space="preserve">For Pillar </w:t>
      </w:r>
      <w:r w:rsidR="007C719A" w:rsidRPr="000A2712">
        <w:rPr>
          <w:rFonts w:ascii="Calibri Light" w:hAnsi="Calibri Light" w:cs="Calibri Light"/>
          <w:sz w:val="22"/>
          <w:szCs w:val="22"/>
          <w:lang w:val="en-AU"/>
        </w:rPr>
        <w:t xml:space="preserve">3, the review was informed by the recent internal review of AIPJ2’s support to preventing violent extremism and focused on </w:t>
      </w:r>
      <w:r w:rsidR="008378F5" w:rsidRPr="000A2712">
        <w:rPr>
          <w:rFonts w:ascii="Calibri Light" w:hAnsi="Calibri Light" w:cs="Calibri Light"/>
          <w:sz w:val="22"/>
          <w:szCs w:val="22"/>
          <w:lang w:val="en-AU"/>
        </w:rPr>
        <w:t>clarity of strategies and linkages with other pillars.</w:t>
      </w:r>
      <w:r w:rsidR="00A16179">
        <w:rPr>
          <w:rFonts w:ascii="Calibri Light" w:hAnsi="Calibri Light" w:cs="Calibri Light"/>
          <w:sz w:val="22"/>
          <w:szCs w:val="22"/>
          <w:lang w:val="en-AU"/>
        </w:rPr>
        <w:t xml:space="preserve"> </w:t>
      </w:r>
      <w:r w:rsidR="00A06988" w:rsidRPr="000A2712">
        <w:rPr>
          <w:rFonts w:ascii="Calibri Light" w:hAnsi="Calibri Light" w:cs="Calibri Light"/>
          <w:sz w:val="22"/>
          <w:szCs w:val="22"/>
          <w:lang w:val="en-AU"/>
        </w:rPr>
        <w:t xml:space="preserve">For Pillar 2, which is implemented by </w:t>
      </w:r>
      <w:r w:rsidR="00BD63F6" w:rsidRPr="000A2712">
        <w:rPr>
          <w:rFonts w:ascii="Calibri Light" w:hAnsi="Calibri Light" w:cs="Calibri Light"/>
          <w:sz w:val="22"/>
          <w:szCs w:val="22"/>
          <w:lang w:val="en-AU"/>
        </w:rPr>
        <w:t xml:space="preserve">five separate </w:t>
      </w:r>
      <w:r w:rsidR="00A06988" w:rsidRPr="000A2712">
        <w:rPr>
          <w:rFonts w:ascii="Calibri Light" w:hAnsi="Calibri Light" w:cs="Calibri Light"/>
          <w:sz w:val="22"/>
          <w:szCs w:val="22"/>
          <w:lang w:val="en-AU"/>
        </w:rPr>
        <w:t xml:space="preserve">Australian Government agencies, the review </w:t>
      </w:r>
      <w:r w:rsidR="00447AE3" w:rsidRPr="000A2712">
        <w:rPr>
          <w:rFonts w:ascii="Calibri Light" w:hAnsi="Calibri Light" w:cs="Calibri Light"/>
          <w:sz w:val="22"/>
          <w:szCs w:val="22"/>
          <w:lang w:val="en-AU"/>
        </w:rPr>
        <w:t>did not conduct an independent</w:t>
      </w:r>
      <w:r w:rsidR="00BD63F6" w:rsidRPr="000A2712">
        <w:rPr>
          <w:rFonts w:ascii="Calibri Light" w:hAnsi="Calibri Light" w:cs="Calibri Light"/>
          <w:sz w:val="22"/>
          <w:szCs w:val="22"/>
          <w:lang w:val="en-AU"/>
        </w:rPr>
        <w:t xml:space="preserve"> assessment of achievements but</w:t>
      </w:r>
      <w:r w:rsidR="00447AE3" w:rsidRPr="000A2712">
        <w:rPr>
          <w:rFonts w:ascii="Calibri Light" w:hAnsi="Calibri Light" w:cs="Calibri Light"/>
          <w:sz w:val="22"/>
          <w:szCs w:val="22"/>
          <w:lang w:val="en-AU"/>
        </w:rPr>
        <w:t xml:space="preserve"> </w:t>
      </w:r>
      <w:r w:rsidR="00A06988" w:rsidRPr="000A2712">
        <w:rPr>
          <w:rFonts w:ascii="Calibri Light" w:hAnsi="Calibri Light" w:cs="Calibri Light"/>
          <w:sz w:val="22"/>
          <w:szCs w:val="22"/>
          <w:lang w:val="en-AU"/>
        </w:rPr>
        <w:t xml:space="preserve">focused on </w:t>
      </w:r>
      <w:r w:rsidR="00BD63F6" w:rsidRPr="000A2712">
        <w:rPr>
          <w:rFonts w:ascii="Calibri Light" w:hAnsi="Calibri Light" w:cs="Calibri Light"/>
          <w:sz w:val="22"/>
          <w:szCs w:val="22"/>
          <w:lang w:val="en-AU"/>
        </w:rPr>
        <w:t xml:space="preserve">the effectiveness of </w:t>
      </w:r>
      <w:r w:rsidR="009F2F59" w:rsidRPr="000A2712">
        <w:rPr>
          <w:rFonts w:ascii="Calibri Light" w:hAnsi="Calibri Light" w:cs="Calibri Light"/>
          <w:sz w:val="22"/>
          <w:szCs w:val="22"/>
          <w:lang w:val="en-AU"/>
        </w:rPr>
        <w:t xml:space="preserve">linkages with other </w:t>
      </w:r>
      <w:r w:rsidR="00BD63F6" w:rsidRPr="000A2712">
        <w:rPr>
          <w:rFonts w:ascii="Calibri Light" w:hAnsi="Calibri Light" w:cs="Calibri Light"/>
          <w:sz w:val="22"/>
          <w:szCs w:val="22"/>
          <w:lang w:val="en-AU"/>
        </w:rPr>
        <w:t xml:space="preserve">AIPJ2 </w:t>
      </w:r>
      <w:r w:rsidR="009F2F59" w:rsidRPr="000A2712">
        <w:rPr>
          <w:rFonts w:ascii="Calibri Light" w:hAnsi="Calibri Light" w:cs="Calibri Light"/>
          <w:sz w:val="22"/>
          <w:szCs w:val="22"/>
          <w:lang w:val="en-AU"/>
        </w:rPr>
        <w:t xml:space="preserve">pillars and </w:t>
      </w:r>
      <w:r w:rsidR="00BD63F6" w:rsidRPr="000A2712">
        <w:rPr>
          <w:rFonts w:ascii="Calibri Light" w:hAnsi="Calibri Light" w:cs="Calibri Light"/>
          <w:sz w:val="22"/>
          <w:szCs w:val="22"/>
          <w:lang w:val="en-AU"/>
        </w:rPr>
        <w:t>of</w:t>
      </w:r>
      <w:r w:rsidR="009F2F59" w:rsidRPr="000A2712">
        <w:rPr>
          <w:rFonts w:ascii="Calibri Light" w:hAnsi="Calibri Light" w:cs="Calibri Light"/>
          <w:sz w:val="22"/>
          <w:szCs w:val="22"/>
          <w:lang w:val="en-AU"/>
        </w:rPr>
        <w:t xml:space="preserve"> performance assessment/reporting.</w:t>
      </w:r>
      <w:r w:rsidR="00A16179">
        <w:rPr>
          <w:rFonts w:ascii="Calibri Light" w:hAnsi="Calibri Light" w:cs="Calibri Light"/>
          <w:sz w:val="22"/>
          <w:szCs w:val="22"/>
          <w:lang w:val="en-AU"/>
        </w:rPr>
        <w:t xml:space="preserve"> </w:t>
      </w:r>
      <w:r w:rsidR="002D201C" w:rsidRPr="000A2712">
        <w:rPr>
          <w:rFonts w:ascii="Calibri Light" w:hAnsi="Calibri Light" w:cs="Calibri Light"/>
          <w:sz w:val="22"/>
          <w:szCs w:val="22"/>
          <w:lang w:val="en-AU"/>
        </w:rPr>
        <w:t>Knowledge management (pillar 5) was considered as part of the broader assessment of AIPJ2’s approach to capacity</w:t>
      </w:r>
      <w:r>
        <w:rPr>
          <w:rFonts w:ascii="Calibri Light" w:hAnsi="Calibri Light" w:cs="Calibri Light"/>
          <w:sz w:val="22"/>
          <w:szCs w:val="22"/>
          <w:lang w:val="en-AU"/>
        </w:rPr>
        <w:t xml:space="preserve"> </w:t>
      </w:r>
      <w:r w:rsidR="002D201C" w:rsidRPr="000A2712">
        <w:rPr>
          <w:rFonts w:ascii="Calibri Light" w:hAnsi="Calibri Light" w:cs="Calibri Light"/>
          <w:sz w:val="22"/>
          <w:szCs w:val="22"/>
          <w:lang w:val="en-AU"/>
        </w:rPr>
        <w:t>building (key review question 3).</w:t>
      </w:r>
      <w:r w:rsidR="00A16179">
        <w:rPr>
          <w:rFonts w:ascii="Calibri Light" w:hAnsi="Calibri Light" w:cs="Calibri Light"/>
          <w:sz w:val="22"/>
          <w:szCs w:val="22"/>
          <w:lang w:val="en-AU"/>
        </w:rPr>
        <w:t xml:space="preserve"> </w:t>
      </w:r>
      <w:r w:rsidR="00374520">
        <w:rPr>
          <w:rFonts w:ascii="Calibri Light" w:hAnsi="Calibri Light" w:cs="Calibri Light"/>
          <w:sz w:val="22"/>
          <w:szCs w:val="22"/>
          <w:lang w:val="en-AU"/>
        </w:rPr>
        <w:t xml:space="preserve"> For reasons of scope, </w:t>
      </w:r>
      <w:r w:rsidR="00374520">
        <w:rPr>
          <w:rFonts w:ascii="Calibri Light" w:hAnsi="Calibri Light" w:cs="Calibri Light"/>
          <w:sz w:val="22"/>
          <w:szCs w:val="22"/>
        </w:rPr>
        <w:t>two areas were omitted from detailed examination:  AIPJ2’s work on disability inclusion; and results of partnerships between Australian Government agencies and Indonesian counterparts in the security/ transnational crime fields (under pillar 2).</w:t>
      </w:r>
      <w:r w:rsidR="00A16179">
        <w:rPr>
          <w:rFonts w:ascii="Calibri Light" w:hAnsi="Calibri Light" w:cs="Calibri Light"/>
          <w:sz w:val="22"/>
          <w:szCs w:val="22"/>
          <w:lang w:val="en-AU"/>
        </w:rPr>
        <w:t xml:space="preserve"> </w:t>
      </w:r>
    </w:p>
    <w:p w14:paraId="279C374F" w14:textId="77777777" w:rsidR="005A3C1F" w:rsidRPr="005A3C1F" w:rsidRDefault="00E1725C" w:rsidP="006B32D6">
      <w:pPr>
        <w:pStyle w:val="ListParagraph"/>
        <w:numPr>
          <w:ilvl w:val="2"/>
          <w:numId w:val="3"/>
        </w:numPr>
        <w:tabs>
          <w:tab w:val="clear" w:pos="1701"/>
          <w:tab w:val="left" w:pos="567"/>
        </w:tabs>
        <w:spacing w:line="274" w:lineRule="auto"/>
        <w:contextualSpacing w:val="0"/>
        <w:rPr>
          <w:rFonts w:asciiTheme="majorHAnsi" w:hAnsiTheme="majorHAnsi" w:cstheme="majorHAnsi"/>
          <w:b/>
          <w:bCs/>
          <w:color w:val="000000" w:themeColor="text1"/>
          <w:sz w:val="22"/>
          <w:szCs w:val="22"/>
          <w:lang w:val="en-AU"/>
        </w:rPr>
      </w:pPr>
      <w:r w:rsidRPr="000A2712">
        <w:rPr>
          <w:rFonts w:ascii="Calibri Light" w:hAnsi="Calibri Light" w:cs="Calibri Light"/>
          <w:sz w:val="22"/>
          <w:szCs w:val="22"/>
          <w:lang w:val="en-AU"/>
        </w:rPr>
        <w:t xml:space="preserve">Primary data </w:t>
      </w:r>
      <w:r w:rsidR="00181FD5" w:rsidRPr="000A2712">
        <w:rPr>
          <w:rFonts w:ascii="Calibri Light" w:hAnsi="Calibri Light" w:cs="Calibri Light"/>
          <w:sz w:val="22"/>
          <w:szCs w:val="22"/>
          <w:lang w:val="en-AU"/>
        </w:rPr>
        <w:t>w</w:t>
      </w:r>
      <w:r w:rsidR="00215466" w:rsidRPr="000A2712">
        <w:rPr>
          <w:rFonts w:ascii="Calibri Light" w:hAnsi="Calibri Light" w:cs="Calibri Light"/>
          <w:sz w:val="22"/>
          <w:szCs w:val="22"/>
          <w:lang w:val="en-AU"/>
        </w:rPr>
        <w:t xml:space="preserve">ere </w:t>
      </w:r>
      <w:r w:rsidR="00181FD5" w:rsidRPr="000A2712">
        <w:rPr>
          <w:rFonts w:ascii="Calibri Light" w:hAnsi="Calibri Light" w:cs="Calibri Light"/>
          <w:sz w:val="22"/>
          <w:szCs w:val="22"/>
          <w:lang w:val="en-AU"/>
        </w:rPr>
        <w:t>collected through</w:t>
      </w:r>
      <w:r w:rsidR="008573F5">
        <w:rPr>
          <w:rFonts w:ascii="Calibri Light" w:hAnsi="Calibri Light" w:cs="Calibri Light"/>
          <w:sz w:val="22"/>
          <w:szCs w:val="22"/>
          <w:lang w:val="en-AU"/>
        </w:rPr>
        <w:t xml:space="preserve"> </w:t>
      </w:r>
      <w:r w:rsidR="00230924" w:rsidRPr="000A2712">
        <w:rPr>
          <w:rFonts w:ascii="Calibri Light" w:hAnsi="Calibri Light" w:cs="Calibri Light"/>
          <w:sz w:val="22"/>
          <w:szCs w:val="22"/>
          <w:lang w:val="en-AU"/>
        </w:rPr>
        <w:t>(semi-structured)</w:t>
      </w:r>
      <w:r w:rsidR="00262AFF">
        <w:rPr>
          <w:rFonts w:ascii="Calibri Light" w:hAnsi="Calibri Light" w:cs="Calibri Light"/>
          <w:sz w:val="22"/>
          <w:szCs w:val="22"/>
          <w:lang w:val="en-AU"/>
        </w:rPr>
        <w:t xml:space="preserve"> </w:t>
      </w:r>
      <w:r w:rsidR="00181FD5" w:rsidRPr="000A2712">
        <w:rPr>
          <w:rFonts w:ascii="Calibri Light" w:hAnsi="Calibri Light" w:cs="Calibri Light"/>
          <w:sz w:val="22"/>
          <w:szCs w:val="22"/>
          <w:lang w:val="en-AU"/>
        </w:rPr>
        <w:t xml:space="preserve">individual and group interviews with </w:t>
      </w:r>
      <w:r w:rsidRPr="000A2712">
        <w:rPr>
          <w:rFonts w:ascii="Calibri Light" w:hAnsi="Calibri Light" w:cs="Calibri Light"/>
          <w:sz w:val="22"/>
          <w:szCs w:val="22"/>
          <w:lang w:val="en-AU"/>
        </w:rPr>
        <w:t xml:space="preserve">AIPJ2 staff and relevant </w:t>
      </w:r>
      <w:r w:rsidR="002C2149" w:rsidRPr="000A2712">
        <w:rPr>
          <w:rFonts w:ascii="Calibri Light" w:hAnsi="Calibri Light" w:cs="Calibri Light"/>
          <w:sz w:val="22"/>
          <w:szCs w:val="22"/>
          <w:lang w:val="en-AU"/>
        </w:rPr>
        <w:t>Australian government officials</w:t>
      </w:r>
      <w:r w:rsidR="00181FD5"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AIPJ2 government and civil society partners</w:t>
      </w:r>
      <w:r w:rsidR="00181FD5" w:rsidRPr="000A2712">
        <w:rPr>
          <w:rFonts w:ascii="Calibri Light" w:hAnsi="Calibri Light" w:cs="Calibri Light"/>
          <w:sz w:val="22"/>
          <w:szCs w:val="22"/>
          <w:lang w:val="en-AU"/>
        </w:rPr>
        <w:t>; and k</w:t>
      </w:r>
      <w:r w:rsidRPr="000A2712">
        <w:rPr>
          <w:rFonts w:ascii="Calibri Light" w:hAnsi="Calibri Light" w:cs="Calibri Light"/>
          <w:sz w:val="22"/>
          <w:szCs w:val="22"/>
          <w:lang w:val="en-AU"/>
        </w:rPr>
        <w:t>nowledgeable informants not directly/permanently engaged in</w:t>
      </w:r>
      <w:r w:rsidR="00181FD5" w:rsidRPr="000A2712">
        <w:rPr>
          <w:rFonts w:ascii="Calibri Light" w:hAnsi="Calibri Light" w:cs="Calibri Light"/>
          <w:sz w:val="22"/>
          <w:szCs w:val="22"/>
          <w:lang w:val="en-AU"/>
        </w:rPr>
        <w:t xml:space="preserve"> AIPJ2 (</w:t>
      </w:r>
      <w:r w:rsidRPr="000A2712">
        <w:rPr>
          <w:rFonts w:ascii="Calibri Light" w:hAnsi="Calibri Light" w:cs="Calibri Light"/>
          <w:sz w:val="22"/>
          <w:szCs w:val="22"/>
          <w:lang w:val="en-AU"/>
        </w:rPr>
        <w:t>from civil society, academia and other donors</w:t>
      </w:r>
      <w:r w:rsidR="00181FD5" w:rsidRPr="000A2712">
        <w:rPr>
          <w:rFonts w:ascii="Calibri Light" w:hAnsi="Calibri Light" w:cs="Calibri Light"/>
          <w:sz w:val="22"/>
          <w:szCs w:val="22"/>
          <w:lang w:val="en-AU"/>
        </w:rPr>
        <w:t>).</w:t>
      </w:r>
      <w:r w:rsidR="005624BA" w:rsidRPr="000A2712">
        <w:rPr>
          <w:rFonts w:ascii="Calibri Light" w:hAnsi="Calibri Light" w:cs="Calibri Light"/>
          <w:sz w:val="22"/>
          <w:szCs w:val="22"/>
          <w:lang w:val="en-AU"/>
        </w:rPr>
        <w:t xml:space="preserve"> </w:t>
      </w:r>
      <w:r w:rsidR="005A3C1F" w:rsidRPr="007059A5">
        <w:rPr>
          <w:rFonts w:ascii="Calibri Light" w:hAnsi="Calibri Light" w:cs="Calibri Light"/>
          <w:sz w:val="22"/>
          <w:szCs w:val="22"/>
        </w:rPr>
        <w:t xml:space="preserve">Interviews </w:t>
      </w:r>
      <w:r w:rsidR="005A3C1F">
        <w:rPr>
          <w:rFonts w:ascii="Calibri Light" w:hAnsi="Calibri Light" w:cs="Calibri Light"/>
          <w:sz w:val="22"/>
          <w:szCs w:val="22"/>
        </w:rPr>
        <w:t>were</w:t>
      </w:r>
      <w:r w:rsidR="005A3C1F" w:rsidRPr="007059A5">
        <w:rPr>
          <w:rFonts w:ascii="Calibri Light" w:hAnsi="Calibri Light" w:cs="Calibri Light"/>
          <w:sz w:val="22"/>
          <w:szCs w:val="22"/>
        </w:rPr>
        <w:t xml:space="preserve"> conducted in line with standard ethical protocols, with confidentiality and anonymity assured, and information used on a non-disclosive basis unless otherwise agreed</w:t>
      </w:r>
      <w:r w:rsidR="005A3C1F">
        <w:rPr>
          <w:rFonts w:ascii="Calibri Light" w:hAnsi="Calibri Light" w:cs="Calibri Light"/>
          <w:sz w:val="22"/>
          <w:szCs w:val="22"/>
        </w:rPr>
        <w:t xml:space="preserve">. </w:t>
      </w:r>
      <w:r w:rsidR="005A3C1F" w:rsidRPr="000A2712">
        <w:rPr>
          <w:rFonts w:ascii="Calibri Light" w:hAnsi="Calibri Light" w:cs="Calibri Light"/>
          <w:sz w:val="22"/>
          <w:szCs w:val="22"/>
          <w:lang w:val="en-AU"/>
        </w:rPr>
        <w:t xml:space="preserve"> </w:t>
      </w:r>
      <w:r w:rsidR="00525F4D" w:rsidRPr="000A2712">
        <w:rPr>
          <w:rFonts w:ascii="Calibri Light" w:hAnsi="Calibri Light" w:cs="Calibri Light"/>
          <w:sz w:val="22"/>
          <w:szCs w:val="22"/>
          <w:lang w:val="en-AU"/>
        </w:rPr>
        <w:t>A summary of consultations condu</w:t>
      </w:r>
      <w:r w:rsidR="0052272F" w:rsidRPr="000A2712">
        <w:rPr>
          <w:rFonts w:ascii="Calibri Light" w:hAnsi="Calibri Light" w:cs="Calibri Light"/>
          <w:sz w:val="22"/>
          <w:szCs w:val="22"/>
          <w:lang w:val="en-AU"/>
        </w:rPr>
        <w:t xml:space="preserve">cted for the review are provided in Annex </w:t>
      </w:r>
      <w:r w:rsidR="00CD0834">
        <w:rPr>
          <w:rFonts w:ascii="Calibri Light" w:hAnsi="Calibri Light" w:cs="Calibri Light"/>
          <w:sz w:val="22"/>
          <w:szCs w:val="22"/>
          <w:lang w:val="en-AU"/>
        </w:rPr>
        <w:t>3</w:t>
      </w:r>
      <w:r w:rsidR="0052272F" w:rsidRPr="000A2712">
        <w:rPr>
          <w:rFonts w:ascii="Calibri Light" w:hAnsi="Calibri Light" w:cs="Calibri Light"/>
          <w:sz w:val="22"/>
          <w:szCs w:val="22"/>
          <w:lang w:val="en-AU"/>
        </w:rPr>
        <w:t>.</w:t>
      </w:r>
      <w:r w:rsidR="00A16179">
        <w:rPr>
          <w:rFonts w:ascii="Calibri Light" w:hAnsi="Calibri Light" w:cs="Calibri Light"/>
          <w:sz w:val="22"/>
          <w:szCs w:val="22"/>
          <w:lang w:val="en-AU"/>
        </w:rPr>
        <w:t xml:space="preserve"> </w:t>
      </w:r>
    </w:p>
    <w:p w14:paraId="19B5513C" w14:textId="1C6D4928" w:rsidR="0052402F" w:rsidRPr="000A2712" w:rsidRDefault="005624BA" w:rsidP="006B32D6">
      <w:pPr>
        <w:pStyle w:val="ListParagraph"/>
        <w:numPr>
          <w:ilvl w:val="2"/>
          <w:numId w:val="3"/>
        </w:numPr>
        <w:tabs>
          <w:tab w:val="clear" w:pos="1701"/>
          <w:tab w:val="left" w:pos="567"/>
        </w:tabs>
        <w:spacing w:line="274" w:lineRule="auto"/>
        <w:contextualSpacing w:val="0"/>
        <w:rPr>
          <w:rFonts w:asciiTheme="majorHAnsi" w:hAnsiTheme="majorHAnsi" w:cstheme="majorHAnsi"/>
          <w:b/>
          <w:bCs/>
          <w:color w:val="000000" w:themeColor="text1"/>
          <w:sz w:val="22"/>
          <w:szCs w:val="22"/>
          <w:lang w:val="en-AU"/>
        </w:rPr>
      </w:pPr>
      <w:r w:rsidRPr="000A2712">
        <w:rPr>
          <w:rFonts w:ascii="Calibri Light" w:hAnsi="Calibri Light" w:cs="Calibri Light"/>
          <w:sz w:val="22"/>
          <w:szCs w:val="22"/>
          <w:lang w:val="en-AU"/>
        </w:rPr>
        <w:t xml:space="preserve">Secondary data </w:t>
      </w:r>
      <w:r w:rsidR="00AE79B7" w:rsidRPr="000A2712">
        <w:rPr>
          <w:rFonts w:ascii="Calibri Light" w:hAnsi="Calibri Light" w:cs="Calibri Light"/>
          <w:sz w:val="22"/>
          <w:szCs w:val="22"/>
          <w:lang w:val="en-AU"/>
        </w:rPr>
        <w:t xml:space="preserve">were obtained </w:t>
      </w:r>
      <w:r w:rsidR="00215466" w:rsidRPr="000A2712">
        <w:rPr>
          <w:rFonts w:ascii="Calibri Light" w:hAnsi="Calibri Light" w:cs="Calibri Light"/>
          <w:sz w:val="22"/>
          <w:szCs w:val="22"/>
          <w:lang w:val="en-AU"/>
        </w:rPr>
        <w:t xml:space="preserve">from </w:t>
      </w:r>
      <w:r w:rsidRPr="000A2712">
        <w:rPr>
          <w:rFonts w:ascii="Calibri Light" w:hAnsi="Calibri Light" w:cs="Calibri Light"/>
          <w:sz w:val="22"/>
          <w:szCs w:val="22"/>
          <w:lang w:val="en-AU"/>
        </w:rPr>
        <w:t>AIPJ2 reports, briefs and strategies</w:t>
      </w:r>
      <w:r w:rsidR="00AE79B7" w:rsidRPr="000A2712">
        <w:rPr>
          <w:rFonts w:ascii="Calibri Light" w:hAnsi="Calibri Light" w:cs="Calibri Light"/>
          <w:sz w:val="22"/>
          <w:szCs w:val="22"/>
          <w:lang w:val="en-AU"/>
        </w:rPr>
        <w:t>;</w:t>
      </w:r>
      <w:r w:rsidRPr="000A2712">
        <w:rPr>
          <w:rFonts w:ascii="Calibri Light" w:hAnsi="Calibri Light" w:cs="Calibri Light"/>
          <w:sz w:val="22"/>
          <w:szCs w:val="22"/>
          <w:lang w:val="en-AU"/>
        </w:rPr>
        <w:t xml:space="preserve"> AIPJ2 management</w:t>
      </w:r>
      <w:r w:rsidR="00AE79B7" w:rsidRPr="000A2712">
        <w:rPr>
          <w:rFonts w:ascii="Calibri Light" w:hAnsi="Calibri Light" w:cs="Calibri Light"/>
          <w:sz w:val="22"/>
          <w:szCs w:val="22"/>
          <w:lang w:val="en-AU"/>
        </w:rPr>
        <w:t>/administrative</w:t>
      </w:r>
      <w:r w:rsidRPr="000A2712">
        <w:rPr>
          <w:rFonts w:ascii="Calibri Light" w:hAnsi="Calibri Light" w:cs="Calibri Light"/>
          <w:sz w:val="22"/>
          <w:szCs w:val="22"/>
          <w:lang w:val="en-AU"/>
        </w:rPr>
        <w:t xml:space="preserve"> data</w:t>
      </w:r>
      <w:r w:rsidR="00AE79B7" w:rsidRPr="000A2712">
        <w:rPr>
          <w:rFonts w:ascii="Calibri Light" w:hAnsi="Calibri Light" w:cs="Calibri Light"/>
          <w:sz w:val="22"/>
          <w:szCs w:val="22"/>
          <w:lang w:val="en-AU"/>
        </w:rPr>
        <w:t xml:space="preserve">; </w:t>
      </w:r>
      <w:r w:rsidRPr="000A2712">
        <w:rPr>
          <w:rFonts w:ascii="Calibri Light" w:hAnsi="Calibri Light" w:cs="Calibri Light"/>
          <w:sz w:val="22"/>
          <w:szCs w:val="22"/>
          <w:lang w:val="en-AU"/>
        </w:rPr>
        <w:t>AIPJ2 partner reports; and relevant evaluations</w:t>
      </w:r>
      <w:r w:rsidR="003915A3" w:rsidRPr="000A2712">
        <w:rPr>
          <w:rFonts w:ascii="Calibri Light" w:hAnsi="Calibri Light" w:cs="Calibri Light"/>
          <w:sz w:val="22"/>
          <w:szCs w:val="22"/>
          <w:lang w:val="en-AU"/>
        </w:rPr>
        <w:t xml:space="preserve"> and contextual analyses.</w:t>
      </w:r>
      <w:r w:rsidR="00A16179">
        <w:rPr>
          <w:rFonts w:ascii="Calibri Light" w:hAnsi="Calibri Light" w:cs="Calibri Light"/>
          <w:sz w:val="22"/>
          <w:szCs w:val="22"/>
          <w:lang w:val="en-AU"/>
        </w:rPr>
        <w:t xml:space="preserve"> </w:t>
      </w:r>
      <w:r w:rsidR="00B8017B" w:rsidRPr="000A2712">
        <w:rPr>
          <w:rFonts w:ascii="Calibri Light" w:hAnsi="Calibri Light" w:cs="Calibri Light"/>
          <w:sz w:val="22"/>
          <w:szCs w:val="22"/>
          <w:lang w:val="en-AU"/>
        </w:rPr>
        <w:t xml:space="preserve">In analysing the data, the review team </w:t>
      </w:r>
      <w:r w:rsidR="003C6396" w:rsidRPr="000A2712">
        <w:rPr>
          <w:rFonts w:ascii="Calibri Light" w:hAnsi="Calibri Light" w:cs="Calibri Light"/>
          <w:sz w:val="22"/>
          <w:szCs w:val="22"/>
          <w:lang w:val="en-AU"/>
        </w:rPr>
        <w:t>tested the</w:t>
      </w:r>
      <w:r w:rsidR="00B8017B" w:rsidRPr="000A2712">
        <w:rPr>
          <w:rFonts w:ascii="Calibri Light" w:hAnsi="Calibri Light" w:cs="Calibri Light"/>
          <w:sz w:val="22"/>
          <w:szCs w:val="22"/>
          <w:lang w:val="en-AU"/>
        </w:rPr>
        <w:t xml:space="preserve"> </w:t>
      </w:r>
      <w:r w:rsidR="002E66E6" w:rsidRPr="000A2712">
        <w:rPr>
          <w:rFonts w:ascii="Calibri Light" w:hAnsi="Calibri Light" w:cs="Calibri Light"/>
          <w:sz w:val="22"/>
          <w:szCs w:val="22"/>
          <w:lang w:val="en-AU"/>
        </w:rPr>
        <w:t xml:space="preserve">findings </w:t>
      </w:r>
      <w:r w:rsidR="003C6396" w:rsidRPr="000A2712">
        <w:rPr>
          <w:rFonts w:ascii="Calibri Light" w:hAnsi="Calibri Light" w:cs="Calibri Light"/>
          <w:sz w:val="22"/>
          <w:szCs w:val="22"/>
          <w:lang w:val="en-AU"/>
        </w:rPr>
        <w:t>presented</w:t>
      </w:r>
      <w:r w:rsidR="002E66E6" w:rsidRPr="000A2712">
        <w:rPr>
          <w:rFonts w:ascii="Calibri Light" w:hAnsi="Calibri Light" w:cs="Calibri Light"/>
          <w:sz w:val="22"/>
          <w:szCs w:val="22"/>
          <w:lang w:val="en-AU"/>
        </w:rPr>
        <w:t xml:space="preserve"> by AIPJ2 in interviews and reports </w:t>
      </w:r>
      <w:r w:rsidR="003C6396" w:rsidRPr="000A2712">
        <w:rPr>
          <w:rFonts w:ascii="Calibri Light" w:hAnsi="Calibri Light" w:cs="Calibri Light"/>
          <w:sz w:val="22"/>
          <w:szCs w:val="22"/>
          <w:lang w:val="en-AU"/>
        </w:rPr>
        <w:t>by triangulating with</w:t>
      </w:r>
      <w:r w:rsidR="002E66E6" w:rsidRPr="000A2712">
        <w:rPr>
          <w:rFonts w:ascii="Calibri Light" w:hAnsi="Calibri Light" w:cs="Calibri Light"/>
          <w:sz w:val="22"/>
          <w:szCs w:val="22"/>
          <w:lang w:val="en-AU"/>
        </w:rPr>
        <w:t xml:space="preserve"> the views of partners </w:t>
      </w:r>
      <w:r w:rsidR="00CA4B00" w:rsidRPr="000A2712">
        <w:rPr>
          <w:rFonts w:ascii="Calibri Light" w:hAnsi="Calibri Light" w:cs="Calibri Light"/>
          <w:sz w:val="22"/>
          <w:szCs w:val="22"/>
          <w:lang w:val="en-AU"/>
        </w:rPr>
        <w:t xml:space="preserve">and </w:t>
      </w:r>
      <w:r w:rsidR="00594CCB" w:rsidRPr="000A2712">
        <w:rPr>
          <w:rFonts w:ascii="Calibri Light" w:hAnsi="Calibri Light" w:cs="Calibri Light"/>
          <w:sz w:val="22"/>
          <w:szCs w:val="22"/>
          <w:lang w:val="en-AU"/>
        </w:rPr>
        <w:t xml:space="preserve">knowledgeable informants, </w:t>
      </w:r>
      <w:r w:rsidR="002E66E6" w:rsidRPr="000A2712">
        <w:rPr>
          <w:rFonts w:ascii="Calibri Light" w:hAnsi="Calibri Light" w:cs="Calibri Light"/>
          <w:sz w:val="22"/>
          <w:szCs w:val="22"/>
          <w:lang w:val="en-AU"/>
        </w:rPr>
        <w:t xml:space="preserve">for </w:t>
      </w:r>
      <w:r w:rsidR="002C2149" w:rsidRPr="000A2712">
        <w:rPr>
          <w:rFonts w:ascii="Calibri Light" w:hAnsi="Calibri Light" w:cs="Calibri Light"/>
          <w:sz w:val="22"/>
          <w:szCs w:val="22"/>
          <w:lang w:val="en-AU"/>
        </w:rPr>
        <w:t>validation</w:t>
      </w:r>
      <w:r w:rsidR="002E66E6" w:rsidRPr="000A2712">
        <w:rPr>
          <w:rFonts w:ascii="Calibri Light" w:hAnsi="Calibri Light" w:cs="Calibri Light"/>
          <w:sz w:val="22"/>
          <w:szCs w:val="22"/>
          <w:lang w:val="en-AU"/>
        </w:rPr>
        <w:t xml:space="preserve"> or challenge</w:t>
      </w:r>
      <w:r w:rsidR="009E4D92" w:rsidRPr="000A2712">
        <w:rPr>
          <w:rFonts w:ascii="Calibri Light" w:hAnsi="Calibri Light" w:cs="Calibri Light"/>
          <w:sz w:val="22"/>
          <w:szCs w:val="22"/>
          <w:lang w:val="en-AU"/>
        </w:rPr>
        <w:t xml:space="preserve">. </w:t>
      </w:r>
    </w:p>
    <w:p w14:paraId="3357ED35" w14:textId="2858C809" w:rsidR="00E66DC0" w:rsidRPr="000A2712" w:rsidRDefault="00E66DC0"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8"/>
          <w:szCs w:val="28"/>
          <w:lang w:val="en-AU"/>
        </w:rPr>
      </w:pPr>
      <w:r w:rsidRPr="000A2712">
        <w:rPr>
          <w:rFonts w:asciiTheme="majorHAnsi" w:hAnsiTheme="majorHAnsi" w:cstheme="majorHAnsi"/>
          <w:b/>
          <w:bCs/>
          <w:color w:val="000000" w:themeColor="text1"/>
          <w:sz w:val="28"/>
          <w:szCs w:val="28"/>
          <w:lang w:val="en-AU"/>
        </w:rPr>
        <w:t>Report structure</w:t>
      </w:r>
    </w:p>
    <w:p w14:paraId="52B6368F" w14:textId="1E06F42D" w:rsidR="00E66DC0" w:rsidRDefault="00E66DC0" w:rsidP="006B32D6">
      <w:pPr>
        <w:pStyle w:val="ListParagraph"/>
        <w:numPr>
          <w:ilvl w:val="2"/>
          <w:numId w:val="3"/>
        </w:numPr>
        <w:tabs>
          <w:tab w:val="clear" w:pos="1701"/>
          <w:tab w:val="left" w:pos="567"/>
        </w:tabs>
        <w:spacing w:line="274" w:lineRule="auto"/>
        <w:contextualSpacing w:val="0"/>
        <w:rPr>
          <w:rFonts w:asciiTheme="majorHAnsi" w:hAnsiTheme="majorHAnsi" w:cstheme="majorHAnsi"/>
          <w:color w:val="000000" w:themeColor="text1"/>
          <w:sz w:val="22"/>
          <w:szCs w:val="22"/>
          <w:lang w:val="en-AU"/>
        </w:rPr>
      </w:pPr>
      <w:r w:rsidRPr="000A2712">
        <w:rPr>
          <w:rFonts w:asciiTheme="majorHAnsi" w:hAnsiTheme="majorHAnsi" w:cstheme="majorHAnsi"/>
          <w:color w:val="000000" w:themeColor="text1"/>
          <w:sz w:val="22"/>
          <w:szCs w:val="22"/>
          <w:lang w:val="en-AU"/>
        </w:rPr>
        <w:t>This report is divided broadly (though not equally) in two. The first and largest part considers the performance of AIPJ2 to date:</w:t>
      </w:r>
      <w:r w:rsidR="008573F5">
        <w:rPr>
          <w:rFonts w:asciiTheme="majorHAnsi" w:hAnsiTheme="majorHAnsi" w:cstheme="majorHAnsi"/>
          <w:color w:val="000000" w:themeColor="text1"/>
          <w:sz w:val="22"/>
          <w:szCs w:val="22"/>
          <w:lang w:val="en-AU"/>
        </w:rPr>
        <w:t xml:space="preserve"> </w:t>
      </w:r>
      <w:r w:rsidRPr="000A2712">
        <w:rPr>
          <w:rFonts w:asciiTheme="majorHAnsi" w:hAnsiTheme="majorHAnsi" w:cstheme="majorHAnsi"/>
          <w:color w:val="000000" w:themeColor="text1"/>
          <w:sz w:val="22"/>
          <w:szCs w:val="22"/>
          <w:lang w:val="en-AU"/>
        </w:rPr>
        <w:t xml:space="preserve">section 2 considers </w:t>
      </w:r>
      <w:r w:rsidR="00230924" w:rsidRPr="000A2712">
        <w:rPr>
          <w:rFonts w:asciiTheme="majorHAnsi" w:hAnsiTheme="majorHAnsi" w:cstheme="majorHAnsi"/>
          <w:color w:val="000000" w:themeColor="text1"/>
          <w:sz w:val="22"/>
          <w:szCs w:val="22"/>
          <w:lang w:val="en-AU"/>
        </w:rPr>
        <w:t>AIPJ2’s</w:t>
      </w:r>
      <w:r w:rsidRPr="000A2712">
        <w:rPr>
          <w:rFonts w:asciiTheme="majorHAnsi" w:hAnsiTheme="majorHAnsi" w:cstheme="majorHAnsi"/>
          <w:color w:val="000000" w:themeColor="text1"/>
          <w:sz w:val="22"/>
          <w:szCs w:val="22"/>
          <w:lang w:val="en-AU"/>
        </w:rPr>
        <w:t xml:space="preserve"> </w:t>
      </w:r>
      <w:r w:rsidR="00E05FD3" w:rsidRPr="000A2712">
        <w:rPr>
          <w:rFonts w:asciiTheme="majorHAnsi" w:hAnsiTheme="majorHAnsi" w:cstheme="majorHAnsi"/>
          <w:color w:val="000000" w:themeColor="text1"/>
          <w:sz w:val="22"/>
          <w:szCs w:val="22"/>
          <w:lang w:val="en-AU"/>
        </w:rPr>
        <w:t xml:space="preserve">performance </w:t>
      </w:r>
      <w:r w:rsidR="00230924" w:rsidRPr="000A2712">
        <w:rPr>
          <w:rFonts w:asciiTheme="majorHAnsi" w:hAnsiTheme="majorHAnsi" w:cstheme="majorHAnsi"/>
          <w:color w:val="000000" w:themeColor="text1"/>
          <w:sz w:val="22"/>
          <w:szCs w:val="22"/>
          <w:lang w:val="en-AU"/>
        </w:rPr>
        <w:t>and prospects</w:t>
      </w:r>
      <w:r w:rsidRPr="000A2712">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Pr="000A2712">
        <w:rPr>
          <w:rFonts w:asciiTheme="majorHAnsi" w:hAnsiTheme="majorHAnsi" w:cstheme="majorHAnsi"/>
          <w:color w:val="000000" w:themeColor="text1"/>
          <w:sz w:val="22"/>
          <w:szCs w:val="22"/>
          <w:lang w:val="en-AU"/>
        </w:rPr>
        <w:t xml:space="preserve">section 3 reflects on AIPJ2’s ways of working and their effectiveness; and section 4 </w:t>
      </w:r>
      <w:r w:rsidR="00EB5B80" w:rsidRPr="000A2712">
        <w:rPr>
          <w:rFonts w:asciiTheme="majorHAnsi" w:hAnsiTheme="majorHAnsi" w:cstheme="majorHAnsi"/>
          <w:color w:val="000000" w:themeColor="text1"/>
          <w:sz w:val="22"/>
          <w:szCs w:val="22"/>
          <w:lang w:val="en-AU"/>
        </w:rPr>
        <w:t>considers the value for money provided by AIPJ2 and potential risks to that.</w:t>
      </w:r>
      <w:r w:rsidR="008573F5">
        <w:rPr>
          <w:rFonts w:asciiTheme="majorHAnsi" w:hAnsiTheme="majorHAnsi" w:cstheme="majorHAnsi"/>
          <w:color w:val="000000" w:themeColor="text1"/>
          <w:sz w:val="22"/>
          <w:szCs w:val="22"/>
          <w:lang w:val="en-AU"/>
        </w:rPr>
        <w:t xml:space="preserve"> </w:t>
      </w:r>
      <w:r w:rsidR="00EB5B80" w:rsidRPr="000A2712">
        <w:rPr>
          <w:rFonts w:asciiTheme="majorHAnsi" w:hAnsiTheme="majorHAnsi" w:cstheme="majorHAnsi"/>
          <w:color w:val="000000" w:themeColor="text1"/>
          <w:sz w:val="22"/>
          <w:szCs w:val="22"/>
          <w:lang w:val="en-AU"/>
        </w:rPr>
        <w:t>The second part looks forward:</w:t>
      </w:r>
      <w:r w:rsidR="008573F5">
        <w:rPr>
          <w:rFonts w:asciiTheme="majorHAnsi" w:hAnsiTheme="majorHAnsi" w:cstheme="majorHAnsi"/>
          <w:color w:val="000000" w:themeColor="text1"/>
          <w:sz w:val="22"/>
          <w:szCs w:val="22"/>
          <w:lang w:val="en-AU"/>
        </w:rPr>
        <w:t xml:space="preserve"> </w:t>
      </w:r>
      <w:r w:rsidR="00EB5B80" w:rsidRPr="000A2712">
        <w:rPr>
          <w:rFonts w:asciiTheme="majorHAnsi" w:hAnsiTheme="majorHAnsi" w:cstheme="majorHAnsi"/>
          <w:color w:val="000000" w:themeColor="text1"/>
          <w:sz w:val="22"/>
          <w:szCs w:val="22"/>
          <w:lang w:val="en-AU"/>
        </w:rPr>
        <w:t>section 5 considers whether AIPJ2 is well-placed to maximise effectiveness for the remainder of the phase;</w:t>
      </w:r>
      <w:r w:rsidR="0020691D">
        <w:rPr>
          <w:rFonts w:asciiTheme="majorHAnsi" w:hAnsiTheme="majorHAnsi" w:cstheme="majorHAnsi"/>
          <w:color w:val="000000" w:themeColor="text1"/>
          <w:sz w:val="22"/>
          <w:szCs w:val="22"/>
          <w:lang w:val="en-AU"/>
        </w:rPr>
        <w:t xml:space="preserve"> </w:t>
      </w:r>
      <w:r w:rsidR="00EB5B80" w:rsidRPr="000A2712">
        <w:rPr>
          <w:rFonts w:asciiTheme="majorHAnsi" w:hAnsiTheme="majorHAnsi" w:cstheme="majorHAnsi"/>
          <w:color w:val="000000" w:themeColor="text1"/>
          <w:sz w:val="22"/>
          <w:szCs w:val="22"/>
          <w:lang w:val="en-AU"/>
        </w:rPr>
        <w:t xml:space="preserve">section 6 draws together </w:t>
      </w:r>
      <w:r w:rsidR="006E5BB9" w:rsidRPr="000A2712">
        <w:rPr>
          <w:rFonts w:asciiTheme="majorHAnsi" w:hAnsiTheme="majorHAnsi" w:cstheme="majorHAnsi"/>
          <w:color w:val="000000" w:themeColor="text1"/>
          <w:sz w:val="22"/>
          <w:szCs w:val="22"/>
          <w:lang w:val="en-AU"/>
        </w:rPr>
        <w:t xml:space="preserve">the review’s </w:t>
      </w:r>
      <w:r w:rsidR="00EB5B80" w:rsidRPr="000A2712">
        <w:rPr>
          <w:rFonts w:asciiTheme="majorHAnsi" w:hAnsiTheme="majorHAnsi" w:cstheme="majorHAnsi"/>
          <w:color w:val="000000" w:themeColor="text1"/>
          <w:sz w:val="22"/>
          <w:szCs w:val="22"/>
          <w:lang w:val="en-AU"/>
        </w:rPr>
        <w:t xml:space="preserve">conclusions and provides recommendations to inform the approach for the remainder of the phase. </w:t>
      </w:r>
    </w:p>
    <w:p w14:paraId="0BD22184" w14:textId="0056B1F3"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18F574B9" w14:textId="1B8B8E97"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53E9ED3C" w14:textId="503EF38F"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1A1289D8" w14:textId="543EF597"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0E607EB2" w14:textId="26E9282A"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59B6A142" w14:textId="4E553E30"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373F8FC7" w14:textId="1C7BA50E"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4E77C2CE" w14:textId="637945EE"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3E7CA748" w14:textId="4F2A5D9B"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2755E518" w14:textId="25427EC5"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03061620" w14:textId="1B8B72D7"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4FC151D6" w14:textId="466D6445" w:rsidR="002F4399" w:rsidRDefault="002F4399" w:rsidP="002F4399">
      <w:pPr>
        <w:tabs>
          <w:tab w:val="left" w:pos="567"/>
        </w:tabs>
        <w:spacing w:line="274" w:lineRule="auto"/>
        <w:rPr>
          <w:rFonts w:asciiTheme="majorHAnsi" w:hAnsiTheme="majorHAnsi" w:cstheme="majorHAnsi"/>
          <w:color w:val="000000" w:themeColor="text1"/>
          <w:sz w:val="22"/>
          <w:szCs w:val="22"/>
          <w:lang w:val="en-AU"/>
        </w:rPr>
      </w:pPr>
    </w:p>
    <w:p w14:paraId="52C66698" w14:textId="77777777" w:rsidR="00275B5D" w:rsidRPr="000A2712" w:rsidRDefault="00275B5D" w:rsidP="006B32D6">
      <w:pPr>
        <w:pStyle w:val="ListParagraph"/>
        <w:numPr>
          <w:ilvl w:val="0"/>
          <w:numId w:val="3"/>
        </w:numPr>
        <w:spacing w:before="240" w:after="240"/>
        <w:ind w:left="567" w:hanging="567"/>
        <w:contextualSpacing w:val="0"/>
        <w:rPr>
          <w:rFonts w:asciiTheme="majorHAnsi" w:hAnsiTheme="majorHAnsi" w:cstheme="majorHAnsi"/>
          <w:b/>
          <w:bCs/>
          <w:color w:val="00B0F0"/>
          <w:sz w:val="32"/>
          <w:szCs w:val="32"/>
          <w:lang w:val="en-AU"/>
        </w:rPr>
      </w:pPr>
      <w:r w:rsidRPr="000A2712">
        <w:rPr>
          <w:rFonts w:asciiTheme="majorHAnsi" w:hAnsiTheme="majorHAnsi" w:cstheme="majorHAnsi"/>
          <w:b/>
          <w:bCs/>
          <w:color w:val="00B0F0"/>
          <w:sz w:val="32"/>
          <w:szCs w:val="32"/>
          <w:lang w:val="en-AU"/>
        </w:rPr>
        <w:t xml:space="preserve">AIPJ2’s performance </w:t>
      </w:r>
    </w:p>
    <w:p w14:paraId="205ABE7F" w14:textId="77777777" w:rsidR="00275B5D" w:rsidRPr="00CE4351" w:rsidRDefault="00275B5D"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 xml:space="preserve">Achievements to date </w:t>
      </w:r>
    </w:p>
    <w:p w14:paraId="69C6F59E" w14:textId="029195AA" w:rsidR="00924311" w:rsidRPr="000A2712" w:rsidRDefault="00924311"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0A2712">
        <w:rPr>
          <w:rFonts w:ascii="Calibri Light" w:hAnsi="Calibri Light" w:cs="Calibri Light"/>
          <w:sz w:val="22"/>
          <w:szCs w:val="22"/>
          <w:lang w:val="en-AU"/>
        </w:rPr>
        <w:t>Stakeholders’ perceptions of AIPJ2 are in the main very positive: AIPJ2 is generally well-thought of by Indonesian partners and viewed as a largely effective investment by DFAT in its annual performance checks.</w:t>
      </w:r>
      <w:r w:rsidR="008573F5">
        <w:rPr>
          <w:rFonts w:ascii="Calibri Light" w:hAnsi="Calibri Light" w:cs="Calibri Light"/>
          <w:sz w:val="22"/>
          <w:szCs w:val="22"/>
          <w:lang w:val="en-AU"/>
        </w:rPr>
        <w:t xml:space="preserve"> </w:t>
      </w:r>
      <w:r w:rsidRPr="000A2712">
        <w:rPr>
          <w:rFonts w:ascii="Calibri Light" w:hAnsi="Calibri Light" w:cs="Calibri Light"/>
          <w:sz w:val="22"/>
          <w:szCs w:val="22"/>
          <w:lang w:val="en-AU"/>
        </w:rPr>
        <w:t>The mid-term review findings suggest those perspectives are well-justified.</w:t>
      </w:r>
      <w:r w:rsidR="00A16179">
        <w:rPr>
          <w:rFonts w:ascii="Calibri Light" w:hAnsi="Calibri Light" w:cs="Calibri Light"/>
          <w:sz w:val="22"/>
          <w:szCs w:val="22"/>
          <w:lang w:val="en-AU"/>
        </w:rPr>
        <w:t xml:space="preserve"> </w:t>
      </w:r>
    </w:p>
    <w:p w14:paraId="07112E0A" w14:textId="642A6E8E" w:rsidR="005E5EB7" w:rsidRPr="000A2712" w:rsidRDefault="00B245DF"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Pr>
          <w:rFonts w:ascii="Calibri Light" w:hAnsi="Calibri Light" w:cs="Calibri Light"/>
          <w:sz w:val="22"/>
          <w:szCs w:val="22"/>
          <w:lang w:val="en-AU"/>
        </w:rPr>
        <w:t>As discussed above</w:t>
      </w:r>
      <w:r w:rsidR="005E5EB7" w:rsidRPr="00AD2A71">
        <w:rPr>
          <w:rFonts w:ascii="Calibri Light" w:hAnsi="Calibri Light" w:cs="Calibri Light"/>
          <w:sz w:val="22"/>
          <w:szCs w:val="22"/>
          <w:lang w:val="en-AU"/>
        </w:rPr>
        <w:t>, achievements to date were only considered for a sample of AIPJ2 focus areas: court reform, anti-corruption and corrections reform (drawn from pill</w:t>
      </w:r>
      <w:r w:rsidR="005E5EB7" w:rsidRPr="000A2712">
        <w:rPr>
          <w:rFonts w:ascii="Calibri Light" w:hAnsi="Calibri Light" w:cs="Calibri Light"/>
          <w:sz w:val="22"/>
          <w:szCs w:val="22"/>
          <w:lang w:val="en-AU"/>
        </w:rPr>
        <w:t>ars 1 and 4).</w:t>
      </w:r>
      <w:r w:rsidR="008573F5">
        <w:rPr>
          <w:rFonts w:ascii="Calibri Light" w:hAnsi="Calibri Light" w:cs="Calibri Light"/>
          <w:sz w:val="22"/>
          <w:szCs w:val="22"/>
          <w:lang w:val="en-AU"/>
        </w:rPr>
        <w:t xml:space="preserve"> </w:t>
      </w:r>
      <w:r w:rsidR="005E5EB7" w:rsidRPr="000A2712">
        <w:rPr>
          <w:rFonts w:ascii="Calibri Light" w:hAnsi="Calibri Light" w:cs="Calibri Light"/>
          <w:sz w:val="22"/>
          <w:szCs w:val="22"/>
          <w:lang w:val="en-AU"/>
        </w:rPr>
        <w:t xml:space="preserve">For pillar 3, the team drew upon AIPJ2’s own recent review of its support for preventing violent extremism (under pillar 3). In all cases, the mid-term review team did not </w:t>
      </w:r>
      <w:r w:rsidR="00143E13" w:rsidRPr="000A2712">
        <w:rPr>
          <w:rFonts w:ascii="Calibri Light" w:hAnsi="Calibri Light" w:cs="Calibri Light"/>
          <w:sz w:val="22"/>
          <w:szCs w:val="22"/>
          <w:lang w:val="en-AU"/>
        </w:rPr>
        <w:t>undertake its own</w:t>
      </w:r>
      <w:r w:rsidR="005E5EB7" w:rsidRPr="000A2712">
        <w:rPr>
          <w:rFonts w:ascii="Calibri Light" w:hAnsi="Calibri Light" w:cs="Calibri Light"/>
          <w:sz w:val="22"/>
          <w:szCs w:val="22"/>
          <w:lang w:val="en-AU"/>
        </w:rPr>
        <w:t xml:space="preserve"> </w:t>
      </w:r>
      <w:r w:rsidR="007B79E7" w:rsidRPr="000A2712">
        <w:rPr>
          <w:rFonts w:ascii="Calibri Light" w:hAnsi="Calibri Light" w:cs="Calibri Light"/>
          <w:sz w:val="22"/>
          <w:szCs w:val="22"/>
          <w:lang w:val="en-AU"/>
        </w:rPr>
        <w:t>evaluation</w:t>
      </w:r>
      <w:r w:rsidR="005E5EB7" w:rsidRPr="000A2712">
        <w:rPr>
          <w:rFonts w:ascii="Calibri Light" w:hAnsi="Calibri Light" w:cs="Calibri Light"/>
          <w:sz w:val="22"/>
          <w:szCs w:val="22"/>
          <w:lang w:val="en-AU"/>
        </w:rPr>
        <w:t xml:space="preserve"> of results but rather </w:t>
      </w:r>
      <w:r w:rsidR="007B79E7" w:rsidRPr="000A2712">
        <w:rPr>
          <w:rFonts w:ascii="Calibri Light" w:hAnsi="Calibri Light" w:cs="Calibri Light"/>
          <w:sz w:val="22"/>
          <w:szCs w:val="22"/>
          <w:lang w:val="en-AU"/>
        </w:rPr>
        <w:t>looked</w:t>
      </w:r>
      <w:r w:rsidR="005E5EB7" w:rsidRPr="000A2712">
        <w:rPr>
          <w:rFonts w:ascii="Calibri Light" w:hAnsi="Calibri Light" w:cs="Calibri Light"/>
          <w:sz w:val="22"/>
          <w:szCs w:val="22"/>
          <w:lang w:val="en-AU"/>
        </w:rPr>
        <w:t xml:space="preserve"> to validate reported achievements and assumptions about the</w:t>
      </w:r>
      <w:r w:rsidR="007B79E7" w:rsidRPr="000A2712">
        <w:rPr>
          <w:rFonts w:ascii="Calibri Light" w:hAnsi="Calibri Light" w:cs="Calibri Light"/>
          <w:sz w:val="22"/>
          <w:szCs w:val="22"/>
          <w:lang w:val="en-AU"/>
        </w:rPr>
        <w:t>ir merit and the</w:t>
      </w:r>
      <w:r w:rsidR="005E5EB7" w:rsidRPr="000A2712">
        <w:rPr>
          <w:rFonts w:ascii="Calibri Light" w:hAnsi="Calibri Light" w:cs="Calibri Light"/>
          <w:sz w:val="22"/>
          <w:szCs w:val="22"/>
          <w:lang w:val="en-AU"/>
        </w:rPr>
        <w:t xml:space="preserve"> role of AIPJ2.</w:t>
      </w:r>
    </w:p>
    <w:p w14:paraId="6BABEA79" w14:textId="116166A9" w:rsidR="008B5F88" w:rsidRPr="000A2712" w:rsidRDefault="008B5F88" w:rsidP="008B5F88">
      <w:pPr>
        <w:pStyle w:val="ListParagraph"/>
        <w:tabs>
          <w:tab w:val="left" w:pos="567"/>
        </w:tabs>
        <w:spacing w:line="274" w:lineRule="auto"/>
        <w:ind w:left="0"/>
        <w:contextualSpacing w:val="0"/>
        <w:rPr>
          <w:rFonts w:asciiTheme="majorHAnsi" w:hAnsiTheme="majorHAnsi" w:cstheme="majorHAnsi"/>
          <w:i/>
          <w:iCs/>
          <w:color w:val="000000" w:themeColor="text1"/>
          <w:sz w:val="22"/>
          <w:szCs w:val="22"/>
          <w:lang w:val="en-AU"/>
        </w:rPr>
      </w:pPr>
      <w:r w:rsidRPr="00AD2A71">
        <w:rPr>
          <w:rFonts w:ascii="Calibri Light" w:hAnsi="Calibri Light" w:cs="Calibri Light"/>
          <w:i/>
          <w:iCs/>
          <w:color w:val="000000" w:themeColor="text1"/>
          <w:sz w:val="22"/>
          <w:szCs w:val="22"/>
          <w:lang w:val="en-AU"/>
        </w:rPr>
        <w:t>Court Reform</w:t>
      </w:r>
    </w:p>
    <w:p w14:paraId="2DA0A77A" w14:textId="0E729E36" w:rsidR="00FD4D4C" w:rsidRPr="000A2712" w:rsidRDefault="007B79E7"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0A2712">
        <w:rPr>
          <w:rFonts w:asciiTheme="majorHAnsi" w:hAnsiTheme="majorHAnsi" w:cstheme="majorHAnsi"/>
          <w:color w:val="000000" w:themeColor="text1"/>
          <w:sz w:val="22"/>
          <w:szCs w:val="22"/>
          <w:lang w:val="en-AU"/>
        </w:rPr>
        <w:t>The major part of AIPJ2’s support for</w:t>
      </w:r>
      <w:r w:rsidRPr="000A2712">
        <w:rPr>
          <w:rFonts w:asciiTheme="majorHAnsi" w:hAnsiTheme="majorHAnsi" w:cstheme="majorHAnsi"/>
          <w:b/>
          <w:bCs/>
          <w:color w:val="000000" w:themeColor="text1"/>
          <w:sz w:val="22"/>
          <w:szCs w:val="22"/>
          <w:lang w:val="en-AU"/>
        </w:rPr>
        <w:t xml:space="preserve"> </w:t>
      </w:r>
      <w:r w:rsidRPr="000A2712">
        <w:rPr>
          <w:rFonts w:asciiTheme="majorHAnsi" w:hAnsiTheme="majorHAnsi" w:cstheme="majorHAnsi"/>
          <w:color w:val="000000" w:themeColor="text1"/>
          <w:sz w:val="22"/>
          <w:szCs w:val="22"/>
          <w:lang w:val="en-AU"/>
        </w:rPr>
        <w:t xml:space="preserve">court reform (under pillar 1) has been to </w:t>
      </w:r>
      <w:r w:rsidRPr="00AD2A71">
        <w:rPr>
          <w:rFonts w:ascii="Calibri Light" w:hAnsi="Calibri Light" w:cs="Calibri Light"/>
          <w:color w:val="000000" w:themeColor="text1"/>
          <w:sz w:val="22"/>
          <w:szCs w:val="22"/>
          <w:lang w:val="en-AU"/>
        </w:rPr>
        <w:t xml:space="preserve">promote </w:t>
      </w:r>
      <w:r w:rsidRPr="000A2712">
        <w:rPr>
          <w:rFonts w:ascii="Calibri Light" w:hAnsi="Calibri Light" w:cs="Calibri Light"/>
          <w:color w:val="000000" w:themeColor="text1"/>
          <w:sz w:val="22"/>
          <w:szCs w:val="22"/>
          <w:lang w:val="en-AU"/>
        </w:rPr>
        <w:t xml:space="preserve">access to </w:t>
      </w:r>
      <w:r w:rsidRPr="000A2712">
        <w:rPr>
          <w:rFonts w:ascii="Calibri Light" w:hAnsi="Calibri Light" w:cs="Calibri Light"/>
          <w:b/>
          <w:bCs/>
          <w:color w:val="000000" w:themeColor="text1"/>
          <w:sz w:val="22"/>
          <w:szCs w:val="22"/>
          <w:lang w:val="en-AU"/>
        </w:rPr>
        <w:t>justice for women and girls</w:t>
      </w:r>
      <w:r w:rsidRPr="000A2712">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Pr="000A2712">
        <w:rPr>
          <w:rFonts w:ascii="Calibri Light" w:hAnsi="Calibri Light" w:cs="Calibri Light"/>
          <w:color w:val="000000" w:themeColor="text1"/>
          <w:sz w:val="22"/>
          <w:szCs w:val="22"/>
          <w:lang w:val="en-AU"/>
        </w:rPr>
        <w:t xml:space="preserve">This work has been pursued in collaboration with </w:t>
      </w:r>
      <w:r w:rsidR="00FD4D4C" w:rsidRPr="000A2712">
        <w:rPr>
          <w:rFonts w:asciiTheme="majorHAnsi" w:hAnsiTheme="majorHAnsi" w:cstheme="majorHAnsi"/>
          <w:color w:val="000000" w:themeColor="text1"/>
          <w:sz w:val="22"/>
          <w:szCs w:val="22"/>
          <w:lang w:val="en-AU"/>
        </w:rPr>
        <w:t>Indonesian civil society organisations</w:t>
      </w:r>
      <w:r w:rsidRPr="000A2712">
        <w:rPr>
          <w:rFonts w:asciiTheme="majorHAnsi" w:hAnsiTheme="majorHAnsi" w:cstheme="majorHAnsi"/>
          <w:color w:val="000000" w:themeColor="text1"/>
          <w:sz w:val="22"/>
          <w:szCs w:val="22"/>
          <w:lang w:val="en-AU"/>
        </w:rPr>
        <w:t xml:space="preserve">, a </w:t>
      </w:r>
      <w:r w:rsidR="00E460F4" w:rsidRPr="000A2712">
        <w:rPr>
          <w:rFonts w:asciiTheme="majorHAnsi" w:hAnsiTheme="majorHAnsi" w:cstheme="majorHAnsi"/>
          <w:color w:val="000000" w:themeColor="text1"/>
          <w:sz w:val="22"/>
          <w:szCs w:val="22"/>
          <w:lang w:val="en-AU"/>
        </w:rPr>
        <w:t>w</w:t>
      </w:r>
      <w:r w:rsidRPr="000A2712">
        <w:rPr>
          <w:rFonts w:asciiTheme="majorHAnsi" w:hAnsiTheme="majorHAnsi" w:cstheme="majorHAnsi"/>
          <w:color w:val="000000" w:themeColor="text1"/>
          <w:sz w:val="22"/>
          <w:szCs w:val="22"/>
          <w:lang w:val="en-AU"/>
        </w:rPr>
        <w:t xml:space="preserve">orking </w:t>
      </w:r>
      <w:r w:rsidR="00E460F4" w:rsidRPr="000A2712">
        <w:rPr>
          <w:rFonts w:asciiTheme="majorHAnsi" w:hAnsiTheme="majorHAnsi" w:cstheme="majorHAnsi"/>
          <w:color w:val="000000" w:themeColor="text1"/>
          <w:sz w:val="22"/>
          <w:szCs w:val="22"/>
          <w:lang w:val="en-AU"/>
        </w:rPr>
        <w:t>g</w:t>
      </w:r>
      <w:r w:rsidRPr="000A2712">
        <w:rPr>
          <w:rFonts w:asciiTheme="majorHAnsi" w:hAnsiTheme="majorHAnsi" w:cstheme="majorHAnsi"/>
          <w:color w:val="000000" w:themeColor="text1"/>
          <w:sz w:val="22"/>
          <w:szCs w:val="22"/>
          <w:lang w:val="en-AU"/>
        </w:rPr>
        <w:t>roup formed by the Supreme Court (</w:t>
      </w:r>
      <w:r w:rsidRPr="000A2712">
        <w:rPr>
          <w:rFonts w:asciiTheme="majorHAnsi" w:hAnsiTheme="majorHAnsi" w:cstheme="majorHAnsi"/>
          <w:i/>
          <w:color w:val="000000" w:themeColor="text1"/>
          <w:sz w:val="22"/>
          <w:szCs w:val="22"/>
          <w:lang w:val="en-AU"/>
        </w:rPr>
        <w:t>Mahkamah Agung</w:t>
      </w:r>
      <w:r w:rsidR="00D94603">
        <w:rPr>
          <w:rFonts w:asciiTheme="majorHAnsi" w:hAnsiTheme="majorHAnsi" w:cstheme="majorHAnsi"/>
          <w:iCs/>
          <w:color w:val="000000" w:themeColor="text1"/>
          <w:sz w:val="22"/>
          <w:szCs w:val="22"/>
          <w:lang w:val="en-AU"/>
        </w:rPr>
        <w:t xml:space="preserve"> or </w:t>
      </w:r>
      <w:r w:rsidR="00D94603" w:rsidRPr="00B245DF">
        <w:rPr>
          <w:rFonts w:asciiTheme="majorHAnsi" w:hAnsiTheme="majorHAnsi" w:cstheme="majorHAnsi"/>
          <w:iCs/>
          <w:color w:val="000000" w:themeColor="text1"/>
          <w:sz w:val="22"/>
          <w:szCs w:val="22"/>
          <w:lang w:val="en-AU"/>
        </w:rPr>
        <w:t>MA</w:t>
      </w:r>
      <w:r w:rsidRPr="00B245DF">
        <w:rPr>
          <w:rFonts w:asciiTheme="majorHAnsi" w:hAnsiTheme="majorHAnsi" w:cstheme="majorHAnsi"/>
          <w:color w:val="000000" w:themeColor="text1"/>
          <w:sz w:val="22"/>
          <w:szCs w:val="22"/>
          <w:lang w:val="en-AU"/>
        </w:rPr>
        <w:t>)</w:t>
      </w:r>
      <w:r w:rsidRPr="000A2712">
        <w:rPr>
          <w:rFonts w:asciiTheme="majorHAnsi" w:hAnsiTheme="majorHAnsi" w:cstheme="majorHAnsi"/>
          <w:color w:val="000000" w:themeColor="text1"/>
          <w:sz w:val="22"/>
          <w:szCs w:val="22"/>
          <w:lang w:val="en-AU"/>
        </w:rPr>
        <w:t xml:space="preserve"> and through a court-to-court partnership between the Supreme Court </w:t>
      </w:r>
      <w:r w:rsidR="00B245DF">
        <w:rPr>
          <w:rFonts w:asciiTheme="majorHAnsi" w:hAnsiTheme="majorHAnsi" w:cstheme="majorHAnsi"/>
          <w:color w:val="000000" w:themeColor="text1"/>
          <w:sz w:val="22"/>
          <w:szCs w:val="22"/>
          <w:lang w:val="en-AU"/>
        </w:rPr>
        <w:t xml:space="preserve">(MA) </w:t>
      </w:r>
      <w:r w:rsidRPr="000A2712">
        <w:rPr>
          <w:rFonts w:asciiTheme="majorHAnsi" w:hAnsiTheme="majorHAnsi" w:cstheme="majorHAnsi"/>
          <w:color w:val="000000" w:themeColor="text1"/>
          <w:sz w:val="22"/>
          <w:szCs w:val="22"/>
          <w:lang w:val="en-AU"/>
        </w:rPr>
        <w:t>and the Family Court of Australia</w:t>
      </w:r>
      <w:r w:rsidR="00FD4D4C" w:rsidRPr="000A2712">
        <w:rPr>
          <w:rFonts w:asciiTheme="majorHAnsi" w:hAnsiTheme="majorHAnsi" w:cstheme="majorHAnsi"/>
          <w:color w:val="000000" w:themeColor="text1"/>
          <w:sz w:val="22"/>
          <w:szCs w:val="22"/>
          <w:lang w:val="en-AU"/>
        </w:rPr>
        <w:t>, facilitated by Law and Development Partners, an Australian firm specialising in court support</w:t>
      </w:r>
      <w:r w:rsidRPr="000A2712">
        <w:rPr>
          <w:rFonts w:asciiTheme="majorHAnsi" w:hAnsiTheme="majorHAnsi" w:cstheme="majorHAnsi"/>
          <w:color w:val="000000" w:themeColor="text1"/>
          <w:sz w:val="22"/>
          <w:szCs w:val="22"/>
          <w:lang w:val="en-AU"/>
        </w:rPr>
        <w:t>.</w:t>
      </w:r>
      <w:r w:rsidR="00A16179">
        <w:rPr>
          <w:rFonts w:asciiTheme="majorHAnsi" w:hAnsiTheme="majorHAnsi" w:cstheme="majorHAnsi"/>
          <w:color w:val="000000" w:themeColor="text1"/>
          <w:sz w:val="22"/>
          <w:szCs w:val="22"/>
          <w:lang w:val="en-AU"/>
        </w:rPr>
        <w:t xml:space="preserve"> </w:t>
      </w:r>
    </w:p>
    <w:p w14:paraId="06B219D3" w14:textId="44E36C6F" w:rsidR="00FD4D4C" w:rsidRPr="000A2712" w:rsidRDefault="00FD4D4C"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2A71">
        <w:rPr>
          <w:rFonts w:ascii="Calibri Light" w:hAnsi="Calibri Light" w:cs="Calibri Light"/>
          <w:color w:val="000000" w:themeColor="text1"/>
          <w:sz w:val="22"/>
          <w:szCs w:val="22"/>
          <w:lang w:val="en-AU"/>
        </w:rPr>
        <w:t xml:space="preserve">Most </w:t>
      </w:r>
      <w:r w:rsidRPr="000A2712">
        <w:rPr>
          <w:rFonts w:ascii="Calibri Light" w:hAnsi="Calibri Light" w:cs="Calibri Light"/>
          <w:color w:val="000000" w:themeColor="text1"/>
          <w:sz w:val="22"/>
          <w:szCs w:val="22"/>
          <w:lang w:val="en-AU"/>
        </w:rPr>
        <w:t>notably to date</w:t>
      </w:r>
      <w:r w:rsidRPr="00AD2A71">
        <w:rPr>
          <w:rFonts w:ascii="Calibri Light" w:hAnsi="Calibri Light" w:cs="Calibri Light"/>
          <w:color w:val="000000" w:themeColor="text1"/>
          <w:sz w:val="22"/>
          <w:szCs w:val="22"/>
          <w:lang w:val="en-AU"/>
        </w:rPr>
        <w:t xml:space="preserve">, AIPJ2 </w:t>
      </w:r>
      <w:r w:rsidRPr="000A2712">
        <w:rPr>
          <w:rFonts w:ascii="Calibri Light" w:hAnsi="Calibri Light" w:cs="Calibri Light"/>
          <w:color w:val="000000" w:themeColor="text1"/>
          <w:sz w:val="22"/>
          <w:szCs w:val="22"/>
          <w:lang w:val="en-AU"/>
        </w:rPr>
        <w:t xml:space="preserve">supported partners played a key role in the development and passage of an important Supreme Court Regulation </w:t>
      </w:r>
      <w:r w:rsidR="004F03AF" w:rsidRPr="000A2712">
        <w:rPr>
          <w:rFonts w:ascii="Calibri Light" w:hAnsi="Calibri Light" w:cs="Calibri Light"/>
          <w:color w:val="000000" w:themeColor="text1"/>
          <w:sz w:val="22"/>
          <w:szCs w:val="22"/>
          <w:lang w:val="en-AU"/>
        </w:rPr>
        <w:t>(</w:t>
      </w:r>
      <w:r w:rsidR="004F03AF" w:rsidRPr="0020691D">
        <w:rPr>
          <w:rFonts w:ascii="Calibri Light" w:hAnsi="Calibri Light"/>
          <w:i/>
          <w:color w:val="000000" w:themeColor="text1"/>
          <w:sz w:val="22"/>
          <w:lang w:val="en-AU"/>
        </w:rPr>
        <w:t xml:space="preserve">Peraturan </w:t>
      </w:r>
      <w:r w:rsidR="004F03AF" w:rsidRPr="003752D0">
        <w:rPr>
          <w:rFonts w:ascii="Calibri Light" w:hAnsi="Calibri Light" w:cs="Calibri Light"/>
          <w:i/>
          <w:iCs/>
          <w:color w:val="000000" w:themeColor="text1"/>
          <w:sz w:val="22"/>
          <w:szCs w:val="22"/>
          <w:lang w:val="en-AU"/>
        </w:rPr>
        <w:t>Mahkamah Agung</w:t>
      </w:r>
      <w:r w:rsidR="004F03AF" w:rsidRPr="000A2712">
        <w:rPr>
          <w:rFonts w:ascii="Calibri Light" w:hAnsi="Calibri Light" w:cs="Calibri Light"/>
          <w:color w:val="000000" w:themeColor="text1"/>
          <w:sz w:val="22"/>
          <w:szCs w:val="22"/>
          <w:lang w:val="en-AU"/>
        </w:rPr>
        <w:t>)</w:t>
      </w:r>
      <w:r w:rsidRPr="000A2712">
        <w:rPr>
          <w:rFonts w:ascii="Calibri Light" w:hAnsi="Calibri Light" w:cs="Calibri Light"/>
          <w:color w:val="000000" w:themeColor="text1"/>
          <w:sz w:val="22"/>
          <w:szCs w:val="22"/>
          <w:lang w:val="en-AU"/>
        </w:rPr>
        <w:t xml:space="preserve"> </w:t>
      </w:r>
      <w:r w:rsidR="004F03AF">
        <w:rPr>
          <w:rFonts w:ascii="Calibri Light" w:hAnsi="Calibri Light" w:cs="Calibri Light"/>
          <w:color w:val="000000" w:themeColor="text1"/>
          <w:sz w:val="22"/>
          <w:szCs w:val="22"/>
          <w:lang w:val="en-AU"/>
        </w:rPr>
        <w:t xml:space="preserve">no. </w:t>
      </w:r>
      <w:r w:rsidRPr="000A2712">
        <w:rPr>
          <w:rFonts w:ascii="Calibri Light" w:hAnsi="Calibri Light" w:cs="Calibri Light"/>
          <w:color w:val="000000" w:themeColor="text1"/>
          <w:sz w:val="22"/>
          <w:szCs w:val="22"/>
          <w:lang w:val="en-AU"/>
        </w:rPr>
        <w:t>3 of 2017 on Women in Contact with the Law</w:t>
      </w:r>
      <w:r w:rsidR="00AA39C2">
        <w:rPr>
          <w:rFonts w:ascii="Calibri Light" w:hAnsi="Calibri Light" w:cs="Calibri Light"/>
          <w:color w:val="000000" w:themeColor="text1"/>
          <w:sz w:val="22"/>
          <w:szCs w:val="22"/>
          <w:lang w:val="en-AU"/>
        </w:rPr>
        <w:t xml:space="preserve"> (</w:t>
      </w:r>
      <w:r w:rsidR="00AA39C2" w:rsidRPr="008E7162">
        <w:rPr>
          <w:rFonts w:ascii="Calibri Light" w:hAnsi="Calibri Light" w:cs="Calibri Light"/>
          <w:color w:val="000000" w:themeColor="text1"/>
          <w:sz w:val="22"/>
          <w:szCs w:val="22"/>
          <w:lang w:val="en-AU"/>
        </w:rPr>
        <w:t>Perma 3/2017</w:t>
      </w:r>
      <w:r w:rsidR="00AA39C2">
        <w:rPr>
          <w:rFonts w:ascii="Calibri Light" w:hAnsi="Calibri Light" w:cs="Calibri Light"/>
          <w:color w:val="000000" w:themeColor="text1"/>
          <w:sz w:val="22"/>
          <w:szCs w:val="22"/>
          <w:lang w:val="en-AU"/>
        </w:rPr>
        <w:t>)</w:t>
      </w:r>
      <w:r w:rsidRPr="000A2712">
        <w:rPr>
          <w:rFonts w:ascii="Calibri Light" w:hAnsi="Calibri Light" w:cs="Calibri Light"/>
          <w:color w:val="000000" w:themeColor="text1"/>
          <w:sz w:val="22"/>
          <w:szCs w:val="22"/>
          <w:lang w:val="en-AU"/>
        </w:rPr>
        <w:t>, relating to the treatment of women in the courts (</w:t>
      </w:r>
      <w:r w:rsidR="00FA57AA">
        <w:rPr>
          <w:rFonts w:ascii="Calibri Light" w:hAnsi="Calibri Light" w:cs="Calibri Light"/>
          <w:color w:val="000000" w:themeColor="text1"/>
          <w:sz w:val="22"/>
          <w:szCs w:val="22"/>
          <w:lang w:val="en-AU"/>
        </w:rPr>
        <w:t xml:space="preserve">see </w:t>
      </w:r>
      <w:r w:rsidRPr="000A2712">
        <w:rPr>
          <w:rFonts w:ascii="Calibri Light" w:hAnsi="Calibri Light" w:cs="Calibri Light"/>
          <w:color w:val="000000" w:themeColor="text1"/>
          <w:sz w:val="22"/>
          <w:szCs w:val="22"/>
          <w:lang w:val="en-AU"/>
        </w:rPr>
        <w:t>Box 3).</w:t>
      </w:r>
    </w:p>
    <w:p w14:paraId="2616F09F" w14:textId="7ACD288F" w:rsidR="000E7F69" w:rsidRPr="002F4399" w:rsidRDefault="00694711" w:rsidP="002F4399">
      <w:pPr>
        <w:pStyle w:val="ListParagraph"/>
        <w:numPr>
          <w:ilvl w:val="2"/>
          <w:numId w:val="3"/>
        </w:numPr>
        <w:tabs>
          <w:tab w:val="left" w:pos="567"/>
        </w:tabs>
        <w:spacing w:before="240" w:line="274" w:lineRule="auto"/>
        <w:contextualSpacing w:val="0"/>
        <w:rPr>
          <w:rFonts w:ascii="Calibri Light" w:hAnsi="Calibri Light" w:cs="Calibri Light"/>
          <w:color w:val="000000" w:themeColor="text1"/>
          <w:sz w:val="22"/>
          <w:szCs w:val="22"/>
          <w:lang w:val="en-AU"/>
        </w:rPr>
      </w:pPr>
      <w:r w:rsidRPr="00AD2A71">
        <w:rPr>
          <w:rFonts w:ascii="Calibri Light" w:hAnsi="Calibri Light" w:cs="Calibri Light"/>
          <w:color w:val="000000" w:themeColor="text1"/>
          <w:sz w:val="22"/>
          <w:szCs w:val="22"/>
          <w:lang w:val="en-AU"/>
        </w:rPr>
        <w:t>The other area of significant investment for AIPJ2</w:t>
      </w:r>
      <w:r w:rsidR="00EB64F5" w:rsidRPr="00AD2A71">
        <w:rPr>
          <w:rFonts w:ascii="Calibri Light" w:hAnsi="Calibri Light" w:cs="Calibri Light"/>
          <w:color w:val="000000" w:themeColor="text1"/>
          <w:sz w:val="22"/>
          <w:szCs w:val="22"/>
          <w:lang w:val="en-AU"/>
        </w:rPr>
        <w:t xml:space="preserve"> in relation</w:t>
      </w:r>
      <w:r w:rsidRPr="000A2712">
        <w:rPr>
          <w:rFonts w:ascii="Calibri Light" w:hAnsi="Calibri Light" w:cs="Calibri Light"/>
          <w:color w:val="000000" w:themeColor="text1"/>
          <w:sz w:val="22"/>
          <w:szCs w:val="22"/>
          <w:lang w:val="en-AU"/>
        </w:rPr>
        <w:t xml:space="preserve"> to </w:t>
      </w:r>
      <w:r w:rsidR="00F03278" w:rsidRPr="000A2712">
        <w:rPr>
          <w:rFonts w:ascii="Calibri Light" w:hAnsi="Calibri Light" w:cs="Calibri Light"/>
          <w:color w:val="000000" w:themeColor="text1"/>
          <w:sz w:val="22"/>
          <w:szCs w:val="22"/>
          <w:lang w:val="en-AU"/>
        </w:rPr>
        <w:t xml:space="preserve">justice for </w:t>
      </w:r>
      <w:r w:rsidRPr="000A2712">
        <w:rPr>
          <w:rFonts w:ascii="Calibri Light" w:hAnsi="Calibri Light" w:cs="Calibri Light"/>
          <w:color w:val="000000" w:themeColor="text1"/>
          <w:sz w:val="22"/>
          <w:szCs w:val="22"/>
          <w:lang w:val="en-AU"/>
        </w:rPr>
        <w:t>women and girls focuses on</w:t>
      </w:r>
      <w:r w:rsidR="00EB64F5" w:rsidRPr="000A2712">
        <w:rPr>
          <w:rFonts w:ascii="Calibri Light" w:hAnsi="Calibri Light" w:cs="Calibri Light"/>
          <w:color w:val="000000" w:themeColor="text1"/>
          <w:sz w:val="22"/>
          <w:szCs w:val="22"/>
          <w:lang w:val="en-AU"/>
        </w:rPr>
        <w:t xml:space="preserve"> </w:t>
      </w:r>
      <w:r w:rsidRPr="000A2712">
        <w:rPr>
          <w:rFonts w:ascii="Calibri Light" w:hAnsi="Calibri Light" w:cs="Calibri Light"/>
          <w:b/>
          <w:bCs/>
          <w:color w:val="000000" w:themeColor="text1"/>
          <w:sz w:val="22"/>
          <w:szCs w:val="22"/>
          <w:lang w:val="en-AU"/>
        </w:rPr>
        <w:t>child marriage.</w:t>
      </w:r>
      <w:r w:rsidR="008573F5">
        <w:rPr>
          <w:rFonts w:ascii="Calibri Light" w:hAnsi="Calibri Light" w:cs="Calibri Light"/>
          <w:color w:val="000000" w:themeColor="text1"/>
          <w:sz w:val="22"/>
          <w:szCs w:val="22"/>
          <w:lang w:val="en-AU"/>
        </w:rPr>
        <w:t xml:space="preserve"> </w:t>
      </w:r>
      <w:r w:rsidRPr="000A2712">
        <w:rPr>
          <w:rFonts w:ascii="Calibri Light" w:hAnsi="Calibri Light" w:cs="Calibri Light"/>
          <w:color w:val="000000" w:themeColor="text1"/>
          <w:sz w:val="22"/>
          <w:szCs w:val="22"/>
          <w:lang w:val="en-AU"/>
        </w:rPr>
        <w:t xml:space="preserve">AIPJ2 </w:t>
      </w:r>
      <w:r w:rsidR="003F6A4B" w:rsidRPr="000A2712">
        <w:rPr>
          <w:rFonts w:ascii="Calibri Light" w:hAnsi="Calibri Light" w:cs="Calibri Light"/>
          <w:color w:val="000000" w:themeColor="text1"/>
          <w:sz w:val="22"/>
          <w:szCs w:val="22"/>
          <w:lang w:val="en-AU"/>
        </w:rPr>
        <w:t>supports</w:t>
      </w:r>
      <w:r w:rsidRPr="000A2712">
        <w:rPr>
          <w:rFonts w:ascii="Calibri Light" w:hAnsi="Calibri Light" w:cs="Calibri Light"/>
          <w:color w:val="000000" w:themeColor="text1"/>
          <w:sz w:val="22"/>
          <w:szCs w:val="22"/>
          <w:lang w:val="en-AU"/>
        </w:rPr>
        <w:t xml:space="preserve"> three Indonesian civil society organisations and the Family Court of Australia </w:t>
      </w:r>
      <w:r w:rsidR="0035247E" w:rsidRPr="000A2712">
        <w:rPr>
          <w:rFonts w:ascii="Calibri Light" w:hAnsi="Calibri Light" w:cs="Calibri Light"/>
          <w:color w:val="000000" w:themeColor="text1"/>
          <w:sz w:val="22"/>
          <w:szCs w:val="22"/>
          <w:lang w:val="en-AU"/>
        </w:rPr>
        <w:t xml:space="preserve">(through </w:t>
      </w:r>
      <w:r w:rsidR="002C4025">
        <w:rPr>
          <w:rFonts w:ascii="Calibri Light" w:hAnsi="Calibri Light" w:cs="Calibri Light"/>
          <w:color w:val="000000" w:themeColor="text1"/>
          <w:sz w:val="22"/>
          <w:szCs w:val="22"/>
          <w:lang w:val="en-AU"/>
        </w:rPr>
        <w:t xml:space="preserve">the </w:t>
      </w:r>
      <w:r w:rsidR="008E7162">
        <w:rPr>
          <w:rFonts w:ascii="Calibri Light" w:hAnsi="Calibri Light" w:cs="Calibri Light"/>
          <w:color w:val="000000" w:themeColor="text1"/>
          <w:sz w:val="22"/>
          <w:szCs w:val="22"/>
          <w:lang w:val="en-AU"/>
        </w:rPr>
        <w:t>Australian</w:t>
      </w:r>
      <w:r w:rsidR="002C4025">
        <w:rPr>
          <w:rFonts w:ascii="Calibri Light" w:hAnsi="Calibri Light" w:cs="Calibri Light"/>
          <w:color w:val="000000" w:themeColor="text1"/>
          <w:sz w:val="22"/>
          <w:szCs w:val="22"/>
          <w:lang w:val="en-AU"/>
        </w:rPr>
        <w:t xml:space="preserve"> </w:t>
      </w:r>
      <w:r w:rsidR="008E7162">
        <w:rPr>
          <w:rFonts w:ascii="Calibri Light" w:hAnsi="Calibri Light" w:cs="Calibri Light"/>
          <w:color w:val="000000" w:themeColor="text1"/>
          <w:sz w:val="22"/>
          <w:szCs w:val="22"/>
          <w:lang w:val="en-AU"/>
        </w:rPr>
        <w:t>implementing</w:t>
      </w:r>
      <w:r w:rsidR="002C4025">
        <w:rPr>
          <w:rFonts w:ascii="Calibri Light" w:hAnsi="Calibri Light" w:cs="Calibri Light"/>
          <w:color w:val="000000" w:themeColor="text1"/>
          <w:sz w:val="22"/>
          <w:szCs w:val="22"/>
          <w:lang w:val="en-AU"/>
        </w:rPr>
        <w:t xml:space="preserve"> partner, </w:t>
      </w:r>
      <w:r w:rsidR="0035247E" w:rsidRPr="000A2712">
        <w:rPr>
          <w:rFonts w:ascii="Calibri Light" w:hAnsi="Calibri Light" w:cs="Calibri Light"/>
          <w:color w:val="000000" w:themeColor="text1"/>
          <w:sz w:val="22"/>
          <w:szCs w:val="22"/>
          <w:lang w:val="en-AU"/>
        </w:rPr>
        <w:t xml:space="preserve">Law and Development Partners) </w:t>
      </w:r>
      <w:r w:rsidRPr="000A2712">
        <w:rPr>
          <w:rFonts w:ascii="Calibri Light" w:hAnsi="Calibri Light" w:cs="Calibri Light"/>
          <w:color w:val="000000" w:themeColor="text1"/>
          <w:sz w:val="22"/>
          <w:szCs w:val="22"/>
          <w:lang w:val="en-AU"/>
        </w:rPr>
        <w:t>to engage a range of stakeholder groups on this issue, including Indonesia’s Religious Courts, religious leaders, community leaders</w:t>
      </w:r>
      <w:r w:rsidR="00CE7085" w:rsidRPr="000A2712">
        <w:rPr>
          <w:rFonts w:ascii="Calibri Light" w:hAnsi="Calibri Light" w:cs="Calibri Light"/>
          <w:color w:val="000000" w:themeColor="text1"/>
          <w:sz w:val="22"/>
          <w:szCs w:val="22"/>
          <w:lang w:val="en-AU"/>
        </w:rPr>
        <w:t>,</w:t>
      </w:r>
      <w:r w:rsidRPr="000A2712">
        <w:rPr>
          <w:rFonts w:ascii="Calibri Light" w:hAnsi="Calibri Light" w:cs="Calibri Light"/>
          <w:color w:val="000000" w:themeColor="text1"/>
          <w:sz w:val="22"/>
          <w:szCs w:val="22"/>
          <w:lang w:val="en-AU"/>
        </w:rPr>
        <w:t xml:space="preserve"> families</w:t>
      </w:r>
      <w:r w:rsidR="00CE7085" w:rsidRPr="000A2712">
        <w:rPr>
          <w:rFonts w:ascii="Calibri Light" w:hAnsi="Calibri Light" w:cs="Calibri Light"/>
          <w:color w:val="000000" w:themeColor="text1"/>
          <w:sz w:val="22"/>
          <w:szCs w:val="22"/>
          <w:lang w:val="en-AU"/>
        </w:rPr>
        <w:t xml:space="preserve"> and children themselves</w:t>
      </w:r>
      <w:r w:rsidRPr="000A2712">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00EB64F5" w:rsidRPr="000A2712">
        <w:rPr>
          <w:rFonts w:ascii="Calibri Light" w:hAnsi="Calibri Light" w:cs="Calibri Light"/>
          <w:color w:val="000000" w:themeColor="text1"/>
          <w:sz w:val="22"/>
          <w:szCs w:val="22"/>
          <w:lang w:val="en-AU"/>
        </w:rPr>
        <w:t xml:space="preserve">AIPJ2’s assistance is </w:t>
      </w:r>
      <w:r w:rsidR="002F3FC7" w:rsidRPr="000A2712">
        <w:rPr>
          <w:rFonts w:ascii="Calibri Light" w:hAnsi="Calibri Light" w:cs="Calibri Light"/>
          <w:color w:val="000000" w:themeColor="text1"/>
          <w:sz w:val="22"/>
          <w:szCs w:val="22"/>
          <w:lang w:val="en-AU"/>
        </w:rPr>
        <w:t xml:space="preserve">viewed </w:t>
      </w:r>
      <w:r w:rsidR="00EB64F5" w:rsidRPr="000A2712">
        <w:rPr>
          <w:rFonts w:ascii="Calibri Light" w:hAnsi="Calibri Light" w:cs="Calibri Light"/>
          <w:color w:val="000000" w:themeColor="text1"/>
          <w:sz w:val="22"/>
          <w:szCs w:val="22"/>
          <w:lang w:val="en-AU"/>
        </w:rPr>
        <w:t xml:space="preserve">as important in </w:t>
      </w:r>
      <w:r w:rsidR="002F3FC7" w:rsidRPr="000A2712">
        <w:rPr>
          <w:rFonts w:ascii="Calibri Light" w:hAnsi="Calibri Light" w:cs="Calibri Light"/>
          <w:color w:val="000000" w:themeColor="text1"/>
          <w:sz w:val="22"/>
          <w:szCs w:val="22"/>
          <w:lang w:val="en-AU"/>
        </w:rPr>
        <w:t xml:space="preserve">helping increase and sustain attention </w:t>
      </w:r>
      <w:r w:rsidR="003F6A4B" w:rsidRPr="000A2712">
        <w:rPr>
          <w:rFonts w:ascii="Calibri Light" w:hAnsi="Calibri Light" w:cs="Calibri Light"/>
          <w:color w:val="000000" w:themeColor="text1"/>
          <w:sz w:val="22"/>
          <w:szCs w:val="22"/>
          <w:lang w:val="en-AU"/>
        </w:rPr>
        <w:t>on this</w:t>
      </w:r>
      <w:r w:rsidR="002F3FC7" w:rsidRPr="000A2712">
        <w:rPr>
          <w:rFonts w:ascii="Calibri Light" w:hAnsi="Calibri Light" w:cs="Calibri Light"/>
          <w:color w:val="000000" w:themeColor="text1"/>
          <w:sz w:val="22"/>
          <w:szCs w:val="22"/>
          <w:lang w:val="en-AU"/>
        </w:rPr>
        <w:t xml:space="preserve"> issue</w:t>
      </w:r>
      <w:r w:rsidR="00453A0B" w:rsidRPr="000A2712">
        <w:rPr>
          <w:rFonts w:ascii="Calibri Light" w:hAnsi="Calibri Light" w:cs="Calibri Light"/>
          <w:color w:val="000000" w:themeColor="text1"/>
          <w:sz w:val="22"/>
          <w:szCs w:val="22"/>
          <w:lang w:val="en-AU"/>
        </w:rPr>
        <w:t xml:space="preserve"> at multiple levels.</w:t>
      </w:r>
      <w:r w:rsidR="002F3FC7" w:rsidRPr="000A2712">
        <w:rPr>
          <w:rFonts w:ascii="Calibri Light" w:hAnsi="Calibri Light" w:cs="Calibri Light"/>
          <w:color w:val="000000" w:themeColor="text1"/>
          <w:sz w:val="22"/>
          <w:szCs w:val="22"/>
          <w:lang w:val="en-AU"/>
        </w:rPr>
        <w:t xml:space="preserve"> </w:t>
      </w:r>
      <w:r w:rsidR="00453A0B" w:rsidRPr="000A2712">
        <w:rPr>
          <w:rFonts w:ascii="Calibri Light" w:hAnsi="Calibri Light" w:cs="Calibri Light"/>
          <w:color w:val="000000" w:themeColor="text1"/>
          <w:sz w:val="22"/>
          <w:szCs w:val="22"/>
          <w:lang w:val="en-AU"/>
        </w:rPr>
        <w:t>G</w:t>
      </w:r>
      <w:r w:rsidR="002F3FC7" w:rsidRPr="000A2712">
        <w:rPr>
          <w:rFonts w:ascii="Calibri Light" w:hAnsi="Calibri Light" w:cs="Calibri Light"/>
          <w:color w:val="000000" w:themeColor="text1"/>
          <w:sz w:val="22"/>
          <w:szCs w:val="22"/>
          <w:lang w:val="en-AU"/>
        </w:rPr>
        <w:t xml:space="preserve">iven </w:t>
      </w:r>
      <w:r w:rsidRPr="000A2712">
        <w:rPr>
          <w:rFonts w:ascii="Calibri Light" w:hAnsi="Calibri Light" w:cs="Calibri Light"/>
          <w:color w:val="000000" w:themeColor="text1"/>
          <w:sz w:val="22"/>
          <w:szCs w:val="22"/>
          <w:lang w:val="en-AU"/>
        </w:rPr>
        <w:t xml:space="preserve">the sensitivity and complexity of the </w:t>
      </w:r>
      <w:r w:rsidR="002F3FC7" w:rsidRPr="000A2712">
        <w:rPr>
          <w:rFonts w:ascii="Calibri Light" w:hAnsi="Calibri Light" w:cs="Calibri Light"/>
          <w:color w:val="000000" w:themeColor="text1"/>
          <w:sz w:val="22"/>
          <w:szCs w:val="22"/>
          <w:lang w:val="en-AU"/>
        </w:rPr>
        <w:t>topic</w:t>
      </w:r>
      <w:r w:rsidRPr="000A2712">
        <w:rPr>
          <w:rFonts w:ascii="Calibri Light" w:hAnsi="Calibri Light" w:cs="Calibri Light"/>
          <w:color w:val="000000" w:themeColor="text1"/>
          <w:sz w:val="22"/>
          <w:szCs w:val="22"/>
          <w:lang w:val="en-AU"/>
        </w:rPr>
        <w:t>, no simple solutions or quick fixes are expected</w:t>
      </w:r>
      <w:r w:rsidR="00453A0B" w:rsidRPr="000A2712">
        <w:rPr>
          <w:rFonts w:ascii="Calibri Light" w:hAnsi="Calibri Light" w:cs="Calibri Light"/>
          <w:color w:val="000000" w:themeColor="text1"/>
          <w:sz w:val="22"/>
          <w:szCs w:val="22"/>
          <w:lang w:val="en-AU"/>
        </w:rPr>
        <w:t xml:space="preserve"> but investment in what is likely to be an incremental and long</w:t>
      </w:r>
      <w:r w:rsidR="00FA57AA">
        <w:rPr>
          <w:rFonts w:ascii="Calibri Light" w:hAnsi="Calibri Light" w:cs="Calibri Light"/>
          <w:color w:val="000000" w:themeColor="text1"/>
          <w:sz w:val="22"/>
          <w:szCs w:val="22"/>
          <w:lang w:val="en-AU"/>
        </w:rPr>
        <w:t>-</w:t>
      </w:r>
      <w:r w:rsidR="00453A0B" w:rsidRPr="000A2712">
        <w:rPr>
          <w:rFonts w:ascii="Calibri Light" w:hAnsi="Calibri Light" w:cs="Calibri Light"/>
          <w:color w:val="000000" w:themeColor="text1"/>
          <w:sz w:val="22"/>
          <w:szCs w:val="22"/>
          <w:lang w:val="en-AU"/>
        </w:rPr>
        <w:t>term change process is clearly valuable.</w:t>
      </w:r>
    </w:p>
    <w:p w14:paraId="4D6DFFBB" w14:textId="633CE7F3" w:rsidR="002C4025" w:rsidRPr="000A2712" w:rsidRDefault="002C4025" w:rsidP="002C4025">
      <w:pPr>
        <w:pStyle w:val="ListParagraph"/>
        <w:numPr>
          <w:ilvl w:val="2"/>
          <w:numId w:val="3"/>
        </w:numPr>
        <w:tabs>
          <w:tab w:val="left" w:pos="567"/>
        </w:tabs>
        <w:spacing w:line="274" w:lineRule="auto"/>
        <w:contextualSpacing w:val="0"/>
        <w:rPr>
          <w:rFonts w:ascii="Calibri Light" w:hAnsi="Calibri Light" w:cs="Calibri Light"/>
          <w:color w:val="000000" w:themeColor="text1"/>
          <w:sz w:val="22"/>
          <w:szCs w:val="22"/>
          <w:lang w:val="en-AU"/>
        </w:rPr>
      </w:pPr>
      <w:r w:rsidRPr="000A2712">
        <w:rPr>
          <w:rFonts w:ascii="Calibri Light" w:hAnsi="Calibri Light" w:cs="Calibri Light"/>
          <w:color w:val="000000" w:themeColor="text1"/>
          <w:sz w:val="22"/>
          <w:szCs w:val="22"/>
          <w:lang w:val="en-AU"/>
        </w:rPr>
        <w:t xml:space="preserve">AIPJ2 is also supporting court reform in two other areas: </w:t>
      </w:r>
      <w:r w:rsidRPr="000A2712">
        <w:rPr>
          <w:rFonts w:ascii="Calibri Light" w:hAnsi="Calibri Light" w:cs="Calibri Light"/>
          <w:b/>
          <w:bCs/>
          <w:color w:val="000000" w:themeColor="text1"/>
          <w:sz w:val="22"/>
          <w:szCs w:val="22"/>
          <w:lang w:val="en-AU"/>
        </w:rPr>
        <w:t>implementation of e-Court and the Small Claims Court.</w:t>
      </w:r>
      <w:r>
        <w:rPr>
          <w:rFonts w:ascii="Calibri Light" w:hAnsi="Calibri Light" w:cs="Calibri Light"/>
          <w:b/>
          <w:bCs/>
          <w:color w:val="000000" w:themeColor="text1"/>
          <w:sz w:val="22"/>
          <w:szCs w:val="22"/>
          <w:lang w:val="en-AU"/>
        </w:rPr>
        <w:t xml:space="preserve"> </w:t>
      </w:r>
      <w:r w:rsidRPr="000A2712">
        <w:rPr>
          <w:rFonts w:ascii="Calibri Light" w:hAnsi="Calibri Light" w:cs="Calibri Light"/>
          <w:color w:val="000000" w:themeColor="text1"/>
          <w:sz w:val="22"/>
          <w:szCs w:val="22"/>
          <w:lang w:val="en-AU"/>
        </w:rPr>
        <w:t>Both areas of work build on activities from the first phase of AIPJ though the resources committed under AIPJ2 are more limited.</w:t>
      </w:r>
      <w:r>
        <w:rPr>
          <w:rFonts w:ascii="Calibri Light" w:hAnsi="Calibri Light" w:cs="Calibri Light"/>
          <w:color w:val="000000" w:themeColor="text1"/>
          <w:sz w:val="22"/>
          <w:szCs w:val="22"/>
          <w:lang w:val="en-AU"/>
        </w:rPr>
        <w:t xml:space="preserve"> </w:t>
      </w:r>
      <w:r w:rsidRPr="000A2712">
        <w:rPr>
          <w:rFonts w:ascii="Calibri Light" w:hAnsi="Calibri Light" w:cs="Calibri Light"/>
          <w:color w:val="000000" w:themeColor="text1"/>
          <w:sz w:val="22"/>
          <w:szCs w:val="22"/>
          <w:lang w:val="en-AU"/>
        </w:rPr>
        <w:t xml:space="preserve">On </w:t>
      </w:r>
      <w:r w:rsidRPr="000A2712">
        <w:rPr>
          <w:rFonts w:ascii="Calibri Light" w:hAnsi="Calibri Light" w:cs="Calibri Light"/>
          <w:b/>
          <w:bCs/>
          <w:color w:val="000000" w:themeColor="text1"/>
          <w:sz w:val="22"/>
          <w:szCs w:val="22"/>
          <w:lang w:val="en-AU"/>
        </w:rPr>
        <w:t>e-Court</w:t>
      </w:r>
      <w:r w:rsidRPr="000A2712">
        <w:rPr>
          <w:rFonts w:ascii="Calibri Light" w:hAnsi="Calibri Light" w:cs="Calibri Light"/>
          <w:color w:val="000000" w:themeColor="text1"/>
          <w:sz w:val="22"/>
          <w:szCs w:val="22"/>
          <w:lang w:val="en-AU"/>
        </w:rPr>
        <w:t xml:space="preserve">, the partnership supported by AIPJ phase 1 between the </w:t>
      </w:r>
      <w:r>
        <w:rPr>
          <w:rFonts w:ascii="Calibri Light" w:hAnsi="Calibri Light" w:cs="Calibri Light"/>
          <w:color w:val="000000" w:themeColor="text1"/>
          <w:sz w:val="22"/>
          <w:szCs w:val="22"/>
          <w:lang w:val="en-AU"/>
        </w:rPr>
        <w:t>MA</w:t>
      </w:r>
      <w:r w:rsidRPr="000A2712">
        <w:rPr>
          <w:rFonts w:ascii="Calibri Light" w:hAnsi="Calibri Light" w:cs="Calibri Light"/>
          <w:color w:val="000000" w:themeColor="text1"/>
          <w:sz w:val="22"/>
          <w:szCs w:val="22"/>
          <w:lang w:val="en-AU"/>
        </w:rPr>
        <w:t xml:space="preserve"> and the Federal Court of Australia helped to establish the e-Court system, producing an e-Court implementation roadmap and building implementation capacity through internships for young Indonesian judges with the Federal Court of Australia.</w:t>
      </w:r>
      <w:r>
        <w:rPr>
          <w:rFonts w:ascii="Calibri Light" w:hAnsi="Calibri Light" w:cs="Calibri Light"/>
          <w:i/>
          <w:iCs/>
          <w:color w:val="000000" w:themeColor="text1"/>
          <w:sz w:val="22"/>
          <w:szCs w:val="22"/>
          <w:lang w:val="en-AU"/>
        </w:rPr>
        <w:t xml:space="preserve"> </w:t>
      </w:r>
      <w:r w:rsidRPr="000A2712">
        <w:rPr>
          <w:rFonts w:ascii="Calibri Light" w:hAnsi="Calibri Light" w:cs="Calibri Light"/>
          <w:color w:val="000000" w:themeColor="text1"/>
          <w:sz w:val="22"/>
          <w:szCs w:val="22"/>
          <w:lang w:val="en-AU"/>
        </w:rPr>
        <w:t xml:space="preserve">In 2018 under AIPJ2, the partnership helped the development and passage of </w:t>
      </w:r>
      <w:r>
        <w:rPr>
          <w:rFonts w:ascii="Calibri Light" w:hAnsi="Calibri Light" w:cs="Calibri Light"/>
          <w:color w:val="000000" w:themeColor="text1"/>
          <w:sz w:val="22"/>
          <w:szCs w:val="22"/>
          <w:lang w:val="en-AU"/>
        </w:rPr>
        <w:t>Perma no.</w:t>
      </w:r>
      <w:r w:rsidRPr="000A2712">
        <w:rPr>
          <w:rFonts w:ascii="Calibri Light" w:hAnsi="Calibri Light" w:cs="Calibri Light"/>
          <w:color w:val="000000" w:themeColor="text1"/>
          <w:sz w:val="22"/>
          <w:szCs w:val="22"/>
          <w:lang w:val="en-AU"/>
        </w:rPr>
        <w:t xml:space="preserve"> 3</w:t>
      </w:r>
      <w:r>
        <w:rPr>
          <w:rFonts w:ascii="Calibri Light" w:hAnsi="Calibri Light" w:cs="Calibri Light"/>
          <w:color w:val="000000" w:themeColor="text1"/>
          <w:sz w:val="22"/>
          <w:szCs w:val="22"/>
          <w:lang w:val="en-AU"/>
        </w:rPr>
        <w:t xml:space="preserve"> of </w:t>
      </w:r>
      <w:r w:rsidRPr="000A2712">
        <w:rPr>
          <w:rFonts w:ascii="Calibri Light" w:hAnsi="Calibri Light" w:cs="Calibri Light"/>
          <w:color w:val="000000" w:themeColor="text1"/>
          <w:sz w:val="22"/>
          <w:szCs w:val="22"/>
          <w:lang w:val="en-AU"/>
        </w:rPr>
        <w:t xml:space="preserve">2018 </w:t>
      </w:r>
      <w:r>
        <w:rPr>
          <w:rFonts w:ascii="Calibri Light" w:hAnsi="Calibri Light" w:cs="Calibri Light"/>
          <w:color w:val="000000" w:themeColor="text1"/>
          <w:sz w:val="22"/>
          <w:szCs w:val="22"/>
          <w:lang w:val="en-AU"/>
        </w:rPr>
        <w:t>on</w:t>
      </w:r>
      <w:r w:rsidRPr="000A2712">
        <w:rPr>
          <w:rFonts w:ascii="Calibri Light" w:hAnsi="Calibri Light" w:cs="Calibri Light"/>
          <w:color w:val="000000" w:themeColor="text1"/>
          <w:sz w:val="22"/>
          <w:szCs w:val="22"/>
          <w:lang w:val="en-AU"/>
        </w:rPr>
        <w:t xml:space="preserve"> Electronic Case Administration in the </w:t>
      </w:r>
      <w:r w:rsidRPr="002C4025">
        <w:rPr>
          <w:rFonts w:ascii="Calibri Light" w:hAnsi="Calibri Light" w:cs="Calibri Light"/>
          <w:color w:val="000000" w:themeColor="text1"/>
          <w:sz w:val="22"/>
          <w:szCs w:val="22"/>
          <w:lang w:val="en-AU"/>
        </w:rPr>
        <w:t>(civil) Court</w:t>
      </w:r>
      <w:r>
        <w:rPr>
          <w:rFonts w:ascii="Calibri Light" w:hAnsi="Calibri Light" w:cs="Calibri Light"/>
          <w:color w:val="000000" w:themeColor="text1"/>
          <w:sz w:val="22"/>
          <w:szCs w:val="22"/>
          <w:lang w:val="en-AU"/>
        </w:rPr>
        <w:t xml:space="preserve"> </w:t>
      </w:r>
      <w:r w:rsidRPr="002C4025">
        <w:rPr>
          <w:rFonts w:ascii="Calibri Light" w:hAnsi="Calibri Light" w:cs="Calibri Light"/>
          <w:color w:val="000000" w:themeColor="text1"/>
          <w:sz w:val="22"/>
          <w:szCs w:val="22"/>
          <w:lang w:val="en-AU"/>
        </w:rPr>
        <w:t>(Perma 3/2018).</w:t>
      </w:r>
      <w:r>
        <w:rPr>
          <w:rFonts w:ascii="Calibri Light" w:hAnsi="Calibri Light" w:cs="Calibri Light"/>
          <w:color w:val="000000" w:themeColor="text1"/>
          <w:sz w:val="22"/>
          <w:szCs w:val="22"/>
          <w:lang w:val="en-AU"/>
        </w:rPr>
        <w:t xml:space="preserve">  </w:t>
      </w:r>
      <w:r w:rsidRPr="000A2712">
        <w:rPr>
          <w:rFonts w:ascii="Calibri Light" w:hAnsi="Calibri Light" w:cs="Calibri Light"/>
          <w:color w:val="000000" w:themeColor="text1"/>
          <w:sz w:val="22"/>
          <w:szCs w:val="22"/>
          <w:lang w:val="en-AU"/>
        </w:rPr>
        <w:t xml:space="preserve">This </w:t>
      </w:r>
      <w:r>
        <w:rPr>
          <w:rFonts w:ascii="Calibri Light" w:hAnsi="Calibri Light" w:cs="Calibri Light"/>
          <w:color w:val="000000" w:themeColor="text1"/>
          <w:sz w:val="22"/>
          <w:szCs w:val="22"/>
          <w:lang w:val="en-AU"/>
        </w:rPr>
        <w:t>Perma</w:t>
      </w:r>
      <w:r w:rsidRPr="000A2712">
        <w:rPr>
          <w:rFonts w:ascii="Calibri Light" w:hAnsi="Calibri Light" w:cs="Calibri Light"/>
          <w:color w:val="000000" w:themeColor="text1"/>
          <w:sz w:val="22"/>
          <w:szCs w:val="22"/>
          <w:lang w:val="en-AU"/>
        </w:rPr>
        <w:t xml:space="preserve"> introduces the arrangements for electronic payment of court fees, electronic summons via email and electronic issuance and delivery of court determinations.</w:t>
      </w:r>
    </w:p>
    <w:p w14:paraId="5B308D06" w14:textId="329B3C15" w:rsidR="00F419E7" w:rsidRPr="003221BA" w:rsidRDefault="002F4399" w:rsidP="002F4399">
      <w:pPr>
        <w:pStyle w:val="ListParagraph"/>
        <w:numPr>
          <w:ilvl w:val="2"/>
          <w:numId w:val="3"/>
        </w:numPr>
        <w:tabs>
          <w:tab w:val="left" w:pos="567"/>
        </w:tabs>
        <w:spacing w:before="240" w:line="274" w:lineRule="auto"/>
        <w:contextualSpacing w:val="0"/>
        <w:rPr>
          <w:rFonts w:ascii="Calibri Light" w:hAnsi="Calibri Light" w:cs="Calibri Light"/>
          <w:color w:val="000000" w:themeColor="text1"/>
          <w:sz w:val="22"/>
          <w:szCs w:val="22"/>
          <w:lang w:val="en-AU"/>
        </w:rPr>
      </w:pPr>
      <w:r w:rsidRPr="000A2712">
        <w:rPr>
          <w:rFonts w:asciiTheme="majorHAnsi" w:hAnsiTheme="majorHAnsi" w:cstheme="majorHAnsi"/>
          <w:noProof/>
          <w:color w:val="000000" w:themeColor="text1"/>
          <w:sz w:val="22"/>
          <w:szCs w:val="22"/>
          <w:lang w:val="en-AU" w:eastAsia="en-AU"/>
        </w:rPr>
        <mc:AlternateContent>
          <mc:Choice Requires="wps">
            <w:drawing>
              <wp:anchor distT="0" distB="0" distL="114300" distR="114300" simplePos="0" relativeHeight="251669504" behindDoc="0" locked="0" layoutInCell="1" allowOverlap="1" wp14:anchorId="611A17FE" wp14:editId="19F86F80">
                <wp:simplePos x="0" y="0"/>
                <wp:positionH relativeFrom="column">
                  <wp:posOffset>-92075</wp:posOffset>
                </wp:positionH>
                <wp:positionV relativeFrom="paragraph">
                  <wp:posOffset>31750</wp:posOffset>
                </wp:positionV>
                <wp:extent cx="6074410" cy="5770010"/>
                <wp:effectExtent l="0" t="0" r="8890" b="8890"/>
                <wp:wrapSquare wrapText="bothSides"/>
                <wp:docPr id="11" name="Text Box 11"/>
                <wp:cNvGraphicFramePr/>
                <a:graphic xmlns:a="http://schemas.openxmlformats.org/drawingml/2006/main">
                  <a:graphicData uri="http://schemas.microsoft.com/office/word/2010/wordprocessingShape">
                    <wps:wsp>
                      <wps:cNvSpPr txBox="1"/>
                      <wps:spPr>
                        <a:xfrm>
                          <a:off x="0" y="0"/>
                          <a:ext cx="6074410" cy="5770010"/>
                        </a:xfrm>
                        <a:prstGeom prst="rect">
                          <a:avLst/>
                        </a:prstGeom>
                        <a:solidFill>
                          <a:schemeClr val="bg2"/>
                        </a:solidFill>
                        <a:ln w="6350">
                          <a:solidFill>
                            <a:prstClr val="black"/>
                          </a:solidFill>
                        </a:ln>
                      </wps:spPr>
                      <wps:txbx>
                        <w:txbxContent>
                          <w:p w14:paraId="2210DC36" w14:textId="266426B6" w:rsidR="00172B2A" w:rsidRPr="002C4025" w:rsidRDefault="00172B2A" w:rsidP="00B015C8">
                            <w:pPr>
                              <w:shd w:val="clear" w:color="auto" w:fill="E7E6E6" w:themeFill="background2"/>
                              <w:rPr>
                                <w:rFonts w:ascii="Calibri Light" w:hAnsi="Calibri Light" w:cs="Calibri Light"/>
                                <w:b/>
                                <w:bCs/>
                                <w:sz w:val="22"/>
                                <w:szCs w:val="22"/>
                                <w:lang w:val="en-AU"/>
                              </w:rPr>
                            </w:pPr>
                            <w:r w:rsidRPr="002C4025">
                              <w:rPr>
                                <w:rFonts w:cstheme="minorHAnsi"/>
                                <w:b/>
                                <w:bCs/>
                                <w:i/>
                                <w:iCs/>
                                <w:color w:val="4472C4" w:themeColor="accent1"/>
                                <w:sz w:val="22"/>
                                <w:szCs w:val="22"/>
                              </w:rPr>
                              <w:t>Box 3:</w:t>
                            </w:r>
                            <w:r w:rsidRPr="002C4025">
                              <w:rPr>
                                <w:rFonts w:ascii="Calibri Light" w:hAnsi="Calibri Light" w:cs="Calibri Light"/>
                                <w:b/>
                                <w:bCs/>
                                <w:color w:val="4472C4" w:themeColor="accent1"/>
                                <w:sz w:val="22"/>
                                <w:szCs w:val="22"/>
                              </w:rPr>
                              <w:t xml:space="preserve"> </w:t>
                            </w:r>
                            <w:r w:rsidRPr="002C4025">
                              <w:rPr>
                                <w:rFonts w:ascii="Calibri Light" w:hAnsi="Calibri Light" w:cs="Calibri Light"/>
                                <w:b/>
                                <w:bCs/>
                                <w:sz w:val="22"/>
                                <w:szCs w:val="22"/>
                                <w:lang w:val="en-AU"/>
                              </w:rPr>
                              <w:t>Perma 3/2017</w:t>
                            </w:r>
                          </w:p>
                          <w:p w14:paraId="7BDCCCF8" w14:textId="478ABFF5" w:rsidR="00172B2A" w:rsidRPr="002C4025" w:rsidRDefault="00172B2A" w:rsidP="00B015C8">
                            <w:pPr>
                              <w:pStyle w:val="ListParagraph"/>
                              <w:shd w:val="clear" w:color="auto" w:fill="E7E6E6" w:themeFill="background2"/>
                              <w:tabs>
                                <w:tab w:val="left" w:pos="567"/>
                              </w:tabs>
                              <w:spacing w:line="274" w:lineRule="auto"/>
                              <w:ind w:left="0"/>
                              <w:contextualSpacing w:val="0"/>
                              <w:rPr>
                                <w:rFonts w:ascii="Calibri Light" w:hAnsi="Calibri Light" w:cs="Calibri Light"/>
                                <w:sz w:val="18"/>
                                <w:szCs w:val="18"/>
                                <w:lang w:val="en-AU"/>
                              </w:rPr>
                            </w:pPr>
                            <w:r w:rsidRPr="002C4025">
                              <w:rPr>
                                <w:rFonts w:ascii="Calibri Light" w:hAnsi="Calibri Light" w:cs="Calibri Light"/>
                                <w:sz w:val="18"/>
                                <w:szCs w:val="18"/>
                                <w:lang w:val="en-AU"/>
                              </w:rPr>
                              <w:t xml:space="preserve">The Perma 3/2017 provides guidance to judges on expected behaviours when dealing with women in the court and sensitising them to discriminatory practices.  Building on engagement with the Supreme Court (MA) under AIPJ1 (and earlier), AIPJ2 supported the establishment in 2016 of the MA Working Group on Women and Children. </w:t>
                            </w:r>
                            <w:r w:rsidRPr="002C4025">
                              <w:rPr>
                                <w:rFonts w:ascii="Calibri Light" w:hAnsi="Calibri Light"/>
                                <w:sz w:val="18"/>
                                <w:szCs w:val="28"/>
                                <w:lang w:val="en-AU"/>
                              </w:rPr>
                              <w:t xml:space="preserve">The Working Group </w:t>
                            </w:r>
                            <w:r w:rsidRPr="002C4025">
                              <w:rPr>
                                <w:rFonts w:asciiTheme="majorHAnsi" w:hAnsiTheme="majorHAnsi"/>
                                <w:color w:val="000000"/>
                                <w:sz w:val="18"/>
                                <w:szCs w:val="28"/>
                              </w:rPr>
                              <w:t>prepare</w:t>
                            </w:r>
                            <w:r w:rsidRPr="002C4025">
                              <w:rPr>
                                <w:color w:val="000000"/>
                                <w:sz w:val="18"/>
                                <w:szCs w:val="28"/>
                              </w:rPr>
                              <w:t>s</w:t>
                            </w:r>
                            <w:r w:rsidRPr="002C4025">
                              <w:rPr>
                                <w:rFonts w:asciiTheme="majorHAnsi" w:hAnsiTheme="majorHAnsi"/>
                                <w:color w:val="000000"/>
                                <w:sz w:val="18"/>
                                <w:szCs w:val="28"/>
                              </w:rPr>
                              <w:t xml:space="preserve"> policies for the consideration of the Chief Justice to improve the ability of the </w:t>
                            </w:r>
                            <w:r w:rsidRPr="002C4025">
                              <w:rPr>
                                <w:rFonts w:cstheme="minorHAnsi"/>
                                <w:color w:val="000000"/>
                                <w:sz w:val="18"/>
                                <w:szCs w:val="18"/>
                              </w:rPr>
                              <w:t>MA</w:t>
                            </w:r>
                            <w:r w:rsidRPr="002C4025">
                              <w:rPr>
                                <w:rFonts w:asciiTheme="majorHAnsi" w:hAnsiTheme="majorHAnsi"/>
                                <w:color w:val="000000"/>
                                <w:sz w:val="18"/>
                                <w:szCs w:val="28"/>
                              </w:rPr>
                              <w:t xml:space="preserve"> to handle the legal issues facing women and children and a schedule of training on key legislation for judges.</w:t>
                            </w:r>
                            <w:r w:rsidRPr="002C4025">
                              <w:rPr>
                                <w:rFonts w:cstheme="minorHAnsi"/>
                                <w:color w:val="000000"/>
                                <w:sz w:val="20"/>
                                <w:szCs w:val="20"/>
                              </w:rPr>
                              <w:t xml:space="preserve"> </w:t>
                            </w:r>
                            <w:r w:rsidRPr="002C4025">
                              <w:rPr>
                                <w:rFonts w:ascii="Calibri Light" w:hAnsi="Calibri Light" w:cs="Calibri Light"/>
                                <w:sz w:val="18"/>
                                <w:szCs w:val="18"/>
                                <w:lang w:val="en-AU"/>
                              </w:rPr>
                              <w:t>AIPJ2 and its civil society partners sensitively lobbied the MA to implement changes. This lobbying included peer-to-peer exchange between the MA and the Family Court of Australia, enabling confidential discussions about how to progress reform. It also included sensitive presentation of analysis by the Indonesian Judicial Monitoring Society (</w:t>
                            </w:r>
                            <w:r w:rsidRPr="002C4025">
                              <w:rPr>
                                <w:rFonts w:ascii="Calibri Light" w:hAnsi="Calibri Light"/>
                                <w:bCs/>
                                <w:sz w:val="18"/>
                                <w:szCs w:val="28"/>
                                <w:lang w:val="en-AU"/>
                              </w:rPr>
                              <w:t>MaPPI</w:t>
                            </w:r>
                            <w:r w:rsidRPr="002C4025">
                              <w:rPr>
                                <w:rFonts w:ascii="Calibri Light" w:hAnsi="Calibri Light" w:cs="Calibri Light"/>
                                <w:bCs/>
                                <w:sz w:val="18"/>
                                <w:szCs w:val="18"/>
                                <w:lang w:val="en-AU"/>
                              </w:rPr>
                              <w:t>)</w:t>
                            </w:r>
                            <w:r w:rsidRPr="002C4025">
                              <w:rPr>
                                <w:rFonts w:ascii="Calibri Light" w:hAnsi="Calibri Light" w:cs="Calibri Light"/>
                                <w:sz w:val="18"/>
                                <w:szCs w:val="18"/>
                                <w:lang w:val="en-AU"/>
                              </w:rPr>
                              <w:t xml:space="preserve"> of 197 judicial decisions in sexual violence cases that confirmed:</w:t>
                            </w:r>
                          </w:p>
                          <w:p w14:paraId="60B03FA0" w14:textId="77777777" w:rsidR="00172B2A" w:rsidRPr="002C4025" w:rsidRDefault="00172B2A" w:rsidP="00B015C8">
                            <w:pPr>
                              <w:shd w:val="clear" w:color="auto" w:fill="E7E6E6" w:themeFill="background2"/>
                              <w:spacing w:line="240" w:lineRule="auto"/>
                              <w:ind w:left="720" w:right="477"/>
                              <w:jc w:val="both"/>
                              <w:rPr>
                                <w:rFonts w:asciiTheme="majorHAnsi" w:hAnsiTheme="majorHAnsi" w:cstheme="majorHAnsi"/>
                                <w:sz w:val="18"/>
                                <w:szCs w:val="18"/>
                                <w:lang w:val="en-AU"/>
                              </w:rPr>
                            </w:pPr>
                            <w:r w:rsidRPr="002C4025">
                              <w:rPr>
                                <w:rFonts w:asciiTheme="majorHAnsi" w:hAnsiTheme="majorHAnsi"/>
                                <w:sz w:val="18"/>
                                <w:szCs w:val="28"/>
                                <w:lang w:val="en-AU"/>
                              </w:rPr>
                              <w:t xml:space="preserve">judges routinely gave more lenient punishments to perpetrators in cases where female </w:t>
                            </w:r>
                            <w:r w:rsidRPr="002C4025">
                              <w:rPr>
                                <w:rFonts w:asciiTheme="majorHAnsi" w:hAnsiTheme="majorHAnsi" w:cstheme="majorHAnsi"/>
                                <w:sz w:val="18"/>
                                <w:szCs w:val="18"/>
                                <w:lang w:val="en-AU"/>
                              </w:rPr>
                              <w:t>victims were wearing 'provocative clothing', engaging in 'immoral behaviour' or even walking alone at night…[or]…. based on the sexual history of the victims, reflecting a view that many judges were not focused on the nature of the criminal act itself, but were blaming the female victim.</w:t>
                            </w:r>
                            <w:r w:rsidRPr="002C4025">
                              <w:rPr>
                                <w:rStyle w:val="FootnoteReference"/>
                                <w:rFonts w:asciiTheme="majorHAnsi" w:hAnsiTheme="majorHAnsi" w:cstheme="majorHAnsi"/>
                                <w:sz w:val="22"/>
                                <w:szCs w:val="22"/>
                                <w:lang w:val="en-AU"/>
                              </w:rPr>
                              <w:footnoteRef/>
                            </w:r>
                          </w:p>
                          <w:p w14:paraId="6485CEF0" w14:textId="4775409C" w:rsidR="00172B2A" w:rsidRPr="002C4025" w:rsidRDefault="00172B2A" w:rsidP="00B015C8">
                            <w:pPr>
                              <w:pStyle w:val="ListParagraph"/>
                              <w:shd w:val="clear" w:color="auto" w:fill="E7E6E6" w:themeFill="background2"/>
                              <w:tabs>
                                <w:tab w:val="left" w:pos="567"/>
                              </w:tabs>
                              <w:spacing w:line="274" w:lineRule="auto"/>
                              <w:ind w:left="0"/>
                              <w:contextualSpacing w:val="0"/>
                              <w:rPr>
                                <w:rFonts w:ascii="Calibri Light" w:hAnsi="Calibri Light" w:cs="Calibri Light"/>
                                <w:sz w:val="18"/>
                                <w:szCs w:val="18"/>
                                <w:lang w:val="en-AU"/>
                              </w:rPr>
                            </w:pPr>
                            <w:r w:rsidRPr="002C4025">
                              <w:rPr>
                                <w:rFonts w:ascii="Calibri Light" w:hAnsi="Calibri Light" w:cs="Calibri Light"/>
                                <w:sz w:val="18"/>
                                <w:szCs w:val="18"/>
                                <w:lang w:val="en-AU"/>
                              </w:rPr>
                              <w:t xml:space="preserve">AIPJ2 facilitated a participatory drafting process, convening the MA Women and Children Working Group to draft the regulation and sourcing the expertise required to inform the process. AIPJ2 also encouraged the MA to hold a public consultation on the draft regulation, which took place on 12 June 2017 with broad involvement from civil society, government, religious leaders and law enforcement. As a result, important changes to the regulation were made, including the provision that culture, customary rules and traditional practices were not grounds for justifying discrimination against women. AIPJ2 also supported the Supreme Court in publishing a guidebook for judges to implement the regulation, known as the Perma Supplementary. </w:t>
                            </w:r>
                          </w:p>
                          <w:p w14:paraId="17BEC023" w14:textId="0E435A3C" w:rsidR="00172B2A" w:rsidRPr="001B0917" w:rsidRDefault="00172B2A" w:rsidP="00B015C8">
                            <w:pPr>
                              <w:shd w:val="clear" w:color="auto" w:fill="E7E6E6" w:themeFill="background2"/>
                              <w:rPr>
                                <w:rFonts w:ascii="Calibri Light" w:hAnsi="Calibri Light" w:cs="Calibri Light"/>
                                <w:sz w:val="18"/>
                                <w:szCs w:val="18"/>
                                <w:lang w:val="en-AU"/>
                              </w:rPr>
                            </w:pPr>
                            <w:r w:rsidRPr="002C4025">
                              <w:rPr>
                                <w:rFonts w:ascii="Calibri Light" w:hAnsi="Calibri Light" w:cs="Calibri Light"/>
                                <w:sz w:val="18"/>
                                <w:szCs w:val="18"/>
                                <w:lang w:val="en-AU"/>
                              </w:rPr>
                              <w:t xml:space="preserve">To promote implementation of the regulation, AIPJ2 has conducted socialisation and training for judges and is supporting – through the MA Working Group – the use and publication of more detailed monitoring and reporting on women and children in contact with the law – for instance through systematically collecting data on trends on outcomes for women and girls by case type. AIPJ2 is also supporting MaPPI and Indonesian university partners to conduct further analysis of judicial decisions, including by machine reading, to determine the extent to which judgments of the MA adhere to the principles in Perma 3/2017 (and whether any modifications to the regulation are needed). </w:t>
                            </w:r>
                            <w:r>
                              <w:rPr>
                                <w:rFonts w:ascii="Calibri Light" w:hAnsi="Calibri Light" w:cs="Calibri Light"/>
                                <w:sz w:val="18"/>
                                <w:szCs w:val="18"/>
                                <w:lang w:val="en-AU"/>
                              </w:rPr>
                              <w:t xml:space="preserve"> Beyond that, c</w:t>
                            </w:r>
                            <w:r w:rsidRPr="002C4025">
                              <w:rPr>
                                <w:rFonts w:ascii="Calibri Light" w:hAnsi="Calibri Light" w:cs="Calibri Light"/>
                                <w:sz w:val="18"/>
                                <w:szCs w:val="18"/>
                                <w:lang w:val="en-AU"/>
                              </w:rPr>
                              <w:t xml:space="preserve">ommentators have </w:t>
                            </w:r>
                            <w:r>
                              <w:rPr>
                                <w:rFonts w:ascii="Calibri Light" w:hAnsi="Calibri Light" w:cs="Calibri Light"/>
                                <w:sz w:val="18"/>
                                <w:szCs w:val="18"/>
                                <w:lang w:val="en-AU"/>
                              </w:rPr>
                              <w:t>identified the need to embed t</w:t>
                            </w:r>
                            <w:r w:rsidRPr="001B0917">
                              <w:rPr>
                                <w:rFonts w:ascii="Calibri Light" w:hAnsi="Calibri Light" w:cs="Calibri Light"/>
                                <w:sz w:val="18"/>
                                <w:szCs w:val="18"/>
                                <w:lang w:val="en-AU"/>
                              </w:rPr>
                              <w:t>he substance of the Perma with</w:t>
                            </w:r>
                            <w:r>
                              <w:rPr>
                                <w:rFonts w:ascii="Calibri Light" w:hAnsi="Calibri Light" w:cs="Calibri Light"/>
                                <w:sz w:val="18"/>
                                <w:szCs w:val="18"/>
                                <w:lang w:val="en-AU"/>
                              </w:rPr>
                              <w:t>in</w:t>
                            </w:r>
                            <w:r w:rsidRPr="001B0917">
                              <w:rPr>
                                <w:rFonts w:ascii="Calibri Light" w:hAnsi="Calibri Light" w:cs="Calibri Light"/>
                                <w:sz w:val="18"/>
                                <w:szCs w:val="18"/>
                                <w:lang w:val="en-AU"/>
                              </w:rPr>
                              <w:t xml:space="preserve"> current system</w:t>
                            </w:r>
                            <w:r>
                              <w:rPr>
                                <w:rFonts w:ascii="Calibri Light" w:hAnsi="Calibri Light" w:cs="Calibri Light"/>
                                <w:sz w:val="18"/>
                                <w:szCs w:val="18"/>
                                <w:lang w:val="en-AU"/>
                              </w:rPr>
                              <w:t>s</w:t>
                            </w:r>
                            <w:r w:rsidRPr="001B0917">
                              <w:rPr>
                                <w:rFonts w:ascii="Calibri Light" w:hAnsi="Calibri Light" w:cs="Calibri Light"/>
                                <w:sz w:val="18"/>
                                <w:szCs w:val="18"/>
                                <w:lang w:val="en-AU"/>
                              </w:rPr>
                              <w:t xml:space="preserve"> and structure</w:t>
                            </w:r>
                            <w:r>
                              <w:rPr>
                                <w:rFonts w:ascii="Calibri Light" w:hAnsi="Calibri Light" w:cs="Calibri Light"/>
                                <w:sz w:val="18"/>
                                <w:szCs w:val="18"/>
                                <w:lang w:val="en-AU"/>
                              </w:rPr>
                              <w:t>s</w:t>
                            </w:r>
                            <w:r w:rsidRPr="001B0917">
                              <w:rPr>
                                <w:rFonts w:ascii="Calibri Light" w:hAnsi="Calibri Light" w:cs="Calibri Light"/>
                                <w:sz w:val="18"/>
                                <w:szCs w:val="18"/>
                                <w:lang w:val="en-AU"/>
                              </w:rPr>
                              <w:t xml:space="preserve"> </w:t>
                            </w:r>
                            <w:r>
                              <w:rPr>
                                <w:rFonts w:ascii="Calibri Light" w:hAnsi="Calibri Light" w:cs="Calibri Light"/>
                                <w:sz w:val="18"/>
                                <w:szCs w:val="18"/>
                                <w:lang w:val="en-AU"/>
                              </w:rPr>
                              <w:t>for</w:t>
                            </w:r>
                            <w:r w:rsidRPr="001B0917">
                              <w:rPr>
                                <w:rFonts w:ascii="Calibri Light" w:hAnsi="Calibri Light" w:cs="Calibri Light"/>
                                <w:sz w:val="18"/>
                                <w:szCs w:val="18"/>
                                <w:lang w:val="en-AU"/>
                              </w:rPr>
                              <w:t xml:space="preserve"> monitoring and supervision of judicial conduct</w:t>
                            </w:r>
                            <w:r>
                              <w:rPr>
                                <w:rFonts w:ascii="Calibri Light" w:hAnsi="Calibri Light" w:cs="Calibri Light"/>
                                <w:sz w:val="18"/>
                                <w:szCs w:val="18"/>
                                <w:lang w:val="en-AU"/>
                              </w:rPr>
                              <w:t xml:space="preserve"> – to provide the means of challenge in cases where the Perma is violated. </w:t>
                            </w:r>
                          </w:p>
                          <w:p w14:paraId="7C60CA04" w14:textId="7DD10435" w:rsidR="00172B2A" w:rsidRPr="002C4025" w:rsidRDefault="00172B2A" w:rsidP="00B015C8">
                            <w:pPr>
                              <w:shd w:val="clear" w:color="auto" w:fill="E7E6E6" w:themeFill="background2"/>
                              <w:spacing w:after="0"/>
                              <w:rPr>
                                <w:rFonts w:ascii="Calibri Light" w:hAnsi="Calibri Light" w:cs="Calibri Light"/>
                                <w:sz w:val="18"/>
                                <w:szCs w:val="18"/>
                                <w:lang w:val="en-AU"/>
                              </w:rPr>
                            </w:pPr>
                            <w:r w:rsidRPr="002C4025">
                              <w:rPr>
                                <w:rFonts w:ascii="Calibri Light" w:hAnsi="Calibri Light" w:cs="Calibri Light"/>
                                <w:sz w:val="18"/>
                                <w:szCs w:val="18"/>
                                <w:lang w:val="en-AU"/>
                              </w:rPr>
                              <w:t xml:space="preserve"> there is scope to include aspects of the Perma in both the Code of Ethics and Code of Conduct for Judges. </w:t>
                            </w:r>
                          </w:p>
                          <w:p w14:paraId="2832ECD2" w14:textId="6B434B67" w:rsidR="00172B2A" w:rsidRPr="002C4025" w:rsidRDefault="00172B2A" w:rsidP="00B015C8">
                            <w:pPr>
                              <w:shd w:val="clear" w:color="auto" w:fill="E7E6E6" w:themeFill="background2"/>
                              <w:spacing w:after="0"/>
                              <w:rPr>
                                <w:rFonts w:ascii="Calibri Light" w:hAnsi="Calibri Light" w:cs="Calibri Light"/>
                                <w:sz w:val="18"/>
                                <w:szCs w:val="18"/>
                                <w:lang w:val="en-AU"/>
                              </w:rPr>
                            </w:pPr>
                            <w:r w:rsidRPr="002C4025">
                              <w:rPr>
                                <w:rFonts w:ascii="Calibri Light" w:hAnsi="Calibri Light" w:cs="Calibri Light"/>
                                <w:sz w:val="18"/>
                                <w:szCs w:val="18"/>
                                <w:lang w:val="en-AU"/>
                              </w:rPr>
                              <w:t xml:space="preserve">AIPJ2 is hoping to extend its work on women in contact with the law to the Indonesian National Policy and Attorney General’s Office to improve the treatment that women receive across the justice chain.  </w:t>
                            </w:r>
                          </w:p>
                          <w:p w14:paraId="44B40762" w14:textId="77777777" w:rsidR="00172B2A" w:rsidRPr="002C4025" w:rsidRDefault="00172B2A" w:rsidP="00B015C8">
                            <w:pPr>
                              <w:shd w:val="clear" w:color="auto" w:fill="E7E6E6" w:themeFill="background2"/>
                              <w:spacing w:before="0" w:after="0"/>
                              <w:rPr>
                                <w:rFonts w:ascii="Calibri Light" w:hAnsi="Calibri Light" w:cs="Calibri Light"/>
                                <w:sz w:val="13"/>
                                <w:szCs w:val="13"/>
                              </w:rPr>
                            </w:pPr>
                            <w:r w:rsidRPr="002C4025">
                              <w:rPr>
                                <w:rFonts w:ascii="Calibri Light" w:hAnsi="Calibri Light" w:cs="Calibri Light"/>
                                <w:sz w:val="13"/>
                                <w:szCs w:val="13"/>
                              </w:rPr>
                              <w:t>____________________________</w:t>
                            </w:r>
                          </w:p>
                          <w:p w14:paraId="498C254D" w14:textId="77777777" w:rsidR="00172B2A" w:rsidRPr="002C4025" w:rsidRDefault="00172B2A" w:rsidP="00B015C8">
                            <w:pPr>
                              <w:pStyle w:val="ListParagraph"/>
                              <w:numPr>
                                <w:ilvl w:val="0"/>
                                <w:numId w:val="9"/>
                              </w:numPr>
                              <w:shd w:val="clear" w:color="auto" w:fill="E7E6E6" w:themeFill="background2"/>
                              <w:tabs>
                                <w:tab w:val="num" w:pos="360"/>
                              </w:tabs>
                              <w:ind w:left="284" w:hanging="284"/>
                              <w:rPr>
                                <w:rFonts w:ascii="Calibri Light" w:hAnsi="Calibri Light" w:cs="Calibri Light"/>
                                <w:sz w:val="16"/>
                                <w:szCs w:val="16"/>
                              </w:rPr>
                            </w:pPr>
                            <w:r w:rsidRPr="002C4025">
                              <w:rPr>
                                <w:rFonts w:ascii="Calibri Light" w:hAnsi="Calibri Light" w:cs="Calibri Light"/>
                                <w:sz w:val="16"/>
                                <w:szCs w:val="16"/>
                                <w:lang w:val="en-AU"/>
                              </w:rPr>
                              <w:t>AIPJ2 (2018) ‘Significant Policy Change - Supreme Court Regulation 3/2017 Women in Contact with the Law – Promoting Gender Equality and Non-Discrimination in the Courts.’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A17FE" id="_x0000_t202" coordsize="21600,21600" o:spt="202" path="m,l,21600r21600,l21600,xe">
                <v:stroke joinstyle="miter"/>
                <v:path gradientshapeok="t" o:connecttype="rect"/>
              </v:shapetype>
              <v:shape id="Text Box 11" o:spid="_x0000_s1026" type="#_x0000_t202" style="position:absolute;left:0;text-align:left;margin-left:-7.25pt;margin-top:2.5pt;width:478.3pt;height:45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" fillcolor="#e7e6e6 [3214]" strokeweight=".5pt">
                <v:textbox>
                  <w:txbxContent>
                    <w:p w14:paraId="2210DC36" w14:textId="266426B6" w:rsidR="00172B2A" w:rsidRPr="002C4025" w:rsidRDefault="00172B2A" w:rsidP="00B015C8">
                      <w:pPr>
                        <w:shd w:val="clear" w:color="auto" w:fill="E7E6E6" w:themeFill="background2"/>
                        <w:rPr>
                          <w:rFonts w:ascii="Calibri Light" w:hAnsi="Calibri Light" w:cs="Calibri Light"/>
                          <w:b/>
                          <w:bCs/>
                          <w:sz w:val="22"/>
                          <w:szCs w:val="22"/>
                          <w:lang w:val="en-AU"/>
                        </w:rPr>
                      </w:pPr>
                      <w:r w:rsidRPr="002C4025">
                        <w:rPr>
                          <w:rFonts w:cstheme="minorHAnsi"/>
                          <w:b/>
                          <w:bCs/>
                          <w:i/>
                          <w:iCs/>
                          <w:color w:val="4472C4" w:themeColor="accent1"/>
                          <w:sz w:val="22"/>
                          <w:szCs w:val="22"/>
                        </w:rPr>
                        <w:t>Box 3:</w:t>
                      </w:r>
                      <w:r w:rsidRPr="002C4025">
                        <w:rPr>
                          <w:rFonts w:ascii="Calibri Light" w:hAnsi="Calibri Light" w:cs="Calibri Light"/>
                          <w:b/>
                          <w:bCs/>
                          <w:color w:val="4472C4" w:themeColor="accent1"/>
                          <w:sz w:val="22"/>
                          <w:szCs w:val="22"/>
                        </w:rPr>
                        <w:t xml:space="preserve"> </w:t>
                      </w:r>
                      <w:r w:rsidRPr="002C4025">
                        <w:rPr>
                          <w:rFonts w:ascii="Calibri Light" w:hAnsi="Calibri Light" w:cs="Calibri Light"/>
                          <w:b/>
                          <w:bCs/>
                          <w:sz w:val="22"/>
                          <w:szCs w:val="22"/>
                          <w:lang w:val="en-AU"/>
                        </w:rPr>
                        <w:t>Perma 3/2017</w:t>
                      </w:r>
                    </w:p>
                    <w:p w14:paraId="7BDCCCF8" w14:textId="478ABFF5" w:rsidR="00172B2A" w:rsidRPr="002C4025" w:rsidRDefault="00172B2A" w:rsidP="00B015C8">
                      <w:pPr>
                        <w:pStyle w:val="ListParagraph"/>
                        <w:shd w:val="clear" w:color="auto" w:fill="E7E6E6" w:themeFill="background2"/>
                        <w:tabs>
                          <w:tab w:val="left" w:pos="567"/>
                        </w:tabs>
                        <w:spacing w:line="274" w:lineRule="auto"/>
                        <w:ind w:left="0"/>
                        <w:contextualSpacing w:val="0"/>
                        <w:rPr>
                          <w:rFonts w:ascii="Calibri Light" w:hAnsi="Calibri Light" w:cs="Calibri Light"/>
                          <w:sz w:val="18"/>
                          <w:szCs w:val="18"/>
                          <w:lang w:val="en-AU"/>
                        </w:rPr>
                      </w:pPr>
                      <w:r w:rsidRPr="002C4025">
                        <w:rPr>
                          <w:rFonts w:ascii="Calibri Light" w:hAnsi="Calibri Light" w:cs="Calibri Light"/>
                          <w:sz w:val="18"/>
                          <w:szCs w:val="18"/>
                          <w:lang w:val="en-AU"/>
                        </w:rPr>
                        <w:t xml:space="preserve">The Perma 3/2017 provides guidance to judges on expected behaviours when dealing with women in the court and sensitising them to discriminatory practices.  Building on engagement with the Supreme Court (MA) under AIPJ1 (and earlier), AIPJ2 supported the establishment in 2016 of the MA Working Group on Women and Children. </w:t>
                      </w:r>
                      <w:r w:rsidRPr="002C4025">
                        <w:rPr>
                          <w:rFonts w:ascii="Calibri Light" w:hAnsi="Calibri Light"/>
                          <w:sz w:val="18"/>
                          <w:szCs w:val="28"/>
                          <w:lang w:val="en-AU"/>
                        </w:rPr>
                        <w:t xml:space="preserve">The Working Group </w:t>
                      </w:r>
                      <w:r w:rsidRPr="002C4025">
                        <w:rPr>
                          <w:rFonts w:asciiTheme="majorHAnsi" w:hAnsiTheme="majorHAnsi"/>
                          <w:color w:val="000000"/>
                          <w:sz w:val="18"/>
                          <w:szCs w:val="28"/>
                        </w:rPr>
                        <w:t>prepare</w:t>
                      </w:r>
                      <w:r w:rsidRPr="002C4025">
                        <w:rPr>
                          <w:color w:val="000000"/>
                          <w:sz w:val="18"/>
                          <w:szCs w:val="28"/>
                        </w:rPr>
                        <w:t>s</w:t>
                      </w:r>
                      <w:r w:rsidRPr="002C4025">
                        <w:rPr>
                          <w:rFonts w:asciiTheme="majorHAnsi" w:hAnsiTheme="majorHAnsi"/>
                          <w:color w:val="000000"/>
                          <w:sz w:val="18"/>
                          <w:szCs w:val="28"/>
                        </w:rPr>
                        <w:t xml:space="preserve"> policies for the consideration of the Chief Justice to improve the ability of the </w:t>
                      </w:r>
                      <w:r w:rsidRPr="002C4025">
                        <w:rPr>
                          <w:rFonts w:cstheme="minorHAnsi"/>
                          <w:color w:val="000000"/>
                          <w:sz w:val="18"/>
                          <w:szCs w:val="18"/>
                        </w:rPr>
                        <w:t>MA</w:t>
                      </w:r>
                      <w:r w:rsidRPr="002C4025">
                        <w:rPr>
                          <w:rFonts w:asciiTheme="majorHAnsi" w:hAnsiTheme="majorHAnsi"/>
                          <w:color w:val="000000"/>
                          <w:sz w:val="18"/>
                          <w:szCs w:val="28"/>
                        </w:rPr>
                        <w:t xml:space="preserve"> to handle the legal issues facing women and children and a schedule of training on key legislation for judges.</w:t>
                      </w:r>
                      <w:r w:rsidRPr="002C4025">
                        <w:rPr>
                          <w:rFonts w:cstheme="minorHAnsi"/>
                          <w:color w:val="000000"/>
                          <w:sz w:val="20"/>
                          <w:szCs w:val="20"/>
                        </w:rPr>
                        <w:t xml:space="preserve"> </w:t>
                      </w:r>
                      <w:r w:rsidRPr="002C4025">
                        <w:rPr>
                          <w:rFonts w:ascii="Calibri Light" w:hAnsi="Calibri Light" w:cs="Calibri Light"/>
                          <w:sz w:val="18"/>
                          <w:szCs w:val="18"/>
                          <w:lang w:val="en-AU"/>
                        </w:rPr>
                        <w:t>AIPJ2 and its civil society partners sensitively lobbied the MA to implement changes. This lobbying included peer-to-peer exchange between the MA and the Family Court of Australia, enabling confidential discussions about how to progress reform. It also included sensitive presentation of analysis by the Indonesian Judicial Monitoring Society (</w:t>
                      </w:r>
                      <w:r w:rsidRPr="002C4025">
                        <w:rPr>
                          <w:rFonts w:ascii="Calibri Light" w:hAnsi="Calibri Light"/>
                          <w:bCs/>
                          <w:sz w:val="18"/>
                          <w:szCs w:val="28"/>
                          <w:lang w:val="en-AU"/>
                        </w:rPr>
                        <w:t>MaPPI</w:t>
                      </w:r>
                      <w:r w:rsidRPr="002C4025">
                        <w:rPr>
                          <w:rFonts w:ascii="Calibri Light" w:hAnsi="Calibri Light" w:cs="Calibri Light"/>
                          <w:bCs/>
                          <w:sz w:val="18"/>
                          <w:szCs w:val="18"/>
                          <w:lang w:val="en-AU"/>
                        </w:rPr>
                        <w:t>)</w:t>
                      </w:r>
                      <w:r w:rsidRPr="002C4025">
                        <w:rPr>
                          <w:rFonts w:ascii="Calibri Light" w:hAnsi="Calibri Light" w:cs="Calibri Light"/>
                          <w:sz w:val="18"/>
                          <w:szCs w:val="18"/>
                          <w:lang w:val="en-AU"/>
                        </w:rPr>
                        <w:t xml:space="preserve"> of 197 judicial decisions in sexual violence cases that confirmed:</w:t>
                      </w:r>
                    </w:p>
                    <w:p w14:paraId="60B03FA0" w14:textId="77777777" w:rsidR="00172B2A" w:rsidRPr="002C4025" w:rsidRDefault="00172B2A" w:rsidP="00B015C8">
                      <w:pPr>
                        <w:shd w:val="clear" w:color="auto" w:fill="E7E6E6" w:themeFill="background2"/>
                        <w:spacing w:line="240" w:lineRule="auto"/>
                        <w:ind w:left="720" w:right="477"/>
                        <w:jc w:val="both"/>
                        <w:rPr>
                          <w:rFonts w:asciiTheme="majorHAnsi" w:hAnsiTheme="majorHAnsi" w:cstheme="majorHAnsi"/>
                          <w:sz w:val="18"/>
                          <w:szCs w:val="18"/>
                          <w:lang w:val="en-AU"/>
                        </w:rPr>
                      </w:pPr>
                      <w:r w:rsidRPr="002C4025">
                        <w:rPr>
                          <w:rFonts w:asciiTheme="majorHAnsi" w:hAnsiTheme="majorHAnsi"/>
                          <w:sz w:val="18"/>
                          <w:szCs w:val="28"/>
                          <w:lang w:val="en-AU"/>
                        </w:rPr>
                        <w:t xml:space="preserve">judges routinely gave more lenient punishments to perpetrators in cases where female </w:t>
                      </w:r>
                      <w:r w:rsidRPr="002C4025">
                        <w:rPr>
                          <w:rFonts w:asciiTheme="majorHAnsi" w:hAnsiTheme="majorHAnsi" w:cstheme="majorHAnsi"/>
                          <w:sz w:val="18"/>
                          <w:szCs w:val="18"/>
                          <w:lang w:val="en-AU"/>
                        </w:rPr>
                        <w:t>victims were wearing 'provocative clothing', engaging in 'immoral behaviour' or even walking alone at night…[or]…. based on the sexual history of the victims, reflecting a view that many judges were not focused on the nature of the criminal act itself, but were blaming the female victim.</w:t>
                      </w:r>
                      <w:r w:rsidRPr="002C4025">
                        <w:rPr>
                          <w:rStyle w:val="FootnoteReference"/>
                          <w:rFonts w:asciiTheme="majorHAnsi" w:hAnsiTheme="majorHAnsi" w:cstheme="majorHAnsi"/>
                          <w:sz w:val="22"/>
                          <w:szCs w:val="22"/>
                          <w:lang w:val="en-AU"/>
                        </w:rPr>
                        <w:footnoteRef/>
                      </w:r>
                    </w:p>
                    <w:p w14:paraId="6485CEF0" w14:textId="4775409C" w:rsidR="00172B2A" w:rsidRPr="002C4025" w:rsidRDefault="00172B2A" w:rsidP="00B015C8">
                      <w:pPr>
                        <w:pStyle w:val="ListParagraph"/>
                        <w:shd w:val="clear" w:color="auto" w:fill="E7E6E6" w:themeFill="background2"/>
                        <w:tabs>
                          <w:tab w:val="left" w:pos="567"/>
                        </w:tabs>
                        <w:spacing w:line="274" w:lineRule="auto"/>
                        <w:ind w:left="0"/>
                        <w:contextualSpacing w:val="0"/>
                        <w:rPr>
                          <w:rFonts w:ascii="Calibri Light" w:hAnsi="Calibri Light" w:cs="Calibri Light"/>
                          <w:sz w:val="18"/>
                          <w:szCs w:val="18"/>
                          <w:lang w:val="en-AU"/>
                        </w:rPr>
                      </w:pPr>
                      <w:r w:rsidRPr="002C4025">
                        <w:rPr>
                          <w:rFonts w:ascii="Calibri Light" w:hAnsi="Calibri Light" w:cs="Calibri Light"/>
                          <w:sz w:val="18"/>
                          <w:szCs w:val="18"/>
                          <w:lang w:val="en-AU"/>
                        </w:rPr>
                        <w:t xml:space="preserve">AIPJ2 facilitated a participatory drafting process, convening the MA Women and Children Working Group to draft the regulation and sourcing the expertise required to inform the process. AIPJ2 also encouraged the MA to hold a public consultation on the draft regulation, which took place on 12 June 2017 with broad involvement from civil society, government, religious leaders and law enforcement. As a result, important changes to the regulation were made, including the provision that culture, customary rules and traditional practices were not grounds for justifying discrimination against women. AIPJ2 also supported the Supreme Court in publishing a guidebook for judges to implement the regulation, known as the Perma Supplementary. </w:t>
                      </w:r>
                    </w:p>
                    <w:p w14:paraId="17BEC023" w14:textId="0E435A3C" w:rsidR="00172B2A" w:rsidRPr="001B0917" w:rsidRDefault="00172B2A" w:rsidP="00B015C8">
                      <w:pPr>
                        <w:shd w:val="clear" w:color="auto" w:fill="E7E6E6" w:themeFill="background2"/>
                        <w:rPr>
                          <w:rFonts w:ascii="Calibri Light" w:hAnsi="Calibri Light" w:cs="Calibri Light"/>
                          <w:sz w:val="18"/>
                          <w:szCs w:val="18"/>
                          <w:lang w:val="en-AU"/>
                        </w:rPr>
                      </w:pPr>
                      <w:r w:rsidRPr="002C4025">
                        <w:rPr>
                          <w:rFonts w:ascii="Calibri Light" w:hAnsi="Calibri Light" w:cs="Calibri Light"/>
                          <w:sz w:val="18"/>
                          <w:szCs w:val="18"/>
                          <w:lang w:val="en-AU"/>
                        </w:rPr>
                        <w:t xml:space="preserve">To promote implementation of the regulation, AIPJ2 has conducted socialisation and training for judges and is supporting – through the MA Working Group – the use and publication of more detailed monitoring and reporting on women and children in contact with the law – for instance through systematically collecting data on trends on outcomes for women and girls by case type. AIPJ2 is also supporting MaPPI and Indonesian university partners to conduct further analysis of judicial decisions, including by machine reading, to determine the extent to which judgments of the MA adhere to the principles in Perma 3/2017 (and whether any modifications to the regulation are needed). </w:t>
                      </w:r>
                      <w:r>
                        <w:rPr>
                          <w:rFonts w:ascii="Calibri Light" w:hAnsi="Calibri Light" w:cs="Calibri Light"/>
                          <w:sz w:val="18"/>
                          <w:szCs w:val="18"/>
                          <w:lang w:val="en-AU"/>
                        </w:rPr>
                        <w:t xml:space="preserve"> Beyond that, c</w:t>
                      </w:r>
                      <w:r w:rsidRPr="002C4025">
                        <w:rPr>
                          <w:rFonts w:ascii="Calibri Light" w:hAnsi="Calibri Light" w:cs="Calibri Light"/>
                          <w:sz w:val="18"/>
                          <w:szCs w:val="18"/>
                          <w:lang w:val="en-AU"/>
                        </w:rPr>
                        <w:t xml:space="preserve">ommentators have </w:t>
                      </w:r>
                      <w:r>
                        <w:rPr>
                          <w:rFonts w:ascii="Calibri Light" w:hAnsi="Calibri Light" w:cs="Calibri Light"/>
                          <w:sz w:val="18"/>
                          <w:szCs w:val="18"/>
                          <w:lang w:val="en-AU"/>
                        </w:rPr>
                        <w:t>identified the need to embed t</w:t>
                      </w:r>
                      <w:r w:rsidRPr="001B0917">
                        <w:rPr>
                          <w:rFonts w:ascii="Calibri Light" w:hAnsi="Calibri Light" w:cs="Calibri Light"/>
                          <w:sz w:val="18"/>
                          <w:szCs w:val="18"/>
                          <w:lang w:val="en-AU"/>
                        </w:rPr>
                        <w:t>he substance of the Perma with</w:t>
                      </w:r>
                      <w:r>
                        <w:rPr>
                          <w:rFonts w:ascii="Calibri Light" w:hAnsi="Calibri Light" w:cs="Calibri Light"/>
                          <w:sz w:val="18"/>
                          <w:szCs w:val="18"/>
                          <w:lang w:val="en-AU"/>
                        </w:rPr>
                        <w:t>in</w:t>
                      </w:r>
                      <w:r w:rsidRPr="001B0917">
                        <w:rPr>
                          <w:rFonts w:ascii="Calibri Light" w:hAnsi="Calibri Light" w:cs="Calibri Light"/>
                          <w:sz w:val="18"/>
                          <w:szCs w:val="18"/>
                          <w:lang w:val="en-AU"/>
                        </w:rPr>
                        <w:t xml:space="preserve"> current system</w:t>
                      </w:r>
                      <w:r>
                        <w:rPr>
                          <w:rFonts w:ascii="Calibri Light" w:hAnsi="Calibri Light" w:cs="Calibri Light"/>
                          <w:sz w:val="18"/>
                          <w:szCs w:val="18"/>
                          <w:lang w:val="en-AU"/>
                        </w:rPr>
                        <w:t>s</w:t>
                      </w:r>
                      <w:r w:rsidRPr="001B0917">
                        <w:rPr>
                          <w:rFonts w:ascii="Calibri Light" w:hAnsi="Calibri Light" w:cs="Calibri Light"/>
                          <w:sz w:val="18"/>
                          <w:szCs w:val="18"/>
                          <w:lang w:val="en-AU"/>
                        </w:rPr>
                        <w:t xml:space="preserve"> and structure</w:t>
                      </w:r>
                      <w:r>
                        <w:rPr>
                          <w:rFonts w:ascii="Calibri Light" w:hAnsi="Calibri Light" w:cs="Calibri Light"/>
                          <w:sz w:val="18"/>
                          <w:szCs w:val="18"/>
                          <w:lang w:val="en-AU"/>
                        </w:rPr>
                        <w:t>s</w:t>
                      </w:r>
                      <w:r w:rsidRPr="001B0917">
                        <w:rPr>
                          <w:rFonts w:ascii="Calibri Light" w:hAnsi="Calibri Light" w:cs="Calibri Light"/>
                          <w:sz w:val="18"/>
                          <w:szCs w:val="18"/>
                          <w:lang w:val="en-AU"/>
                        </w:rPr>
                        <w:t xml:space="preserve"> </w:t>
                      </w:r>
                      <w:r>
                        <w:rPr>
                          <w:rFonts w:ascii="Calibri Light" w:hAnsi="Calibri Light" w:cs="Calibri Light"/>
                          <w:sz w:val="18"/>
                          <w:szCs w:val="18"/>
                          <w:lang w:val="en-AU"/>
                        </w:rPr>
                        <w:t>for</w:t>
                      </w:r>
                      <w:r w:rsidRPr="001B0917">
                        <w:rPr>
                          <w:rFonts w:ascii="Calibri Light" w:hAnsi="Calibri Light" w:cs="Calibri Light"/>
                          <w:sz w:val="18"/>
                          <w:szCs w:val="18"/>
                          <w:lang w:val="en-AU"/>
                        </w:rPr>
                        <w:t xml:space="preserve"> monitoring and supervision of judicial conduct</w:t>
                      </w:r>
                      <w:r>
                        <w:rPr>
                          <w:rFonts w:ascii="Calibri Light" w:hAnsi="Calibri Light" w:cs="Calibri Light"/>
                          <w:sz w:val="18"/>
                          <w:szCs w:val="18"/>
                          <w:lang w:val="en-AU"/>
                        </w:rPr>
                        <w:t xml:space="preserve"> – to provide the means of challenge in cases where the Perma is violated. </w:t>
                      </w:r>
                    </w:p>
                    <w:p w14:paraId="7C60CA04" w14:textId="7DD10435" w:rsidR="00172B2A" w:rsidRPr="002C4025" w:rsidRDefault="00172B2A" w:rsidP="00B015C8">
                      <w:pPr>
                        <w:shd w:val="clear" w:color="auto" w:fill="E7E6E6" w:themeFill="background2"/>
                        <w:spacing w:after="0"/>
                        <w:rPr>
                          <w:rFonts w:ascii="Calibri Light" w:hAnsi="Calibri Light" w:cs="Calibri Light"/>
                          <w:sz w:val="18"/>
                          <w:szCs w:val="18"/>
                          <w:lang w:val="en-AU"/>
                        </w:rPr>
                      </w:pPr>
                      <w:r w:rsidRPr="002C4025">
                        <w:rPr>
                          <w:rFonts w:ascii="Calibri Light" w:hAnsi="Calibri Light" w:cs="Calibri Light"/>
                          <w:sz w:val="18"/>
                          <w:szCs w:val="18"/>
                          <w:lang w:val="en-AU"/>
                        </w:rPr>
                        <w:t xml:space="preserve"> there is scope to include aspects of the Perma in both the Code of Ethics and Code of Conduct for Judges. </w:t>
                      </w:r>
                    </w:p>
                    <w:p w14:paraId="2832ECD2" w14:textId="6B434B67" w:rsidR="00172B2A" w:rsidRPr="002C4025" w:rsidRDefault="00172B2A" w:rsidP="00B015C8">
                      <w:pPr>
                        <w:shd w:val="clear" w:color="auto" w:fill="E7E6E6" w:themeFill="background2"/>
                        <w:spacing w:after="0"/>
                        <w:rPr>
                          <w:rFonts w:ascii="Calibri Light" w:hAnsi="Calibri Light" w:cs="Calibri Light"/>
                          <w:sz w:val="18"/>
                          <w:szCs w:val="18"/>
                          <w:lang w:val="en-AU"/>
                        </w:rPr>
                      </w:pPr>
                      <w:r w:rsidRPr="002C4025">
                        <w:rPr>
                          <w:rFonts w:ascii="Calibri Light" w:hAnsi="Calibri Light" w:cs="Calibri Light"/>
                          <w:sz w:val="18"/>
                          <w:szCs w:val="18"/>
                          <w:lang w:val="en-AU"/>
                        </w:rPr>
                        <w:t xml:space="preserve">AIPJ2 is hoping to extend its work on women in contact with the law to the Indonesian National Policy and Attorney General’s Office to improve the treatment that women receive across the justice chain.  </w:t>
                      </w:r>
                    </w:p>
                    <w:p w14:paraId="44B40762" w14:textId="77777777" w:rsidR="00172B2A" w:rsidRPr="002C4025" w:rsidRDefault="00172B2A" w:rsidP="00B015C8">
                      <w:pPr>
                        <w:shd w:val="clear" w:color="auto" w:fill="E7E6E6" w:themeFill="background2"/>
                        <w:spacing w:before="0" w:after="0"/>
                        <w:rPr>
                          <w:rFonts w:ascii="Calibri Light" w:hAnsi="Calibri Light" w:cs="Calibri Light"/>
                          <w:sz w:val="13"/>
                          <w:szCs w:val="13"/>
                        </w:rPr>
                      </w:pPr>
                      <w:r w:rsidRPr="002C4025">
                        <w:rPr>
                          <w:rFonts w:ascii="Calibri Light" w:hAnsi="Calibri Light" w:cs="Calibri Light"/>
                          <w:sz w:val="13"/>
                          <w:szCs w:val="13"/>
                        </w:rPr>
                        <w:t>____________________________</w:t>
                      </w:r>
                    </w:p>
                    <w:p w14:paraId="498C254D" w14:textId="77777777" w:rsidR="00172B2A" w:rsidRPr="002C4025" w:rsidRDefault="00172B2A" w:rsidP="00B015C8">
                      <w:pPr>
                        <w:pStyle w:val="ListParagraph"/>
                        <w:numPr>
                          <w:ilvl w:val="0"/>
                          <w:numId w:val="9"/>
                        </w:numPr>
                        <w:shd w:val="clear" w:color="auto" w:fill="E7E6E6" w:themeFill="background2"/>
                        <w:tabs>
                          <w:tab w:val="num" w:pos="360"/>
                        </w:tabs>
                        <w:ind w:left="284" w:hanging="284"/>
                        <w:rPr>
                          <w:rFonts w:ascii="Calibri Light" w:hAnsi="Calibri Light" w:cs="Calibri Light"/>
                          <w:sz w:val="16"/>
                          <w:szCs w:val="16"/>
                        </w:rPr>
                      </w:pPr>
                      <w:r w:rsidRPr="002C4025">
                        <w:rPr>
                          <w:rFonts w:ascii="Calibri Light" w:hAnsi="Calibri Light" w:cs="Calibri Light"/>
                          <w:sz w:val="16"/>
                          <w:szCs w:val="16"/>
                          <w:lang w:val="en-AU"/>
                        </w:rPr>
                        <w:t>AIPJ2 (2018) ‘Significant Policy Change - Supreme Court Regulation 3/2017 Women in Contact with the Law – Promoting Gender Equality and Non-Discrimination in the Courts.’</w:t>
                      </w:r>
                    </w:p>
                  </w:txbxContent>
                </v:textbox>
                <w10:wrap type="square"/>
              </v:shape>
            </w:pict>
          </mc:Fallback>
        </mc:AlternateContent>
      </w:r>
      <w:r w:rsidR="00F419E7" w:rsidRPr="000A2712">
        <w:rPr>
          <w:rFonts w:ascii="Calibri Light" w:hAnsi="Calibri Light" w:cs="Calibri Light"/>
          <w:color w:val="000000" w:themeColor="text1"/>
          <w:sz w:val="22"/>
          <w:szCs w:val="22"/>
          <w:lang w:val="en-AU"/>
        </w:rPr>
        <w:t>The e-Court system</w:t>
      </w:r>
      <w:r w:rsidR="00A55220" w:rsidRPr="000A2712">
        <w:rPr>
          <w:rFonts w:ascii="Calibri Light" w:hAnsi="Calibri Light" w:cs="Calibri Light"/>
          <w:color w:val="000000" w:themeColor="text1"/>
          <w:sz w:val="22"/>
          <w:szCs w:val="22"/>
          <w:lang w:val="en-AU"/>
        </w:rPr>
        <w:t xml:space="preserve"> </w:t>
      </w:r>
      <w:r w:rsidR="00F419E7" w:rsidRPr="000A2712">
        <w:rPr>
          <w:rFonts w:ascii="Calibri Light" w:hAnsi="Calibri Light" w:cs="Calibri Light"/>
          <w:color w:val="000000" w:themeColor="text1"/>
          <w:sz w:val="22"/>
          <w:szCs w:val="22"/>
          <w:lang w:val="en-AU"/>
        </w:rPr>
        <w:t xml:space="preserve">has the potential to </w:t>
      </w:r>
      <w:r w:rsidR="00A55220" w:rsidRPr="000A2712">
        <w:rPr>
          <w:rFonts w:ascii="Calibri Light" w:hAnsi="Calibri Light" w:cs="Calibri Light"/>
          <w:color w:val="000000" w:themeColor="text1"/>
          <w:sz w:val="22"/>
          <w:szCs w:val="22"/>
          <w:lang w:val="en-AU"/>
        </w:rPr>
        <w:t>reduce scope for corruption, improve accuracy</w:t>
      </w:r>
      <w:r w:rsidR="004B08E5" w:rsidRPr="000A2712">
        <w:rPr>
          <w:rFonts w:ascii="Calibri Light" w:hAnsi="Calibri Light" w:cs="Calibri Light"/>
          <w:color w:val="000000" w:themeColor="text1"/>
          <w:sz w:val="22"/>
          <w:szCs w:val="22"/>
          <w:lang w:val="en-AU"/>
        </w:rPr>
        <w:t xml:space="preserve"> and processing times</w:t>
      </w:r>
      <w:r w:rsidR="00A55220" w:rsidRPr="000A2712">
        <w:rPr>
          <w:rFonts w:ascii="Calibri Light" w:hAnsi="Calibri Light" w:cs="Calibri Light"/>
          <w:color w:val="000000" w:themeColor="text1"/>
          <w:sz w:val="22"/>
          <w:szCs w:val="22"/>
          <w:lang w:val="en-AU"/>
        </w:rPr>
        <w:t xml:space="preserve"> and increase access to the justice (if implemented fully).</w:t>
      </w:r>
      <w:r w:rsidR="008573F5">
        <w:rPr>
          <w:rFonts w:ascii="Calibri Light" w:hAnsi="Calibri Light" w:cs="Calibri Light"/>
          <w:color w:val="000000" w:themeColor="text1"/>
          <w:sz w:val="22"/>
          <w:szCs w:val="22"/>
          <w:lang w:val="en-AU"/>
        </w:rPr>
        <w:t xml:space="preserve"> </w:t>
      </w:r>
      <w:r w:rsidR="00F419E7" w:rsidRPr="000A2712">
        <w:rPr>
          <w:rFonts w:ascii="Calibri Light" w:hAnsi="Calibri Light" w:cs="Calibri Light"/>
          <w:color w:val="000000" w:themeColor="text1"/>
          <w:sz w:val="22"/>
          <w:szCs w:val="22"/>
          <w:lang w:val="en-AU"/>
        </w:rPr>
        <w:t>As of March 2019, 36% of Indonesian courts across</w:t>
      </w:r>
      <w:r w:rsidR="008573F5">
        <w:rPr>
          <w:rFonts w:ascii="Calibri Light" w:hAnsi="Calibri Light" w:cs="Calibri Light"/>
          <w:color w:val="000000" w:themeColor="text1"/>
          <w:sz w:val="22"/>
          <w:szCs w:val="22"/>
          <w:lang w:val="en-AU"/>
        </w:rPr>
        <w:t xml:space="preserve"> </w:t>
      </w:r>
      <w:r w:rsidR="00F419E7" w:rsidRPr="000A2712">
        <w:rPr>
          <w:rFonts w:ascii="Calibri Light" w:hAnsi="Calibri Light" w:cs="Calibri Light"/>
          <w:color w:val="000000" w:themeColor="text1"/>
          <w:sz w:val="22"/>
          <w:szCs w:val="22"/>
          <w:lang w:val="en-AU"/>
        </w:rPr>
        <w:t xml:space="preserve">all jurisdictions </w:t>
      </w:r>
      <w:r w:rsidR="00F419E7" w:rsidRPr="002C4025">
        <w:rPr>
          <w:rFonts w:ascii="Calibri Light" w:hAnsi="Calibri Light" w:cs="Calibri Light"/>
          <w:color w:val="000000" w:themeColor="text1"/>
          <w:sz w:val="22"/>
          <w:szCs w:val="22"/>
          <w:lang w:val="en-AU"/>
        </w:rPr>
        <w:t xml:space="preserve">had </w:t>
      </w:r>
      <w:r w:rsidR="00A55220" w:rsidRPr="002C4025">
        <w:rPr>
          <w:rFonts w:ascii="Calibri Light" w:hAnsi="Calibri Light" w:cs="Calibri Light"/>
          <w:color w:val="000000" w:themeColor="text1"/>
          <w:sz w:val="22"/>
          <w:szCs w:val="22"/>
          <w:lang w:val="en-AU"/>
        </w:rPr>
        <w:t>adopted</w:t>
      </w:r>
      <w:r w:rsidR="00F419E7" w:rsidRPr="002C4025">
        <w:rPr>
          <w:rFonts w:ascii="Calibri Light" w:hAnsi="Calibri Light" w:cs="Calibri Light"/>
          <w:color w:val="000000" w:themeColor="text1"/>
          <w:sz w:val="22"/>
          <w:szCs w:val="22"/>
          <w:lang w:val="en-AU"/>
        </w:rPr>
        <w:t xml:space="preserve"> the e-Court system and nearly 16,000 advocates had registered</w:t>
      </w:r>
      <w:r w:rsidR="00A55220" w:rsidRPr="002C4025">
        <w:rPr>
          <w:rFonts w:ascii="Calibri Light" w:hAnsi="Calibri Light" w:cs="Calibri Light"/>
          <w:color w:val="000000" w:themeColor="text1"/>
          <w:sz w:val="22"/>
          <w:szCs w:val="22"/>
          <w:lang w:val="en-AU"/>
        </w:rPr>
        <w:t>.</w:t>
      </w:r>
      <w:r w:rsidR="008573F5" w:rsidRPr="002C4025">
        <w:rPr>
          <w:rFonts w:ascii="Calibri Light" w:hAnsi="Calibri Light" w:cs="Calibri Light"/>
          <w:color w:val="000000" w:themeColor="text1"/>
          <w:sz w:val="22"/>
          <w:szCs w:val="22"/>
          <w:lang w:val="en-AU"/>
        </w:rPr>
        <w:t xml:space="preserve"> </w:t>
      </w:r>
      <w:r w:rsidR="00A55220" w:rsidRPr="002C4025">
        <w:rPr>
          <w:rFonts w:ascii="Calibri Light" w:hAnsi="Calibri Light" w:cs="Calibri Light"/>
          <w:color w:val="000000" w:themeColor="text1"/>
          <w:sz w:val="22"/>
          <w:szCs w:val="22"/>
          <w:lang w:val="en-AU"/>
        </w:rPr>
        <w:t xml:space="preserve">Although </w:t>
      </w:r>
      <w:r w:rsidR="003F6A4B" w:rsidRPr="002C4025">
        <w:rPr>
          <w:rFonts w:ascii="Calibri Light" w:hAnsi="Calibri Light" w:cs="Calibri Light"/>
          <w:color w:val="000000" w:themeColor="text1"/>
          <w:sz w:val="22"/>
          <w:szCs w:val="22"/>
          <w:lang w:val="en-AU"/>
        </w:rPr>
        <w:t xml:space="preserve">very </w:t>
      </w:r>
      <w:r w:rsidR="00A55220" w:rsidRPr="002C4025">
        <w:rPr>
          <w:rFonts w:ascii="Calibri Light" w:hAnsi="Calibri Light" w:cs="Calibri Light"/>
          <w:color w:val="000000" w:themeColor="text1"/>
          <w:sz w:val="22"/>
          <w:szCs w:val="22"/>
          <w:lang w:val="en-AU"/>
        </w:rPr>
        <w:t xml:space="preserve">promising, more work is </w:t>
      </w:r>
      <w:r w:rsidR="003F6A4B" w:rsidRPr="002C4025">
        <w:rPr>
          <w:rFonts w:ascii="Calibri Light" w:hAnsi="Calibri Light" w:cs="Calibri Light"/>
          <w:color w:val="000000" w:themeColor="text1"/>
          <w:sz w:val="22"/>
          <w:szCs w:val="22"/>
          <w:lang w:val="en-AU"/>
        </w:rPr>
        <w:t>needed</w:t>
      </w:r>
      <w:r w:rsidR="00A55220" w:rsidRPr="002C4025">
        <w:rPr>
          <w:rFonts w:ascii="Calibri Light" w:hAnsi="Calibri Light" w:cs="Calibri Light"/>
          <w:color w:val="000000" w:themeColor="text1"/>
          <w:sz w:val="22"/>
          <w:szCs w:val="22"/>
          <w:lang w:val="en-AU"/>
        </w:rPr>
        <w:t xml:space="preserve"> </w:t>
      </w:r>
      <w:r w:rsidR="00E774E1" w:rsidRPr="002C4025">
        <w:rPr>
          <w:rFonts w:ascii="Calibri Light" w:hAnsi="Calibri Light" w:cs="Calibri Light"/>
          <w:color w:val="000000" w:themeColor="text1"/>
          <w:sz w:val="22"/>
          <w:szCs w:val="22"/>
          <w:lang w:val="en-AU"/>
        </w:rPr>
        <w:t xml:space="preserve">to </w:t>
      </w:r>
      <w:r w:rsidR="004B08E5" w:rsidRPr="002C4025">
        <w:rPr>
          <w:rFonts w:ascii="Calibri Light" w:hAnsi="Calibri Light" w:cs="Calibri Light"/>
          <w:color w:val="000000" w:themeColor="text1"/>
          <w:sz w:val="22"/>
          <w:szCs w:val="22"/>
          <w:lang w:val="en-AU"/>
        </w:rPr>
        <w:t xml:space="preserve">implement the entire system and </w:t>
      </w:r>
      <w:r w:rsidR="00E774E1" w:rsidRPr="002C4025">
        <w:rPr>
          <w:rFonts w:ascii="Calibri Light" w:hAnsi="Calibri Light" w:cs="Calibri Light"/>
          <w:color w:val="000000" w:themeColor="text1"/>
          <w:sz w:val="22"/>
          <w:szCs w:val="22"/>
          <w:lang w:val="en-AU"/>
        </w:rPr>
        <w:t>realise the full potential.</w:t>
      </w:r>
      <w:r w:rsidR="008573F5" w:rsidRPr="002C4025">
        <w:rPr>
          <w:rFonts w:ascii="Calibri Light" w:hAnsi="Calibri Light" w:cs="Calibri Light"/>
          <w:color w:val="000000" w:themeColor="text1"/>
          <w:sz w:val="22"/>
          <w:szCs w:val="22"/>
          <w:lang w:val="en-AU"/>
        </w:rPr>
        <w:t xml:space="preserve"> </w:t>
      </w:r>
      <w:r w:rsidR="0081688B" w:rsidRPr="002C4025">
        <w:rPr>
          <w:rFonts w:ascii="Calibri Light" w:hAnsi="Calibri Light" w:cs="Calibri Light"/>
          <w:color w:val="000000" w:themeColor="text1"/>
          <w:sz w:val="22"/>
          <w:szCs w:val="22"/>
          <w:lang w:val="en-AU"/>
        </w:rPr>
        <w:t xml:space="preserve">However, AIPJ2’s more limited involvement in </w:t>
      </w:r>
      <w:r w:rsidR="00E07BE8" w:rsidRPr="002C4025">
        <w:rPr>
          <w:rFonts w:ascii="Calibri Light" w:hAnsi="Calibri Light" w:cs="Calibri Light"/>
          <w:color w:val="000000" w:themeColor="text1"/>
          <w:sz w:val="22"/>
          <w:szCs w:val="22"/>
          <w:lang w:val="en-AU"/>
        </w:rPr>
        <w:t>the</w:t>
      </w:r>
      <w:r w:rsidR="0081688B" w:rsidRPr="002C4025">
        <w:rPr>
          <w:rFonts w:ascii="Calibri Light" w:hAnsi="Calibri Light" w:cs="Calibri Light"/>
          <w:color w:val="000000" w:themeColor="text1"/>
          <w:sz w:val="22"/>
          <w:szCs w:val="22"/>
          <w:lang w:val="en-AU"/>
        </w:rPr>
        <w:t xml:space="preserve"> work </w:t>
      </w:r>
      <w:r w:rsidR="00E07BE8" w:rsidRPr="002C4025">
        <w:rPr>
          <w:rFonts w:ascii="Calibri Light" w:hAnsi="Calibri Light" w:cs="Calibri Light"/>
          <w:color w:val="000000" w:themeColor="text1"/>
          <w:sz w:val="22"/>
          <w:szCs w:val="22"/>
          <w:lang w:val="en-AU"/>
        </w:rPr>
        <w:t xml:space="preserve">now </w:t>
      </w:r>
      <w:r w:rsidR="003F6A4B" w:rsidRPr="002C4025">
        <w:rPr>
          <w:rFonts w:ascii="Calibri Light" w:hAnsi="Calibri Light" w:cs="Calibri Light"/>
          <w:color w:val="000000" w:themeColor="text1"/>
          <w:sz w:val="22"/>
          <w:szCs w:val="22"/>
          <w:lang w:val="en-AU"/>
        </w:rPr>
        <w:t>means it has less</w:t>
      </w:r>
      <w:r w:rsidR="0081688B" w:rsidRPr="002C4025">
        <w:rPr>
          <w:rFonts w:ascii="Calibri Light" w:hAnsi="Calibri Light" w:cs="Calibri Light"/>
          <w:color w:val="000000" w:themeColor="text1"/>
          <w:sz w:val="22"/>
          <w:szCs w:val="22"/>
          <w:lang w:val="en-AU"/>
        </w:rPr>
        <w:t xml:space="preserve"> influence </w:t>
      </w:r>
      <w:r w:rsidR="00E774E1" w:rsidRPr="002C4025">
        <w:rPr>
          <w:rFonts w:ascii="Calibri Light" w:hAnsi="Calibri Light" w:cs="Calibri Light"/>
          <w:color w:val="000000" w:themeColor="text1"/>
          <w:sz w:val="22"/>
          <w:szCs w:val="22"/>
          <w:lang w:val="en-AU"/>
        </w:rPr>
        <w:t>and</w:t>
      </w:r>
      <w:r w:rsidR="0081688B" w:rsidRPr="002C4025">
        <w:rPr>
          <w:rFonts w:ascii="Calibri Light" w:hAnsi="Calibri Light" w:cs="Calibri Light"/>
          <w:color w:val="000000" w:themeColor="text1"/>
          <w:sz w:val="22"/>
          <w:szCs w:val="22"/>
          <w:lang w:val="en-AU"/>
        </w:rPr>
        <w:t xml:space="preserve"> other donor programs </w:t>
      </w:r>
      <w:r w:rsidR="00E774E1" w:rsidRPr="002C4025">
        <w:rPr>
          <w:rFonts w:ascii="Calibri Light" w:hAnsi="Calibri Light" w:cs="Calibri Light"/>
          <w:color w:val="000000" w:themeColor="text1"/>
          <w:sz w:val="22"/>
          <w:szCs w:val="22"/>
          <w:lang w:val="en-AU"/>
        </w:rPr>
        <w:t xml:space="preserve">are </w:t>
      </w:r>
      <w:r w:rsidR="00E07BE8" w:rsidRPr="002C4025">
        <w:rPr>
          <w:rFonts w:ascii="Calibri Light" w:hAnsi="Calibri Light" w:cs="Calibri Light"/>
          <w:color w:val="000000" w:themeColor="text1"/>
          <w:sz w:val="22"/>
          <w:szCs w:val="22"/>
          <w:lang w:val="en-AU"/>
        </w:rPr>
        <w:t xml:space="preserve">currently </w:t>
      </w:r>
      <w:r w:rsidR="0081688B" w:rsidRPr="002C4025">
        <w:rPr>
          <w:rFonts w:ascii="Calibri Light" w:hAnsi="Calibri Light" w:cs="Calibri Light"/>
          <w:color w:val="000000" w:themeColor="text1"/>
          <w:sz w:val="22"/>
          <w:szCs w:val="22"/>
          <w:lang w:val="en-AU"/>
        </w:rPr>
        <w:t xml:space="preserve">more central in </w:t>
      </w:r>
      <w:r w:rsidR="00E774E1" w:rsidRPr="002C4025">
        <w:rPr>
          <w:rFonts w:ascii="Calibri Light" w:hAnsi="Calibri Light" w:cs="Calibri Light"/>
          <w:color w:val="000000" w:themeColor="text1"/>
          <w:sz w:val="22"/>
          <w:szCs w:val="22"/>
          <w:lang w:val="en-AU"/>
        </w:rPr>
        <w:t>directing</w:t>
      </w:r>
      <w:r w:rsidR="0081688B" w:rsidRPr="002C4025">
        <w:rPr>
          <w:rFonts w:ascii="Calibri Light" w:hAnsi="Calibri Light" w:cs="Calibri Light"/>
          <w:color w:val="000000" w:themeColor="text1"/>
          <w:sz w:val="22"/>
          <w:szCs w:val="22"/>
          <w:lang w:val="en-AU"/>
        </w:rPr>
        <w:t xml:space="preserve"> the reform</w:t>
      </w:r>
      <w:r w:rsidR="00E774E1" w:rsidRPr="002C4025">
        <w:rPr>
          <w:rFonts w:ascii="Calibri Light" w:hAnsi="Calibri Light" w:cs="Calibri Light"/>
          <w:color w:val="000000" w:themeColor="text1"/>
          <w:sz w:val="22"/>
          <w:szCs w:val="22"/>
          <w:lang w:val="en-AU"/>
        </w:rPr>
        <w:t>s.</w:t>
      </w:r>
      <w:r w:rsidR="008573F5" w:rsidRPr="002C4025">
        <w:rPr>
          <w:rFonts w:ascii="Calibri Light" w:hAnsi="Calibri Light" w:cs="Calibri Light"/>
          <w:color w:val="000000" w:themeColor="text1"/>
          <w:sz w:val="22"/>
          <w:szCs w:val="22"/>
          <w:lang w:val="en-AU"/>
        </w:rPr>
        <w:t xml:space="preserve"> </w:t>
      </w:r>
      <w:r w:rsidR="003F6A4B" w:rsidRPr="002C4025">
        <w:rPr>
          <w:rFonts w:ascii="Calibri Light" w:hAnsi="Calibri Light" w:cs="Calibri Light"/>
          <w:color w:val="000000" w:themeColor="text1"/>
          <w:sz w:val="22"/>
          <w:szCs w:val="22"/>
          <w:lang w:val="en-AU"/>
        </w:rPr>
        <w:t xml:space="preserve">To some extent, this has led to a shift away from the </w:t>
      </w:r>
      <w:r w:rsidR="0081688B" w:rsidRPr="002C4025">
        <w:rPr>
          <w:rFonts w:ascii="Calibri Light" w:hAnsi="Calibri Light" w:cs="Calibri Light"/>
          <w:color w:val="000000" w:themeColor="text1"/>
          <w:sz w:val="22"/>
          <w:szCs w:val="22"/>
          <w:lang w:val="en-AU"/>
        </w:rPr>
        <w:t>implementation plans</w:t>
      </w:r>
      <w:r w:rsidR="00E07BE8" w:rsidRPr="002C4025">
        <w:rPr>
          <w:rFonts w:ascii="Calibri Light" w:hAnsi="Calibri Light" w:cs="Calibri Light"/>
          <w:color w:val="000000" w:themeColor="text1"/>
          <w:sz w:val="22"/>
          <w:szCs w:val="22"/>
          <w:lang w:val="en-AU"/>
        </w:rPr>
        <w:t xml:space="preserve"> and roadmap</w:t>
      </w:r>
      <w:r w:rsidR="0081688B" w:rsidRPr="002C4025">
        <w:rPr>
          <w:rFonts w:ascii="Calibri Light" w:hAnsi="Calibri Light" w:cs="Calibri Light"/>
          <w:color w:val="000000" w:themeColor="text1"/>
          <w:sz w:val="22"/>
          <w:szCs w:val="22"/>
          <w:lang w:val="en-AU"/>
        </w:rPr>
        <w:t xml:space="preserve"> established during phase 1</w:t>
      </w:r>
      <w:r w:rsidR="003221BA">
        <w:rPr>
          <w:rFonts w:ascii="Calibri Light" w:hAnsi="Calibri Light" w:cs="Calibri Light"/>
          <w:color w:val="000000" w:themeColor="text1"/>
          <w:sz w:val="22"/>
          <w:szCs w:val="22"/>
          <w:lang w:val="en-AU"/>
        </w:rPr>
        <w:t>.  There is scope for AIPJ2 to promote</w:t>
      </w:r>
      <w:r w:rsidR="003221BA" w:rsidRPr="003221BA">
        <w:rPr>
          <w:rFonts w:ascii="Calibri Light" w:hAnsi="Calibri Light" w:cs="Calibri Light"/>
          <w:color w:val="000000" w:themeColor="text1"/>
          <w:sz w:val="22"/>
          <w:szCs w:val="22"/>
          <w:lang w:val="en-AU"/>
        </w:rPr>
        <w:t xml:space="preserve"> all </w:t>
      </w:r>
      <w:r w:rsidR="003221BA">
        <w:rPr>
          <w:rFonts w:ascii="Calibri Light" w:hAnsi="Calibri Light" w:cs="Calibri Light"/>
          <w:color w:val="000000" w:themeColor="text1"/>
          <w:sz w:val="22"/>
          <w:szCs w:val="22"/>
          <w:lang w:val="en-AU"/>
        </w:rPr>
        <w:t>aspects of the reforms that the Partnership</w:t>
      </w:r>
      <w:r w:rsidR="003221BA" w:rsidRPr="003221BA">
        <w:rPr>
          <w:rFonts w:ascii="Calibri Light" w:hAnsi="Calibri Light" w:cs="Calibri Light"/>
          <w:color w:val="000000" w:themeColor="text1"/>
          <w:sz w:val="22"/>
          <w:szCs w:val="22"/>
          <w:lang w:val="en-AU"/>
        </w:rPr>
        <w:t xml:space="preserve"> has </w:t>
      </w:r>
      <w:r w:rsidR="003221BA">
        <w:rPr>
          <w:rFonts w:ascii="Calibri Light" w:hAnsi="Calibri Light" w:cs="Calibri Light"/>
          <w:color w:val="000000" w:themeColor="text1"/>
          <w:sz w:val="22"/>
          <w:szCs w:val="22"/>
          <w:lang w:val="en-AU"/>
        </w:rPr>
        <w:t>supported</w:t>
      </w:r>
      <w:r w:rsidR="003221BA" w:rsidRPr="003221BA">
        <w:rPr>
          <w:rFonts w:ascii="Calibri Light" w:hAnsi="Calibri Light" w:cs="Calibri Light"/>
          <w:color w:val="000000" w:themeColor="text1"/>
          <w:sz w:val="22"/>
          <w:szCs w:val="22"/>
          <w:lang w:val="en-AU"/>
        </w:rPr>
        <w:t xml:space="preserve"> through the court-to-court </w:t>
      </w:r>
      <w:r w:rsidR="003221BA">
        <w:rPr>
          <w:rFonts w:ascii="Calibri Light" w:hAnsi="Calibri Light" w:cs="Calibri Light"/>
          <w:color w:val="000000" w:themeColor="text1"/>
          <w:sz w:val="22"/>
          <w:szCs w:val="22"/>
          <w:lang w:val="en-AU"/>
        </w:rPr>
        <w:t>relationship</w:t>
      </w:r>
      <w:r w:rsidR="003221BA" w:rsidRPr="003221BA">
        <w:rPr>
          <w:rFonts w:ascii="Calibri Light" w:hAnsi="Calibri Light" w:cs="Calibri Light"/>
          <w:color w:val="000000" w:themeColor="text1"/>
          <w:sz w:val="22"/>
          <w:szCs w:val="22"/>
          <w:lang w:val="en-AU"/>
        </w:rPr>
        <w:t xml:space="preserve"> between </w:t>
      </w:r>
      <w:r w:rsidR="003221BA">
        <w:rPr>
          <w:rFonts w:ascii="Calibri Light" w:hAnsi="Calibri Light" w:cs="Calibri Light"/>
          <w:color w:val="000000" w:themeColor="text1"/>
          <w:sz w:val="22"/>
          <w:szCs w:val="22"/>
          <w:lang w:val="en-AU"/>
        </w:rPr>
        <w:t>the Supreme Court</w:t>
      </w:r>
      <w:r w:rsidR="003221BA" w:rsidRPr="003221BA">
        <w:rPr>
          <w:rFonts w:ascii="Calibri Light" w:hAnsi="Calibri Light" w:cs="Calibri Light"/>
          <w:color w:val="000000" w:themeColor="text1"/>
          <w:sz w:val="22"/>
          <w:szCs w:val="22"/>
          <w:lang w:val="en-AU"/>
        </w:rPr>
        <w:t xml:space="preserve"> and Federal Court of Australia in order to ensure effective implementation of both e-court and its transformation into e-litigation</w:t>
      </w:r>
      <w:r w:rsidR="008355ED" w:rsidRPr="003221BA">
        <w:rPr>
          <w:rFonts w:ascii="Calibri Light" w:hAnsi="Calibri Light" w:cs="Calibri Light"/>
          <w:color w:val="000000" w:themeColor="text1"/>
          <w:sz w:val="22"/>
          <w:szCs w:val="22"/>
          <w:lang w:val="en-AU"/>
        </w:rPr>
        <w:t>.</w:t>
      </w:r>
      <w:r w:rsidR="00A16179" w:rsidRPr="003221BA">
        <w:rPr>
          <w:rFonts w:ascii="Calibri Light" w:hAnsi="Calibri Light" w:cs="Calibri Light"/>
          <w:color w:val="000000" w:themeColor="text1"/>
          <w:sz w:val="22"/>
          <w:szCs w:val="22"/>
          <w:lang w:val="en-AU"/>
        </w:rPr>
        <w:t xml:space="preserve"> </w:t>
      </w:r>
    </w:p>
    <w:p w14:paraId="48034E9B" w14:textId="74D541D9" w:rsidR="00040B3B" w:rsidRPr="000A2712" w:rsidRDefault="00D0762C" w:rsidP="006B32D6">
      <w:pPr>
        <w:pStyle w:val="ListParagraph"/>
        <w:numPr>
          <w:ilvl w:val="2"/>
          <w:numId w:val="3"/>
        </w:numPr>
        <w:tabs>
          <w:tab w:val="left" w:pos="567"/>
        </w:tabs>
        <w:spacing w:line="274" w:lineRule="auto"/>
        <w:contextualSpacing w:val="0"/>
        <w:rPr>
          <w:rFonts w:ascii="Calibri Light" w:hAnsi="Calibri Light" w:cs="Calibri Light"/>
          <w:color w:val="000000" w:themeColor="text1"/>
          <w:sz w:val="22"/>
          <w:szCs w:val="22"/>
          <w:lang w:val="en-AU"/>
        </w:rPr>
      </w:pPr>
      <w:r w:rsidRPr="000A2712">
        <w:rPr>
          <w:rFonts w:ascii="Calibri Light" w:hAnsi="Calibri Light" w:cs="Calibri Light"/>
          <w:color w:val="000000" w:themeColor="text1"/>
          <w:sz w:val="22"/>
          <w:szCs w:val="22"/>
          <w:lang w:val="en-AU"/>
        </w:rPr>
        <w:t xml:space="preserve">On </w:t>
      </w:r>
      <w:r w:rsidRPr="000A2712">
        <w:rPr>
          <w:rFonts w:ascii="Calibri Light" w:hAnsi="Calibri Light" w:cs="Calibri Light"/>
          <w:b/>
          <w:bCs/>
          <w:color w:val="000000" w:themeColor="text1"/>
          <w:sz w:val="22"/>
          <w:szCs w:val="22"/>
          <w:lang w:val="en-AU"/>
        </w:rPr>
        <w:t>small claims</w:t>
      </w:r>
      <w:r w:rsidRPr="000A2712">
        <w:rPr>
          <w:rFonts w:ascii="Calibri Light" w:hAnsi="Calibri Light" w:cs="Calibri Light"/>
          <w:color w:val="000000" w:themeColor="text1"/>
          <w:sz w:val="22"/>
          <w:szCs w:val="22"/>
          <w:lang w:val="en-AU"/>
        </w:rPr>
        <w:t xml:space="preserve">, </w:t>
      </w:r>
      <w:r w:rsidR="00FB7662" w:rsidRPr="000A2712">
        <w:rPr>
          <w:rFonts w:ascii="Calibri Light" w:hAnsi="Calibri Light" w:cs="Calibri Light"/>
          <w:color w:val="000000" w:themeColor="text1"/>
          <w:sz w:val="22"/>
          <w:szCs w:val="22"/>
          <w:lang w:val="en-AU"/>
        </w:rPr>
        <w:t xml:space="preserve">the partnership between the </w:t>
      </w:r>
      <w:r w:rsidR="00D94603">
        <w:rPr>
          <w:rFonts w:ascii="Calibri Light" w:hAnsi="Calibri Light" w:cs="Calibri Light"/>
          <w:color w:val="000000" w:themeColor="text1"/>
          <w:sz w:val="22"/>
          <w:szCs w:val="22"/>
          <w:lang w:val="en-AU"/>
        </w:rPr>
        <w:t>MA</w:t>
      </w:r>
      <w:r w:rsidR="00FB7662" w:rsidRPr="000A2712">
        <w:rPr>
          <w:rFonts w:ascii="Calibri Light" w:hAnsi="Calibri Light" w:cs="Calibri Light"/>
          <w:color w:val="000000" w:themeColor="text1"/>
          <w:sz w:val="22"/>
          <w:szCs w:val="22"/>
          <w:lang w:val="en-AU"/>
        </w:rPr>
        <w:t xml:space="preserve"> an</w:t>
      </w:r>
      <w:r w:rsidR="008355ED" w:rsidRPr="000A2712">
        <w:rPr>
          <w:rFonts w:ascii="Calibri Light" w:hAnsi="Calibri Light" w:cs="Calibri Light"/>
          <w:color w:val="000000" w:themeColor="text1"/>
          <w:sz w:val="22"/>
          <w:szCs w:val="22"/>
          <w:lang w:val="en-AU"/>
        </w:rPr>
        <w:t>d</w:t>
      </w:r>
      <w:r w:rsidR="00FB7662" w:rsidRPr="000A2712">
        <w:rPr>
          <w:rFonts w:ascii="Calibri Light" w:hAnsi="Calibri Light" w:cs="Calibri Light"/>
          <w:color w:val="000000" w:themeColor="text1"/>
          <w:sz w:val="22"/>
          <w:szCs w:val="22"/>
          <w:lang w:val="en-AU"/>
        </w:rPr>
        <w:t xml:space="preserve"> the Federal Court </w:t>
      </w:r>
      <w:r w:rsidR="008355ED" w:rsidRPr="000A2712">
        <w:rPr>
          <w:rFonts w:ascii="Calibri Light" w:hAnsi="Calibri Light" w:cs="Calibri Light"/>
          <w:color w:val="000000" w:themeColor="text1"/>
          <w:sz w:val="22"/>
          <w:szCs w:val="22"/>
          <w:lang w:val="en-AU"/>
        </w:rPr>
        <w:t>of</w:t>
      </w:r>
      <w:r w:rsidR="00FB7662" w:rsidRPr="000A2712">
        <w:rPr>
          <w:rFonts w:ascii="Calibri Light" w:hAnsi="Calibri Light" w:cs="Calibri Light"/>
          <w:color w:val="000000" w:themeColor="text1"/>
          <w:sz w:val="22"/>
          <w:szCs w:val="22"/>
          <w:lang w:val="en-AU"/>
        </w:rPr>
        <w:t xml:space="preserve"> Australia </w:t>
      </w:r>
      <w:r w:rsidRPr="000A2712">
        <w:rPr>
          <w:rFonts w:ascii="Calibri Light" w:hAnsi="Calibri Light" w:cs="Calibri Light"/>
          <w:color w:val="000000" w:themeColor="text1"/>
          <w:sz w:val="22"/>
          <w:szCs w:val="22"/>
          <w:lang w:val="en-AU"/>
        </w:rPr>
        <w:t xml:space="preserve">during phase 1 </w:t>
      </w:r>
      <w:r w:rsidR="00FB7662" w:rsidRPr="000A2712">
        <w:rPr>
          <w:rFonts w:ascii="Calibri Light" w:hAnsi="Calibri Light" w:cs="Calibri Light"/>
          <w:color w:val="000000" w:themeColor="text1"/>
          <w:sz w:val="22"/>
          <w:szCs w:val="22"/>
          <w:lang w:val="en-AU"/>
        </w:rPr>
        <w:t xml:space="preserve">of </w:t>
      </w:r>
      <w:r w:rsidRPr="000A2712">
        <w:rPr>
          <w:rFonts w:ascii="Calibri Light" w:hAnsi="Calibri Light" w:cs="Calibri Light"/>
          <w:color w:val="000000" w:themeColor="text1"/>
          <w:sz w:val="22"/>
          <w:szCs w:val="22"/>
          <w:lang w:val="en-AU"/>
        </w:rPr>
        <w:t xml:space="preserve">AIPJ helped draft the </w:t>
      </w:r>
      <w:r w:rsidR="00AA39C2">
        <w:rPr>
          <w:rFonts w:ascii="Calibri Light" w:hAnsi="Calibri Light" w:cs="Calibri Light"/>
          <w:color w:val="000000" w:themeColor="text1"/>
          <w:sz w:val="22"/>
          <w:szCs w:val="22"/>
          <w:lang w:val="en-AU"/>
        </w:rPr>
        <w:t>Perma no. 2 of 2015 on</w:t>
      </w:r>
      <w:r w:rsidRPr="000A2712">
        <w:rPr>
          <w:rFonts w:ascii="Calibri Light" w:hAnsi="Calibri Light" w:cs="Calibri Light"/>
          <w:color w:val="000000" w:themeColor="text1"/>
          <w:sz w:val="22"/>
          <w:szCs w:val="22"/>
          <w:lang w:val="en-AU"/>
        </w:rPr>
        <w:t xml:space="preserve"> Procedures for Resolving Small Claims </w:t>
      </w:r>
      <w:r w:rsidRPr="002C4025">
        <w:rPr>
          <w:rFonts w:ascii="Calibri Light" w:hAnsi="Calibri Light" w:cs="Calibri Light"/>
          <w:color w:val="000000" w:themeColor="text1"/>
          <w:sz w:val="22"/>
          <w:szCs w:val="22"/>
          <w:lang w:val="en-AU"/>
        </w:rPr>
        <w:t>(</w:t>
      </w:r>
      <w:r w:rsidR="00AA39C2" w:rsidRPr="002C4025">
        <w:rPr>
          <w:rFonts w:ascii="Calibri Light" w:hAnsi="Calibri Light" w:cs="Calibri Light"/>
          <w:color w:val="000000" w:themeColor="text1"/>
          <w:sz w:val="22"/>
          <w:szCs w:val="22"/>
          <w:lang w:val="en-AU"/>
        </w:rPr>
        <w:t xml:space="preserve">Perma </w:t>
      </w:r>
      <w:r w:rsidRPr="002C4025">
        <w:rPr>
          <w:rFonts w:ascii="Calibri Light" w:hAnsi="Calibri Light"/>
          <w:color w:val="000000" w:themeColor="text1"/>
          <w:sz w:val="22"/>
          <w:lang w:val="en-AU"/>
        </w:rPr>
        <w:t>2/2015</w:t>
      </w:r>
      <w:r w:rsidRPr="002C4025">
        <w:rPr>
          <w:rFonts w:ascii="Calibri Light" w:hAnsi="Calibri Light" w:cs="Calibri Light"/>
          <w:color w:val="000000" w:themeColor="text1"/>
          <w:sz w:val="22"/>
          <w:szCs w:val="22"/>
          <w:lang w:val="en-AU"/>
        </w:rPr>
        <w:t>)</w:t>
      </w:r>
      <w:r w:rsidRPr="000A2712">
        <w:rPr>
          <w:rFonts w:ascii="Calibri Light" w:hAnsi="Calibri Light" w:cs="Calibri Light"/>
          <w:color w:val="000000" w:themeColor="text1"/>
          <w:sz w:val="22"/>
          <w:szCs w:val="22"/>
          <w:lang w:val="en-AU"/>
        </w:rPr>
        <w:t xml:space="preserve"> and set up a small claims mechanism.</w:t>
      </w:r>
      <w:r w:rsidR="008573F5">
        <w:rPr>
          <w:rFonts w:ascii="Calibri Light" w:hAnsi="Calibri Light" w:cs="Calibri Light"/>
          <w:color w:val="000000" w:themeColor="text1"/>
          <w:sz w:val="22"/>
          <w:szCs w:val="22"/>
          <w:lang w:val="en-AU"/>
        </w:rPr>
        <w:t xml:space="preserve"> </w:t>
      </w:r>
      <w:r w:rsidR="00040B3B" w:rsidRPr="000A2712">
        <w:rPr>
          <w:rFonts w:ascii="Calibri Light" w:hAnsi="Calibri Light" w:cs="Calibri Light"/>
          <w:color w:val="000000" w:themeColor="text1"/>
          <w:sz w:val="22"/>
          <w:szCs w:val="22"/>
          <w:lang w:val="en-AU"/>
        </w:rPr>
        <w:t xml:space="preserve">Building on this, AIPJ2 has been assisting the review of </w:t>
      </w:r>
      <w:r w:rsidR="00AA39C2" w:rsidRPr="000A2712">
        <w:rPr>
          <w:rFonts w:ascii="Calibri Light" w:hAnsi="Calibri Light" w:cs="Calibri Light"/>
          <w:color w:val="000000" w:themeColor="text1"/>
          <w:sz w:val="22"/>
          <w:szCs w:val="22"/>
          <w:lang w:val="en-AU"/>
        </w:rPr>
        <w:t>P</w:t>
      </w:r>
      <w:r w:rsidR="00AA39C2">
        <w:rPr>
          <w:rFonts w:ascii="Calibri Light" w:hAnsi="Calibri Light" w:cs="Calibri Light"/>
          <w:color w:val="000000" w:themeColor="text1"/>
          <w:sz w:val="22"/>
          <w:szCs w:val="22"/>
          <w:lang w:val="en-AU"/>
        </w:rPr>
        <w:t>erma</w:t>
      </w:r>
      <w:r w:rsidR="00AA39C2" w:rsidRPr="000A2712">
        <w:rPr>
          <w:rFonts w:ascii="Calibri Light" w:hAnsi="Calibri Light" w:cs="Calibri Light"/>
          <w:color w:val="000000" w:themeColor="text1"/>
          <w:sz w:val="22"/>
          <w:szCs w:val="22"/>
          <w:lang w:val="en-AU"/>
        </w:rPr>
        <w:t xml:space="preserve"> </w:t>
      </w:r>
      <w:r w:rsidR="00040B3B" w:rsidRPr="000A2712">
        <w:rPr>
          <w:rFonts w:ascii="Calibri Light" w:hAnsi="Calibri Light" w:cs="Calibri Light"/>
          <w:color w:val="000000" w:themeColor="text1"/>
          <w:sz w:val="22"/>
          <w:szCs w:val="22"/>
          <w:lang w:val="en-AU"/>
        </w:rPr>
        <w:t>2/2015 with a view to increasing the threshold for small claims (from IDR 200 million to IDR 500 million) and widening the jurisdiction. These revisions were recently enacted in early August 2019</w:t>
      </w:r>
      <w:r w:rsidR="008573F5">
        <w:rPr>
          <w:rFonts w:ascii="Calibri Light" w:hAnsi="Calibri Light" w:cs="Calibri Light"/>
          <w:color w:val="000000" w:themeColor="text1"/>
          <w:sz w:val="22"/>
          <w:szCs w:val="22"/>
          <w:lang w:val="en-AU"/>
        </w:rPr>
        <w:t xml:space="preserve"> </w:t>
      </w:r>
      <w:r w:rsidR="00D94603">
        <w:rPr>
          <w:rFonts w:ascii="Calibri Light" w:hAnsi="Calibri Light" w:cs="Calibri Light"/>
          <w:color w:val="000000" w:themeColor="text1"/>
          <w:sz w:val="22"/>
          <w:szCs w:val="22"/>
          <w:lang w:val="en-AU"/>
        </w:rPr>
        <w:t xml:space="preserve">through </w:t>
      </w:r>
      <w:r w:rsidR="00AA39C2" w:rsidRPr="000A2712">
        <w:rPr>
          <w:rFonts w:ascii="Calibri Light" w:hAnsi="Calibri Light" w:cs="Calibri Light"/>
          <w:color w:val="000000" w:themeColor="text1"/>
          <w:sz w:val="22"/>
          <w:szCs w:val="22"/>
          <w:lang w:val="en-AU"/>
        </w:rPr>
        <w:t>P</w:t>
      </w:r>
      <w:r w:rsidR="00AA39C2">
        <w:rPr>
          <w:rFonts w:ascii="Calibri Light" w:hAnsi="Calibri Light" w:cs="Calibri Light"/>
          <w:color w:val="000000" w:themeColor="text1"/>
          <w:sz w:val="22"/>
          <w:szCs w:val="22"/>
          <w:lang w:val="en-AU"/>
        </w:rPr>
        <w:t>erma</w:t>
      </w:r>
      <w:r w:rsidR="00AA39C2" w:rsidRPr="000A2712">
        <w:rPr>
          <w:rFonts w:ascii="Calibri Light" w:hAnsi="Calibri Light" w:cs="Calibri Light"/>
          <w:color w:val="000000" w:themeColor="text1"/>
          <w:sz w:val="22"/>
          <w:szCs w:val="22"/>
          <w:lang w:val="en-AU"/>
        </w:rPr>
        <w:t xml:space="preserve"> </w:t>
      </w:r>
      <w:r w:rsidR="00D94603">
        <w:rPr>
          <w:rFonts w:ascii="Calibri Light" w:hAnsi="Calibri Light" w:cs="Calibri Light"/>
          <w:color w:val="000000" w:themeColor="text1"/>
          <w:sz w:val="22"/>
          <w:szCs w:val="22"/>
          <w:lang w:val="en-AU"/>
        </w:rPr>
        <w:t xml:space="preserve">no. </w:t>
      </w:r>
      <w:r w:rsidR="00040B3B" w:rsidRPr="000A2712">
        <w:rPr>
          <w:rFonts w:ascii="Calibri Light" w:hAnsi="Calibri Light" w:cs="Calibri Light"/>
          <w:color w:val="000000" w:themeColor="text1"/>
          <w:sz w:val="22"/>
          <w:szCs w:val="22"/>
          <w:lang w:val="en-AU"/>
        </w:rPr>
        <w:t>2</w:t>
      </w:r>
      <w:r w:rsidR="00D94603">
        <w:rPr>
          <w:rFonts w:ascii="Calibri Light" w:hAnsi="Calibri Light" w:cs="Calibri Light"/>
          <w:color w:val="000000" w:themeColor="text1"/>
          <w:sz w:val="22"/>
          <w:szCs w:val="22"/>
          <w:lang w:val="en-AU"/>
        </w:rPr>
        <w:t xml:space="preserve"> of </w:t>
      </w:r>
      <w:r w:rsidR="00040B3B" w:rsidRPr="000A2712">
        <w:rPr>
          <w:rFonts w:ascii="Calibri Light" w:hAnsi="Calibri Light" w:cs="Calibri Light"/>
          <w:color w:val="000000" w:themeColor="text1"/>
          <w:sz w:val="22"/>
          <w:szCs w:val="22"/>
          <w:lang w:val="en-AU"/>
        </w:rPr>
        <w:t>2019</w:t>
      </w:r>
      <w:r w:rsidR="00567E27">
        <w:rPr>
          <w:rFonts w:ascii="Calibri Light" w:hAnsi="Calibri Light" w:cs="Calibri Light"/>
          <w:color w:val="000000" w:themeColor="text1"/>
          <w:sz w:val="22"/>
          <w:szCs w:val="22"/>
          <w:lang w:val="en-AU"/>
        </w:rPr>
        <w:t xml:space="preserve"> </w:t>
      </w:r>
      <w:r w:rsidR="00567E27" w:rsidRPr="002C4025">
        <w:rPr>
          <w:rFonts w:ascii="Calibri Light" w:hAnsi="Calibri Light" w:cs="Calibri Light"/>
          <w:color w:val="000000" w:themeColor="text1"/>
          <w:sz w:val="22"/>
          <w:szCs w:val="22"/>
          <w:lang w:val="en-AU"/>
        </w:rPr>
        <w:t>(Perma 2/2019)</w:t>
      </w:r>
      <w:r w:rsidR="00040B3B" w:rsidRPr="002C4025">
        <w:rPr>
          <w:rFonts w:ascii="Calibri Light" w:hAnsi="Calibri Light" w:cs="Calibri Light"/>
          <w:color w:val="000000" w:themeColor="text1"/>
          <w:sz w:val="22"/>
          <w:szCs w:val="22"/>
          <w:lang w:val="en-AU"/>
        </w:rPr>
        <w:t>.</w:t>
      </w:r>
      <w:r w:rsidR="00A16179">
        <w:rPr>
          <w:rFonts w:ascii="Calibri Light" w:hAnsi="Calibri Light" w:cs="Calibri Light"/>
          <w:color w:val="000000" w:themeColor="text1"/>
          <w:sz w:val="22"/>
          <w:szCs w:val="22"/>
          <w:lang w:val="en-AU"/>
        </w:rPr>
        <w:t xml:space="preserve"> </w:t>
      </w:r>
    </w:p>
    <w:p w14:paraId="1104254C" w14:textId="23F955BE" w:rsidR="00866BEF" w:rsidRPr="000A2712" w:rsidRDefault="00CE4351" w:rsidP="006B32D6">
      <w:pPr>
        <w:pStyle w:val="ListParagraph"/>
        <w:numPr>
          <w:ilvl w:val="2"/>
          <w:numId w:val="3"/>
        </w:numPr>
        <w:tabs>
          <w:tab w:val="left" w:pos="567"/>
        </w:tabs>
        <w:spacing w:line="274" w:lineRule="auto"/>
        <w:contextualSpacing w:val="0"/>
        <w:rPr>
          <w:rFonts w:ascii="Calibri Light" w:hAnsi="Calibri Light" w:cs="Calibri Light"/>
          <w:color w:val="000000" w:themeColor="text1"/>
          <w:sz w:val="22"/>
          <w:szCs w:val="22"/>
          <w:lang w:val="en-AU"/>
        </w:rPr>
      </w:pPr>
      <w:r w:rsidRPr="000A2712">
        <w:rPr>
          <w:rFonts w:ascii="Calibri Light" w:hAnsi="Calibri Light" w:cs="Calibri Light"/>
          <w:noProof/>
          <w:color w:val="000000" w:themeColor="text1"/>
          <w:lang w:val="en-AU" w:eastAsia="en-AU"/>
        </w:rPr>
        <w:drawing>
          <wp:anchor distT="0" distB="0" distL="114300" distR="114300" simplePos="0" relativeHeight="251667456" behindDoc="0" locked="0" layoutInCell="1" allowOverlap="1" wp14:anchorId="41272614" wp14:editId="708A5C04">
            <wp:simplePos x="0" y="0"/>
            <wp:positionH relativeFrom="column">
              <wp:posOffset>-31889</wp:posOffset>
            </wp:positionH>
            <wp:positionV relativeFrom="paragraph">
              <wp:posOffset>411701</wp:posOffset>
            </wp:positionV>
            <wp:extent cx="2949575" cy="1987550"/>
            <wp:effectExtent l="0" t="0" r="0" b="0"/>
            <wp:wrapSquare wrapText="bothSides"/>
            <wp:docPr id="12" name="Chart 12">
              <a:extLst xmlns:a="http://schemas.openxmlformats.org/drawingml/2006/main">
                <a:ext uri="{FF2B5EF4-FFF2-40B4-BE49-F238E27FC236}">
                  <a16:creationId xmlns:a16="http://schemas.microsoft.com/office/drawing/2014/main" id="{87CEBF14-A07F-724B-AA9C-9C2CB6827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866BEF" w:rsidRPr="000A2712">
        <w:rPr>
          <w:rFonts w:ascii="Calibri Light" w:hAnsi="Calibri Light" w:cs="Calibri Light"/>
          <w:color w:val="000000" w:themeColor="text1"/>
          <w:sz w:val="22"/>
          <w:szCs w:val="22"/>
          <w:lang w:val="en-AU"/>
        </w:rPr>
        <w:t>Since its establishment in August 2015, the number of small claims has continued to increase</w:t>
      </w:r>
      <w:r w:rsidR="00490A65" w:rsidRPr="000A2712">
        <w:rPr>
          <w:rFonts w:ascii="Calibri Light" w:hAnsi="Calibri Light" w:cs="Calibri Light"/>
          <w:color w:val="000000" w:themeColor="text1"/>
          <w:sz w:val="22"/>
          <w:szCs w:val="22"/>
          <w:lang w:val="en-AU"/>
        </w:rPr>
        <w:t xml:space="preserve"> significantly (figure 2)</w:t>
      </w:r>
      <w:r w:rsidR="00FB7662" w:rsidRPr="000A2712">
        <w:rPr>
          <w:rFonts w:ascii="Calibri Light" w:hAnsi="Calibri Light" w:cs="Calibri Light"/>
          <w:color w:val="000000" w:themeColor="text1"/>
          <w:sz w:val="22"/>
          <w:szCs w:val="22"/>
          <w:lang w:val="en-AU"/>
        </w:rPr>
        <w:t xml:space="preserve"> and </w:t>
      </w:r>
      <w:r w:rsidR="00EC28E8" w:rsidRPr="000A2712">
        <w:rPr>
          <w:rFonts w:ascii="Calibri Light" w:hAnsi="Calibri Light" w:cs="Calibri Light"/>
          <w:color w:val="000000" w:themeColor="text1"/>
          <w:sz w:val="22"/>
          <w:szCs w:val="22"/>
          <w:lang w:val="en-AU"/>
        </w:rPr>
        <w:t xml:space="preserve">in </w:t>
      </w:r>
      <w:r w:rsidR="00FB7662" w:rsidRPr="000A2712">
        <w:rPr>
          <w:rFonts w:ascii="Calibri Light" w:hAnsi="Calibri Light" w:cs="Calibri Light"/>
          <w:color w:val="000000" w:themeColor="text1"/>
          <w:sz w:val="22"/>
          <w:szCs w:val="22"/>
          <w:lang w:val="en-AU"/>
        </w:rPr>
        <w:t>2018 accounted for</w:t>
      </w:r>
      <w:r w:rsidR="008573F5">
        <w:rPr>
          <w:rFonts w:ascii="Calibri Light" w:hAnsi="Calibri Light" w:cs="Calibri Light"/>
          <w:color w:val="000000" w:themeColor="text1"/>
          <w:sz w:val="22"/>
          <w:szCs w:val="22"/>
          <w:lang w:val="en-AU"/>
        </w:rPr>
        <w:t xml:space="preserve"> </w:t>
      </w:r>
      <w:r w:rsidR="00866BEF" w:rsidRPr="000A2712">
        <w:rPr>
          <w:rFonts w:ascii="Calibri Light" w:hAnsi="Calibri Light" w:cs="Calibri Light"/>
          <w:color w:val="000000" w:themeColor="text1"/>
          <w:sz w:val="22"/>
          <w:szCs w:val="22"/>
          <w:lang w:val="en-AU"/>
        </w:rPr>
        <w:t xml:space="preserve">20% of the civil claims </w:t>
      </w:r>
      <w:r w:rsidR="00FB7662" w:rsidRPr="000A2712">
        <w:rPr>
          <w:rFonts w:ascii="Calibri Light" w:hAnsi="Calibri Light" w:cs="Calibri Light"/>
          <w:color w:val="000000" w:themeColor="text1"/>
          <w:sz w:val="22"/>
          <w:szCs w:val="22"/>
          <w:lang w:val="en-AU"/>
        </w:rPr>
        <w:t>throughout Indonesia</w:t>
      </w:r>
      <w:r w:rsidR="00866BEF" w:rsidRPr="000A2712">
        <w:rPr>
          <w:rFonts w:ascii="Calibri Light" w:hAnsi="Calibri Light" w:cs="Calibri Light"/>
          <w:color w:val="000000" w:themeColor="text1"/>
          <w:sz w:val="22"/>
          <w:szCs w:val="22"/>
          <w:lang w:val="en-AU"/>
        </w:rPr>
        <w:t xml:space="preserve">. This </w:t>
      </w:r>
      <w:r w:rsidR="00FB7662" w:rsidRPr="000A2712">
        <w:rPr>
          <w:rFonts w:ascii="Calibri Light" w:hAnsi="Calibri Light" w:cs="Calibri Light"/>
          <w:color w:val="000000" w:themeColor="text1"/>
          <w:sz w:val="22"/>
          <w:szCs w:val="22"/>
          <w:lang w:val="en-AU"/>
        </w:rPr>
        <w:t xml:space="preserve">growth highlights the potential value of </w:t>
      </w:r>
      <w:r w:rsidR="00866BEF" w:rsidRPr="000A2712">
        <w:rPr>
          <w:rFonts w:ascii="Calibri Light" w:hAnsi="Calibri Light" w:cs="Calibri Light"/>
          <w:color w:val="000000" w:themeColor="text1"/>
          <w:sz w:val="22"/>
          <w:szCs w:val="22"/>
          <w:lang w:val="en-AU"/>
        </w:rPr>
        <w:t>systematic and structured efforts to simplify the civil court process</w:t>
      </w:r>
      <w:r w:rsidR="008355ED" w:rsidRPr="000A2712">
        <w:rPr>
          <w:rFonts w:ascii="Calibri Light" w:hAnsi="Calibri Light" w:cs="Calibri Light"/>
          <w:color w:val="000000" w:themeColor="text1"/>
          <w:sz w:val="22"/>
          <w:szCs w:val="22"/>
          <w:lang w:val="en-AU"/>
        </w:rPr>
        <w:t>,</w:t>
      </w:r>
      <w:r w:rsidR="00866BEF" w:rsidRPr="000A2712">
        <w:rPr>
          <w:rFonts w:ascii="Calibri Light" w:hAnsi="Calibri Light" w:cs="Calibri Light"/>
          <w:color w:val="000000" w:themeColor="text1"/>
          <w:sz w:val="22"/>
          <w:szCs w:val="22"/>
          <w:lang w:val="en-AU"/>
        </w:rPr>
        <w:t xml:space="preserve"> especially</w:t>
      </w:r>
      <w:r w:rsidR="00FA1680" w:rsidRPr="000A2712">
        <w:rPr>
          <w:rFonts w:ascii="Calibri Light" w:hAnsi="Calibri Light" w:cs="Calibri Light"/>
          <w:color w:val="000000" w:themeColor="text1"/>
          <w:sz w:val="22"/>
          <w:szCs w:val="22"/>
          <w:lang w:val="en-AU"/>
        </w:rPr>
        <w:t xml:space="preserve"> for</w:t>
      </w:r>
      <w:r w:rsidR="00866BEF" w:rsidRPr="000A2712">
        <w:rPr>
          <w:rFonts w:ascii="Calibri Light" w:hAnsi="Calibri Light" w:cs="Calibri Light"/>
          <w:color w:val="000000" w:themeColor="text1"/>
          <w:sz w:val="22"/>
          <w:szCs w:val="22"/>
          <w:lang w:val="en-AU"/>
        </w:rPr>
        <w:t xml:space="preserve"> small and medium enterprises </w:t>
      </w:r>
      <w:r w:rsidR="00040B3B" w:rsidRPr="000A2712">
        <w:rPr>
          <w:rFonts w:ascii="Calibri Light" w:hAnsi="Calibri Light" w:cs="Calibri Light"/>
          <w:color w:val="000000" w:themeColor="text1"/>
          <w:sz w:val="22"/>
          <w:szCs w:val="22"/>
          <w:lang w:val="en-AU"/>
        </w:rPr>
        <w:t>experiencing</w:t>
      </w:r>
      <w:r w:rsidR="00866BEF" w:rsidRPr="000A2712">
        <w:rPr>
          <w:rFonts w:ascii="Calibri Light" w:hAnsi="Calibri Light" w:cs="Calibri Light"/>
          <w:color w:val="000000" w:themeColor="text1"/>
          <w:sz w:val="22"/>
          <w:szCs w:val="22"/>
          <w:lang w:val="en-AU"/>
        </w:rPr>
        <w:t xml:space="preserve"> disputes in their business activities.</w:t>
      </w:r>
      <w:r w:rsidR="00040B3B" w:rsidRPr="000A2712">
        <w:rPr>
          <w:rFonts w:ascii="Calibri Light" w:hAnsi="Calibri Light" w:cs="Calibri Light"/>
          <w:color w:val="000000" w:themeColor="text1"/>
          <w:sz w:val="22"/>
          <w:szCs w:val="22"/>
          <w:lang w:val="en-AU"/>
        </w:rPr>
        <w:t xml:space="preserve"> However, </w:t>
      </w:r>
      <w:bookmarkStart w:id="2" w:name="_Hlk17304076"/>
      <w:r w:rsidR="00467A8D" w:rsidRPr="000A2712">
        <w:rPr>
          <w:rFonts w:ascii="Calibri Light" w:hAnsi="Calibri Light" w:cs="Calibri Light"/>
          <w:color w:val="000000" w:themeColor="text1"/>
          <w:sz w:val="22"/>
          <w:szCs w:val="22"/>
          <w:lang w:val="en-AU"/>
        </w:rPr>
        <w:t xml:space="preserve">realising the potential </w:t>
      </w:r>
      <w:r w:rsidR="009E487B" w:rsidRPr="000A2712">
        <w:rPr>
          <w:rFonts w:ascii="Calibri Light" w:hAnsi="Calibri Light" w:cs="Calibri Light"/>
          <w:color w:val="000000" w:themeColor="text1"/>
          <w:sz w:val="22"/>
          <w:szCs w:val="22"/>
          <w:lang w:val="en-AU"/>
        </w:rPr>
        <w:t>of this reform will require further work, for example,</w:t>
      </w:r>
      <w:r w:rsidR="008573F5">
        <w:rPr>
          <w:rFonts w:ascii="Calibri Light" w:hAnsi="Calibri Light" w:cs="Calibri Light"/>
          <w:color w:val="000000" w:themeColor="text1"/>
          <w:sz w:val="22"/>
          <w:szCs w:val="22"/>
          <w:lang w:val="en-AU"/>
        </w:rPr>
        <w:t xml:space="preserve"> </w:t>
      </w:r>
      <w:r w:rsidR="009E487B" w:rsidRPr="000A2712">
        <w:rPr>
          <w:rFonts w:ascii="Calibri Light" w:hAnsi="Calibri Light" w:cs="Calibri Light"/>
          <w:color w:val="000000" w:themeColor="text1"/>
          <w:sz w:val="22"/>
          <w:szCs w:val="22"/>
          <w:lang w:val="en-AU"/>
        </w:rPr>
        <w:t>to promote wider public awareness of the mechanism and improve the effectiveness of enforcement</w:t>
      </w:r>
      <w:r w:rsidR="008573F5">
        <w:rPr>
          <w:rFonts w:ascii="Calibri Light" w:hAnsi="Calibri Light" w:cs="Calibri Light"/>
          <w:color w:val="000000" w:themeColor="text1"/>
          <w:sz w:val="22"/>
          <w:szCs w:val="22"/>
          <w:lang w:val="en-AU"/>
        </w:rPr>
        <w:t xml:space="preserve"> </w:t>
      </w:r>
      <w:r w:rsidR="009E487B" w:rsidRPr="000A2712">
        <w:rPr>
          <w:rFonts w:ascii="Calibri Light" w:hAnsi="Calibri Light" w:cs="Calibri Light"/>
          <w:color w:val="000000" w:themeColor="text1"/>
          <w:sz w:val="22"/>
          <w:szCs w:val="22"/>
          <w:lang w:val="en-AU"/>
        </w:rPr>
        <w:t>of judgements</w:t>
      </w:r>
      <w:r w:rsidR="00D94603">
        <w:rPr>
          <w:rFonts w:ascii="Calibri Light" w:hAnsi="Calibri Light" w:cs="Calibri Light"/>
          <w:color w:val="000000" w:themeColor="text1"/>
          <w:sz w:val="22"/>
          <w:szCs w:val="22"/>
          <w:lang w:val="en-AU"/>
        </w:rPr>
        <w:t>, which will be in line with other agenda of revitali</w:t>
      </w:r>
      <w:r w:rsidR="00085D01">
        <w:rPr>
          <w:rFonts w:ascii="Calibri Light" w:hAnsi="Calibri Light" w:cs="Calibri Light"/>
          <w:color w:val="000000" w:themeColor="text1"/>
          <w:sz w:val="22"/>
          <w:szCs w:val="22"/>
          <w:lang w:val="en-AU"/>
        </w:rPr>
        <w:t>s</w:t>
      </w:r>
      <w:r w:rsidR="00D94603">
        <w:rPr>
          <w:rFonts w:ascii="Calibri Light" w:hAnsi="Calibri Light" w:cs="Calibri Light"/>
          <w:color w:val="000000" w:themeColor="text1"/>
          <w:sz w:val="22"/>
          <w:szCs w:val="22"/>
          <w:lang w:val="en-AU"/>
        </w:rPr>
        <w:t>ing Indonesian civil justice system</w:t>
      </w:r>
      <w:r w:rsidR="009E487B" w:rsidRPr="000A2712">
        <w:rPr>
          <w:rFonts w:ascii="Calibri Light" w:hAnsi="Calibri Light" w:cs="Calibri Light"/>
          <w:color w:val="000000" w:themeColor="text1"/>
          <w:sz w:val="22"/>
          <w:szCs w:val="22"/>
          <w:lang w:val="en-AU"/>
        </w:rPr>
        <w:t>.</w:t>
      </w:r>
      <w:bookmarkEnd w:id="2"/>
    </w:p>
    <w:p w14:paraId="34FD5B4B" w14:textId="5ACE49FC" w:rsidR="00846E87" w:rsidRPr="000A2712" w:rsidRDefault="004E5BB5" w:rsidP="00846E87">
      <w:pPr>
        <w:tabs>
          <w:tab w:val="left" w:pos="567"/>
        </w:tabs>
        <w:spacing w:line="274" w:lineRule="auto"/>
        <w:rPr>
          <w:rFonts w:ascii="Calibri Light" w:hAnsi="Calibri Light" w:cs="Calibri Light"/>
          <w:i/>
          <w:iCs/>
          <w:color w:val="000000" w:themeColor="text1"/>
          <w:sz w:val="22"/>
          <w:szCs w:val="22"/>
          <w:lang w:val="en-AU"/>
        </w:rPr>
      </w:pPr>
      <w:r w:rsidRPr="00AD2A71">
        <w:rPr>
          <w:rFonts w:ascii="Calibri Light" w:hAnsi="Calibri Light" w:cs="Calibri Light"/>
          <w:i/>
          <w:iCs/>
          <w:color w:val="000000" w:themeColor="text1"/>
          <w:sz w:val="22"/>
          <w:szCs w:val="22"/>
          <w:lang w:val="en-AU"/>
        </w:rPr>
        <w:t>Corruption prevention</w:t>
      </w:r>
    </w:p>
    <w:p w14:paraId="419D3587" w14:textId="4E1397D5" w:rsidR="0009479F" w:rsidRPr="000A2712" w:rsidRDefault="008573F5" w:rsidP="006B32D6">
      <w:pPr>
        <w:pStyle w:val="ListParagraph"/>
        <w:numPr>
          <w:ilvl w:val="2"/>
          <w:numId w:val="3"/>
        </w:numPr>
        <w:tabs>
          <w:tab w:val="left" w:pos="567"/>
        </w:tabs>
        <w:spacing w:line="274" w:lineRule="auto"/>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 </w:t>
      </w:r>
      <w:r w:rsidR="004E5BB5" w:rsidRPr="00AD2A71">
        <w:rPr>
          <w:rFonts w:ascii="Calibri Light" w:hAnsi="Calibri Light" w:cs="Calibri Light"/>
          <w:color w:val="000000" w:themeColor="text1"/>
          <w:sz w:val="22"/>
          <w:szCs w:val="22"/>
          <w:lang w:val="en-AU"/>
        </w:rPr>
        <w:t xml:space="preserve">Corruption prevention </w:t>
      </w:r>
      <w:r w:rsidR="004E5BB5" w:rsidRPr="000A2712">
        <w:rPr>
          <w:rFonts w:ascii="Calibri Light" w:hAnsi="Calibri Light" w:cs="Calibri Light"/>
          <w:color w:val="000000" w:themeColor="text1"/>
          <w:sz w:val="22"/>
          <w:szCs w:val="22"/>
          <w:lang w:val="en-AU"/>
        </w:rPr>
        <w:t>has not been a major area of work for AIPJ2 –</w:t>
      </w:r>
      <w:r w:rsidR="008355ED" w:rsidRPr="000A2712">
        <w:rPr>
          <w:rFonts w:ascii="Calibri Light" w:hAnsi="Calibri Light" w:cs="Calibri Light"/>
          <w:color w:val="000000" w:themeColor="text1"/>
          <w:sz w:val="22"/>
          <w:szCs w:val="22"/>
          <w:lang w:val="en-AU"/>
        </w:rPr>
        <w:t xml:space="preserve"> </w:t>
      </w:r>
      <w:r w:rsidR="00B60670" w:rsidRPr="000A2712">
        <w:rPr>
          <w:rFonts w:ascii="Calibri Light" w:hAnsi="Calibri Light" w:cs="Calibri Light"/>
          <w:color w:val="000000" w:themeColor="text1"/>
          <w:sz w:val="22"/>
          <w:szCs w:val="22"/>
          <w:lang w:val="en-AU"/>
        </w:rPr>
        <w:t>accounting</w:t>
      </w:r>
      <w:r w:rsidR="004E5BB5" w:rsidRPr="000A2712">
        <w:rPr>
          <w:rFonts w:ascii="Calibri Light" w:hAnsi="Calibri Light" w:cs="Calibri Light"/>
          <w:color w:val="000000" w:themeColor="text1"/>
          <w:sz w:val="22"/>
          <w:szCs w:val="22"/>
          <w:lang w:val="en-AU"/>
        </w:rPr>
        <w:t xml:space="preserve"> for around 3% of the programmatic budget in 2019</w:t>
      </w:r>
      <w:r w:rsidR="00B60670"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B60670" w:rsidRPr="000A2712">
        <w:rPr>
          <w:rFonts w:ascii="Calibri Light" w:hAnsi="Calibri Light" w:cs="Calibri Light"/>
          <w:color w:val="000000" w:themeColor="text1"/>
          <w:sz w:val="22"/>
          <w:szCs w:val="22"/>
          <w:lang w:val="en-AU"/>
        </w:rPr>
        <w:t>Nevertheless, AIPJ2 has contributed to some important initiatives.</w:t>
      </w:r>
      <w:bookmarkStart w:id="3" w:name="_Hlk17304208"/>
      <w:r>
        <w:rPr>
          <w:rFonts w:ascii="Calibri Light" w:hAnsi="Calibri Light" w:cs="Calibri Light"/>
          <w:color w:val="000000" w:themeColor="text1"/>
          <w:sz w:val="22"/>
          <w:szCs w:val="22"/>
          <w:lang w:val="en-AU"/>
        </w:rPr>
        <w:t xml:space="preserve"> </w:t>
      </w:r>
      <w:r w:rsidR="007629AC" w:rsidRPr="000A2712">
        <w:rPr>
          <w:rFonts w:ascii="Calibri Light" w:hAnsi="Calibri Light" w:cs="Calibri Light"/>
          <w:color w:val="000000" w:themeColor="text1"/>
          <w:sz w:val="22"/>
          <w:szCs w:val="22"/>
          <w:lang w:val="en-AU"/>
        </w:rPr>
        <w:t xml:space="preserve">Phase 1 of AIPJ </w:t>
      </w:r>
      <w:r w:rsidR="00A64BF3" w:rsidRPr="000A2712">
        <w:rPr>
          <w:rFonts w:ascii="Calibri Light" w:hAnsi="Calibri Light" w:cs="Calibri Light"/>
          <w:color w:val="000000" w:themeColor="text1"/>
          <w:sz w:val="22"/>
          <w:szCs w:val="22"/>
          <w:lang w:val="en-AU"/>
        </w:rPr>
        <w:t xml:space="preserve">was instrumental in </w:t>
      </w:r>
      <w:r w:rsidR="003F5685">
        <w:rPr>
          <w:rFonts w:ascii="Calibri Light" w:hAnsi="Calibri Light" w:cs="Calibri Light"/>
          <w:color w:val="000000" w:themeColor="text1"/>
          <w:sz w:val="22"/>
          <w:szCs w:val="22"/>
          <w:lang w:val="en-AU"/>
        </w:rPr>
        <w:t xml:space="preserve">supporting the </w:t>
      </w:r>
      <w:r w:rsidR="006E5BB9" w:rsidRPr="000A2712">
        <w:rPr>
          <w:rFonts w:ascii="Calibri Light" w:hAnsi="Calibri Light" w:cs="Calibri Light"/>
          <w:color w:val="000000" w:themeColor="text1"/>
          <w:sz w:val="22"/>
          <w:szCs w:val="22"/>
          <w:lang w:val="en-AU"/>
        </w:rPr>
        <w:t>establish</w:t>
      </w:r>
      <w:r w:rsidR="003F5685">
        <w:rPr>
          <w:rFonts w:ascii="Calibri Light" w:hAnsi="Calibri Light" w:cs="Calibri Light"/>
          <w:color w:val="000000" w:themeColor="text1"/>
          <w:sz w:val="22"/>
          <w:szCs w:val="22"/>
          <w:lang w:val="en-AU"/>
        </w:rPr>
        <w:t>ment of</w:t>
      </w:r>
      <w:r w:rsidR="00A64BF3" w:rsidRPr="00AD2A71">
        <w:rPr>
          <w:rFonts w:ascii="Calibri Light" w:hAnsi="Calibri Light" w:cs="Calibri Light"/>
          <w:color w:val="000000" w:themeColor="text1"/>
          <w:sz w:val="22"/>
          <w:szCs w:val="22"/>
          <w:lang w:val="en-AU"/>
        </w:rPr>
        <w:t xml:space="preserve"> the “</w:t>
      </w:r>
      <w:r w:rsidR="00A64BF3" w:rsidRPr="000A2712">
        <w:rPr>
          <w:rFonts w:ascii="Calibri Light" w:hAnsi="Calibri Light" w:cs="Calibri Light"/>
          <w:color w:val="000000" w:themeColor="text1"/>
          <w:sz w:val="22"/>
          <w:szCs w:val="22"/>
          <w:lang w:val="en-AU"/>
        </w:rPr>
        <w:t>I am Woman Against Corruption” (</w:t>
      </w:r>
      <w:r w:rsidR="00A64BF3" w:rsidRPr="008E7162">
        <w:rPr>
          <w:rFonts w:ascii="Calibri Light" w:hAnsi="Calibri Light" w:cs="Calibri Light"/>
          <w:bCs/>
          <w:color w:val="000000" w:themeColor="text1"/>
          <w:sz w:val="22"/>
          <w:szCs w:val="22"/>
          <w:lang w:val="en-AU"/>
        </w:rPr>
        <w:t>SPAK</w:t>
      </w:r>
      <w:r w:rsidR="00A64BF3" w:rsidRPr="000A2712">
        <w:rPr>
          <w:rFonts w:ascii="Calibri Light" w:hAnsi="Calibri Light" w:cs="Calibri Light"/>
          <w:color w:val="000000" w:themeColor="text1"/>
          <w:sz w:val="22"/>
          <w:szCs w:val="22"/>
          <w:lang w:val="en-AU"/>
        </w:rPr>
        <w:t>) campaign</w:t>
      </w:r>
      <w:bookmarkEnd w:id="3"/>
      <w:r w:rsidR="006E5BB9"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A64BF3" w:rsidRPr="000A2712">
        <w:rPr>
          <w:rFonts w:ascii="Calibri Light" w:hAnsi="Calibri Light" w:cs="Calibri Light"/>
          <w:color w:val="000000" w:themeColor="text1"/>
          <w:sz w:val="22"/>
          <w:szCs w:val="22"/>
          <w:lang w:val="en-AU"/>
        </w:rPr>
        <w:t xml:space="preserve">In 2018, however, the decision was made for SPAK to establish </w:t>
      </w:r>
      <w:r w:rsidR="00EE1256" w:rsidRPr="000A2712">
        <w:rPr>
          <w:rFonts w:ascii="Calibri Light" w:hAnsi="Calibri Light" w:cs="Calibri Light"/>
          <w:color w:val="000000" w:themeColor="text1"/>
          <w:sz w:val="22"/>
          <w:szCs w:val="22"/>
          <w:lang w:val="en-AU"/>
        </w:rPr>
        <w:t xml:space="preserve">itself as an independent </w:t>
      </w:r>
      <w:r w:rsidR="00A64BF3" w:rsidRPr="000A2712">
        <w:rPr>
          <w:rFonts w:ascii="Calibri Light" w:hAnsi="Calibri Light" w:cs="Calibri Light"/>
          <w:color w:val="000000" w:themeColor="text1"/>
          <w:sz w:val="22"/>
          <w:szCs w:val="22"/>
          <w:lang w:val="en-AU"/>
        </w:rPr>
        <w:t xml:space="preserve">legal entity </w:t>
      </w:r>
      <w:r w:rsidR="008355ED" w:rsidRPr="000A2712">
        <w:rPr>
          <w:rFonts w:ascii="Calibri Light" w:hAnsi="Calibri Light" w:cs="Calibri Light"/>
          <w:color w:val="000000" w:themeColor="text1"/>
          <w:sz w:val="22"/>
          <w:szCs w:val="22"/>
          <w:lang w:val="en-AU"/>
        </w:rPr>
        <w:t xml:space="preserve">and for </w:t>
      </w:r>
      <w:r w:rsidR="0091585E" w:rsidRPr="000A2712">
        <w:rPr>
          <w:rFonts w:ascii="Calibri Light" w:hAnsi="Calibri Light" w:cs="Calibri Light"/>
          <w:color w:val="000000" w:themeColor="text1"/>
          <w:sz w:val="22"/>
          <w:szCs w:val="22"/>
          <w:lang w:val="en-AU"/>
        </w:rPr>
        <w:t xml:space="preserve">AIPJ2 </w:t>
      </w:r>
      <w:r w:rsidR="008355ED" w:rsidRPr="000A2712">
        <w:rPr>
          <w:rFonts w:ascii="Calibri Light" w:hAnsi="Calibri Light" w:cs="Calibri Light"/>
          <w:color w:val="000000" w:themeColor="text1"/>
          <w:sz w:val="22"/>
          <w:szCs w:val="22"/>
          <w:lang w:val="en-AU"/>
        </w:rPr>
        <w:t>to</w:t>
      </w:r>
      <w:r w:rsidR="0091585E" w:rsidRPr="000A2712">
        <w:rPr>
          <w:rFonts w:ascii="Calibri Light" w:hAnsi="Calibri Light" w:cs="Calibri Light"/>
          <w:color w:val="000000" w:themeColor="text1"/>
          <w:sz w:val="22"/>
          <w:szCs w:val="22"/>
          <w:lang w:val="en-AU"/>
        </w:rPr>
        <w:t xml:space="preserve"> cease core funding</w:t>
      </w:r>
      <w:r w:rsidR="008355ED"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6E5BB9" w:rsidRPr="000A2712">
        <w:rPr>
          <w:rFonts w:ascii="Calibri Light" w:hAnsi="Calibri Light" w:cs="Calibri Light"/>
          <w:color w:val="000000" w:themeColor="text1"/>
          <w:sz w:val="22"/>
          <w:szCs w:val="22"/>
          <w:lang w:val="en-AU"/>
        </w:rPr>
        <w:t>AIPJ2 assisted SPAK effect this transition</w:t>
      </w:r>
      <w:r w:rsidR="00A64BF3" w:rsidRPr="000A2712">
        <w:rPr>
          <w:rFonts w:ascii="Calibri Light" w:hAnsi="Calibri Light" w:cs="Calibri Light"/>
          <w:color w:val="000000" w:themeColor="text1"/>
          <w:sz w:val="22"/>
          <w:szCs w:val="22"/>
          <w:lang w:val="en-AU"/>
        </w:rPr>
        <w:t>.</w:t>
      </w:r>
    </w:p>
    <w:p w14:paraId="2215FA90" w14:textId="3BD17FBA" w:rsidR="00846E87" w:rsidRPr="00AD2A71" w:rsidRDefault="004E5BB5" w:rsidP="006B32D6">
      <w:pPr>
        <w:pStyle w:val="ListParagraph"/>
        <w:numPr>
          <w:ilvl w:val="2"/>
          <w:numId w:val="3"/>
        </w:numPr>
        <w:tabs>
          <w:tab w:val="left" w:pos="567"/>
        </w:tabs>
        <w:spacing w:line="274" w:lineRule="auto"/>
        <w:contextualSpacing w:val="0"/>
        <w:rPr>
          <w:rFonts w:ascii="Calibri Light" w:hAnsi="Calibri Light" w:cs="Calibri Light"/>
          <w:i/>
          <w:iCs/>
          <w:color w:val="000000" w:themeColor="text1"/>
          <w:sz w:val="22"/>
          <w:szCs w:val="22"/>
          <w:lang w:val="en-AU"/>
        </w:rPr>
      </w:pPr>
      <w:r w:rsidRPr="00AD2A71">
        <w:rPr>
          <w:rFonts w:ascii="Calibri Light" w:hAnsi="Calibri Light" w:cs="Calibri Light"/>
          <w:color w:val="000000" w:themeColor="text1"/>
          <w:sz w:val="22"/>
          <w:szCs w:val="22"/>
          <w:lang w:val="en-AU"/>
        </w:rPr>
        <w:t xml:space="preserve"> </w:t>
      </w:r>
      <w:r w:rsidR="006E5BB9" w:rsidRPr="00AD2A71">
        <w:rPr>
          <w:rFonts w:ascii="Calibri Light" w:hAnsi="Calibri Light" w:cs="Calibri Light"/>
          <w:color w:val="000000" w:themeColor="text1"/>
          <w:sz w:val="22"/>
          <w:szCs w:val="22"/>
          <w:lang w:val="en-AU"/>
        </w:rPr>
        <w:t xml:space="preserve">In </w:t>
      </w:r>
      <w:r w:rsidR="006E5BB9" w:rsidRPr="000A2712">
        <w:rPr>
          <w:rFonts w:ascii="Calibri Light" w:hAnsi="Calibri Light" w:cs="Calibri Light"/>
          <w:color w:val="000000" w:themeColor="text1"/>
          <w:sz w:val="22"/>
          <w:szCs w:val="22"/>
          <w:lang w:val="en-AU"/>
        </w:rPr>
        <w:t xml:space="preserve">that time, SPAK has grown to involve around 1,300 </w:t>
      </w:r>
      <w:r w:rsidR="00D94603">
        <w:rPr>
          <w:rFonts w:ascii="Calibri Light" w:hAnsi="Calibri Light" w:cs="Calibri Light"/>
          <w:color w:val="000000" w:themeColor="text1"/>
          <w:sz w:val="22"/>
          <w:szCs w:val="22"/>
          <w:lang w:val="en-AU"/>
        </w:rPr>
        <w:t xml:space="preserve">individual </w:t>
      </w:r>
      <w:r w:rsidR="006E5BB9" w:rsidRPr="000A2712">
        <w:rPr>
          <w:rFonts w:ascii="Calibri Light" w:hAnsi="Calibri Light" w:cs="Calibri Light"/>
          <w:color w:val="000000" w:themeColor="text1"/>
          <w:sz w:val="22"/>
          <w:szCs w:val="22"/>
          <w:lang w:val="en-AU"/>
        </w:rPr>
        <w:t xml:space="preserve">agents in 34 provinces, producing 2 board games, “Semai” and “Majo Junior” as </w:t>
      </w:r>
      <w:r w:rsidR="00D94603">
        <w:rPr>
          <w:rFonts w:ascii="Calibri Light" w:hAnsi="Calibri Light" w:cs="Calibri Light"/>
          <w:color w:val="000000" w:themeColor="text1"/>
          <w:sz w:val="22"/>
          <w:szCs w:val="22"/>
          <w:lang w:val="en-AU"/>
        </w:rPr>
        <w:t xml:space="preserve">the main </w:t>
      </w:r>
      <w:r w:rsidR="006E5BB9" w:rsidRPr="000A2712">
        <w:rPr>
          <w:rFonts w:ascii="Calibri Light" w:hAnsi="Calibri Light" w:cs="Calibri Light"/>
          <w:color w:val="000000" w:themeColor="text1"/>
          <w:sz w:val="22"/>
          <w:szCs w:val="22"/>
          <w:lang w:val="en-AU"/>
        </w:rPr>
        <w:t xml:space="preserve">tools for </w:t>
      </w:r>
      <w:r w:rsidR="00D94603">
        <w:rPr>
          <w:rFonts w:ascii="Calibri Light" w:hAnsi="Calibri Light" w:cs="Calibri Light"/>
          <w:color w:val="000000" w:themeColor="text1"/>
          <w:sz w:val="22"/>
          <w:szCs w:val="22"/>
          <w:lang w:val="en-AU"/>
        </w:rPr>
        <w:t xml:space="preserve">those </w:t>
      </w:r>
      <w:r w:rsidR="006E5BB9" w:rsidRPr="000A2712">
        <w:rPr>
          <w:rFonts w:ascii="Calibri Light" w:hAnsi="Calibri Light" w:cs="Calibri Light"/>
          <w:color w:val="000000" w:themeColor="text1"/>
          <w:sz w:val="22"/>
          <w:szCs w:val="22"/>
          <w:lang w:val="en-AU"/>
        </w:rPr>
        <w:t>agents to promote their message and obtaining an international Anti Corruption Excellence (ACE) Award from the United Nations.</w:t>
      </w:r>
      <w:r w:rsidR="008573F5">
        <w:rPr>
          <w:rFonts w:ascii="Calibri Light" w:hAnsi="Calibri Light" w:cs="Calibri Light"/>
          <w:color w:val="000000" w:themeColor="text1"/>
          <w:sz w:val="22"/>
          <w:szCs w:val="22"/>
          <w:lang w:val="en-AU"/>
        </w:rPr>
        <w:t xml:space="preserve"> </w:t>
      </w:r>
      <w:r w:rsidR="006E5BB9" w:rsidRPr="000A2712">
        <w:rPr>
          <w:rFonts w:ascii="Calibri Light" w:hAnsi="Calibri Light" w:cs="Calibri Light"/>
          <w:color w:val="000000" w:themeColor="text1"/>
          <w:sz w:val="22"/>
          <w:szCs w:val="22"/>
          <w:lang w:val="en-AU"/>
        </w:rPr>
        <w:t xml:space="preserve">In 2018 </w:t>
      </w:r>
      <w:r w:rsidR="0009479F" w:rsidRPr="00AD2A71">
        <w:rPr>
          <w:rFonts w:ascii="Calibri Light" w:hAnsi="Calibri Light" w:cs="Calibri Light"/>
          <w:color w:val="000000" w:themeColor="text1"/>
          <w:sz w:val="22"/>
          <w:szCs w:val="22"/>
          <w:lang w:val="en-AU"/>
        </w:rPr>
        <w:t xml:space="preserve">AIPJ2 commissioned a case study of SPAK </w:t>
      </w:r>
      <w:r w:rsidR="007629AC" w:rsidRPr="00AD2A71">
        <w:rPr>
          <w:rFonts w:ascii="Calibri Light" w:hAnsi="Calibri Light" w:cs="Calibri Light"/>
          <w:color w:val="000000" w:themeColor="text1"/>
          <w:sz w:val="22"/>
          <w:szCs w:val="22"/>
          <w:lang w:val="en-AU"/>
        </w:rPr>
        <w:t>operations in</w:t>
      </w:r>
      <w:r w:rsidR="00791134" w:rsidRPr="000A2712">
        <w:rPr>
          <w:rFonts w:ascii="Calibri Light" w:hAnsi="Calibri Light" w:cs="Calibri Light"/>
          <w:color w:val="000000" w:themeColor="text1"/>
          <w:sz w:val="22"/>
          <w:szCs w:val="22"/>
          <w:lang w:val="en-AU"/>
        </w:rPr>
        <w:t xml:space="preserve"> a</w:t>
      </w:r>
      <w:r w:rsidR="007629AC" w:rsidRPr="000A2712">
        <w:rPr>
          <w:rFonts w:ascii="Calibri Light" w:hAnsi="Calibri Light" w:cs="Calibri Light"/>
          <w:color w:val="000000" w:themeColor="text1"/>
          <w:sz w:val="22"/>
          <w:szCs w:val="22"/>
          <w:lang w:val="en-AU"/>
        </w:rPr>
        <w:t xml:space="preserve"> village</w:t>
      </w:r>
      <w:r w:rsidR="00791134" w:rsidRPr="000A2712">
        <w:rPr>
          <w:rFonts w:ascii="Calibri Light" w:hAnsi="Calibri Light" w:cs="Calibri Light"/>
          <w:color w:val="000000" w:themeColor="text1"/>
          <w:sz w:val="22"/>
          <w:szCs w:val="22"/>
          <w:lang w:val="en-AU"/>
        </w:rPr>
        <w:t xml:space="preserve"> to </w:t>
      </w:r>
      <w:r w:rsidR="001E7C8A" w:rsidRPr="000A2712">
        <w:rPr>
          <w:rFonts w:ascii="Calibri Light" w:hAnsi="Calibri Light" w:cs="Calibri Light"/>
          <w:color w:val="000000" w:themeColor="text1"/>
          <w:sz w:val="22"/>
          <w:szCs w:val="22"/>
          <w:lang w:val="en-AU"/>
        </w:rPr>
        <w:t>examine the mechanisms through which SPAK influences behaviours.</w:t>
      </w:r>
      <w:r w:rsidR="008573F5">
        <w:rPr>
          <w:rFonts w:ascii="Calibri Light" w:hAnsi="Calibri Light" w:cs="Calibri Light"/>
          <w:color w:val="000000" w:themeColor="text1"/>
          <w:sz w:val="22"/>
          <w:szCs w:val="22"/>
          <w:lang w:val="en-AU"/>
        </w:rPr>
        <w:t xml:space="preserve"> </w:t>
      </w:r>
      <w:r w:rsidR="001E7C8A" w:rsidRPr="000A2712">
        <w:rPr>
          <w:rFonts w:ascii="Calibri Light" w:hAnsi="Calibri Light" w:cs="Calibri Light"/>
          <w:color w:val="000000" w:themeColor="text1"/>
          <w:sz w:val="22"/>
          <w:szCs w:val="22"/>
          <w:lang w:val="en-AU"/>
        </w:rPr>
        <w:t>While t</w:t>
      </w:r>
      <w:r w:rsidR="0009479F" w:rsidRPr="000A2712">
        <w:rPr>
          <w:rFonts w:ascii="Calibri Light" w:hAnsi="Calibri Light" w:cs="Calibri Light"/>
          <w:color w:val="000000" w:themeColor="text1"/>
          <w:sz w:val="22"/>
          <w:szCs w:val="22"/>
          <w:lang w:val="en-AU"/>
        </w:rPr>
        <w:t xml:space="preserve">he findings </w:t>
      </w:r>
      <w:r w:rsidR="001E7C8A" w:rsidRPr="000A2712">
        <w:rPr>
          <w:rFonts w:ascii="Calibri Light" w:hAnsi="Calibri Light" w:cs="Calibri Light"/>
          <w:color w:val="000000" w:themeColor="text1"/>
          <w:sz w:val="22"/>
          <w:szCs w:val="22"/>
          <w:lang w:val="en-AU"/>
        </w:rPr>
        <w:t>were l</w:t>
      </w:r>
      <w:r w:rsidR="0009479F" w:rsidRPr="000A2712">
        <w:rPr>
          <w:rFonts w:ascii="Calibri Light" w:hAnsi="Calibri Light" w:cs="Calibri Light"/>
          <w:color w:val="000000" w:themeColor="text1"/>
          <w:sz w:val="22"/>
          <w:szCs w:val="22"/>
          <w:lang w:val="en-AU"/>
        </w:rPr>
        <w:t xml:space="preserve">argely </w:t>
      </w:r>
      <w:r w:rsidR="001E7C8A" w:rsidRPr="000A2712">
        <w:rPr>
          <w:rFonts w:ascii="Calibri Light" w:hAnsi="Calibri Light" w:cs="Calibri Light"/>
          <w:color w:val="000000" w:themeColor="text1"/>
          <w:sz w:val="22"/>
          <w:szCs w:val="22"/>
          <w:lang w:val="en-AU"/>
        </w:rPr>
        <w:t>positive, SPAK is not without critics.</w:t>
      </w:r>
      <w:r w:rsidR="008573F5">
        <w:rPr>
          <w:rFonts w:ascii="Calibri Light" w:hAnsi="Calibri Light" w:cs="Calibri Light"/>
          <w:color w:val="000000" w:themeColor="text1"/>
          <w:sz w:val="22"/>
          <w:szCs w:val="22"/>
          <w:lang w:val="en-AU"/>
        </w:rPr>
        <w:t xml:space="preserve"> </w:t>
      </w:r>
      <w:r w:rsidR="001E7C8A" w:rsidRPr="000A2712">
        <w:rPr>
          <w:rFonts w:ascii="Calibri Light" w:hAnsi="Calibri Light" w:cs="Calibri Light"/>
          <w:color w:val="000000" w:themeColor="text1"/>
          <w:sz w:val="22"/>
          <w:szCs w:val="22"/>
          <w:lang w:val="en-AU"/>
        </w:rPr>
        <w:t xml:space="preserve">SPAK </w:t>
      </w:r>
      <w:r w:rsidR="0009479F" w:rsidRPr="000A2712">
        <w:rPr>
          <w:rFonts w:ascii="Calibri Light" w:hAnsi="Calibri Light" w:cs="Calibri Light"/>
          <w:color w:val="000000" w:themeColor="text1"/>
          <w:sz w:val="22"/>
          <w:szCs w:val="22"/>
          <w:lang w:val="en-AU"/>
        </w:rPr>
        <w:t xml:space="preserve">has received criticism for its focus on corruption as an exclusively individual moral issue, rather than a structural one. It has also </w:t>
      </w:r>
      <w:r w:rsidR="008B1DB0" w:rsidRPr="000A2712">
        <w:rPr>
          <w:rFonts w:ascii="Calibri Light" w:hAnsi="Calibri Light" w:cs="Calibri Light"/>
          <w:color w:val="000000" w:themeColor="text1"/>
          <w:sz w:val="22"/>
          <w:szCs w:val="22"/>
          <w:lang w:val="en-AU"/>
        </w:rPr>
        <w:t xml:space="preserve">at times </w:t>
      </w:r>
      <w:r w:rsidR="00CD0834">
        <w:rPr>
          <w:rFonts w:ascii="Calibri Light" w:hAnsi="Calibri Light" w:cs="Calibri Light"/>
          <w:color w:val="000000" w:themeColor="text1"/>
          <w:sz w:val="22"/>
          <w:szCs w:val="22"/>
          <w:lang w:val="en-AU"/>
        </w:rPr>
        <w:t>been perceived by the</w:t>
      </w:r>
      <w:r w:rsidR="0009479F" w:rsidRPr="000A2712">
        <w:rPr>
          <w:rFonts w:ascii="Calibri Light" w:hAnsi="Calibri Light" w:cs="Calibri Light"/>
          <w:color w:val="000000" w:themeColor="text1"/>
          <w:sz w:val="22"/>
          <w:szCs w:val="22"/>
          <w:lang w:val="en-AU"/>
        </w:rPr>
        <w:t xml:space="preserve"> Indonesia Corruption Eradication Commission</w:t>
      </w:r>
      <w:r w:rsidR="00D94603">
        <w:rPr>
          <w:rFonts w:ascii="Calibri Light" w:hAnsi="Calibri Light" w:cs="Calibri Light"/>
          <w:color w:val="000000" w:themeColor="text1"/>
          <w:sz w:val="22"/>
          <w:szCs w:val="22"/>
          <w:lang w:val="en-AU"/>
        </w:rPr>
        <w:t xml:space="preserve"> (</w:t>
      </w:r>
      <w:r w:rsidR="00D94603" w:rsidRPr="008E7162">
        <w:rPr>
          <w:rFonts w:ascii="Calibri Light" w:hAnsi="Calibri Light" w:cs="Calibri Light"/>
          <w:color w:val="000000" w:themeColor="text1"/>
          <w:sz w:val="22"/>
          <w:szCs w:val="22"/>
          <w:lang w:val="en-AU"/>
        </w:rPr>
        <w:t>KPK</w:t>
      </w:r>
      <w:r w:rsidR="00D94603">
        <w:rPr>
          <w:rFonts w:ascii="Calibri Light" w:hAnsi="Calibri Light" w:cs="Calibri Light"/>
          <w:color w:val="000000" w:themeColor="text1"/>
          <w:sz w:val="22"/>
          <w:szCs w:val="22"/>
          <w:lang w:val="en-AU"/>
        </w:rPr>
        <w:t>)</w:t>
      </w:r>
      <w:r w:rsidR="00CD0834">
        <w:rPr>
          <w:rFonts w:ascii="Calibri Light" w:hAnsi="Calibri Light" w:cs="Calibri Light"/>
          <w:color w:val="000000" w:themeColor="text1"/>
          <w:sz w:val="22"/>
          <w:szCs w:val="22"/>
          <w:lang w:val="en-AU"/>
        </w:rPr>
        <w:t xml:space="preserve"> to work independently</w:t>
      </w:r>
      <w:r w:rsidR="0009479F" w:rsidRPr="000A2712">
        <w:rPr>
          <w:rFonts w:ascii="Calibri Light" w:hAnsi="Calibri Light" w:cs="Calibri Light"/>
          <w:color w:val="000000" w:themeColor="text1"/>
          <w:sz w:val="22"/>
          <w:szCs w:val="22"/>
          <w:lang w:val="en-AU"/>
        </w:rPr>
        <w:t>.</w:t>
      </w:r>
      <w:r w:rsidR="00A16179">
        <w:rPr>
          <w:rFonts w:ascii="Calibri Light" w:hAnsi="Calibri Light" w:cs="Calibri Light"/>
          <w:color w:val="000000" w:themeColor="text1"/>
          <w:sz w:val="22"/>
          <w:szCs w:val="22"/>
          <w:lang w:val="en-AU"/>
        </w:rPr>
        <w:t xml:space="preserve"> </w:t>
      </w:r>
    </w:p>
    <w:p w14:paraId="2D5840E2" w14:textId="7C016675" w:rsidR="0009479F" w:rsidRPr="00AD2A71" w:rsidRDefault="008573F5" w:rsidP="006B32D6">
      <w:pPr>
        <w:pStyle w:val="ListParagraph"/>
        <w:numPr>
          <w:ilvl w:val="2"/>
          <w:numId w:val="3"/>
        </w:numPr>
        <w:tabs>
          <w:tab w:val="left" w:pos="567"/>
        </w:tabs>
        <w:spacing w:line="274" w:lineRule="auto"/>
        <w:contextualSpacing w:val="0"/>
        <w:rPr>
          <w:rFonts w:ascii="Calibri Light" w:hAnsi="Calibri Light" w:cs="Calibri Light"/>
          <w:i/>
          <w:iCs/>
          <w:color w:val="000000" w:themeColor="text1"/>
          <w:sz w:val="22"/>
          <w:szCs w:val="22"/>
          <w:lang w:val="en-AU"/>
        </w:rPr>
      </w:pPr>
      <w:r>
        <w:rPr>
          <w:rFonts w:ascii="Calibri Light" w:hAnsi="Calibri Light" w:cs="Calibri Light"/>
          <w:color w:val="000000" w:themeColor="text1"/>
          <w:sz w:val="22"/>
          <w:szCs w:val="22"/>
          <w:lang w:val="en-AU"/>
        </w:rPr>
        <w:t xml:space="preserve"> </w:t>
      </w:r>
      <w:r w:rsidR="0009479F" w:rsidRPr="000A2712">
        <w:rPr>
          <w:rFonts w:ascii="Calibri Light" w:hAnsi="Calibri Light" w:cs="Calibri Light"/>
          <w:color w:val="000000" w:themeColor="text1"/>
          <w:sz w:val="22"/>
          <w:szCs w:val="22"/>
          <w:lang w:val="en-AU"/>
        </w:rPr>
        <w:t>AIPJ2</w:t>
      </w:r>
      <w:r w:rsidR="007036FA" w:rsidRPr="000A2712">
        <w:rPr>
          <w:rFonts w:ascii="Calibri Light" w:hAnsi="Calibri Light" w:cs="Calibri Light"/>
          <w:color w:val="000000" w:themeColor="text1"/>
          <w:sz w:val="22"/>
          <w:szCs w:val="22"/>
          <w:lang w:val="en-AU"/>
        </w:rPr>
        <w:t xml:space="preserve"> has also </w:t>
      </w:r>
      <w:r w:rsidR="00B64CF4">
        <w:rPr>
          <w:rFonts w:ascii="Calibri Light" w:hAnsi="Calibri Light" w:cs="Calibri Light"/>
          <w:color w:val="000000" w:themeColor="text1"/>
          <w:sz w:val="22"/>
          <w:szCs w:val="22"/>
          <w:lang w:val="en-AU"/>
        </w:rPr>
        <w:t xml:space="preserve">limitedly </w:t>
      </w:r>
      <w:r w:rsidR="007036FA" w:rsidRPr="000A2712">
        <w:rPr>
          <w:rFonts w:ascii="Calibri Light" w:hAnsi="Calibri Light" w:cs="Calibri Light"/>
          <w:color w:val="000000" w:themeColor="text1"/>
          <w:sz w:val="22"/>
          <w:szCs w:val="22"/>
          <w:lang w:val="en-AU"/>
        </w:rPr>
        <w:t xml:space="preserve">supported collaboration between </w:t>
      </w:r>
      <w:r w:rsidR="001646E7" w:rsidRPr="000A2712">
        <w:rPr>
          <w:rFonts w:ascii="Calibri Light" w:hAnsi="Calibri Light" w:cs="Calibri Light"/>
          <w:color w:val="000000" w:themeColor="text1"/>
          <w:sz w:val="22"/>
          <w:szCs w:val="22"/>
          <w:lang w:val="en-AU"/>
        </w:rPr>
        <w:t xml:space="preserve">Transparency International Indonesia and its </w:t>
      </w:r>
      <w:r w:rsidR="007036FA" w:rsidRPr="000A2712">
        <w:rPr>
          <w:rFonts w:ascii="Calibri Light" w:hAnsi="Calibri Light" w:cs="Calibri Light"/>
          <w:color w:val="000000" w:themeColor="text1"/>
          <w:sz w:val="22"/>
          <w:szCs w:val="22"/>
          <w:lang w:val="en-AU"/>
        </w:rPr>
        <w:t xml:space="preserve">civil society </w:t>
      </w:r>
      <w:r w:rsidR="001646E7" w:rsidRPr="000A2712">
        <w:rPr>
          <w:rFonts w:ascii="Calibri Light" w:hAnsi="Calibri Light" w:cs="Calibri Light"/>
          <w:color w:val="000000" w:themeColor="text1"/>
          <w:sz w:val="22"/>
          <w:szCs w:val="22"/>
          <w:lang w:val="en-AU"/>
        </w:rPr>
        <w:t xml:space="preserve">network </w:t>
      </w:r>
      <w:r w:rsidR="007036FA" w:rsidRPr="000A2712">
        <w:rPr>
          <w:rFonts w:ascii="Calibri Light" w:hAnsi="Calibri Light" w:cs="Calibri Light"/>
          <w:color w:val="000000" w:themeColor="text1"/>
          <w:sz w:val="22"/>
          <w:szCs w:val="22"/>
          <w:lang w:val="en-AU"/>
        </w:rPr>
        <w:t>and</w:t>
      </w:r>
      <w:r w:rsidR="0009479F" w:rsidRPr="000A2712">
        <w:rPr>
          <w:rFonts w:ascii="Calibri Light" w:hAnsi="Calibri Light" w:cs="Calibri Light"/>
          <w:color w:val="000000" w:themeColor="text1"/>
          <w:sz w:val="22"/>
          <w:szCs w:val="22"/>
          <w:lang w:val="en-AU"/>
        </w:rPr>
        <w:t xml:space="preserve"> </w:t>
      </w:r>
      <w:r w:rsidR="007036FA" w:rsidRPr="000A2712">
        <w:rPr>
          <w:rFonts w:ascii="Calibri Light" w:hAnsi="Calibri Light" w:cs="Calibri Light"/>
          <w:color w:val="000000" w:themeColor="text1"/>
          <w:sz w:val="22"/>
          <w:szCs w:val="22"/>
          <w:lang w:val="en-AU"/>
        </w:rPr>
        <w:t xml:space="preserve">the </w:t>
      </w:r>
      <w:r w:rsidR="00D94603">
        <w:rPr>
          <w:rFonts w:ascii="Calibri Light" w:hAnsi="Calibri Light" w:cs="Calibri Light"/>
          <w:color w:val="000000" w:themeColor="text1"/>
          <w:sz w:val="22"/>
          <w:szCs w:val="22"/>
          <w:lang w:val="en-AU"/>
        </w:rPr>
        <w:t>KPK</w:t>
      </w:r>
      <w:r w:rsidR="007036FA"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7036FA" w:rsidRPr="000A2712">
        <w:rPr>
          <w:rFonts w:ascii="Calibri Light" w:hAnsi="Calibri Light" w:cs="Calibri Light"/>
          <w:color w:val="000000" w:themeColor="text1"/>
          <w:sz w:val="22"/>
          <w:szCs w:val="22"/>
          <w:lang w:val="en-AU"/>
        </w:rPr>
        <w:t xml:space="preserve">This has contributed to the </w:t>
      </w:r>
      <w:r w:rsidR="00145B98">
        <w:rPr>
          <w:rFonts w:ascii="Calibri Light" w:hAnsi="Calibri Light" w:cs="Calibri Light"/>
          <w:color w:val="000000" w:themeColor="text1"/>
          <w:sz w:val="22"/>
          <w:szCs w:val="22"/>
          <w:lang w:val="en-AU"/>
        </w:rPr>
        <w:t>evaluation</w:t>
      </w:r>
      <w:r w:rsidR="00145B98" w:rsidRPr="000A2712">
        <w:rPr>
          <w:rFonts w:ascii="Calibri Light" w:hAnsi="Calibri Light" w:cs="Calibri Light"/>
          <w:color w:val="000000" w:themeColor="text1"/>
          <w:sz w:val="22"/>
          <w:szCs w:val="22"/>
          <w:lang w:val="en-AU"/>
        </w:rPr>
        <w:t xml:space="preserve"> </w:t>
      </w:r>
      <w:r w:rsidR="001646E7" w:rsidRPr="000A2712">
        <w:rPr>
          <w:rFonts w:ascii="Calibri Light" w:hAnsi="Calibri Light" w:cs="Calibri Light"/>
          <w:color w:val="000000" w:themeColor="text1"/>
          <w:sz w:val="22"/>
          <w:szCs w:val="22"/>
          <w:lang w:val="en-AU"/>
        </w:rPr>
        <w:t xml:space="preserve">of the </w:t>
      </w:r>
      <w:r w:rsidR="001646E7" w:rsidRPr="0082629C">
        <w:rPr>
          <w:rFonts w:ascii="Calibri Light" w:hAnsi="Calibri Light"/>
          <w:color w:val="000000" w:themeColor="text1"/>
          <w:sz w:val="22"/>
          <w:lang w:val="en-AU"/>
        </w:rPr>
        <w:t>National Strategy for the Prevention and Eradication of Corruption</w:t>
      </w:r>
      <w:r w:rsidR="001646E7" w:rsidRPr="000A2712">
        <w:rPr>
          <w:rFonts w:ascii="Calibri Light" w:hAnsi="Calibri Light" w:cs="Calibri Light"/>
          <w:color w:val="000000" w:themeColor="text1"/>
          <w:sz w:val="22"/>
          <w:szCs w:val="22"/>
          <w:lang w:val="en-AU"/>
        </w:rPr>
        <w:t xml:space="preserve"> </w:t>
      </w:r>
      <w:r w:rsidR="001646E7" w:rsidRPr="008E7162">
        <w:rPr>
          <w:rFonts w:ascii="Calibri Light" w:hAnsi="Calibri Light" w:cs="Calibri Light"/>
          <w:color w:val="000000" w:themeColor="text1"/>
          <w:sz w:val="22"/>
          <w:szCs w:val="22"/>
          <w:lang w:val="en-AU"/>
        </w:rPr>
        <w:t>(</w:t>
      </w:r>
      <w:r w:rsidR="001646E7" w:rsidRPr="008E7162">
        <w:rPr>
          <w:rFonts w:ascii="Calibri Light" w:hAnsi="Calibri Light"/>
          <w:color w:val="000000" w:themeColor="text1"/>
          <w:sz w:val="22"/>
          <w:lang w:val="en-AU"/>
        </w:rPr>
        <w:t xml:space="preserve">Stranas </w:t>
      </w:r>
      <w:r w:rsidR="00145B98" w:rsidRPr="008E7162">
        <w:rPr>
          <w:rFonts w:ascii="Calibri Light" w:hAnsi="Calibri Light" w:cs="Calibri Light"/>
          <w:color w:val="000000" w:themeColor="text1"/>
          <w:sz w:val="22"/>
          <w:szCs w:val="22"/>
          <w:lang w:val="en-AU"/>
        </w:rPr>
        <w:t>PPK</w:t>
      </w:r>
      <w:r w:rsidR="001646E7" w:rsidRPr="008E7162">
        <w:rPr>
          <w:rFonts w:ascii="Calibri Light" w:hAnsi="Calibri Light" w:cs="Calibri Light"/>
          <w:color w:val="000000" w:themeColor="text1"/>
          <w:sz w:val="22"/>
          <w:szCs w:val="22"/>
          <w:lang w:val="en-AU"/>
        </w:rPr>
        <w:t>)</w:t>
      </w:r>
      <w:r w:rsidR="007036FA" w:rsidRPr="008E7162">
        <w:rPr>
          <w:rFonts w:ascii="Calibri Light" w:hAnsi="Calibri Light" w:cs="Calibri Light"/>
          <w:color w:val="000000" w:themeColor="text1"/>
          <w:sz w:val="22"/>
          <w:szCs w:val="22"/>
          <w:lang w:val="en-AU"/>
        </w:rPr>
        <w:t>,</w:t>
      </w:r>
      <w:r w:rsidR="001646E7" w:rsidRPr="000A2712">
        <w:rPr>
          <w:rFonts w:ascii="Calibri Light" w:hAnsi="Calibri Light" w:cs="Calibri Light"/>
          <w:color w:val="000000" w:themeColor="text1"/>
          <w:sz w:val="22"/>
          <w:szCs w:val="22"/>
          <w:lang w:val="en-AU"/>
        </w:rPr>
        <w:t xml:space="preserve"> </w:t>
      </w:r>
      <w:r w:rsidR="007036FA" w:rsidRPr="000A2712">
        <w:rPr>
          <w:rFonts w:ascii="Calibri Light" w:hAnsi="Calibri Light" w:cs="Calibri Light"/>
          <w:color w:val="000000" w:themeColor="text1"/>
          <w:sz w:val="22"/>
          <w:szCs w:val="22"/>
          <w:lang w:val="en-AU"/>
        </w:rPr>
        <w:t xml:space="preserve">established under </w:t>
      </w:r>
      <w:r w:rsidR="001646E7" w:rsidRPr="000A2712">
        <w:rPr>
          <w:rFonts w:ascii="Calibri Light" w:hAnsi="Calibri Light" w:cs="Calibri Light"/>
          <w:color w:val="000000" w:themeColor="text1"/>
          <w:sz w:val="22"/>
          <w:szCs w:val="22"/>
          <w:lang w:val="en-AU"/>
        </w:rPr>
        <w:t>Presidential Regulation No. 54 of 2018</w:t>
      </w:r>
      <w:r w:rsidR="00B62BF9"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B62BF9" w:rsidRPr="000A2712">
        <w:rPr>
          <w:rFonts w:ascii="Calibri Light" w:hAnsi="Calibri Light" w:cs="Calibri Light"/>
          <w:color w:val="000000" w:themeColor="text1"/>
          <w:sz w:val="22"/>
          <w:szCs w:val="22"/>
          <w:lang w:val="en-AU"/>
        </w:rPr>
        <w:t xml:space="preserve">The Stranas </w:t>
      </w:r>
      <w:r w:rsidR="00145B98" w:rsidRPr="000A2712">
        <w:rPr>
          <w:rFonts w:ascii="Calibri Light" w:hAnsi="Calibri Light" w:cs="Calibri Light"/>
          <w:color w:val="000000" w:themeColor="text1"/>
          <w:sz w:val="22"/>
          <w:szCs w:val="22"/>
          <w:lang w:val="en-AU"/>
        </w:rPr>
        <w:t>P</w:t>
      </w:r>
      <w:r w:rsidR="00145B98">
        <w:rPr>
          <w:rFonts w:ascii="Calibri Light" w:hAnsi="Calibri Light" w:cs="Calibri Light"/>
          <w:color w:val="000000" w:themeColor="text1"/>
          <w:sz w:val="22"/>
          <w:szCs w:val="22"/>
          <w:lang w:val="en-AU"/>
        </w:rPr>
        <w:t>P</w:t>
      </w:r>
      <w:r w:rsidR="00145B98" w:rsidRPr="000A2712">
        <w:rPr>
          <w:rFonts w:ascii="Calibri Light" w:hAnsi="Calibri Light" w:cs="Calibri Light"/>
          <w:color w:val="000000" w:themeColor="text1"/>
          <w:sz w:val="22"/>
          <w:szCs w:val="22"/>
          <w:lang w:val="en-AU"/>
        </w:rPr>
        <w:t xml:space="preserve">K </w:t>
      </w:r>
      <w:r w:rsidR="00B62BF9" w:rsidRPr="000A2712">
        <w:rPr>
          <w:rFonts w:ascii="Calibri Light" w:hAnsi="Calibri Light" w:cs="Calibri Light"/>
          <w:color w:val="000000" w:themeColor="text1"/>
          <w:sz w:val="22"/>
          <w:szCs w:val="22"/>
          <w:lang w:val="en-AU"/>
        </w:rPr>
        <w:t>is perceived as a valuable document, updat</w:t>
      </w:r>
      <w:r w:rsidR="00EE1256" w:rsidRPr="000A2712">
        <w:rPr>
          <w:rFonts w:ascii="Calibri Light" w:hAnsi="Calibri Light" w:cs="Calibri Light"/>
          <w:color w:val="000000" w:themeColor="text1"/>
          <w:sz w:val="22"/>
          <w:szCs w:val="22"/>
          <w:lang w:val="en-AU"/>
        </w:rPr>
        <w:t>ing</w:t>
      </w:r>
      <w:r w:rsidR="00B62BF9" w:rsidRPr="000A2712">
        <w:rPr>
          <w:rFonts w:ascii="Calibri Light" w:hAnsi="Calibri Light" w:cs="Calibri Light"/>
          <w:color w:val="000000" w:themeColor="text1"/>
          <w:sz w:val="22"/>
          <w:szCs w:val="22"/>
          <w:lang w:val="en-AU"/>
        </w:rPr>
        <w:t xml:space="preserve"> its </w:t>
      </w:r>
      <w:r w:rsidR="00EE1256" w:rsidRPr="000A2712">
        <w:rPr>
          <w:rFonts w:ascii="Calibri Light" w:hAnsi="Calibri Light" w:cs="Calibri Light"/>
          <w:color w:val="000000" w:themeColor="text1"/>
          <w:sz w:val="22"/>
          <w:szCs w:val="22"/>
          <w:lang w:val="en-AU"/>
        </w:rPr>
        <w:t xml:space="preserve">2012 </w:t>
      </w:r>
      <w:r w:rsidR="00B62BF9" w:rsidRPr="000A2712">
        <w:rPr>
          <w:rFonts w:ascii="Calibri Light" w:hAnsi="Calibri Light" w:cs="Calibri Light"/>
          <w:color w:val="000000" w:themeColor="text1"/>
          <w:sz w:val="22"/>
          <w:szCs w:val="22"/>
          <w:lang w:val="en-AU"/>
        </w:rPr>
        <w:t>predecessor to reflect new priorities.</w:t>
      </w:r>
      <w:r>
        <w:rPr>
          <w:rFonts w:ascii="Calibri Light" w:hAnsi="Calibri Light" w:cs="Calibri Light"/>
          <w:color w:val="000000" w:themeColor="text1"/>
          <w:sz w:val="22"/>
          <w:szCs w:val="22"/>
          <w:lang w:val="en-AU"/>
        </w:rPr>
        <w:t xml:space="preserve"> </w:t>
      </w:r>
      <w:r w:rsidR="009918EB">
        <w:rPr>
          <w:rFonts w:ascii="Calibri Light" w:hAnsi="Calibri Light" w:cs="Calibri Light"/>
          <w:color w:val="000000" w:themeColor="text1"/>
          <w:sz w:val="22"/>
          <w:szCs w:val="22"/>
          <w:lang w:val="en-AU"/>
        </w:rPr>
        <w:t>However, t</w:t>
      </w:r>
      <w:r w:rsidR="00145B98">
        <w:rPr>
          <w:rFonts w:ascii="Calibri Light" w:hAnsi="Calibri Light" w:cs="Calibri Light"/>
          <w:color w:val="000000" w:themeColor="text1"/>
          <w:sz w:val="22"/>
          <w:szCs w:val="22"/>
          <w:lang w:val="en-AU"/>
        </w:rPr>
        <w:t xml:space="preserve">he evaluation </w:t>
      </w:r>
      <w:r w:rsidR="00E86DA6" w:rsidRPr="000A2712">
        <w:rPr>
          <w:rFonts w:ascii="Calibri Light" w:hAnsi="Calibri Light" w:cs="Calibri Light"/>
          <w:color w:val="000000" w:themeColor="text1"/>
          <w:sz w:val="22"/>
          <w:szCs w:val="22"/>
          <w:lang w:val="en-AU"/>
        </w:rPr>
        <w:t xml:space="preserve">in </w:t>
      </w:r>
      <w:r w:rsidR="00EE1256" w:rsidRPr="000A2712">
        <w:rPr>
          <w:rFonts w:ascii="Calibri Light" w:hAnsi="Calibri Light" w:cs="Calibri Light"/>
          <w:color w:val="000000" w:themeColor="text1"/>
          <w:sz w:val="22"/>
          <w:szCs w:val="22"/>
          <w:lang w:val="en-AU"/>
        </w:rPr>
        <w:t>four regional cities</w:t>
      </w:r>
      <w:r w:rsidR="00E86DA6" w:rsidRPr="000A2712">
        <w:rPr>
          <w:rFonts w:ascii="Calibri Light" w:hAnsi="Calibri Light" w:cs="Calibri Light"/>
          <w:color w:val="000000" w:themeColor="text1"/>
          <w:sz w:val="22"/>
          <w:szCs w:val="22"/>
          <w:lang w:val="en-AU"/>
        </w:rPr>
        <w:t xml:space="preserve"> emphasises the scale of the </w:t>
      </w:r>
      <w:r w:rsidR="00EE1256" w:rsidRPr="000A2712">
        <w:rPr>
          <w:rFonts w:ascii="Calibri Light" w:hAnsi="Calibri Light" w:cs="Calibri Light"/>
          <w:color w:val="000000" w:themeColor="text1"/>
          <w:sz w:val="22"/>
          <w:szCs w:val="22"/>
          <w:lang w:val="en-AU"/>
        </w:rPr>
        <w:t xml:space="preserve">implementation </w:t>
      </w:r>
      <w:r w:rsidR="00E86DA6" w:rsidRPr="000A2712">
        <w:rPr>
          <w:rFonts w:ascii="Calibri Light" w:hAnsi="Calibri Light" w:cs="Calibri Light"/>
          <w:color w:val="000000" w:themeColor="text1"/>
          <w:sz w:val="22"/>
          <w:szCs w:val="22"/>
          <w:lang w:val="en-AU"/>
        </w:rPr>
        <w:t xml:space="preserve">challenge, </w:t>
      </w:r>
      <w:r w:rsidR="00B62BF9" w:rsidRPr="000A2712">
        <w:rPr>
          <w:rFonts w:ascii="Calibri Light" w:hAnsi="Calibri Light" w:cs="Calibri Light"/>
          <w:color w:val="000000" w:themeColor="text1"/>
          <w:sz w:val="22"/>
          <w:szCs w:val="22"/>
          <w:lang w:val="en-AU"/>
        </w:rPr>
        <w:t>highlight</w:t>
      </w:r>
      <w:r w:rsidR="00E86DA6" w:rsidRPr="000A2712">
        <w:rPr>
          <w:rFonts w:ascii="Calibri Light" w:hAnsi="Calibri Light" w:cs="Calibri Light"/>
          <w:color w:val="000000" w:themeColor="text1"/>
          <w:sz w:val="22"/>
          <w:szCs w:val="22"/>
          <w:lang w:val="en-AU"/>
        </w:rPr>
        <w:t xml:space="preserve">ing high risks of corruption, low levels of civil society engagement and </w:t>
      </w:r>
      <w:r w:rsidR="009918EB">
        <w:rPr>
          <w:rFonts w:ascii="Calibri Light" w:hAnsi="Calibri Light" w:cs="Calibri Light"/>
          <w:color w:val="000000" w:themeColor="text1"/>
          <w:sz w:val="22"/>
          <w:szCs w:val="22"/>
          <w:lang w:val="en-AU"/>
        </w:rPr>
        <w:t xml:space="preserve">currently </w:t>
      </w:r>
      <w:r w:rsidR="00E86DA6" w:rsidRPr="000A2712">
        <w:rPr>
          <w:rFonts w:ascii="Calibri Light" w:hAnsi="Calibri Light" w:cs="Calibri Light"/>
          <w:color w:val="000000" w:themeColor="text1"/>
          <w:sz w:val="22"/>
          <w:szCs w:val="22"/>
          <w:lang w:val="en-AU"/>
        </w:rPr>
        <w:t xml:space="preserve">limited </w:t>
      </w:r>
      <w:r w:rsidR="00145B98">
        <w:rPr>
          <w:rFonts w:ascii="Calibri Light" w:hAnsi="Calibri Light" w:cs="Calibri Light"/>
          <w:color w:val="000000" w:themeColor="text1"/>
          <w:sz w:val="22"/>
          <w:szCs w:val="22"/>
          <w:lang w:val="en-AU"/>
        </w:rPr>
        <w:t xml:space="preserve">public </w:t>
      </w:r>
      <w:r w:rsidR="00E86DA6" w:rsidRPr="000A2712">
        <w:rPr>
          <w:rFonts w:ascii="Calibri Light" w:hAnsi="Calibri Light" w:cs="Calibri Light"/>
          <w:color w:val="000000" w:themeColor="text1"/>
          <w:sz w:val="22"/>
          <w:szCs w:val="22"/>
          <w:lang w:val="en-AU"/>
        </w:rPr>
        <w:t xml:space="preserve">knowledge </w:t>
      </w:r>
      <w:r w:rsidR="00B62BF9" w:rsidRPr="000A2712">
        <w:rPr>
          <w:rFonts w:ascii="Calibri Light" w:hAnsi="Calibri Light" w:cs="Calibri Light"/>
          <w:color w:val="000000" w:themeColor="text1"/>
          <w:sz w:val="22"/>
          <w:szCs w:val="22"/>
          <w:lang w:val="en-AU"/>
        </w:rPr>
        <w:t xml:space="preserve">of </w:t>
      </w:r>
      <w:r w:rsidR="00EE1256" w:rsidRPr="000A2712">
        <w:rPr>
          <w:rFonts w:ascii="Calibri Light" w:hAnsi="Calibri Light" w:cs="Calibri Light"/>
          <w:color w:val="000000" w:themeColor="text1"/>
          <w:sz w:val="22"/>
          <w:szCs w:val="22"/>
          <w:lang w:val="en-AU"/>
        </w:rPr>
        <w:t xml:space="preserve">the </w:t>
      </w:r>
      <w:r w:rsidR="00E86DA6" w:rsidRPr="000A2712">
        <w:rPr>
          <w:rFonts w:ascii="Calibri Light" w:hAnsi="Calibri Light" w:cs="Calibri Light"/>
          <w:color w:val="000000" w:themeColor="text1"/>
          <w:sz w:val="22"/>
          <w:szCs w:val="22"/>
          <w:lang w:val="en-AU"/>
        </w:rPr>
        <w:t xml:space="preserve">Stranas </w:t>
      </w:r>
      <w:r w:rsidR="00145B98" w:rsidRPr="000A2712">
        <w:rPr>
          <w:rFonts w:ascii="Calibri Light" w:hAnsi="Calibri Light" w:cs="Calibri Light"/>
          <w:color w:val="000000" w:themeColor="text1"/>
          <w:sz w:val="22"/>
          <w:szCs w:val="22"/>
          <w:lang w:val="en-AU"/>
        </w:rPr>
        <w:t>P</w:t>
      </w:r>
      <w:r w:rsidR="00145B98">
        <w:rPr>
          <w:rFonts w:ascii="Calibri Light" w:hAnsi="Calibri Light" w:cs="Calibri Light"/>
          <w:color w:val="000000" w:themeColor="text1"/>
          <w:sz w:val="22"/>
          <w:szCs w:val="22"/>
          <w:lang w:val="en-AU"/>
        </w:rPr>
        <w:t>P</w:t>
      </w:r>
      <w:r w:rsidR="00145B98" w:rsidRPr="000A2712">
        <w:rPr>
          <w:rFonts w:ascii="Calibri Light" w:hAnsi="Calibri Light" w:cs="Calibri Light"/>
          <w:color w:val="000000" w:themeColor="text1"/>
          <w:sz w:val="22"/>
          <w:szCs w:val="22"/>
          <w:lang w:val="en-AU"/>
        </w:rPr>
        <w:t>K</w:t>
      </w:r>
      <w:r w:rsidR="00E86DA6" w:rsidRPr="000A2712">
        <w:rPr>
          <w:rFonts w:ascii="Calibri Light" w:hAnsi="Calibri Light" w:cs="Calibri Light"/>
          <w:color w:val="000000" w:themeColor="text1"/>
          <w:sz w:val="22"/>
          <w:szCs w:val="22"/>
          <w:lang w:val="en-AU"/>
        </w:rPr>
        <w:t xml:space="preserve">. </w:t>
      </w:r>
    </w:p>
    <w:p w14:paraId="5E3A7BE1" w14:textId="19A9DADB" w:rsidR="00E86DA6" w:rsidRPr="000A2712" w:rsidRDefault="008573F5" w:rsidP="006B32D6">
      <w:pPr>
        <w:pStyle w:val="ListParagraph"/>
        <w:numPr>
          <w:ilvl w:val="2"/>
          <w:numId w:val="3"/>
        </w:numPr>
        <w:tabs>
          <w:tab w:val="left" w:pos="567"/>
        </w:tabs>
        <w:spacing w:line="274" w:lineRule="auto"/>
        <w:contextualSpacing w:val="0"/>
        <w:rPr>
          <w:rFonts w:ascii="Calibri Light" w:hAnsi="Calibri Light" w:cs="Calibri Light"/>
          <w:i/>
          <w:iCs/>
          <w:color w:val="000000" w:themeColor="text1"/>
          <w:sz w:val="22"/>
          <w:szCs w:val="22"/>
          <w:lang w:val="en-AU"/>
        </w:rPr>
      </w:pPr>
      <w:r>
        <w:rPr>
          <w:rFonts w:ascii="Calibri Light" w:hAnsi="Calibri Light" w:cs="Calibri Light"/>
          <w:color w:val="000000" w:themeColor="text1"/>
          <w:sz w:val="22"/>
          <w:szCs w:val="22"/>
          <w:lang w:val="en-AU"/>
        </w:rPr>
        <w:t xml:space="preserve"> </w:t>
      </w:r>
      <w:r w:rsidR="00E86DA6" w:rsidRPr="00AD2A71">
        <w:rPr>
          <w:rFonts w:ascii="Calibri Light" w:hAnsi="Calibri Light" w:cs="Calibri Light"/>
          <w:color w:val="000000" w:themeColor="text1"/>
          <w:sz w:val="22"/>
          <w:szCs w:val="22"/>
          <w:lang w:val="en-AU"/>
        </w:rPr>
        <w:t xml:space="preserve">AIPJ2 also </w:t>
      </w:r>
      <w:r w:rsidR="008E7162">
        <w:rPr>
          <w:rFonts w:ascii="Calibri Light" w:hAnsi="Calibri Light" w:cs="Calibri Light"/>
          <w:color w:val="000000" w:themeColor="text1"/>
          <w:sz w:val="22"/>
          <w:szCs w:val="22"/>
          <w:lang w:val="en-AU"/>
        </w:rPr>
        <w:t xml:space="preserve">provided limited funding to enable </w:t>
      </w:r>
      <w:r w:rsidR="00E86DA6" w:rsidRPr="00AD2A71">
        <w:rPr>
          <w:rFonts w:ascii="Calibri Light" w:hAnsi="Calibri Light" w:cs="Calibri Light"/>
          <w:color w:val="000000" w:themeColor="text1"/>
          <w:sz w:val="22"/>
          <w:szCs w:val="22"/>
          <w:lang w:val="en-AU"/>
        </w:rPr>
        <w:t xml:space="preserve">contributions by a number of </w:t>
      </w:r>
      <w:r w:rsidR="00930253" w:rsidRPr="00AD2A71">
        <w:rPr>
          <w:rFonts w:ascii="Calibri Light" w:hAnsi="Calibri Light" w:cs="Calibri Light"/>
          <w:color w:val="000000" w:themeColor="text1"/>
          <w:sz w:val="22"/>
          <w:szCs w:val="22"/>
          <w:lang w:val="en-AU"/>
        </w:rPr>
        <w:t xml:space="preserve">its </w:t>
      </w:r>
      <w:r w:rsidR="00E86DA6" w:rsidRPr="000A2712">
        <w:rPr>
          <w:rFonts w:ascii="Calibri Light" w:hAnsi="Calibri Light" w:cs="Calibri Light"/>
          <w:color w:val="000000" w:themeColor="text1"/>
          <w:sz w:val="22"/>
          <w:szCs w:val="22"/>
          <w:lang w:val="en-AU"/>
        </w:rPr>
        <w:t xml:space="preserve">partners to </w:t>
      </w:r>
      <w:r w:rsidR="00930253" w:rsidRPr="000A2712">
        <w:rPr>
          <w:rFonts w:ascii="Calibri Light" w:hAnsi="Calibri Light" w:cs="Calibri Light"/>
          <w:color w:val="000000" w:themeColor="text1"/>
          <w:sz w:val="22"/>
          <w:szCs w:val="22"/>
          <w:lang w:val="en-AU"/>
        </w:rPr>
        <w:t xml:space="preserve">inform the development of practical </w:t>
      </w:r>
      <w:r w:rsidR="00930253" w:rsidRPr="000A2712">
        <w:rPr>
          <w:rFonts w:ascii="Calibri Light" w:hAnsi="Calibri Light" w:cs="Calibri Light"/>
          <w:b/>
          <w:bCs/>
          <w:color w:val="000000" w:themeColor="text1"/>
          <w:sz w:val="22"/>
          <w:szCs w:val="22"/>
          <w:lang w:val="en-AU"/>
        </w:rPr>
        <w:t>g</w:t>
      </w:r>
      <w:r w:rsidR="00E86DA6" w:rsidRPr="000A2712">
        <w:rPr>
          <w:rFonts w:ascii="Calibri Light" w:hAnsi="Calibri Light" w:cs="Calibri Light"/>
          <w:b/>
          <w:bCs/>
          <w:color w:val="000000" w:themeColor="text1"/>
          <w:sz w:val="22"/>
          <w:szCs w:val="22"/>
          <w:lang w:val="en-AU"/>
        </w:rPr>
        <w:t xml:space="preserve">uidelines on </w:t>
      </w:r>
      <w:r w:rsidR="00930253" w:rsidRPr="000A2712">
        <w:rPr>
          <w:rFonts w:ascii="Calibri Light" w:hAnsi="Calibri Light" w:cs="Calibri Light"/>
          <w:b/>
          <w:bCs/>
          <w:color w:val="000000" w:themeColor="text1"/>
          <w:sz w:val="22"/>
          <w:szCs w:val="22"/>
          <w:lang w:val="en-AU"/>
        </w:rPr>
        <w:t>Money Laundering Case Management in the Capital Market</w:t>
      </w:r>
      <w:r w:rsidR="00930253"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930253" w:rsidRPr="000A2712">
        <w:rPr>
          <w:rFonts w:ascii="Calibri Light" w:hAnsi="Calibri Light" w:cs="Calibri Light"/>
          <w:color w:val="000000" w:themeColor="text1"/>
          <w:sz w:val="22"/>
          <w:szCs w:val="22"/>
          <w:lang w:val="en-AU"/>
        </w:rPr>
        <w:t xml:space="preserve">Partners included the Centre for Law and Policy Studies (PSHK), the Australian Attorney-General’s Department and Australian Department of Home Affairs, working in collaboration with the </w:t>
      </w:r>
      <w:r w:rsidR="00D94603">
        <w:rPr>
          <w:rFonts w:ascii="Calibri Light" w:hAnsi="Calibri Light" w:cs="Calibri Light"/>
          <w:color w:val="000000" w:themeColor="text1"/>
          <w:sz w:val="22"/>
          <w:szCs w:val="22"/>
          <w:lang w:val="en-AU"/>
        </w:rPr>
        <w:t>KPK</w:t>
      </w:r>
      <w:r w:rsidR="00930253" w:rsidRPr="000A2712">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xml:space="preserve"> </w:t>
      </w:r>
      <w:r w:rsidR="00930253" w:rsidRPr="000A2712">
        <w:rPr>
          <w:rFonts w:ascii="Calibri Light" w:hAnsi="Calibri Light" w:cs="Calibri Light"/>
          <w:color w:val="000000" w:themeColor="text1"/>
          <w:sz w:val="22"/>
          <w:szCs w:val="22"/>
          <w:lang w:val="en-AU"/>
        </w:rPr>
        <w:t>The guidelines were launched in December 2018.</w:t>
      </w:r>
      <w:r>
        <w:rPr>
          <w:rFonts w:ascii="Calibri Light" w:hAnsi="Calibri Light" w:cs="Calibri Light"/>
          <w:color w:val="000000" w:themeColor="text1"/>
          <w:sz w:val="22"/>
          <w:szCs w:val="22"/>
          <w:lang w:val="en-AU"/>
        </w:rPr>
        <w:t xml:space="preserve"> </w:t>
      </w:r>
      <w:r w:rsidR="00930253" w:rsidRPr="000A2712">
        <w:rPr>
          <w:rFonts w:ascii="Calibri Light" w:hAnsi="Calibri Light" w:cs="Calibri Light"/>
          <w:color w:val="000000" w:themeColor="text1"/>
          <w:sz w:val="22"/>
          <w:szCs w:val="22"/>
          <w:lang w:val="en-AU"/>
        </w:rPr>
        <w:t>The</w:t>
      </w:r>
      <w:r w:rsidR="00D758A2" w:rsidRPr="000A2712">
        <w:rPr>
          <w:rFonts w:ascii="Calibri Light" w:hAnsi="Calibri Light" w:cs="Calibri Light"/>
          <w:color w:val="000000" w:themeColor="text1"/>
          <w:sz w:val="22"/>
          <w:szCs w:val="22"/>
          <w:lang w:val="en-AU"/>
        </w:rPr>
        <w:t>ir application and impact is as yet unassessed.</w:t>
      </w:r>
    </w:p>
    <w:p w14:paraId="6E96BE31" w14:textId="0ED525C0" w:rsidR="003F0B96" w:rsidRPr="000A2712" w:rsidRDefault="003F0B96" w:rsidP="004F6A96">
      <w:pPr>
        <w:tabs>
          <w:tab w:val="left" w:pos="567"/>
        </w:tabs>
        <w:spacing w:line="274" w:lineRule="auto"/>
        <w:rPr>
          <w:rFonts w:ascii="Calibri Light" w:hAnsi="Calibri Light" w:cs="Calibri Light"/>
          <w:i/>
          <w:iCs/>
          <w:color w:val="000000" w:themeColor="text1"/>
          <w:sz w:val="22"/>
          <w:szCs w:val="22"/>
          <w:lang w:val="en-AU"/>
        </w:rPr>
      </w:pPr>
      <w:r w:rsidRPr="000A2712">
        <w:rPr>
          <w:rFonts w:ascii="Calibri Light" w:hAnsi="Calibri Light" w:cs="Calibri Light"/>
          <w:i/>
          <w:iCs/>
          <w:color w:val="000000" w:themeColor="text1"/>
          <w:sz w:val="22"/>
          <w:szCs w:val="22"/>
          <w:lang w:val="en-AU"/>
        </w:rPr>
        <w:t>Corrections Reform</w:t>
      </w:r>
    </w:p>
    <w:p w14:paraId="1A5082C1" w14:textId="2ED6CCA0" w:rsidR="003F0B96" w:rsidRPr="000A2712" w:rsidRDefault="003F0B96" w:rsidP="006B32D6">
      <w:pPr>
        <w:pStyle w:val="ListParagraph"/>
        <w:numPr>
          <w:ilvl w:val="2"/>
          <w:numId w:val="3"/>
        </w:numPr>
        <w:tabs>
          <w:tab w:val="left" w:pos="567"/>
        </w:tabs>
        <w:spacing w:line="274" w:lineRule="auto"/>
        <w:contextualSpacing w:val="0"/>
        <w:rPr>
          <w:rStyle w:val="tlid-translation"/>
          <w:rFonts w:ascii="Calibri Light" w:hAnsi="Calibri Light" w:cs="Calibri Light"/>
          <w:color w:val="000000" w:themeColor="text1"/>
          <w:sz w:val="22"/>
          <w:szCs w:val="22"/>
          <w:lang w:val="en-AU"/>
        </w:rPr>
      </w:pPr>
      <w:r w:rsidRPr="000A2712">
        <w:rPr>
          <w:rFonts w:ascii="Calibri Light" w:hAnsi="Calibri Light" w:cs="Calibri Light"/>
          <w:color w:val="000000" w:themeColor="text1"/>
          <w:sz w:val="22"/>
          <w:szCs w:val="22"/>
          <w:lang w:val="en-AU"/>
        </w:rPr>
        <w:t xml:space="preserve"> </w:t>
      </w:r>
      <w:r w:rsidR="004F6A96" w:rsidRPr="000A2712">
        <w:rPr>
          <w:rStyle w:val="tlid-translation"/>
          <w:rFonts w:ascii="Calibri Light" w:hAnsi="Calibri Light" w:cs="Calibri Light"/>
          <w:color w:val="000000" w:themeColor="text1"/>
          <w:sz w:val="22"/>
          <w:szCs w:val="22"/>
          <w:lang w:val="en-AU"/>
        </w:rPr>
        <w:t xml:space="preserve">AIPJ2’s most prominent activities under </w:t>
      </w:r>
      <w:r w:rsidR="00F64E9D" w:rsidRPr="000A2712">
        <w:rPr>
          <w:rStyle w:val="tlid-translation"/>
          <w:rFonts w:ascii="Calibri Light" w:hAnsi="Calibri Light" w:cs="Calibri Light"/>
          <w:color w:val="000000" w:themeColor="text1"/>
          <w:sz w:val="22"/>
          <w:szCs w:val="22"/>
          <w:lang w:val="en-AU"/>
        </w:rPr>
        <w:t>p</w:t>
      </w:r>
      <w:r w:rsidR="004F6A96" w:rsidRPr="000A2712">
        <w:rPr>
          <w:rStyle w:val="tlid-translation"/>
          <w:rFonts w:ascii="Calibri Light" w:hAnsi="Calibri Light" w:cs="Calibri Light"/>
          <w:color w:val="000000" w:themeColor="text1"/>
          <w:sz w:val="22"/>
          <w:szCs w:val="22"/>
          <w:lang w:val="en-AU"/>
        </w:rPr>
        <w:t xml:space="preserve">illar 4 </w:t>
      </w:r>
      <w:r w:rsidR="00F64E9D" w:rsidRPr="000A2712">
        <w:rPr>
          <w:rStyle w:val="tlid-translation"/>
          <w:rFonts w:ascii="Calibri Light" w:hAnsi="Calibri Light" w:cs="Calibri Light"/>
          <w:color w:val="000000" w:themeColor="text1"/>
          <w:sz w:val="22"/>
          <w:szCs w:val="22"/>
          <w:lang w:val="en-AU"/>
        </w:rPr>
        <w:t>have been</w:t>
      </w:r>
      <w:r w:rsidR="004F6A96" w:rsidRPr="000A2712">
        <w:rPr>
          <w:rStyle w:val="tlid-translation"/>
          <w:rFonts w:ascii="Calibri Light" w:hAnsi="Calibri Light" w:cs="Calibri Light"/>
          <w:color w:val="000000" w:themeColor="text1"/>
          <w:sz w:val="22"/>
          <w:szCs w:val="22"/>
          <w:lang w:val="en-AU"/>
        </w:rPr>
        <w:t xml:space="preserve"> </w:t>
      </w:r>
      <w:r w:rsidR="00AD2A71" w:rsidRPr="000A2712">
        <w:rPr>
          <w:rStyle w:val="tlid-translation"/>
          <w:rFonts w:ascii="Calibri Light" w:hAnsi="Calibri Light" w:cs="Calibri Light"/>
          <w:color w:val="000000" w:themeColor="text1"/>
          <w:sz w:val="22"/>
          <w:szCs w:val="22"/>
          <w:lang w:val="en-AU"/>
        </w:rPr>
        <w:t>to suppo</w:t>
      </w:r>
      <w:r w:rsidR="000A2712" w:rsidRPr="000A2712">
        <w:rPr>
          <w:rStyle w:val="tlid-translation"/>
          <w:rFonts w:ascii="Calibri Light" w:hAnsi="Calibri Light" w:cs="Calibri Light"/>
          <w:color w:val="000000" w:themeColor="text1"/>
          <w:sz w:val="22"/>
          <w:szCs w:val="22"/>
          <w:lang w:val="en-AU"/>
        </w:rPr>
        <w:t>r</w:t>
      </w:r>
      <w:r w:rsidR="00AD2A71" w:rsidRPr="000A2712">
        <w:rPr>
          <w:rStyle w:val="tlid-translation"/>
          <w:rFonts w:ascii="Calibri Light" w:hAnsi="Calibri Light" w:cs="Calibri Light"/>
          <w:color w:val="000000" w:themeColor="text1"/>
          <w:sz w:val="22"/>
          <w:szCs w:val="22"/>
          <w:lang w:val="en-AU"/>
        </w:rPr>
        <w:t>t the</w:t>
      </w:r>
      <w:r w:rsidR="004F6A96" w:rsidRPr="000A2712">
        <w:rPr>
          <w:rStyle w:val="tlid-translation"/>
          <w:rFonts w:ascii="Calibri Light" w:hAnsi="Calibri Light" w:cs="Calibri Light"/>
          <w:color w:val="000000" w:themeColor="text1"/>
          <w:sz w:val="22"/>
          <w:szCs w:val="22"/>
          <w:lang w:val="en-AU"/>
        </w:rPr>
        <w:t xml:space="preserve"> preparation of the </w:t>
      </w:r>
      <w:r w:rsidR="004F6A96" w:rsidRPr="000A2712">
        <w:rPr>
          <w:rStyle w:val="tlid-translation"/>
          <w:rFonts w:ascii="Calibri Light" w:hAnsi="Calibri Light" w:cs="Calibri Light"/>
          <w:b/>
          <w:bCs/>
          <w:color w:val="000000" w:themeColor="text1"/>
          <w:sz w:val="22"/>
          <w:szCs w:val="22"/>
          <w:lang w:val="en-AU"/>
        </w:rPr>
        <w:t xml:space="preserve">corrections reform blueprint </w:t>
      </w:r>
      <w:r w:rsidR="004F6A96" w:rsidRPr="000A2712">
        <w:rPr>
          <w:rStyle w:val="tlid-translation"/>
          <w:rFonts w:ascii="Calibri Light" w:hAnsi="Calibri Light" w:cs="Calibri Light"/>
          <w:color w:val="000000" w:themeColor="text1"/>
          <w:sz w:val="22"/>
          <w:szCs w:val="22"/>
          <w:lang w:val="en-AU"/>
        </w:rPr>
        <w:t xml:space="preserve">and the implementation of the </w:t>
      </w:r>
      <w:r w:rsidR="004F6A96" w:rsidRPr="000A2712">
        <w:rPr>
          <w:rStyle w:val="tlid-translation"/>
          <w:rFonts w:ascii="Calibri Light" w:hAnsi="Calibri Light" w:cs="Calibri Light"/>
          <w:b/>
          <w:bCs/>
          <w:color w:val="000000" w:themeColor="text1"/>
          <w:sz w:val="22"/>
          <w:szCs w:val="22"/>
          <w:lang w:val="en-AU"/>
        </w:rPr>
        <w:t>corrections database system</w:t>
      </w:r>
      <w:r w:rsidR="004F6A96" w:rsidRPr="000A2712">
        <w:rPr>
          <w:rStyle w:val="tlid-translation"/>
          <w:rFonts w:ascii="Calibri Light" w:hAnsi="Calibri Light" w:cs="Calibri Light"/>
          <w:color w:val="000000" w:themeColor="text1"/>
          <w:sz w:val="22"/>
          <w:szCs w:val="22"/>
          <w:lang w:val="en-AU"/>
        </w:rPr>
        <w:t xml:space="preserve"> (</w:t>
      </w:r>
      <w:r w:rsidR="004F6A96" w:rsidRPr="000A2712">
        <w:rPr>
          <w:rStyle w:val="tlid-translation"/>
          <w:rFonts w:ascii="Calibri Light" w:hAnsi="Calibri Light" w:cs="Calibri Light"/>
          <w:i/>
          <w:color w:val="000000" w:themeColor="text1"/>
          <w:sz w:val="22"/>
          <w:szCs w:val="22"/>
          <w:lang w:val="en-AU"/>
        </w:rPr>
        <w:t>Sistem Database Pemasyarakatan</w:t>
      </w:r>
      <w:r w:rsidR="00145B98">
        <w:rPr>
          <w:rStyle w:val="tlid-translation"/>
          <w:rFonts w:ascii="Calibri Light" w:hAnsi="Calibri Light" w:cs="Calibri Light"/>
          <w:iCs/>
          <w:color w:val="000000" w:themeColor="text1"/>
          <w:sz w:val="22"/>
          <w:szCs w:val="22"/>
          <w:lang w:val="en-AU"/>
        </w:rPr>
        <w:t xml:space="preserve"> or </w:t>
      </w:r>
      <w:r w:rsidR="00145B98" w:rsidRPr="008E7162">
        <w:rPr>
          <w:rStyle w:val="tlid-translation"/>
          <w:rFonts w:ascii="Calibri Light" w:hAnsi="Calibri Light" w:cs="Calibri Light"/>
          <w:iCs/>
          <w:color w:val="000000" w:themeColor="text1"/>
          <w:sz w:val="22"/>
          <w:szCs w:val="22"/>
          <w:lang w:val="en-AU"/>
        </w:rPr>
        <w:t>SDP</w:t>
      </w:r>
      <w:r w:rsidR="004F6A96" w:rsidRPr="000A2712">
        <w:rPr>
          <w:rStyle w:val="tlid-translation"/>
          <w:rFonts w:ascii="Calibri Light" w:hAnsi="Calibri Light" w:cs="Calibri Light"/>
          <w:color w:val="000000" w:themeColor="text1"/>
          <w:sz w:val="22"/>
          <w:szCs w:val="22"/>
          <w:lang w:val="en-AU"/>
        </w:rPr>
        <w:t xml:space="preserve">). Both of these activities </w:t>
      </w:r>
      <w:r w:rsidR="000A2712" w:rsidRPr="000A2712">
        <w:rPr>
          <w:rStyle w:val="tlid-translation"/>
          <w:rFonts w:ascii="Calibri Light" w:hAnsi="Calibri Light" w:cs="Calibri Light"/>
          <w:color w:val="000000" w:themeColor="text1"/>
          <w:sz w:val="22"/>
          <w:szCs w:val="22"/>
          <w:lang w:val="en-AU"/>
        </w:rPr>
        <w:t>began in</w:t>
      </w:r>
      <w:r w:rsidR="004F6A96" w:rsidRPr="000A2712">
        <w:rPr>
          <w:rStyle w:val="tlid-translation"/>
          <w:rFonts w:ascii="Calibri Light" w:hAnsi="Calibri Light" w:cs="Calibri Light"/>
          <w:color w:val="000000" w:themeColor="text1"/>
          <w:sz w:val="22"/>
          <w:szCs w:val="22"/>
          <w:lang w:val="en-AU"/>
        </w:rPr>
        <w:t xml:space="preserve"> the first phase </w:t>
      </w:r>
      <w:r w:rsidR="008B1DB0" w:rsidRPr="000A2712">
        <w:rPr>
          <w:rStyle w:val="tlid-translation"/>
          <w:rFonts w:ascii="Calibri Light" w:hAnsi="Calibri Light" w:cs="Calibri Light"/>
          <w:color w:val="000000" w:themeColor="text1"/>
          <w:sz w:val="22"/>
          <w:szCs w:val="22"/>
          <w:lang w:val="en-AU"/>
        </w:rPr>
        <w:t xml:space="preserve">of AIPJ </w:t>
      </w:r>
      <w:r w:rsidR="004F6A96" w:rsidRPr="000A2712">
        <w:rPr>
          <w:rStyle w:val="tlid-translation"/>
          <w:rFonts w:ascii="Calibri Light" w:hAnsi="Calibri Light" w:cs="Calibri Light"/>
          <w:color w:val="000000" w:themeColor="text1"/>
          <w:sz w:val="22"/>
          <w:szCs w:val="22"/>
          <w:lang w:val="en-AU"/>
        </w:rPr>
        <w:t xml:space="preserve">and have further matured under AIPJ2, through </w:t>
      </w:r>
      <w:r w:rsidR="00F64E9D" w:rsidRPr="000A2712">
        <w:rPr>
          <w:rStyle w:val="tlid-translation"/>
          <w:rFonts w:ascii="Calibri Light" w:hAnsi="Calibri Light" w:cs="Calibri Light"/>
          <w:color w:val="000000" w:themeColor="text1"/>
          <w:sz w:val="22"/>
          <w:szCs w:val="22"/>
          <w:lang w:val="en-AU"/>
        </w:rPr>
        <w:t>collaboration between the Directorate General of Corrections</w:t>
      </w:r>
      <w:r w:rsidR="00267D23" w:rsidRPr="000A2712">
        <w:rPr>
          <w:rStyle w:val="tlid-translation"/>
          <w:rFonts w:ascii="Calibri Light" w:hAnsi="Calibri Light" w:cs="Calibri Light"/>
          <w:color w:val="000000" w:themeColor="text1"/>
          <w:sz w:val="22"/>
          <w:szCs w:val="22"/>
          <w:lang w:val="en-AU"/>
        </w:rPr>
        <w:t xml:space="preserve"> (</w:t>
      </w:r>
      <w:r w:rsidR="00267D23" w:rsidRPr="008E7162">
        <w:rPr>
          <w:rStyle w:val="tlid-translation"/>
          <w:rFonts w:ascii="Calibri Light" w:hAnsi="Calibri Light"/>
          <w:bCs/>
          <w:color w:val="000000" w:themeColor="text1"/>
          <w:sz w:val="22"/>
          <w:lang w:val="en-AU"/>
        </w:rPr>
        <w:t>DGC</w:t>
      </w:r>
      <w:r w:rsidR="00267D23" w:rsidRPr="000A2712">
        <w:rPr>
          <w:rStyle w:val="tlid-translation"/>
          <w:rFonts w:ascii="Calibri Light" w:hAnsi="Calibri Light" w:cs="Calibri Light"/>
          <w:color w:val="000000" w:themeColor="text1"/>
          <w:sz w:val="22"/>
          <w:szCs w:val="22"/>
          <w:lang w:val="en-AU"/>
        </w:rPr>
        <w:t>)</w:t>
      </w:r>
      <w:r w:rsidR="00F64E9D" w:rsidRPr="000A2712">
        <w:rPr>
          <w:rStyle w:val="tlid-translation"/>
          <w:rFonts w:ascii="Calibri Light" w:hAnsi="Calibri Light" w:cs="Calibri Light"/>
          <w:color w:val="000000" w:themeColor="text1"/>
          <w:sz w:val="22"/>
          <w:szCs w:val="22"/>
          <w:lang w:val="en-AU"/>
        </w:rPr>
        <w:t xml:space="preserve"> and </w:t>
      </w:r>
      <w:r w:rsidR="008B1DB0" w:rsidRPr="000A2712">
        <w:rPr>
          <w:rStyle w:val="tlid-translation"/>
          <w:rFonts w:ascii="Calibri Light" w:hAnsi="Calibri Light" w:cs="Calibri Light"/>
          <w:color w:val="000000" w:themeColor="text1"/>
          <w:sz w:val="22"/>
          <w:szCs w:val="22"/>
          <w:lang w:val="en-AU"/>
        </w:rPr>
        <w:t>the Centre for Detention Studies</w:t>
      </w:r>
      <w:r w:rsidR="00145B98">
        <w:rPr>
          <w:rStyle w:val="tlid-translation"/>
          <w:rFonts w:ascii="Calibri Light" w:hAnsi="Calibri Light" w:cs="Calibri Light"/>
          <w:color w:val="000000" w:themeColor="text1"/>
          <w:sz w:val="22"/>
          <w:szCs w:val="22"/>
          <w:lang w:val="en-AU"/>
        </w:rPr>
        <w:t xml:space="preserve"> (</w:t>
      </w:r>
      <w:r w:rsidR="00145B98" w:rsidRPr="008E7162">
        <w:rPr>
          <w:rStyle w:val="tlid-translation"/>
          <w:rFonts w:ascii="Calibri Light" w:hAnsi="Calibri Light" w:cs="Calibri Light"/>
          <w:color w:val="000000" w:themeColor="text1"/>
          <w:sz w:val="22"/>
          <w:szCs w:val="22"/>
          <w:lang w:val="en-AU"/>
        </w:rPr>
        <w:t>CDS</w:t>
      </w:r>
      <w:r w:rsidR="00145B98">
        <w:rPr>
          <w:rStyle w:val="tlid-translation"/>
          <w:rFonts w:ascii="Calibri Light" w:hAnsi="Calibri Light" w:cs="Calibri Light"/>
          <w:color w:val="000000" w:themeColor="text1"/>
          <w:sz w:val="22"/>
          <w:szCs w:val="22"/>
          <w:lang w:val="en-AU"/>
        </w:rPr>
        <w:t>)</w:t>
      </w:r>
      <w:r w:rsidR="008B1DB0" w:rsidRPr="000A2712">
        <w:rPr>
          <w:rStyle w:val="tlid-translation"/>
          <w:rFonts w:ascii="Calibri Light" w:hAnsi="Calibri Light" w:cs="Calibri Light"/>
          <w:color w:val="000000" w:themeColor="text1"/>
          <w:sz w:val="22"/>
          <w:szCs w:val="22"/>
          <w:lang w:val="en-AU"/>
        </w:rPr>
        <w:t>, a</w:t>
      </w:r>
      <w:r w:rsidR="00F64E9D" w:rsidRPr="000A2712">
        <w:rPr>
          <w:rStyle w:val="tlid-translation"/>
          <w:rFonts w:ascii="Calibri Light" w:hAnsi="Calibri Light" w:cs="Calibri Light"/>
          <w:color w:val="000000" w:themeColor="text1"/>
          <w:sz w:val="22"/>
          <w:szCs w:val="22"/>
          <w:lang w:val="en-AU"/>
        </w:rPr>
        <w:t xml:space="preserve"> civil society organisation funded by AIPJ2 through The Asia Foundation</w:t>
      </w:r>
      <w:r w:rsidR="00145B98">
        <w:rPr>
          <w:rStyle w:val="tlid-translation"/>
          <w:rFonts w:ascii="Calibri Light" w:hAnsi="Calibri Light" w:cs="Calibri Light"/>
          <w:color w:val="000000" w:themeColor="text1"/>
          <w:sz w:val="22"/>
          <w:szCs w:val="22"/>
          <w:lang w:val="en-AU"/>
        </w:rPr>
        <w:t xml:space="preserve"> (</w:t>
      </w:r>
      <w:r w:rsidR="00145B98" w:rsidRPr="008E7162">
        <w:rPr>
          <w:rStyle w:val="tlid-translation"/>
          <w:rFonts w:ascii="Calibri Light" w:hAnsi="Calibri Light" w:cs="Calibri Light"/>
          <w:color w:val="000000" w:themeColor="text1"/>
          <w:sz w:val="22"/>
          <w:szCs w:val="22"/>
          <w:lang w:val="en-AU"/>
        </w:rPr>
        <w:t>TAF</w:t>
      </w:r>
      <w:r w:rsidR="00145B98">
        <w:rPr>
          <w:rStyle w:val="tlid-translation"/>
          <w:rFonts w:ascii="Calibri Light" w:hAnsi="Calibri Light" w:cs="Calibri Light"/>
          <w:color w:val="000000" w:themeColor="text1"/>
          <w:sz w:val="22"/>
          <w:szCs w:val="22"/>
          <w:lang w:val="en-AU"/>
        </w:rPr>
        <w:t>)</w:t>
      </w:r>
      <w:r w:rsidR="004F6A96" w:rsidRPr="000A2712">
        <w:rPr>
          <w:rStyle w:val="tlid-translation"/>
          <w:rFonts w:ascii="Calibri Light" w:hAnsi="Calibri Light" w:cs="Calibri Light"/>
          <w:color w:val="000000" w:themeColor="text1"/>
          <w:sz w:val="22"/>
          <w:szCs w:val="22"/>
          <w:lang w:val="en-AU"/>
        </w:rPr>
        <w:t>.</w:t>
      </w:r>
    </w:p>
    <w:p w14:paraId="6CE2E285" w14:textId="029F70C2" w:rsidR="00DB0B7D" w:rsidRPr="008E7162" w:rsidRDefault="008573F5" w:rsidP="006B32D6">
      <w:pPr>
        <w:pStyle w:val="ListParagraph"/>
        <w:numPr>
          <w:ilvl w:val="2"/>
          <w:numId w:val="3"/>
        </w:numPr>
        <w:tabs>
          <w:tab w:val="left" w:pos="567"/>
        </w:tabs>
        <w:spacing w:line="274" w:lineRule="auto"/>
        <w:contextualSpacing w:val="0"/>
        <w:rPr>
          <w:rStyle w:val="tlid-translation"/>
          <w:rFonts w:ascii="Calibri Light" w:hAnsi="Calibri Light" w:cs="Calibri Light"/>
          <w:color w:val="000000" w:themeColor="text1"/>
          <w:sz w:val="22"/>
          <w:szCs w:val="22"/>
          <w:lang w:val="en-AU"/>
        </w:rPr>
      </w:pPr>
      <w:r>
        <w:rPr>
          <w:rStyle w:val="tlid-translation"/>
          <w:rFonts w:ascii="Calibri Light" w:hAnsi="Calibri Light" w:cs="Calibri Light"/>
          <w:color w:val="000000" w:themeColor="text1"/>
          <w:sz w:val="22"/>
          <w:szCs w:val="22"/>
          <w:lang w:val="en-AU"/>
        </w:rPr>
        <w:t xml:space="preserve"> </w:t>
      </w:r>
      <w:r w:rsidR="005919CF" w:rsidRPr="008E7162">
        <w:rPr>
          <w:rStyle w:val="tlid-translation"/>
          <w:rFonts w:ascii="Calibri Light" w:hAnsi="Calibri Light" w:cs="Calibri Light"/>
          <w:color w:val="000000" w:themeColor="text1"/>
          <w:sz w:val="22"/>
          <w:szCs w:val="22"/>
          <w:lang w:val="en-AU"/>
        </w:rPr>
        <w:t>AIPJ2</w:t>
      </w:r>
      <w:r w:rsidR="001E08DA" w:rsidRPr="008E7162">
        <w:rPr>
          <w:rStyle w:val="tlid-translation"/>
          <w:rFonts w:ascii="Calibri Light" w:hAnsi="Calibri Light" w:cs="Calibri Light"/>
          <w:color w:val="000000" w:themeColor="text1"/>
          <w:sz w:val="22"/>
          <w:szCs w:val="22"/>
          <w:lang w:val="en-AU"/>
        </w:rPr>
        <w:t xml:space="preserve">’s </w:t>
      </w:r>
      <w:r w:rsidR="005919CF" w:rsidRPr="008E7162">
        <w:rPr>
          <w:rStyle w:val="tlid-translation"/>
          <w:rFonts w:ascii="Calibri Light" w:hAnsi="Calibri Light" w:cs="Calibri Light"/>
          <w:color w:val="000000" w:themeColor="text1"/>
          <w:sz w:val="22"/>
          <w:szCs w:val="22"/>
          <w:lang w:val="en-AU"/>
        </w:rPr>
        <w:t>support</w:t>
      </w:r>
      <w:r w:rsidR="001E08DA" w:rsidRPr="008E7162">
        <w:rPr>
          <w:rStyle w:val="tlid-translation"/>
          <w:rFonts w:ascii="Calibri Light" w:hAnsi="Calibri Light" w:cs="Calibri Light"/>
          <w:color w:val="000000" w:themeColor="text1"/>
          <w:sz w:val="22"/>
          <w:szCs w:val="22"/>
          <w:lang w:val="en-AU"/>
        </w:rPr>
        <w:t xml:space="preserve"> is helping to </w:t>
      </w:r>
      <w:r w:rsidR="005919CF" w:rsidRPr="008E7162">
        <w:rPr>
          <w:rStyle w:val="tlid-translation"/>
          <w:rFonts w:ascii="Calibri Light" w:hAnsi="Calibri Light" w:cs="Calibri Light"/>
          <w:color w:val="000000" w:themeColor="text1"/>
          <w:sz w:val="22"/>
          <w:szCs w:val="22"/>
          <w:lang w:val="en-AU"/>
        </w:rPr>
        <w:t>revise</w:t>
      </w:r>
      <w:r w:rsidR="00267D23" w:rsidRPr="008E7162">
        <w:rPr>
          <w:rStyle w:val="tlid-translation"/>
          <w:rFonts w:ascii="Calibri Light" w:hAnsi="Calibri Light" w:cs="Calibri Light"/>
          <w:color w:val="000000" w:themeColor="text1"/>
          <w:sz w:val="22"/>
          <w:szCs w:val="22"/>
          <w:lang w:val="en-AU"/>
        </w:rPr>
        <w:t xml:space="preserve"> the </w:t>
      </w:r>
      <w:r w:rsidR="001E08DA" w:rsidRPr="008E7162">
        <w:rPr>
          <w:rStyle w:val="tlid-translation"/>
          <w:rFonts w:ascii="Calibri Light" w:hAnsi="Calibri Light" w:cs="Calibri Light"/>
          <w:color w:val="000000" w:themeColor="text1"/>
          <w:sz w:val="22"/>
          <w:szCs w:val="22"/>
          <w:lang w:val="en-AU"/>
        </w:rPr>
        <w:t xml:space="preserve">previous </w:t>
      </w:r>
      <w:r w:rsidR="001E08DA" w:rsidRPr="008E7162">
        <w:rPr>
          <w:rStyle w:val="tlid-translation"/>
          <w:rFonts w:ascii="Calibri Light" w:hAnsi="Calibri Light" w:cs="Calibri Light"/>
          <w:b/>
          <w:bCs/>
          <w:color w:val="000000" w:themeColor="text1"/>
          <w:sz w:val="22"/>
          <w:szCs w:val="22"/>
          <w:lang w:val="en-AU"/>
        </w:rPr>
        <w:t>reform blueprint</w:t>
      </w:r>
      <w:r w:rsidR="001E08DA" w:rsidRPr="008E7162">
        <w:rPr>
          <w:rStyle w:val="tlid-translation"/>
          <w:rFonts w:ascii="Calibri Light" w:hAnsi="Calibri Light" w:cs="Calibri Light"/>
          <w:color w:val="000000" w:themeColor="text1"/>
          <w:sz w:val="22"/>
          <w:szCs w:val="22"/>
          <w:lang w:val="en-AU"/>
        </w:rPr>
        <w:t xml:space="preserve"> </w:t>
      </w:r>
      <w:r w:rsidR="00267D23" w:rsidRPr="008E7162">
        <w:rPr>
          <w:rStyle w:val="tlid-translation"/>
          <w:rFonts w:ascii="Calibri Light" w:hAnsi="Calibri Light" w:cs="Calibri Light"/>
          <w:color w:val="000000" w:themeColor="text1"/>
          <w:sz w:val="22"/>
          <w:szCs w:val="22"/>
          <w:lang w:val="en-AU"/>
        </w:rPr>
        <w:t>(issued in 2009)</w:t>
      </w:r>
      <w:r w:rsidR="008B1DB0" w:rsidRPr="008E7162">
        <w:rPr>
          <w:rStyle w:val="tlid-translation"/>
          <w:rFonts w:ascii="Calibri Light" w:hAnsi="Calibri Light" w:cs="Calibri Light"/>
          <w:color w:val="000000" w:themeColor="text1"/>
          <w:sz w:val="22"/>
          <w:szCs w:val="22"/>
          <w:lang w:val="en-AU"/>
        </w:rPr>
        <w:t>. T</w:t>
      </w:r>
      <w:r w:rsidR="001E08DA" w:rsidRPr="008E7162">
        <w:rPr>
          <w:rStyle w:val="tlid-translation"/>
          <w:rFonts w:ascii="Calibri Light" w:hAnsi="Calibri Light" w:cs="Calibri Light"/>
          <w:color w:val="000000" w:themeColor="text1"/>
          <w:sz w:val="22"/>
          <w:szCs w:val="22"/>
          <w:lang w:val="en-AU"/>
        </w:rPr>
        <w:t xml:space="preserve">he </w:t>
      </w:r>
      <w:r w:rsidR="00267D23" w:rsidRPr="008E7162">
        <w:rPr>
          <w:rStyle w:val="tlid-translation"/>
          <w:rFonts w:ascii="Calibri Light" w:hAnsi="Calibri Light" w:cs="Calibri Light"/>
          <w:color w:val="000000" w:themeColor="text1"/>
          <w:sz w:val="22"/>
          <w:szCs w:val="22"/>
          <w:lang w:val="en-AU"/>
        </w:rPr>
        <w:t xml:space="preserve">revised blueprint </w:t>
      </w:r>
      <w:r w:rsidR="008B1DB0" w:rsidRPr="008E7162">
        <w:rPr>
          <w:rStyle w:val="tlid-translation"/>
          <w:rFonts w:ascii="Calibri Light" w:hAnsi="Calibri Light" w:cs="Calibri Light"/>
          <w:color w:val="000000" w:themeColor="text1"/>
          <w:sz w:val="22"/>
          <w:szCs w:val="22"/>
          <w:lang w:val="en-AU"/>
        </w:rPr>
        <w:t xml:space="preserve">is </w:t>
      </w:r>
      <w:r w:rsidR="00267D23" w:rsidRPr="008E7162">
        <w:rPr>
          <w:rStyle w:val="tlid-translation"/>
          <w:rFonts w:ascii="Calibri Light" w:hAnsi="Calibri Light" w:cs="Calibri Light"/>
          <w:color w:val="000000" w:themeColor="text1"/>
          <w:sz w:val="22"/>
          <w:szCs w:val="22"/>
          <w:lang w:val="en-AU"/>
        </w:rPr>
        <w:t xml:space="preserve">expected to be officially </w:t>
      </w:r>
      <w:r w:rsidR="008B1DB0" w:rsidRPr="008E7162">
        <w:rPr>
          <w:rStyle w:val="tlid-translation"/>
          <w:rFonts w:ascii="Calibri Light" w:hAnsi="Calibri Light" w:cs="Calibri Light"/>
          <w:color w:val="000000" w:themeColor="text1"/>
          <w:sz w:val="22"/>
          <w:szCs w:val="22"/>
          <w:lang w:val="en-AU"/>
        </w:rPr>
        <w:t>issued</w:t>
      </w:r>
      <w:r w:rsidR="00267D23" w:rsidRPr="008E7162">
        <w:rPr>
          <w:rStyle w:val="tlid-translation"/>
          <w:rFonts w:ascii="Calibri Light" w:hAnsi="Calibri Light" w:cs="Calibri Light"/>
          <w:color w:val="000000" w:themeColor="text1"/>
          <w:sz w:val="22"/>
          <w:szCs w:val="22"/>
          <w:lang w:val="en-AU"/>
        </w:rPr>
        <w:t xml:space="preserve"> this year</w:t>
      </w:r>
      <w:r w:rsidR="001E08DA" w:rsidRPr="008E7162">
        <w:rPr>
          <w:rStyle w:val="tlid-translation"/>
          <w:rFonts w:ascii="Calibri Light" w:hAnsi="Calibri Light" w:cs="Calibri Light"/>
          <w:color w:val="000000" w:themeColor="text1"/>
          <w:sz w:val="22"/>
          <w:szCs w:val="22"/>
          <w:lang w:val="en-AU"/>
        </w:rPr>
        <w:t>. This is</w:t>
      </w:r>
      <w:r w:rsidR="00267D23" w:rsidRPr="008E7162">
        <w:rPr>
          <w:rStyle w:val="tlid-translation"/>
          <w:rFonts w:ascii="Calibri Light" w:hAnsi="Calibri Light" w:cs="Calibri Light"/>
          <w:color w:val="000000" w:themeColor="text1"/>
          <w:sz w:val="22"/>
          <w:szCs w:val="22"/>
          <w:lang w:val="en-AU"/>
        </w:rPr>
        <w:t xml:space="preserve"> a potentially important document, given that it sets out the detailed guidelines for </w:t>
      </w:r>
      <w:r w:rsidR="001E08DA" w:rsidRPr="008E7162">
        <w:rPr>
          <w:rStyle w:val="tlid-translation"/>
          <w:rFonts w:ascii="Calibri Light" w:hAnsi="Calibri Light" w:cs="Calibri Light"/>
          <w:color w:val="000000" w:themeColor="text1"/>
          <w:sz w:val="22"/>
          <w:szCs w:val="22"/>
          <w:lang w:val="en-AU"/>
        </w:rPr>
        <w:t>DGC’s</w:t>
      </w:r>
      <w:r w:rsidR="00267D23" w:rsidRPr="008E7162">
        <w:rPr>
          <w:rStyle w:val="tlid-translation"/>
          <w:rFonts w:ascii="Calibri Light" w:hAnsi="Calibri Light" w:cs="Calibri Light"/>
          <w:color w:val="000000" w:themeColor="text1"/>
          <w:sz w:val="22"/>
          <w:szCs w:val="22"/>
          <w:lang w:val="en-AU"/>
        </w:rPr>
        <w:t xml:space="preserve"> reform agenda. </w:t>
      </w:r>
      <w:r w:rsidR="00F808F7" w:rsidRPr="008E7162">
        <w:rPr>
          <w:rStyle w:val="tlid-translation"/>
          <w:rFonts w:ascii="Calibri Light" w:hAnsi="Calibri Light" w:cs="Calibri Light"/>
          <w:color w:val="000000" w:themeColor="text1"/>
          <w:sz w:val="22"/>
          <w:szCs w:val="22"/>
          <w:lang w:val="en-AU"/>
        </w:rPr>
        <w:t xml:space="preserve">However, there are </w:t>
      </w:r>
      <w:r w:rsidR="004F4AC7" w:rsidRPr="008E7162">
        <w:rPr>
          <w:rStyle w:val="tlid-translation"/>
          <w:rFonts w:ascii="Calibri Light" w:hAnsi="Calibri Light" w:cs="Calibri Light"/>
          <w:color w:val="000000" w:themeColor="text1"/>
          <w:sz w:val="22"/>
          <w:szCs w:val="22"/>
          <w:lang w:val="en-AU"/>
        </w:rPr>
        <w:t>some risk</w:t>
      </w:r>
      <w:r w:rsidR="00DB0B7D" w:rsidRPr="008E7162">
        <w:rPr>
          <w:rStyle w:val="tlid-translation"/>
          <w:rFonts w:ascii="Calibri Light" w:hAnsi="Calibri Light" w:cs="Calibri Light"/>
          <w:color w:val="000000" w:themeColor="text1"/>
          <w:sz w:val="22"/>
          <w:szCs w:val="22"/>
          <w:lang w:val="en-AU"/>
        </w:rPr>
        <w:t>s</w:t>
      </w:r>
      <w:r w:rsidR="004F4AC7" w:rsidRPr="008E7162">
        <w:rPr>
          <w:rStyle w:val="tlid-translation"/>
          <w:rFonts w:ascii="Calibri Light" w:hAnsi="Calibri Light" w:cs="Calibri Light"/>
          <w:color w:val="000000" w:themeColor="text1"/>
          <w:sz w:val="22"/>
          <w:szCs w:val="22"/>
          <w:lang w:val="en-AU"/>
        </w:rPr>
        <w:t xml:space="preserve"> that may limit its value if unaddressed.</w:t>
      </w:r>
      <w:r w:rsidRPr="008E7162">
        <w:rPr>
          <w:rStyle w:val="tlid-translation"/>
          <w:rFonts w:ascii="Calibri Light" w:hAnsi="Calibri Light" w:cs="Calibri Light"/>
          <w:color w:val="000000" w:themeColor="text1"/>
          <w:sz w:val="22"/>
          <w:szCs w:val="22"/>
          <w:lang w:val="en-AU"/>
        </w:rPr>
        <w:t xml:space="preserve"> </w:t>
      </w:r>
      <w:r w:rsidR="00DB0B7D" w:rsidRPr="00860B00">
        <w:rPr>
          <w:rStyle w:val="tlid-translation"/>
          <w:rFonts w:ascii="Calibri Light" w:hAnsi="Calibri Light"/>
          <w:iCs/>
          <w:color w:val="000000" w:themeColor="text1"/>
          <w:sz w:val="22"/>
          <w:lang w:val="en-AU"/>
        </w:rPr>
        <w:t>First</w:t>
      </w:r>
      <w:r w:rsidR="00DB0B7D" w:rsidRPr="008E7162">
        <w:rPr>
          <w:rStyle w:val="tlid-translation"/>
          <w:rFonts w:ascii="Calibri Light" w:hAnsi="Calibri Light" w:cs="Calibri Light"/>
          <w:color w:val="000000" w:themeColor="text1"/>
          <w:sz w:val="22"/>
          <w:szCs w:val="22"/>
          <w:lang w:val="en-AU"/>
        </w:rPr>
        <w:t>, t</w:t>
      </w:r>
      <w:r w:rsidR="004F4AC7" w:rsidRPr="008E7162">
        <w:rPr>
          <w:rStyle w:val="tlid-translation"/>
          <w:rFonts w:ascii="Calibri Light" w:hAnsi="Calibri Light" w:cs="Calibri Light"/>
          <w:color w:val="000000" w:themeColor="text1"/>
          <w:sz w:val="22"/>
          <w:szCs w:val="22"/>
          <w:lang w:val="en-AU"/>
        </w:rPr>
        <w:t xml:space="preserve">he </w:t>
      </w:r>
      <w:r w:rsidR="00DB0B7D" w:rsidRPr="008E7162">
        <w:rPr>
          <w:rStyle w:val="tlid-translation"/>
          <w:rFonts w:ascii="Calibri Light" w:hAnsi="Calibri Light" w:cs="Calibri Light"/>
          <w:color w:val="000000" w:themeColor="text1"/>
          <w:sz w:val="22"/>
          <w:szCs w:val="22"/>
          <w:lang w:val="en-AU"/>
        </w:rPr>
        <w:t xml:space="preserve">mid-term </w:t>
      </w:r>
      <w:r w:rsidR="004F4AC7" w:rsidRPr="008E7162">
        <w:rPr>
          <w:rStyle w:val="tlid-translation"/>
          <w:rFonts w:ascii="Calibri Light" w:hAnsi="Calibri Light" w:cs="Calibri Light"/>
          <w:color w:val="000000" w:themeColor="text1"/>
          <w:sz w:val="22"/>
          <w:szCs w:val="22"/>
          <w:lang w:val="en-AU"/>
        </w:rPr>
        <w:t>review team found patchy knowledge of the blueprint among other donors working with DGC and little sense that it was explicitly driving the selection of priorities for assistance.</w:t>
      </w:r>
      <w:r w:rsidR="00EA5BBA" w:rsidRPr="008E7162">
        <w:rPr>
          <w:rStyle w:val="tlid-translation"/>
          <w:rFonts w:ascii="Calibri Light" w:hAnsi="Calibri Light" w:cs="Calibri Light"/>
          <w:color w:val="000000" w:themeColor="text1"/>
          <w:sz w:val="22"/>
          <w:szCs w:val="22"/>
          <w:lang w:val="en-AU"/>
        </w:rPr>
        <w:t xml:space="preserve"> This may in part reflect uncertainty about the status of the existing blueprint, but there was also limited awareness of the imminent release of the revised blueprint.</w:t>
      </w:r>
      <w:r w:rsidRPr="008E7162">
        <w:rPr>
          <w:rStyle w:val="tlid-translation"/>
          <w:rFonts w:ascii="Calibri Light" w:hAnsi="Calibri Light" w:cs="Calibri Light"/>
          <w:color w:val="000000" w:themeColor="text1"/>
          <w:sz w:val="22"/>
          <w:szCs w:val="22"/>
          <w:lang w:val="en-AU"/>
        </w:rPr>
        <w:t xml:space="preserve"> </w:t>
      </w:r>
      <w:r w:rsidR="00DB0B7D" w:rsidRPr="00860B00">
        <w:rPr>
          <w:rStyle w:val="tlid-translation"/>
          <w:rFonts w:ascii="Calibri Light" w:hAnsi="Calibri Light"/>
          <w:iCs/>
          <w:color w:val="000000" w:themeColor="text1"/>
          <w:sz w:val="22"/>
          <w:lang w:val="en-AU"/>
        </w:rPr>
        <w:t>Second</w:t>
      </w:r>
      <w:r w:rsidR="00DB0B7D" w:rsidRPr="008E7162">
        <w:rPr>
          <w:rStyle w:val="tlid-translation"/>
          <w:rFonts w:ascii="Calibri Light" w:hAnsi="Calibri Light" w:cs="Calibri Light"/>
          <w:color w:val="000000" w:themeColor="text1"/>
          <w:sz w:val="22"/>
          <w:szCs w:val="22"/>
          <w:lang w:val="en-AU"/>
        </w:rPr>
        <w:t xml:space="preserve">, some commentators expressed concerns about the relevance of the </w:t>
      </w:r>
      <w:r w:rsidR="00BE36F5" w:rsidRPr="008E7162">
        <w:rPr>
          <w:rStyle w:val="tlid-translation"/>
          <w:rFonts w:ascii="Calibri Light" w:hAnsi="Calibri Light" w:cs="Calibri Light"/>
          <w:color w:val="000000" w:themeColor="text1"/>
          <w:sz w:val="22"/>
          <w:szCs w:val="22"/>
          <w:lang w:val="en-AU"/>
        </w:rPr>
        <w:t xml:space="preserve">revised </w:t>
      </w:r>
      <w:r w:rsidR="00DB0B7D" w:rsidRPr="008E7162">
        <w:rPr>
          <w:rStyle w:val="tlid-translation"/>
          <w:rFonts w:ascii="Calibri Light" w:hAnsi="Calibri Light" w:cs="Calibri Light"/>
          <w:color w:val="000000" w:themeColor="text1"/>
          <w:sz w:val="22"/>
          <w:szCs w:val="22"/>
          <w:lang w:val="en-AU"/>
        </w:rPr>
        <w:t>blueprin</w:t>
      </w:r>
      <w:r w:rsidR="00BE36F5" w:rsidRPr="008E7162">
        <w:rPr>
          <w:rStyle w:val="tlid-translation"/>
          <w:rFonts w:ascii="Calibri Light" w:hAnsi="Calibri Light" w:cs="Calibri Light"/>
          <w:color w:val="000000" w:themeColor="text1"/>
          <w:sz w:val="22"/>
          <w:szCs w:val="22"/>
          <w:lang w:val="en-AU"/>
        </w:rPr>
        <w:t>t</w:t>
      </w:r>
      <w:r w:rsidR="00DB0B7D" w:rsidRPr="008E7162">
        <w:rPr>
          <w:rStyle w:val="tlid-translation"/>
          <w:rFonts w:ascii="Calibri Light" w:hAnsi="Calibri Light" w:cs="Calibri Light"/>
          <w:color w:val="000000" w:themeColor="text1"/>
          <w:sz w:val="22"/>
          <w:szCs w:val="22"/>
          <w:lang w:val="en-AU"/>
        </w:rPr>
        <w:t xml:space="preserve"> in the light of </w:t>
      </w:r>
      <w:r w:rsidR="00BE36F5" w:rsidRPr="008E7162">
        <w:rPr>
          <w:rStyle w:val="tlid-translation"/>
          <w:rFonts w:ascii="Calibri Light" w:hAnsi="Calibri Light" w:cs="Calibri Light"/>
          <w:color w:val="000000" w:themeColor="text1"/>
          <w:sz w:val="22"/>
          <w:szCs w:val="22"/>
          <w:lang w:val="en-AU"/>
        </w:rPr>
        <w:t xml:space="preserve">the </w:t>
      </w:r>
      <w:r w:rsidR="00AC0125" w:rsidRPr="008E7162">
        <w:rPr>
          <w:rStyle w:val="tlid-translation"/>
          <w:rFonts w:ascii="Calibri Light" w:hAnsi="Calibri Light" w:cs="Calibri Light"/>
          <w:color w:val="000000" w:themeColor="text1"/>
          <w:sz w:val="22"/>
          <w:szCs w:val="22"/>
          <w:lang w:val="en-AU"/>
        </w:rPr>
        <w:t>broader</w:t>
      </w:r>
      <w:r w:rsidR="00DB0B7D" w:rsidRPr="008E7162">
        <w:rPr>
          <w:rStyle w:val="tlid-translation"/>
          <w:rFonts w:ascii="Calibri Light" w:hAnsi="Calibri Light" w:cs="Calibri Light"/>
          <w:color w:val="000000" w:themeColor="text1"/>
          <w:sz w:val="22"/>
          <w:szCs w:val="22"/>
          <w:lang w:val="en-AU"/>
        </w:rPr>
        <w:t xml:space="preserve"> challenges </w:t>
      </w:r>
      <w:r w:rsidR="00AC0125" w:rsidRPr="008E7162">
        <w:rPr>
          <w:rStyle w:val="tlid-translation"/>
          <w:rFonts w:ascii="Calibri Light" w:hAnsi="Calibri Light" w:cs="Calibri Light"/>
          <w:color w:val="000000" w:themeColor="text1"/>
          <w:sz w:val="22"/>
          <w:szCs w:val="22"/>
          <w:lang w:val="en-AU"/>
        </w:rPr>
        <w:t xml:space="preserve">around correctional issues in Indonesia </w:t>
      </w:r>
      <w:r w:rsidR="00BE36F5" w:rsidRPr="008E7162">
        <w:rPr>
          <w:rStyle w:val="tlid-translation"/>
          <w:rFonts w:ascii="Calibri Light" w:hAnsi="Calibri Light" w:cs="Calibri Light"/>
          <w:color w:val="000000" w:themeColor="text1"/>
          <w:sz w:val="22"/>
          <w:szCs w:val="22"/>
          <w:lang w:val="en-AU"/>
        </w:rPr>
        <w:t>and the priorities of the new Jokowi administration</w:t>
      </w:r>
      <w:r w:rsidR="002A1FDB">
        <w:rPr>
          <w:rStyle w:val="tlid-translation"/>
          <w:rFonts w:ascii="Calibri Light" w:hAnsi="Calibri Light" w:cs="Calibri Light"/>
          <w:color w:val="000000" w:themeColor="text1"/>
          <w:sz w:val="22"/>
          <w:szCs w:val="22"/>
          <w:lang w:val="en-AU"/>
        </w:rPr>
        <w:t>. While the blueprint addresses indirectly some possible influences on the key issue of prison overcrowding, its expected</w:t>
      </w:r>
      <w:r w:rsidR="00BE36F5" w:rsidRPr="008E7162">
        <w:rPr>
          <w:rStyle w:val="tlid-translation"/>
          <w:rFonts w:ascii="Calibri Light" w:hAnsi="Calibri Light" w:cs="Calibri Light"/>
          <w:color w:val="000000" w:themeColor="text1"/>
          <w:sz w:val="22"/>
          <w:szCs w:val="22"/>
          <w:lang w:val="en-AU"/>
        </w:rPr>
        <w:t xml:space="preserve"> focus on corrections (with limited attention to detention) and DGC, rather than other </w:t>
      </w:r>
      <w:r w:rsidR="002A1FDB">
        <w:rPr>
          <w:rStyle w:val="tlid-translation"/>
          <w:rFonts w:ascii="Calibri Light" w:hAnsi="Calibri Light" w:cs="Calibri Light"/>
          <w:color w:val="000000" w:themeColor="text1"/>
          <w:sz w:val="22"/>
          <w:szCs w:val="22"/>
          <w:lang w:val="en-AU"/>
        </w:rPr>
        <w:t xml:space="preserve">influential </w:t>
      </w:r>
      <w:r w:rsidR="00BE36F5" w:rsidRPr="008E7162">
        <w:rPr>
          <w:rStyle w:val="tlid-translation"/>
          <w:rFonts w:ascii="Calibri Light" w:hAnsi="Calibri Light" w:cs="Calibri Light"/>
          <w:color w:val="000000" w:themeColor="text1"/>
          <w:sz w:val="22"/>
          <w:szCs w:val="22"/>
          <w:lang w:val="en-AU"/>
        </w:rPr>
        <w:t>parts of the criminal justice system</w:t>
      </w:r>
      <w:r w:rsidR="002A1FDB">
        <w:rPr>
          <w:rStyle w:val="tlid-translation"/>
          <w:rFonts w:ascii="Calibri Light" w:hAnsi="Calibri Light" w:cs="Calibri Light"/>
          <w:color w:val="000000" w:themeColor="text1"/>
          <w:sz w:val="22"/>
          <w:szCs w:val="22"/>
          <w:lang w:val="en-AU"/>
        </w:rPr>
        <w:t>,</w:t>
      </w:r>
      <w:r w:rsidR="00BE36F5" w:rsidRPr="008E7162">
        <w:rPr>
          <w:rStyle w:val="tlid-translation"/>
          <w:rFonts w:ascii="Calibri Light" w:hAnsi="Calibri Light" w:cs="Calibri Light"/>
          <w:color w:val="000000" w:themeColor="text1"/>
          <w:sz w:val="22"/>
          <w:szCs w:val="22"/>
          <w:lang w:val="en-AU"/>
        </w:rPr>
        <w:t xml:space="preserve"> </w:t>
      </w:r>
      <w:r w:rsidR="002A1FDB">
        <w:rPr>
          <w:rStyle w:val="tlid-translation"/>
          <w:rFonts w:ascii="Calibri Light" w:hAnsi="Calibri Light" w:cs="Calibri Light"/>
          <w:color w:val="000000" w:themeColor="text1"/>
          <w:sz w:val="22"/>
          <w:szCs w:val="22"/>
          <w:lang w:val="en-AU"/>
        </w:rPr>
        <w:t>seem likely to limit its impact on this issue.</w:t>
      </w:r>
    </w:p>
    <w:p w14:paraId="2BA761AA" w14:textId="7ED612F4" w:rsidR="00F808F7" w:rsidRPr="00660706" w:rsidRDefault="008573F5" w:rsidP="006B32D6">
      <w:pPr>
        <w:pStyle w:val="ListParagraph"/>
        <w:numPr>
          <w:ilvl w:val="2"/>
          <w:numId w:val="3"/>
        </w:numPr>
        <w:tabs>
          <w:tab w:val="left" w:pos="567"/>
        </w:tabs>
        <w:spacing w:line="274" w:lineRule="auto"/>
        <w:contextualSpacing w:val="0"/>
        <w:rPr>
          <w:rStyle w:val="tlid-translation"/>
          <w:rFonts w:ascii="Calibri Light" w:hAnsi="Calibri Light" w:cs="Calibri Light"/>
          <w:color w:val="000000" w:themeColor="text1"/>
          <w:sz w:val="22"/>
          <w:szCs w:val="22"/>
          <w:lang w:val="en-AU"/>
        </w:rPr>
      </w:pPr>
      <w:r>
        <w:rPr>
          <w:rStyle w:val="tlid-translation"/>
          <w:rFonts w:ascii="Calibri Light" w:hAnsi="Calibri Light" w:cs="Calibri Light"/>
          <w:color w:val="000000" w:themeColor="text1"/>
          <w:sz w:val="22"/>
          <w:szCs w:val="22"/>
          <w:lang w:val="en-AU"/>
        </w:rPr>
        <w:t xml:space="preserve"> </w:t>
      </w:r>
      <w:r w:rsidR="00FD7774" w:rsidRPr="00660706">
        <w:rPr>
          <w:rStyle w:val="tlid-translation"/>
          <w:rFonts w:ascii="Calibri Light" w:hAnsi="Calibri Light" w:cs="Calibri Light"/>
          <w:color w:val="000000" w:themeColor="text1"/>
          <w:sz w:val="22"/>
          <w:szCs w:val="22"/>
          <w:lang w:val="en-AU"/>
        </w:rPr>
        <w:t xml:space="preserve">The </w:t>
      </w:r>
      <w:r w:rsidR="008E7162">
        <w:rPr>
          <w:rStyle w:val="tlid-translation"/>
          <w:rFonts w:ascii="Calibri Light" w:hAnsi="Calibri Light"/>
          <w:b/>
          <w:bCs/>
          <w:color w:val="000000" w:themeColor="text1"/>
          <w:sz w:val="22"/>
          <w:lang w:val="en-AU"/>
        </w:rPr>
        <w:t>corrections database</w:t>
      </w:r>
      <w:r w:rsidR="00FD7774" w:rsidRPr="00660706">
        <w:rPr>
          <w:rStyle w:val="tlid-translation"/>
          <w:rFonts w:ascii="Calibri Light" w:hAnsi="Calibri Light" w:cs="Calibri Light"/>
          <w:color w:val="000000" w:themeColor="text1"/>
          <w:sz w:val="22"/>
          <w:szCs w:val="22"/>
          <w:lang w:val="en-AU"/>
        </w:rPr>
        <w:t xml:space="preserve"> was originally a pilot project of T</w:t>
      </w:r>
      <w:r w:rsidR="00145B98">
        <w:rPr>
          <w:rStyle w:val="tlid-translation"/>
          <w:rFonts w:ascii="Calibri Light" w:hAnsi="Calibri Light" w:cs="Calibri Light"/>
          <w:color w:val="000000" w:themeColor="text1"/>
          <w:sz w:val="22"/>
          <w:szCs w:val="22"/>
          <w:lang w:val="en-AU"/>
        </w:rPr>
        <w:t>AF</w:t>
      </w:r>
      <w:r w:rsidR="00FD7774" w:rsidRPr="00660706">
        <w:rPr>
          <w:rStyle w:val="tlid-translation"/>
          <w:rFonts w:ascii="Calibri Light" w:hAnsi="Calibri Light" w:cs="Calibri Light"/>
          <w:color w:val="000000" w:themeColor="text1"/>
          <w:sz w:val="22"/>
          <w:szCs w:val="22"/>
          <w:lang w:val="en-AU"/>
        </w:rPr>
        <w:t xml:space="preserve"> supported </w:t>
      </w:r>
      <w:r w:rsidR="000A2712" w:rsidRPr="00660706">
        <w:rPr>
          <w:rStyle w:val="tlid-translation"/>
          <w:rFonts w:ascii="Calibri Light" w:hAnsi="Calibri Light" w:cs="Calibri Light"/>
          <w:color w:val="000000" w:themeColor="text1"/>
          <w:sz w:val="22"/>
          <w:szCs w:val="22"/>
          <w:lang w:val="en-AU"/>
        </w:rPr>
        <w:t>during</w:t>
      </w:r>
      <w:r w:rsidR="00FD7774" w:rsidRPr="00660706">
        <w:rPr>
          <w:rStyle w:val="tlid-translation"/>
          <w:rFonts w:ascii="Calibri Light" w:hAnsi="Calibri Light" w:cs="Calibri Light"/>
          <w:color w:val="000000" w:themeColor="text1"/>
          <w:sz w:val="22"/>
          <w:szCs w:val="22"/>
          <w:lang w:val="en-AU"/>
        </w:rPr>
        <w:t xml:space="preserve"> phase 1.</w:t>
      </w:r>
      <w:r>
        <w:rPr>
          <w:rStyle w:val="tlid-translation"/>
          <w:rFonts w:ascii="Calibri Light" w:hAnsi="Calibri Light" w:cs="Calibri Light"/>
          <w:color w:val="000000" w:themeColor="text1"/>
          <w:sz w:val="22"/>
          <w:szCs w:val="22"/>
          <w:lang w:val="en-AU"/>
        </w:rPr>
        <w:t xml:space="preserve"> </w:t>
      </w:r>
      <w:r w:rsidR="00FD7774" w:rsidRPr="00660706">
        <w:rPr>
          <w:rStyle w:val="tlid-translation"/>
          <w:rFonts w:ascii="Calibri Light" w:hAnsi="Calibri Light" w:cs="Calibri Light"/>
          <w:color w:val="000000" w:themeColor="text1"/>
          <w:sz w:val="22"/>
          <w:szCs w:val="22"/>
          <w:lang w:val="en-AU"/>
        </w:rPr>
        <w:t xml:space="preserve">DGC subsequently asked for the </w:t>
      </w:r>
      <w:r w:rsidR="00EA5BBA" w:rsidRPr="00660706">
        <w:rPr>
          <w:rStyle w:val="tlid-translation"/>
          <w:rFonts w:ascii="Calibri Light" w:hAnsi="Calibri Light" w:cs="Calibri Light"/>
          <w:color w:val="000000" w:themeColor="text1"/>
          <w:sz w:val="22"/>
          <w:szCs w:val="22"/>
          <w:lang w:val="en-AU"/>
        </w:rPr>
        <w:t xml:space="preserve">CDS </w:t>
      </w:r>
      <w:r w:rsidR="00FD7774" w:rsidRPr="00660706">
        <w:rPr>
          <w:rStyle w:val="tlid-translation"/>
          <w:rFonts w:ascii="Calibri Light" w:hAnsi="Calibri Light" w:cs="Calibri Light"/>
          <w:color w:val="000000" w:themeColor="text1"/>
          <w:sz w:val="22"/>
          <w:szCs w:val="22"/>
          <w:lang w:val="en-AU"/>
        </w:rPr>
        <w:t>to lead on system management and policy development.</w:t>
      </w:r>
      <w:r>
        <w:rPr>
          <w:rStyle w:val="tlid-translation"/>
          <w:rFonts w:ascii="Calibri Light" w:hAnsi="Calibri Light" w:cs="Calibri Light"/>
          <w:color w:val="000000" w:themeColor="text1"/>
          <w:sz w:val="22"/>
          <w:szCs w:val="22"/>
          <w:lang w:val="en-AU"/>
        </w:rPr>
        <w:t xml:space="preserve"> </w:t>
      </w:r>
      <w:r w:rsidR="00FD7774" w:rsidRPr="00660706">
        <w:rPr>
          <w:rStyle w:val="tlid-translation"/>
          <w:rFonts w:ascii="Calibri Light" w:hAnsi="Calibri Light" w:cs="Calibri Light"/>
          <w:color w:val="000000" w:themeColor="text1"/>
          <w:sz w:val="22"/>
          <w:szCs w:val="22"/>
          <w:lang w:val="en-AU"/>
        </w:rPr>
        <w:t xml:space="preserve">With CDS support, AIPJ2 has finalised standard operating procedures for </w:t>
      </w:r>
      <w:r w:rsidR="003441AA" w:rsidRPr="00660706">
        <w:rPr>
          <w:rStyle w:val="tlid-translation"/>
          <w:rFonts w:ascii="Calibri Light" w:hAnsi="Calibri Light" w:cs="Calibri Light"/>
          <w:color w:val="000000" w:themeColor="text1"/>
          <w:sz w:val="22"/>
          <w:szCs w:val="22"/>
          <w:lang w:val="en-AU"/>
        </w:rPr>
        <w:t>the</w:t>
      </w:r>
      <w:r w:rsidR="00FD7774" w:rsidRPr="00660706">
        <w:rPr>
          <w:rStyle w:val="tlid-translation"/>
          <w:rFonts w:ascii="Calibri Light" w:hAnsi="Calibri Light" w:cs="Calibri Light"/>
          <w:color w:val="000000" w:themeColor="text1"/>
          <w:sz w:val="22"/>
          <w:szCs w:val="22"/>
          <w:lang w:val="en-AU"/>
        </w:rPr>
        <w:t xml:space="preserve"> database modules and </w:t>
      </w:r>
      <w:r w:rsidR="003441AA" w:rsidRPr="00660706">
        <w:rPr>
          <w:rStyle w:val="tlid-translation"/>
          <w:rFonts w:ascii="Calibri Light" w:hAnsi="Calibri Light" w:cs="Calibri Light"/>
          <w:color w:val="000000" w:themeColor="text1"/>
          <w:sz w:val="22"/>
          <w:szCs w:val="22"/>
          <w:lang w:val="en-AU"/>
        </w:rPr>
        <w:t>has started to hand over completely the development of database modules to DGC officials.</w:t>
      </w:r>
    </w:p>
    <w:p w14:paraId="0FC19718" w14:textId="1063787E" w:rsidR="003441AA" w:rsidRPr="00660706" w:rsidRDefault="008573F5" w:rsidP="006B32D6">
      <w:pPr>
        <w:pStyle w:val="ListParagraph"/>
        <w:numPr>
          <w:ilvl w:val="2"/>
          <w:numId w:val="3"/>
        </w:numPr>
        <w:tabs>
          <w:tab w:val="left" w:pos="567"/>
        </w:tabs>
        <w:spacing w:line="274" w:lineRule="auto"/>
        <w:contextualSpacing w:val="0"/>
        <w:rPr>
          <w:rStyle w:val="tlid-translation"/>
          <w:rFonts w:ascii="Calibri Light" w:hAnsi="Calibri Light" w:cs="Calibri Light"/>
          <w:color w:val="000000" w:themeColor="text1"/>
          <w:sz w:val="22"/>
          <w:szCs w:val="22"/>
          <w:lang w:val="en-AU"/>
        </w:rPr>
      </w:pPr>
      <w:r>
        <w:rPr>
          <w:rStyle w:val="tlid-translation"/>
          <w:rFonts w:ascii="Calibri Light" w:hAnsi="Calibri Light" w:cs="Calibri Light"/>
          <w:color w:val="000000" w:themeColor="text1"/>
          <w:sz w:val="22"/>
          <w:szCs w:val="22"/>
          <w:lang w:val="en-AU"/>
        </w:rPr>
        <w:t xml:space="preserve"> </w:t>
      </w:r>
      <w:r w:rsidR="003441AA" w:rsidRPr="00660706">
        <w:rPr>
          <w:rStyle w:val="tlid-translation"/>
          <w:rFonts w:ascii="Calibri Light" w:hAnsi="Calibri Light" w:cs="Calibri Light"/>
          <w:color w:val="000000" w:themeColor="text1"/>
          <w:sz w:val="22"/>
          <w:szCs w:val="22"/>
          <w:lang w:val="en-AU"/>
        </w:rPr>
        <w:t>All stakeholders interviewed acknowledged the significant achievement</w:t>
      </w:r>
      <w:r w:rsidR="001661E0" w:rsidRPr="00660706">
        <w:rPr>
          <w:rStyle w:val="tlid-translation"/>
          <w:rFonts w:ascii="Calibri Light" w:hAnsi="Calibri Light" w:cs="Calibri Light"/>
          <w:color w:val="000000" w:themeColor="text1"/>
          <w:sz w:val="22"/>
          <w:szCs w:val="22"/>
          <w:lang w:val="en-AU"/>
        </w:rPr>
        <w:t xml:space="preserve"> and value of </w:t>
      </w:r>
      <w:r w:rsidR="003441AA" w:rsidRPr="00660706">
        <w:rPr>
          <w:rStyle w:val="tlid-translation"/>
          <w:rFonts w:ascii="Calibri Light" w:hAnsi="Calibri Light" w:cs="Calibri Light"/>
          <w:color w:val="000000" w:themeColor="text1"/>
          <w:sz w:val="22"/>
          <w:szCs w:val="22"/>
          <w:lang w:val="en-AU"/>
        </w:rPr>
        <w:t>the database system.</w:t>
      </w:r>
      <w:r>
        <w:rPr>
          <w:rStyle w:val="tlid-translation"/>
          <w:rFonts w:ascii="Calibri Light" w:hAnsi="Calibri Light" w:cs="Calibri Light"/>
          <w:color w:val="000000" w:themeColor="text1"/>
          <w:sz w:val="22"/>
          <w:szCs w:val="22"/>
          <w:lang w:val="en-AU"/>
        </w:rPr>
        <w:t xml:space="preserve"> </w:t>
      </w:r>
      <w:r w:rsidR="003441AA" w:rsidRPr="00660706">
        <w:rPr>
          <w:rStyle w:val="tlid-translation"/>
          <w:rFonts w:ascii="Calibri Light" w:hAnsi="Calibri Light" w:cs="Calibri Light"/>
          <w:color w:val="000000" w:themeColor="text1"/>
          <w:sz w:val="22"/>
          <w:szCs w:val="22"/>
          <w:lang w:val="en-AU"/>
        </w:rPr>
        <w:t>Compared with what existed</w:t>
      </w:r>
      <w:r w:rsidR="0033703D" w:rsidRPr="00660706">
        <w:rPr>
          <w:rStyle w:val="tlid-translation"/>
          <w:rFonts w:ascii="Calibri Light" w:hAnsi="Calibri Light" w:cs="Calibri Light"/>
          <w:color w:val="000000" w:themeColor="text1"/>
          <w:sz w:val="22"/>
          <w:szCs w:val="22"/>
          <w:lang w:val="en-AU"/>
        </w:rPr>
        <w:t xml:space="preserve"> before</w:t>
      </w:r>
      <w:r w:rsidR="003441AA" w:rsidRPr="00660706">
        <w:rPr>
          <w:rStyle w:val="tlid-translation"/>
          <w:rFonts w:ascii="Calibri Light" w:hAnsi="Calibri Light" w:cs="Calibri Light"/>
          <w:color w:val="000000" w:themeColor="text1"/>
          <w:sz w:val="22"/>
          <w:szCs w:val="22"/>
          <w:lang w:val="en-AU"/>
        </w:rPr>
        <w:t xml:space="preserve">, it provides the basis for much </w:t>
      </w:r>
      <w:r w:rsidR="0033703D" w:rsidRPr="00660706">
        <w:rPr>
          <w:rStyle w:val="tlid-translation"/>
          <w:rFonts w:ascii="Calibri Light" w:hAnsi="Calibri Light" w:cs="Calibri Light"/>
          <w:color w:val="000000" w:themeColor="text1"/>
          <w:sz w:val="22"/>
          <w:szCs w:val="22"/>
          <w:lang w:val="en-AU"/>
        </w:rPr>
        <w:t>better</w:t>
      </w:r>
      <w:r w:rsidR="003441AA" w:rsidRPr="00660706">
        <w:rPr>
          <w:rStyle w:val="tlid-translation"/>
          <w:rFonts w:ascii="Calibri Light" w:hAnsi="Calibri Light" w:cs="Calibri Light"/>
          <w:color w:val="000000" w:themeColor="text1"/>
          <w:sz w:val="22"/>
          <w:szCs w:val="22"/>
          <w:lang w:val="en-AU"/>
        </w:rPr>
        <w:t xml:space="preserve"> management of the prison system</w:t>
      </w:r>
      <w:r w:rsidR="0033703D" w:rsidRPr="00660706">
        <w:rPr>
          <w:rStyle w:val="tlid-translation"/>
          <w:rFonts w:ascii="Calibri Light" w:hAnsi="Calibri Light" w:cs="Calibri Light"/>
          <w:color w:val="000000" w:themeColor="text1"/>
          <w:sz w:val="22"/>
          <w:szCs w:val="22"/>
          <w:lang w:val="en-AU"/>
        </w:rPr>
        <w:t xml:space="preserve">, </w:t>
      </w:r>
      <w:r w:rsidR="00EA5BBA" w:rsidRPr="00660706">
        <w:rPr>
          <w:rStyle w:val="tlid-translation"/>
          <w:rFonts w:ascii="Calibri Light" w:hAnsi="Calibri Light" w:cs="Calibri Light"/>
          <w:color w:val="000000" w:themeColor="text1"/>
          <w:sz w:val="22"/>
          <w:szCs w:val="22"/>
          <w:lang w:val="en-AU"/>
        </w:rPr>
        <w:t>enabling better matching of inmates’ needs to available programs and facilitating inmates’ access to their rights</w:t>
      </w:r>
      <w:r w:rsidR="003F5685">
        <w:rPr>
          <w:rStyle w:val="tlid-translation"/>
          <w:rFonts w:ascii="Calibri Light" w:hAnsi="Calibri Light" w:cs="Calibri Light"/>
          <w:color w:val="000000" w:themeColor="text1"/>
          <w:sz w:val="22"/>
          <w:szCs w:val="22"/>
          <w:lang w:val="en-AU"/>
        </w:rPr>
        <w:t xml:space="preserve"> and information</w:t>
      </w:r>
      <w:r w:rsidR="008511EC" w:rsidRPr="00660706">
        <w:rPr>
          <w:rStyle w:val="tlid-translation"/>
          <w:rFonts w:ascii="Calibri Light" w:hAnsi="Calibri Light" w:cs="Calibri Light"/>
          <w:color w:val="000000" w:themeColor="text1"/>
          <w:sz w:val="22"/>
          <w:szCs w:val="22"/>
          <w:lang w:val="en-AU"/>
        </w:rPr>
        <w:t>, to request parole or remission for example.</w:t>
      </w:r>
      <w:r>
        <w:rPr>
          <w:rStyle w:val="tlid-translation"/>
          <w:rFonts w:ascii="Calibri Light" w:hAnsi="Calibri Light" w:cs="Calibri Light"/>
          <w:color w:val="000000" w:themeColor="text1"/>
          <w:sz w:val="22"/>
          <w:szCs w:val="22"/>
          <w:lang w:val="en-AU"/>
        </w:rPr>
        <w:t xml:space="preserve"> </w:t>
      </w:r>
      <w:r w:rsidR="00EA5BBA" w:rsidRPr="00660706">
        <w:rPr>
          <w:rStyle w:val="tlid-translation"/>
          <w:rFonts w:ascii="Calibri Light" w:hAnsi="Calibri Light" w:cs="Calibri Light"/>
          <w:color w:val="000000" w:themeColor="text1"/>
          <w:sz w:val="22"/>
          <w:szCs w:val="22"/>
          <w:lang w:val="en-AU"/>
        </w:rPr>
        <w:t xml:space="preserve">It also permits </w:t>
      </w:r>
      <w:r w:rsidR="0033703D" w:rsidRPr="00660706">
        <w:rPr>
          <w:rStyle w:val="tlid-translation"/>
          <w:rFonts w:ascii="Calibri Light" w:hAnsi="Calibri Light" w:cs="Calibri Light"/>
          <w:color w:val="000000" w:themeColor="text1"/>
          <w:sz w:val="22"/>
          <w:szCs w:val="22"/>
          <w:lang w:val="en-AU"/>
        </w:rPr>
        <w:t>classification of inmates</w:t>
      </w:r>
      <w:r w:rsidR="008511EC" w:rsidRPr="00660706">
        <w:rPr>
          <w:rStyle w:val="tlid-translation"/>
          <w:rFonts w:ascii="Calibri Light" w:hAnsi="Calibri Light" w:cs="Calibri Light"/>
          <w:color w:val="000000" w:themeColor="text1"/>
          <w:sz w:val="22"/>
          <w:szCs w:val="22"/>
          <w:lang w:val="en-AU"/>
        </w:rPr>
        <w:t xml:space="preserve">, </w:t>
      </w:r>
      <w:r w:rsidR="0033703D" w:rsidRPr="00660706">
        <w:rPr>
          <w:rStyle w:val="tlid-translation"/>
          <w:rFonts w:ascii="Calibri Light" w:hAnsi="Calibri Light" w:cs="Calibri Light"/>
          <w:color w:val="000000" w:themeColor="text1"/>
          <w:sz w:val="22"/>
          <w:szCs w:val="22"/>
          <w:lang w:val="en-AU"/>
        </w:rPr>
        <w:t>better management of their distribution</w:t>
      </w:r>
      <w:r w:rsidR="008511EC" w:rsidRPr="00660706">
        <w:rPr>
          <w:rStyle w:val="tlid-translation"/>
          <w:rFonts w:ascii="Calibri Light" w:hAnsi="Calibri Light" w:cs="Calibri Light"/>
          <w:color w:val="000000" w:themeColor="text1"/>
          <w:sz w:val="22"/>
          <w:szCs w:val="22"/>
          <w:lang w:val="en-AU"/>
        </w:rPr>
        <w:t xml:space="preserve"> and better management of </w:t>
      </w:r>
      <w:r w:rsidR="00EA5BBA" w:rsidRPr="00660706">
        <w:rPr>
          <w:rStyle w:val="tlid-translation"/>
          <w:rFonts w:ascii="Calibri Light" w:hAnsi="Calibri Light" w:cs="Calibri Light"/>
          <w:color w:val="000000" w:themeColor="text1"/>
          <w:sz w:val="22"/>
          <w:szCs w:val="22"/>
          <w:lang w:val="en-AU"/>
        </w:rPr>
        <w:t xml:space="preserve">security risks </w:t>
      </w:r>
      <w:r w:rsidR="008511EC" w:rsidRPr="00660706">
        <w:rPr>
          <w:rStyle w:val="tlid-translation"/>
          <w:rFonts w:ascii="Calibri Light" w:hAnsi="Calibri Light" w:cs="Calibri Light"/>
          <w:color w:val="000000" w:themeColor="text1"/>
          <w:sz w:val="22"/>
          <w:szCs w:val="22"/>
          <w:lang w:val="en-AU"/>
        </w:rPr>
        <w:t xml:space="preserve">associated </w:t>
      </w:r>
      <w:r w:rsidR="00EA5BBA" w:rsidRPr="00660706">
        <w:rPr>
          <w:rStyle w:val="tlid-translation"/>
          <w:rFonts w:ascii="Calibri Light" w:hAnsi="Calibri Light" w:cs="Calibri Light"/>
          <w:color w:val="000000" w:themeColor="text1"/>
          <w:sz w:val="22"/>
          <w:szCs w:val="22"/>
          <w:lang w:val="en-AU"/>
        </w:rPr>
        <w:t>with certain inmates.</w:t>
      </w:r>
      <w:r>
        <w:rPr>
          <w:rStyle w:val="tlid-translation"/>
          <w:rFonts w:ascii="Calibri Light" w:hAnsi="Calibri Light" w:cs="Calibri Light"/>
          <w:color w:val="000000" w:themeColor="text1"/>
          <w:sz w:val="22"/>
          <w:szCs w:val="22"/>
          <w:lang w:val="en-AU"/>
        </w:rPr>
        <w:t xml:space="preserve"> </w:t>
      </w:r>
      <w:r w:rsidR="001661E0" w:rsidRPr="00660706">
        <w:rPr>
          <w:rStyle w:val="tlid-translation"/>
          <w:rFonts w:ascii="Calibri Light" w:hAnsi="Calibri Light" w:cs="Calibri Light"/>
          <w:color w:val="000000" w:themeColor="text1"/>
          <w:sz w:val="22"/>
          <w:szCs w:val="22"/>
          <w:lang w:val="en-AU"/>
        </w:rPr>
        <w:t xml:space="preserve">In addition, the database has </w:t>
      </w:r>
      <w:r w:rsidR="008511EC" w:rsidRPr="00660706">
        <w:rPr>
          <w:rStyle w:val="tlid-translation"/>
          <w:rFonts w:ascii="Calibri Light" w:hAnsi="Calibri Light" w:cs="Calibri Light"/>
          <w:color w:val="000000" w:themeColor="text1"/>
          <w:sz w:val="22"/>
          <w:szCs w:val="22"/>
          <w:lang w:val="en-AU"/>
        </w:rPr>
        <w:t xml:space="preserve">helped to </w:t>
      </w:r>
      <w:r w:rsidR="001661E0" w:rsidRPr="00660706">
        <w:rPr>
          <w:rStyle w:val="tlid-translation"/>
          <w:rFonts w:ascii="Calibri Light" w:hAnsi="Calibri Light" w:cs="Calibri Light"/>
          <w:color w:val="000000" w:themeColor="text1"/>
          <w:sz w:val="22"/>
          <w:szCs w:val="22"/>
          <w:lang w:val="en-AU"/>
        </w:rPr>
        <w:t xml:space="preserve">increase transparency </w:t>
      </w:r>
      <w:r w:rsidR="008511EC" w:rsidRPr="00660706">
        <w:rPr>
          <w:rStyle w:val="tlid-translation"/>
          <w:rFonts w:ascii="Calibri Light" w:hAnsi="Calibri Light" w:cs="Calibri Light"/>
          <w:color w:val="000000" w:themeColor="text1"/>
          <w:sz w:val="22"/>
          <w:szCs w:val="22"/>
          <w:lang w:val="en-AU"/>
        </w:rPr>
        <w:t xml:space="preserve">within </w:t>
      </w:r>
      <w:r w:rsidR="001661E0" w:rsidRPr="00660706">
        <w:rPr>
          <w:rStyle w:val="tlid-translation"/>
          <w:rFonts w:ascii="Calibri Light" w:hAnsi="Calibri Light" w:cs="Calibri Light"/>
          <w:color w:val="000000" w:themeColor="text1"/>
          <w:sz w:val="22"/>
          <w:szCs w:val="22"/>
          <w:lang w:val="en-AU"/>
        </w:rPr>
        <w:t xml:space="preserve">the corrections system generally </w:t>
      </w:r>
      <w:r w:rsidR="008511EC" w:rsidRPr="00660706">
        <w:rPr>
          <w:rStyle w:val="tlid-translation"/>
          <w:rFonts w:ascii="Calibri Light" w:hAnsi="Calibri Light" w:cs="Calibri Light"/>
          <w:color w:val="000000" w:themeColor="text1"/>
          <w:sz w:val="22"/>
          <w:szCs w:val="22"/>
          <w:lang w:val="en-AU"/>
        </w:rPr>
        <w:t xml:space="preserve">and reduce the extensive </w:t>
      </w:r>
      <w:r w:rsidR="00C3680E" w:rsidRPr="00660706">
        <w:rPr>
          <w:rStyle w:val="tlid-translation"/>
          <w:rFonts w:ascii="Calibri Light" w:hAnsi="Calibri Light" w:cs="Calibri Light"/>
          <w:color w:val="000000" w:themeColor="text1"/>
          <w:sz w:val="22"/>
          <w:szCs w:val="22"/>
          <w:lang w:val="en-AU"/>
        </w:rPr>
        <w:t>opportunities</w:t>
      </w:r>
      <w:r w:rsidR="001661E0" w:rsidRPr="00660706">
        <w:rPr>
          <w:rStyle w:val="tlid-translation"/>
          <w:rFonts w:ascii="Calibri Light" w:hAnsi="Calibri Light" w:cs="Calibri Light"/>
          <w:color w:val="000000" w:themeColor="text1"/>
          <w:sz w:val="22"/>
          <w:szCs w:val="22"/>
          <w:lang w:val="en-AU"/>
        </w:rPr>
        <w:t xml:space="preserve"> </w:t>
      </w:r>
      <w:r w:rsidR="00C3680E" w:rsidRPr="00660706">
        <w:rPr>
          <w:rStyle w:val="tlid-translation"/>
          <w:rFonts w:ascii="Calibri Light" w:hAnsi="Calibri Light" w:cs="Calibri Light"/>
          <w:color w:val="000000" w:themeColor="text1"/>
          <w:sz w:val="22"/>
          <w:szCs w:val="22"/>
          <w:lang w:val="en-AU"/>
        </w:rPr>
        <w:t>for corruption</w:t>
      </w:r>
      <w:r w:rsidR="008511EC" w:rsidRPr="00660706">
        <w:rPr>
          <w:rStyle w:val="tlid-translation"/>
          <w:rFonts w:ascii="Calibri Light" w:hAnsi="Calibri Light" w:cs="Calibri Light"/>
          <w:color w:val="000000" w:themeColor="text1"/>
          <w:sz w:val="22"/>
          <w:szCs w:val="22"/>
          <w:lang w:val="en-AU"/>
        </w:rPr>
        <w:t xml:space="preserve"> that existed previously</w:t>
      </w:r>
      <w:r w:rsidR="00C3680E" w:rsidRPr="00660706">
        <w:rPr>
          <w:rStyle w:val="tlid-translation"/>
          <w:rFonts w:ascii="Calibri Light" w:hAnsi="Calibri Light" w:cs="Calibri Light"/>
          <w:color w:val="000000" w:themeColor="text1"/>
          <w:sz w:val="22"/>
          <w:szCs w:val="22"/>
          <w:lang w:val="en-AU"/>
        </w:rPr>
        <w:t>.</w:t>
      </w:r>
    </w:p>
    <w:p w14:paraId="40DDFA37" w14:textId="682344C3" w:rsidR="00C3680E" w:rsidRPr="00660706" w:rsidRDefault="00145B98" w:rsidP="006B32D6">
      <w:pPr>
        <w:pStyle w:val="ListParagraph"/>
        <w:numPr>
          <w:ilvl w:val="2"/>
          <w:numId w:val="3"/>
        </w:numPr>
        <w:tabs>
          <w:tab w:val="clear" w:pos="1701"/>
          <w:tab w:val="left" w:pos="567"/>
          <w:tab w:val="num" w:pos="709"/>
        </w:tabs>
        <w:spacing w:line="274" w:lineRule="auto"/>
        <w:contextualSpacing w:val="0"/>
        <w:rPr>
          <w:rStyle w:val="tlid-translation"/>
          <w:rFonts w:ascii="Calibri Light" w:hAnsi="Calibri Light" w:cs="Calibri Light"/>
          <w:color w:val="000000" w:themeColor="text1"/>
          <w:lang w:val="en-AU"/>
        </w:rPr>
      </w:pPr>
      <w:r>
        <w:rPr>
          <w:rStyle w:val="tlid-translation"/>
          <w:rFonts w:ascii="Calibri Light" w:hAnsi="Calibri Light" w:cs="Calibri Light"/>
          <w:color w:val="000000" w:themeColor="text1"/>
          <w:sz w:val="22"/>
          <w:szCs w:val="22"/>
          <w:lang w:val="en-AU"/>
        </w:rPr>
        <w:t xml:space="preserve"> </w:t>
      </w:r>
      <w:r w:rsidR="00C3680E" w:rsidRPr="00660706">
        <w:rPr>
          <w:rStyle w:val="tlid-translation"/>
          <w:rFonts w:ascii="Calibri Light" w:hAnsi="Calibri Light" w:cs="Calibri Light"/>
          <w:color w:val="000000" w:themeColor="text1"/>
          <w:sz w:val="22"/>
          <w:szCs w:val="22"/>
          <w:lang w:val="en-AU"/>
        </w:rPr>
        <w:t>Nevertheless, the system is not yet comprehensive and areas for improvement exist.</w:t>
      </w:r>
      <w:r w:rsidR="008573F5">
        <w:rPr>
          <w:rStyle w:val="tlid-translation"/>
          <w:rFonts w:ascii="Calibri Light" w:hAnsi="Calibri Light" w:cs="Calibri Light"/>
          <w:color w:val="000000" w:themeColor="text1"/>
          <w:sz w:val="22"/>
          <w:szCs w:val="22"/>
          <w:lang w:val="en-AU"/>
        </w:rPr>
        <w:t xml:space="preserve"> </w:t>
      </w:r>
      <w:r w:rsidR="00C3680E" w:rsidRPr="00660706">
        <w:rPr>
          <w:rStyle w:val="tlid-translation"/>
          <w:rFonts w:ascii="Calibri Light" w:hAnsi="Calibri Light" w:cs="Calibri Light"/>
          <w:color w:val="000000" w:themeColor="text1"/>
          <w:sz w:val="22"/>
          <w:szCs w:val="22"/>
          <w:lang w:val="en-AU"/>
        </w:rPr>
        <w:t xml:space="preserve">For example, the database does not distinguish </w:t>
      </w:r>
      <w:r w:rsidR="0021293A">
        <w:rPr>
          <w:rStyle w:val="tlid-translation"/>
          <w:rFonts w:ascii="Calibri Light" w:hAnsi="Calibri Light" w:cs="Calibri Light"/>
          <w:color w:val="000000" w:themeColor="text1"/>
          <w:sz w:val="22"/>
          <w:szCs w:val="22"/>
          <w:lang w:val="en-AU"/>
        </w:rPr>
        <w:t xml:space="preserve">adequately </w:t>
      </w:r>
      <w:r w:rsidR="00C3680E" w:rsidRPr="00660706">
        <w:rPr>
          <w:rStyle w:val="tlid-translation"/>
          <w:rFonts w:ascii="Calibri Light" w:hAnsi="Calibri Light" w:cs="Calibri Light"/>
          <w:color w:val="000000" w:themeColor="text1"/>
          <w:sz w:val="22"/>
          <w:szCs w:val="22"/>
          <w:lang w:val="en-AU"/>
        </w:rPr>
        <w:t xml:space="preserve">between prisoners and detainees, even though their </w:t>
      </w:r>
      <w:r w:rsidR="00037497" w:rsidRPr="00660706">
        <w:rPr>
          <w:rStyle w:val="tlid-translation"/>
          <w:rFonts w:ascii="Calibri Light" w:hAnsi="Calibri Light" w:cs="Calibri Light"/>
          <w:color w:val="000000" w:themeColor="text1"/>
          <w:sz w:val="22"/>
          <w:szCs w:val="22"/>
          <w:lang w:val="en-AU"/>
        </w:rPr>
        <w:t>legal right</w:t>
      </w:r>
      <w:r w:rsidR="008511EC" w:rsidRPr="00660706">
        <w:rPr>
          <w:rStyle w:val="tlid-translation"/>
          <w:rFonts w:ascii="Calibri Light" w:hAnsi="Calibri Light" w:cs="Calibri Light"/>
          <w:color w:val="000000" w:themeColor="text1"/>
          <w:sz w:val="22"/>
          <w:szCs w:val="22"/>
          <w:lang w:val="en-AU"/>
        </w:rPr>
        <w:t>s</w:t>
      </w:r>
      <w:r w:rsidR="00037497" w:rsidRPr="00660706">
        <w:rPr>
          <w:rStyle w:val="tlid-translation"/>
          <w:rFonts w:ascii="Calibri Light" w:hAnsi="Calibri Light" w:cs="Calibri Light"/>
          <w:color w:val="000000" w:themeColor="text1"/>
          <w:sz w:val="22"/>
          <w:szCs w:val="22"/>
          <w:lang w:val="en-AU"/>
        </w:rPr>
        <w:t>, and therefore management requirements, differ significantly.</w:t>
      </w:r>
      <w:r w:rsidR="008573F5">
        <w:rPr>
          <w:rStyle w:val="tlid-translation"/>
          <w:rFonts w:ascii="Calibri Light" w:hAnsi="Calibri Light" w:cs="Calibri Light"/>
          <w:color w:val="000000" w:themeColor="text1"/>
          <w:sz w:val="22"/>
          <w:szCs w:val="22"/>
          <w:lang w:val="en-AU"/>
        </w:rPr>
        <w:t xml:space="preserve"> </w:t>
      </w:r>
      <w:r w:rsidR="00037497" w:rsidRPr="00660706">
        <w:rPr>
          <w:rStyle w:val="tlid-translation"/>
          <w:rFonts w:ascii="Calibri Light" w:hAnsi="Calibri Light" w:cs="Calibri Light"/>
          <w:color w:val="000000" w:themeColor="text1"/>
          <w:sz w:val="22"/>
          <w:szCs w:val="22"/>
          <w:lang w:val="en-AU"/>
        </w:rPr>
        <w:t xml:space="preserve">Similarly, the system has not yet been adopted by all detention facilities outside of DGC detention centres, with the most notable exclusion being the Indonesian National Police </w:t>
      </w:r>
      <w:r w:rsidR="001F1BE3">
        <w:rPr>
          <w:rStyle w:val="tlid-translation"/>
          <w:rFonts w:ascii="Calibri Light" w:hAnsi="Calibri Light" w:cs="Calibri Light"/>
          <w:color w:val="000000" w:themeColor="text1"/>
          <w:sz w:val="22"/>
          <w:szCs w:val="22"/>
          <w:lang w:val="en-AU"/>
        </w:rPr>
        <w:t>(</w:t>
      </w:r>
      <w:r w:rsidR="001F1BE3" w:rsidRPr="00860B00">
        <w:rPr>
          <w:rStyle w:val="tlid-translation"/>
          <w:rFonts w:ascii="Calibri Light" w:hAnsi="Calibri Light" w:cs="Calibri Light"/>
          <w:color w:val="000000" w:themeColor="text1"/>
          <w:sz w:val="22"/>
          <w:szCs w:val="22"/>
          <w:lang w:val="en-AU"/>
        </w:rPr>
        <w:t>INP</w:t>
      </w:r>
      <w:r w:rsidR="001F1BE3">
        <w:rPr>
          <w:rStyle w:val="tlid-translation"/>
          <w:rFonts w:ascii="Calibri Light" w:hAnsi="Calibri Light" w:cs="Calibri Light"/>
          <w:color w:val="000000" w:themeColor="text1"/>
          <w:sz w:val="22"/>
          <w:szCs w:val="22"/>
          <w:lang w:val="en-AU"/>
        </w:rPr>
        <w:t xml:space="preserve">) </w:t>
      </w:r>
      <w:r w:rsidR="00504B58" w:rsidRPr="00660706">
        <w:rPr>
          <w:rStyle w:val="tlid-translation"/>
          <w:rFonts w:ascii="Calibri Light" w:hAnsi="Calibri Light" w:cs="Calibri Light"/>
          <w:color w:val="000000" w:themeColor="text1"/>
          <w:sz w:val="22"/>
          <w:szCs w:val="22"/>
          <w:lang w:val="en-AU"/>
        </w:rPr>
        <w:t>who manage the largest number of detainees outside of DGC.</w:t>
      </w:r>
      <w:r w:rsidR="008573F5">
        <w:rPr>
          <w:rStyle w:val="tlid-translation"/>
          <w:rFonts w:ascii="Calibri Light" w:hAnsi="Calibri Light" w:cs="Calibri Light"/>
          <w:color w:val="000000" w:themeColor="text1"/>
          <w:sz w:val="22"/>
          <w:szCs w:val="22"/>
          <w:lang w:val="en-AU"/>
        </w:rPr>
        <w:t xml:space="preserve"> </w:t>
      </w:r>
      <w:r w:rsidR="00504B58" w:rsidRPr="00660706">
        <w:rPr>
          <w:rStyle w:val="tlid-translation"/>
          <w:rFonts w:ascii="Calibri Light" w:hAnsi="Calibri Light" w:cs="Calibri Light"/>
          <w:color w:val="000000" w:themeColor="text1"/>
          <w:sz w:val="22"/>
          <w:szCs w:val="22"/>
          <w:lang w:val="en-AU"/>
        </w:rPr>
        <w:t>The potential value of the system in supporting inmates and their families,</w:t>
      </w:r>
      <w:r w:rsidR="00037497" w:rsidRPr="00660706">
        <w:rPr>
          <w:rStyle w:val="tlid-translation"/>
          <w:rFonts w:ascii="Calibri Light" w:hAnsi="Calibri Light" w:cs="Calibri Light"/>
          <w:color w:val="000000" w:themeColor="text1"/>
          <w:sz w:val="22"/>
          <w:szCs w:val="22"/>
          <w:lang w:val="en-AU"/>
        </w:rPr>
        <w:t xml:space="preserve"> </w:t>
      </w:r>
      <w:r w:rsidR="00504B58" w:rsidRPr="00660706">
        <w:rPr>
          <w:rStyle w:val="tlid-translation"/>
          <w:rFonts w:ascii="Calibri Light" w:hAnsi="Calibri Light" w:cs="Calibri Light"/>
          <w:color w:val="000000" w:themeColor="text1"/>
          <w:sz w:val="22"/>
          <w:szCs w:val="22"/>
          <w:lang w:val="en-AU"/>
        </w:rPr>
        <w:t xml:space="preserve">particularly in </w:t>
      </w:r>
      <w:r w:rsidR="00AB459B" w:rsidRPr="00660706">
        <w:rPr>
          <w:rStyle w:val="tlid-translation"/>
          <w:rFonts w:ascii="Calibri Light" w:hAnsi="Calibri Light" w:cs="Calibri Light"/>
          <w:color w:val="000000" w:themeColor="text1"/>
          <w:sz w:val="22"/>
          <w:szCs w:val="22"/>
          <w:lang w:val="en-AU"/>
        </w:rPr>
        <w:t>facilitating</w:t>
      </w:r>
      <w:r w:rsidR="00504B58" w:rsidRPr="00660706">
        <w:rPr>
          <w:rStyle w:val="tlid-translation"/>
          <w:rFonts w:ascii="Calibri Light" w:hAnsi="Calibri Light" w:cs="Calibri Light"/>
          <w:color w:val="000000" w:themeColor="text1"/>
          <w:sz w:val="22"/>
          <w:szCs w:val="22"/>
          <w:lang w:val="en-AU"/>
        </w:rPr>
        <w:t xml:space="preserve"> the submission of applications for inmates’ rights, is also not yet fully developed, with no standard</w:t>
      </w:r>
      <w:r w:rsidR="00AB459B" w:rsidRPr="00660706">
        <w:rPr>
          <w:rStyle w:val="tlid-translation"/>
          <w:rFonts w:ascii="Calibri Light" w:hAnsi="Calibri Light" w:cs="Calibri Light"/>
          <w:color w:val="000000" w:themeColor="text1"/>
          <w:sz w:val="22"/>
          <w:szCs w:val="22"/>
          <w:lang w:val="en-AU"/>
        </w:rPr>
        <w:t xml:space="preserve">s </w:t>
      </w:r>
      <w:r w:rsidR="008511EC" w:rsidRPr="00660706">
        <w:rPr>
          <w:rStyle w:val="tlid-translation"/>
          <w:rFonts w:ascii="Calibri Light" w:hAnsi="Calibri Light" w:cs="Calibri Light"/>
          <w:color w:val="000000" w:themeColor="text1"/>
          <w:sz w:val="22"/>
          <w:szCs w:val="22"/>
          <w:lang w:val="en-AU"/>
        </w:rPr>
        <w:t xml:space="preserve">relating to the </w:t>
      </w:r>
      <w:r w:rsidR="00AB459B" w:rsidRPr="00660706">
        <w:rPr>
          <w:rStyle w:val="tlid-translation"/>
          <w:rFonts w:ascii="Calibri Light" w:hAnsi="Calibri Light" w:cs="Calibri Light"/>
          <w:color w:val="000000" w:themeColor="text1"/>
          <w:sz w:val="22"/>
          <w:szCs w:val="22"/>
          <w:lang w:val="en-AU"/>
        </w:rPr>
        <w:t>ease of access to the system developed or applied.</w:t>
      </w:r>
      <w:r w:rsidR="008573F5">
        <w:rPr>
          <w:rStyle w:val="tlid-translation"/>
          <w:rFonts w:ascii="Calibri Light" w:hAnsi="Calibri Light" w:cs="Calibri Light"/>
          <w:color w:val="000000" w:themeColor="text1"/>
          <w:sz w:val="22"/>
          <w:szCs w:val="22"/>
          <w:lang w:val="en-AU"/>
        </w:rPr>
        <w:t xml:space="preserve"> </w:t>
      </w:r>
      <w:r w:rsidR="008511EC" w:rsidRPr="00660706">
        <w:rPr>
          <w:rStyle w:val="tlid-translation"/>
          <w:rFonts w:ascii="Calibri Light" w:hAnsi="Calibri Light" w:cs="Calibri Light"/>
          <w:color w:val="000000" w:themeColor="text1"/>
          <w:sz w:val="22"/>
          <w:szCs w:val="22"/>
          <w:lang w:val="en-AU"/>
        </w:rPr>
        <w:t xml:space="preserve">Finally, </w:t>
      </w:r>
      <w:r w:rsidR="00860B00">
        <w:rPr>
          <w:rStyle w:val="tlid-translation"/>
          <w:rFonts w:ascii="Calibri Light" w:hAnsi="Calibri Light" w:cs="Calibri Light"/>
          <w:color w:val="000000" w:themeColor="text1"/>
          <w:sz w:val="22"/>
          <w:szCs w:val="22"/>
          <w:lang w:val="en-AU"/>
        </w:rPr>
        <w:t xml:space="preserve">concerns about </w:t>
      </w:r>
      <w:r w:rsidR="008511EC" w:rsidRPr="00660706">
        <w:rPr>
          <w:rStyle w:val="tlid-translation"/>
          <w:rFonts w:ascii="Calibri Light" w:hAnsi="Calibri Light" w:cs="Calibri Light"/>
          <w:color w:val="000000" w:themeColor="text1"/>
          <w:sz w:val="22"/>
          <w:szCs w:val="22"/>
          <w:lang w:val="en-AU"/>
        </w:rPr>
        <w:t xml:space="preserve">the planned digitisation of </w:t>
      </w:r>
      <w:r w:rsidR="00860B00">
        <w:rPr>
          <w:rStyle w:val="tlid-translation"/>
          <w:rFonts w:ascii="Calibri Light" w:hAnsi="Calibri Light" w:cs="Calibri Light"/>
          <w:color w:val="000000" w:themeColor="text1"/>
          <w:sz w:val="22"/>
          <w:szCs w:val="22"/>
          <w:lang w:val="en-AU"/>
        </w:rPr>
        <w:t>the database</w:t>
      </w:r>
      <w:r w:rsidR="008511EC" w:rsidRPr="00660706">
        <w:rPr>
          <w:rStyle w:val="tlid-translation"/>
          <w:rFonts w:ascii="Calibri Light" w:hAnsi="Calibri Light" w:cs="Calibri Light"/>
          <w:color w:val="000000" w:themeColor="text1"/>
          <w:sz w:val="22"/>
          <w:szCs w:val="22"/>
          <w:lang w:val="en-AU"/>
        </w:rPr>
        <w:t xml:space="preserve"> and </w:t>
      </w:r>
      <w:r w:rsidR="00860B00">
        <w:rPr>
          <w:rStyle w:val="tlid-translation"/>
          <w:rFonts w:ascii="Calibri Light" w:hAnsi="Calibri Light" w:cs="Calibri Light"/>
          <w:color w:val="000000" w:themeColor="text1"/>
          <w:sz w:val="22"/>
          <w:szCs w:val="22"/>
          <w:lang w:val="en-AU"/>
        </w:rPr>
        <w:t>risks around</w:t>
      </w:r>
      <w:r w:rsidR="008511EC" w:rsidRPr="00660706">
        <w:rPr>
          <w:rStyle w:val="tlid-translation"/>
          <w:rFonts w:ascii="Calibri Light" w:hAnsi="Calibri Light" w:cs="Calibri Light"/>
          <w:color w:val="000000" w:themeColor="text1"/>
          <w:sz w:val="22"/>
          <w:szCs w:val="22"/>
          <w:lang w:val="en-AU"/>
        </w:rPr>
        <w:t xml:space="preserve"> data security and recoverability</w:t>
      </w:r>
      <w:r w:rsidR="00860B00">
        <w:rPr>
          <w:rStyle w:val="tlid-translation"/>
          <w:rFonts w:ascii="Calibri Light" w:hAnsi="Calibri Light" w:cs="Calibri Light"/>
          <w:color w:val="000000" w:themeColor="text1"/>
          <w:sz w:val="22"/>
          <w:szCs w:val="22"/>
          <w:lang w:val="en-AU"/>
        </w:rPr>
        <w:t xml:space="preserve"> may also require attention.</w:t>
      </w:r>
    </w:p>
    <w:p w14:paraId="613C0302" w14:textId="77777777" w:rsidR="00D758A2" w:rsidRPr="00AD2A71" w:rsidRDefault="00D758A2" w:rsidP="00D758A2">
      <w:pPr>
        <w:spacing w:before="240"/>
        <w:rPr>
          <w:rFonts w:ascii="Calibri Light" w:hAnsi="Calibri Light" w:cs="Calibri Light"/>
          <w:i/>
          <w:iCs/>
          <w:lang w:val="en-AU"/>
        </w:rPr>
      </w:pPr>
      <w:r w:rsidRPr="00AD2A71">
        <w:rPr>
          <w:rFonts w:ascii="Calibri Light" w:hAnsi="Calibri Light" w:cs="Calibri Light"/>
          <w:i/>
          <w:iCs/>
          <w:lang w:val="en-AU"/>
        </w:rPr>
        <w:t>Security / transnational crime</w:t>
      </w:r>
    </w:p>
    <w:p w14:paraId="564C54A4" w14:textId="37F241BE" w:rsidR="00D758A2" w:rsidRPr="00AD2A71" w:rsidRDefault="00D758A2" w:rsidP="006B32D6">
      <w:pPr>
        <w:pStyle w:val="ListParagraph"/>
        <w:numPr>
          <w:ilvl w:val="2"/>
          <w:numId w:val="3"/>
        </w:numPr>
        <w:tabs>
          <w:tab w:val="left" w:pos="709"/>
        </w:tabs>
        <w:spacing w:line="274" w:lineRule="auto"/>
        <w:contextualSpacing w:val="0"/>
        <w:rPr>
          <w:rFonts w:asciiTheme="majorHAnsi" w:hAnsiTheme="majorHAnsi" w:cstheme="majorHAnsi"/>
          <w:b/>
          <w:bCs/>
          <w:color w:val="000000" w:themeColor="text1"/>
          <w:sz w:val="22"/>
          <w:szCs w:val="22"/>
          <w:lang w:val="en-AU"/>
        </w:rPr>
      </w:pPr>
      <w:r w:rsidRPr="00AD2A71">
        <w:rPr>
          <w:rFonts w:asciiTheme="majorHAnsi" w:hAnsiTheme="majorHAnsi" w:cstheme="majorHAnsi"/>
          <w:color w:val="000000" w:themeColor="text1"/>
          <w:sz w:val="22"/>
          <w:szCs w:val="22"/>
          <w:lang w:val="en-AU"/>
        </w:rPr>
        <w:t>The scope of the mid-term review precluded a detailed examination of the results of AIPJ2’s work under Pillar 2 and Pillar 3. However, on the basis of reported information and in-country consultations, it is clear that:</w:t>
      </w:r>
    </w:p>
    <w:p w14:paraId="49580D84" w14:textId="05A108F6" w:rsidR="00D758A2" w:rsidRPr="00AD2A71" w:rsidRDefault="00D758A2" w:rsidP="006B32D6">
      <w:pPr>
        <w:pStyle w:val="ListParagraph"/>
        <w:numPr>
          <w:ilvl w:val="0"/>
          <w:numId w:val="5"/>
        </w:numPr>
        <w:tabs>
          <w:tab w:val="left" w:pos="709"/>
        </w:tabs>
        <w:spacing w:line="274" w:lineRule="auto"/>
        <w:ind w:hanging="436"/>
        <w:contextualSpacing w:val="0"/>
        <w:rPr>
          <w:rFonts w:asciiTheme="majorHAnsi" w:hAnsiTheme="majorHAnsi" w:cstheme="majorHAnsi"/>
          <w:b/>
          <w:bCs/>
          <w:color w:val="000000" w:themeColor="text1"/>
          <w:sz w:val="22"/>
          <w:szCs w:val="22"/>
          <w:lang w:val="en-AU"/>
        </w:rPr>
      </w:pPr>
      <w:r w:rsidRPr="00AD2A71">
        <w:rPr>
          <w:rFonts w:asciiTheme="majorHAnsi" w:hAnsiTheme="majorHAnsi" w:cstheme="majorHAnsi"/>
          <w:color w:val="000000" w:themeColor="text1"/>
          <w:sz w:val="22"/>
          <w:szCs w:val="22"/>
          <w:lang w:val="en-AU"/>
        </w:rPr>
        <w:t xml:space="preserve">AIPJ2 </w:t>
      </w:r>
      <w:r w:rsidR="00DF0F69" w:rsidRPr="00AD2A71">
        <w:rPr>
          <w:rFonts w:asciiTheme="majorHAnsi" w:hAnsiTheme="majorHAnsi" w:cstheme="majorHAnsi"/>
          <w:color w:val="000000" w:themeColor="text1"/>
          <w:sz w:val="22"/>
          <w:szCs w:val="22"/>
          <w:lang w:val="en-AU"/>
        </w:rPr>
        <w:t xml:space="preserve">pillar 3 </w:t>
      </w:r>
      <w:r w:rsidRPr="00AD2A71">
        <w:rPr>
          <w:rFonts w:asciiTheme="majorHAnsi" w:hAnsiTheme="majorHAnsi" w:cstheme="majorHAnsi"/>
          <w:color w:val="000000" w:themeColor="text1"/>
          <w:sz w:val="22"/>
          <w:szCs w:val="22"/>
          <w:lang w:val="en-AU"/>
        </w:rPr>
        <w:t xml:space="preserve">partners are contributing to the development of policies and plans aimed at preventing violent extremism, </w:t>
      </w:r>
      <w:r w:rsidR="003D4D04">
        <w:rPr>
          <w:rFonts w:asciiTheme="majorHAnsi" w:hAnsiTheme="majorHAnsi" w:cstheme="majorHAnsi"/>
          <w:color w:val="000000" w:themeColor="text1"/>
          <w:sz w:val="22"/>
          <w:szCs w:val="22"/>
          <w:lang w:val="en-AU"/>
        </w:rPr>
        <w:t>through for example</w:t>
      </w:r>
      <w:r w:rsidRPr="00AD2A71">
        <w:rPr>
          <w:rFonts w:asciiTheme="majorHAnsi" w:hAnsiTheme="majorHAnsi" w:cstheme="majorHAnsi"/>
          <w:color w:val="000000" w:themeColor="text1"/>
          <w:sz w:val="22"/>
          <w:szCs w:val="22"/>
          <w:lang w:val="en-AU"/>
        </w:rPr>
        <w:t xml:space="preserve"> </w:t>
      </w:r>
      <w:r w:rsidR="003D4D04">
        <w:rPr>
          <w:rFonts w:asciiTheme="majorHAnsi" w:hAnsiTheme="majorHAnsi" w:cstheme="majorHAnsi"/>
          <w:color w:val="000000" w:themeColor="text1"/>
          <w:sz w:val="22"/>
          <w:szCs w:val="22"/>
          <w:lang w:val="en-AU"/>
        </w:rPr>
        <w:t>supporting drafting and advocacy by civil society in the development of the</w:t>
      </w:r>
      <w:r w:rsidRPr="00AD2A71">
        <w:rPr>
          <w:rFonts w:asciiTheme="majorHAnsi" w:hAnsiTheme="majorHAnsi" w:cstheme="majorHAnsi"/>
          <w:color w:val="000000" w:themeColor="text1"/>
          <w:sz w:val="22"/>
          <w:szCs w:val="22"/>
          <w:lang w:val="en-AU"/>
        </w:rPr>
        <w:t xml:space="preserve"> Counter-Terrorism Law (5/2018), </w:t>
      </w:r>
      <w:r w:rsidR="003D4D04">
        <w:rPr>
          <w:rFonts w:asciiTheme="majorHAnsi" w:hAnsiTheme="majorHAnsi" w:cstheme="majorHAnsi"/>
          <w:color w:val="000000" w:themeColor="text1"/>
          <w:sz w:val="22"/>
          <w:szCs w:val="22"/>
          <w:lang w:val="en-AU"/>
        </w:rPr>
        <w:t xml:space="preserve">informing approaches to countering hate speech and political violence under </w:t>
      </w:r>
      <w:r w:rsidRPr="00AD2A71">
        <w:rPr>
          <w:rFonts w:asciiTheme="majorHAnsi" w:hAnsiTheme="majorHAnsi" w:cstheme="majorHAnsi"/>
          <w:color w:val="000000" w:themeColor="text1"/>
          <w:sz w:val="22"/>
          <w:szCs w:val="22"/>
          <w:lang w:val="en-AU"/>
        </w:rPr>
        <w:t xml:space="preserve">the National action plan on prevention of violent extremism (RAN-PE), and </w:t>
      </w:r>
      <w:r w:rsidR="003D4D04">
        <w:rPr>
          <w:rFonts w:asciiTheme="majorHAnsi" w:hAnsiTheme="majorHAnsi" w:cstheme="majorHAnsi"/>
          <w:color w:val="000000" w:themeColor="text1"/>
          <w:sz w:val="22"/>
          <w:szCs w:val="22"/>
          <w:lang w:val="en-AU"/>
        </w:rPr>
        <w:t>evidence-based advocacy for a</w:t>
      </w:r>
      <w:r w:rsidRPr="00AD2A71">
        <w:rPr>
          <w:rFonts w:asciiTheme="majorHAnsi" w:hAnsiTheme="majorHAnsi" w:cstheme="majorHAnsi"/>
          <w:color w:val="000000" w:themeColor="text1"/>
          <w:sz w:val="22"/>
          <w:szCs w:val="22"/>
          <w:lang w:val="en-AU"/>
        </w:rPr>
        <w:t xml:space="preserve"> Presidential decree on the rehabilitation and reintegration of deportees and returnees.</w:t>
      </w:r>
      <w:r w:rsidR="008573F5">
        <w:rPr>
          <w:rFonts w:asciiTheme="majorHAnsi" w:hAnsiTheme="majorHAnsi" w:cstheme="majorHAnsi"/>
          <w:color w:val="000000" w:themeColor="text1"/>
          <w:sz w:val="22"/>
          <w:szCs w:val="22"/>
          <w:lang w:val="en-AU"/>
        </w:rPr>
        <w:t xml:space="preserve"> </w:t>
      </w:r>
      <w:r w:rsidRPr="00AD2A71">
        <w:rPr>
          <w:rFonts w:asciiTheme="majorHAnsi" w:hAnsiTheme="majorHAnsi" w:cstheme="majorHAnsi"/>
          <w:color w:val="000000" w:themeColor="text1"/>
          <w:sz w:val="22"/>
          <w:szCs w:val="22"/>
          <w:lang w:val="en-AU"/>
        </w:rPr>
        <w:t xml:space="preserve">Similarly, at the sub-national level, partners are </w:t>
      </w:r>
      <w:r w:rsidR="003D4D04">
        <w:rPr>
          <w:rFonts w:asciiTheme="majorHAnsi" w:hAnsiTheme="majorHAnsi" w:cstheme="majorHAnsi"/>
          <w:color w:val="000000" w:themeColor="text1"/>
          <w:sz w:val="22"/>
          <w:szCs w:val="22"/>
          <w:lang w:val="en-AU"/>
        </w:rPr>
        <w:t xml:space="preserve">helping </w:t>
      </w:r>
      <w:r w:rsidRPr="00AD2A71">
        <w:rPr>
          <w:rFonts w:asciiTheme="majorHAnsi" w:hAnsiTheme="majorHAnsi" w:cstheme="majorHAnsi"/>
          <w:color w:val="000000" w:themeColor="text1"/>
          <w:sz w:val="22"/>
          <w:szCs w:val="22"/>
          <w:lang w:val="en-AU"/>
        </w:rPr>
        <w:t xml:space="preserve">to develop prevention </w:t>
      </w:r>
      <w:r w:rsidR="00487658">
        <w:rPr>
          <w:rFonts w:asciiTheme="majorHAnsi" w:hAnsiTheme="majorHAnsi" w:cstheme="majorHAnsi"/>
          <w:color w:val="000000" w:themeColor="text1"/>
          <w:sz w:val="22"/>
          <w:szCs w:val="22"/>
          <w:lang w:val="en-AU"/>
        </w:rPr>
        <w:t xml:space="preserve">training </w:t>
      </w:r>
      <w:r w:rsidRPr="00AD2A71">
        <w:rPr>
          <w:rFonts w:asciiTheme="majorHAnsi" w:hAnsiTheme="majorHAnsi" w:cstheme="majorHAnsi"/>
          <w:color w:val="000000" w:themeColor="text1"/>
          <w:sz w:val="22"/>
          <w:szCs w:val="22"/>
          <w:lang w:val="en-AU"/>
        </w:rPr>
        <w:t>programs in schools and programs to promote community cohesion</w:t>
      </w:r>
      <w:r w:rsidR="00487658">
        <w:rPr>
          <w:rFonts w:asciiTheme="majorHAnsi" w:hAnsiTheme="majorHAnsi" w:cstheme="majorHAnsi"/>
          <w:color w:val="000000" w:themeColor="text1"/>
          <w:sz w:val="22"/>
          <w:szCs w:val="22"/>
          <w:lang w:val="en-AU"/>
        </w:rPr>
        <w:t xml:space="preserve"> in pilot districts</w:t>
      </w:r>
      <w:r w:rsidRPr="00AD2A71">
        <w:rPr>
          <w:rFonts w:asciiTheme="majorHAnsi" w:hAnsiTheme="majorHAnsi" w:cstheme="majorHAnsi"/>
          <w:color w:val="000000" w:themeColor="text1"/>
          <w:sz w:val="22"/>
          <w:szCs w:val="22"/>
          <w:lang w:val="en-AU"/>
        </w:rPr>
        <w:t>.</w:t>
      </w:r>
    </w:p>
    <w:p w14:paraId="520B570C" w14:textId="042EA4A5" w:rsidR="00D758A2" w:rsidRPr="00AD2A71" w:rsidRDefault="003F5685" w:rsidP="006B32D6">
      <w:pPr>
        <w:pStyle w:val="ListParagraph"/>
        <w:numPr>
          <w:ilvl w:val="0"/>
          <w:numId w:val="5"/>
        </w:numPr>
        <w:tabs>
          <w:tab w:val="left" w:pos="709"/>
        </w:tabs>
        <w:spacing w:line="274" w:lineRule="auto"/>
        <w:ind w:hanging="436"/>
        <w:contextualSpacing w:val="0"/>
        <w:rPr>
          <w:rFonts w:asciiTheme="majorHAnsi" w:hAnsiTheme="majorHAnsi" w:cstheme="majorHAnsi"/>
          <w:color w:val="000000" w:themeColor="text1"/>
          <w:sz w:val="22"/>
          <w:szCs w:val="22"/>
          <w:lang w:val="en-AU"/>
        </w:rPr>
      </w:pPr>
      <w:r>
        <w:rPr>
          <w:rFonts w:asciiTheme="majorHAnsi" w:hAnsiTheme="majorHAnsi" w:cstheme="majorHAnsi"/>
          <w:color w:val="000000" w:themeColor="text1"/>
          <w:sz w:val="22"/>
          <w:szCs w:val="22"/>
          <w:lang w:val="en-AU"/>
        </w:rPr>
        <w:t>U</w:t>
      </w:r>
      <w:r w:rsidR="00DF0F69" w:rsidRPr="00AD2A71">
        <w:rPr>
          <w:rFonts w:asciiTheme="majorHAnsi" w:hAnsiTheme="majorHAnsi" w:cstheme="majorHAnsi"/>
          <w:color w:val="000000" w:themeColor="text1"/>
          <w:sz w:val="22"/>
          <w:szCs w:val="22"/>
          <w:lang w:val="en-AU"/>
        </w:rPr>
        <w:t xml:space="preserve">nder pillar 2, </w:t>
      </w:r>
      <w:r w:rsidR="00D758A2" w:rsidRPr="00AD2A71">
        <w:rPr>
          <w:rFonts w:asciiTheme="majorHAnsi" w:hAnsiTheme="majorHAnsi" w:cstheme="majorHAnsi"/>
          <w:color w:val="000000" w:themeColor="text1"/>
          <w:sz w:val="22"/>
          <w:szCs w:val="22"/>
          <w:lang w:val="en-AU"/>
        </w:rPr>
        <w:t>Australian government agencies’ work with Indonesian government counterparts on security and transnational crime, while focused predominantly on capacity building (via training</w:t>
      </w:r>
      <w:r w:rsidR="007471DE">
        <w:rPr>
          <w:rFonts w:asciiTheme="majorHAnsi" w:hAnsiTheme="majorHAnsi" w:cstheme="majorHAnsi"/>
          <w:color w:val="000000" w:themeColor="text1"/>
          <w:sz w:val="22"/>
          <w:szCs w:val="22"/>
          <w:lang w:val="en-AU"/>
        </w:rPr>
        <w:t xml:space="preserve">, </w:t>
      </w:r>
      <w:r w:rsidR="00D758A2" w:rsidRPr="00AD2A71">
        <w:rPr>
          <w:rFonts w:asciiTheme="majorHAnsi" w:hAnsiTheme="majorHAnsi" w:cstheme="majorHAnsi"/>
          <w:color w:val="000000" w:themeColor="text1"/>
          <w:sz w:val="22"/>
          <w:szCs w:val="22"/>
          <w:lang w:val="en-AU"/>
        </w:rPr>
        <w:t>workshops</w:t>
      </w:r>
      <w:r w:rsidR="007471DE">
        <w:rPr>
          <w:rFonts w:asciiTheme="majorHAnsi" w:hAnsiTheme="majorHAnsi" w:cstheme="majorHAnsi"/>
          <w:color w:val="000000" w:themeColor="text1"/>
          <w:sz w:val="22"/>
          <w:szCs w:val="22"/>
          <w:lang w:val="en-AU"/>
        </w:rPr>
        <w:t>, information and staff exchanges, etc.</w:t>
      </w:r>
      <w:r w:rsidR="00D758A2" w:rsidRPr="00AD2A71">
        <w:rPr>
          <w:rFonts w:asciiTheme="majorHAnsi" w:hAnsiTheme="majorHAnsi" w:cstheme="majorHAnsi"/>
          <w:color w:val="000000" w:themeColor="text1"/>
          <w:sz w:val="22"/>
          <w:szCs w:val="22"/>
          <w:lang w:val="en-AU"/>
        </w:rPr>
        <w:t xml:space="preserve">) also </w:t>
      </w:r>
      <w:r w:rsidR="003B57ED">
        <w:rPr>
          <w:rFonts w:asciiTheme="majorHAnsi" w:hAnsiTheme="majorHAnsi" w:cstheme="majorHAnsi"/>
          <w:color w:val="000000" w:themeColor="text1"/>
          <w:sz w:val="22"/>
          <w:szCs w:val="22"/>
          <w:lang w:val="en-AU"/>
        </w:rPr>
        <w:t xml:space="preserve">involves technical advice to strengthen operational policies, such as </w:t>
      </w:r>
      <w:r w:rsidR="00D758A2" w:rsidRPr="00AD2A71">
        <w:rPr>
          <w:rFonts w:asciiTheme="majorHAnsi" w:hAnsiTheme="majorHAnsi" w:cstheme="majorHAnsi"/>
          <w:color w:val="000000" w:themeColor="text1"/>
          <w:sz w:val="22"/>
          <w:szCs w:val="22"/>
          <w:lang w:val="en-AU"/>
        </w:rPr>
        <w:t xml:space="preserve">regulatory reform (e.g. aviation security), </w:t>
      </w:r>
      <w:r w:rsidR="003B57ED" w:rsidRPr="00AD2A71">
        <w:rPr>
          <w:rFonts w:asciiTheme="majorHAnsi" w:hAnsiTheme="majorHAnsi" w:cstheme="majorHAnsi"/>
          <w:color w:val="000000" w:themeColor="text1"/>
          <w:sz w:val="22"/>
          <w:szCs w:val="22"/>
          <w:lang w:val="en-AU"/>
        </w:rPr>
        <w:t xml:space="preserve">organisational policy in the Prosecutor-General’s Office relating to the handling of counter-terrorism prosecutions </w:t>
      </w:r>
      <w:r w:rsidR="003B57ED">
        <w:rPr>
          <w:rFonts w:asciiTheme="majorHAnsi" w:hAnsiTheme="majorHAnsi" w:cstheme="majorHAnsi"/>
          <w:color w:val="000000" w:themeColor="text1"/>
          <w:sz w:val="22"/>
          <w:szCs w:val="22"/>
          <w:lang w:val="en-AU"/>
        </w:rPr>
        <w:t xml:space="preserve">and production of </w:t>
      </w:r>
      <w:r w:rsidR="00D758A2" w:rsidRPr="00AD2A71">
        <w:rPr>
          <w:rFonts w:asciiTheme="majorHAnsi" w:hAnsiTheme="majorHAnsi" w:cstheme="majorHAnsi"/>
          <w:color w:val="000000" w:themeColor="text1"/>
          <w:sz w:val="22"/>
          <w:szCs w:val="22"/>
          <w:lang w:val="en-AU"/>
        </w:rPr>
        <w:t>multi-agency guidelines for countering money laundering</w:t>
      </w:r>
      <w:r w:rsidR="003B57ED">
        <w:rPr>
          <w:rFonts w:asciiTheme="majorHAnsi" w:hAnsiTheme="majorHAnsi" w:cstheme="majorHAnsi"/>
          <w:color w:val="000000" w:themeColor="text1"/>
          <w:sz w:val="22"/>
          <w:szCs w:val="22"/>
          <w:lang w:val="en-AU"/>
        </w:rPr>
        <w:t>. For the latter, in addition to technical expertise, Attorney General’s Department appears to have played an important convening role, brin</w:t>
      </w:r>
      <w:r w:rsidR="00D23AC8">
        <w:rPr>
          <w:rFonts w:asciiTheme="majorHAnsi" w:hAnsiTheme="majorHAnsi" w:cstheme="majorHAnsi"/>
          <w:color w:val="000000" w:themeColor="text1"/>
          <w:sz w:val="22"/>
          <w:szCs w:val="22"/>
          <w:lang w:val="en-AU"/>
        </w:rPr>
        <w:t>ging representatives from different state bodies and civil society to</w:t>
      </w:r>
      <w:r w:rsidR="00B66A0F">
        <w:rPr>
          <w:rFonts w:asciiTheme="majorHAnsi" w:hAnsiTheme="majorHAnsi" w:cstheme="majorHAnsi"/>
          <w:color w:val="000000" w:themeColor="text1"/>
          <w:sz w:val="22"/>
          <w:szCs w:val="22"/>
          <w:lang w:val="en-AU"/>
        </w:rPr>
        <w:t>gether to</w:t>
      </w:r>
      <w:r w:rsidR="00D23AC8">
        <w:rPr>
          <w:rFonts w:asciiTheme="majorHAnsi" w:hAnsiTheme="majorHAnsi" w:cstheme="majorHAnsi"/>
          <w:color w:val="000000" w:themeColor="text1"/>
          <w:sz w:val="22"/>
          <w:szCs w:val="22"/>
          <w:lang w:val="en-AU"/>
        </w:rPr>
        <w:t xml:space="preserve"> develop the guidelines.   </w:t>
      </w:r>
      <w:r w:rsidR="00D758A2" w:rsidRPr="00AD2A71">
        <w:rPr>
          <w:rFonts w:asciiTheme="majorHAnsi" w:hAnsiTheme="majorHAnsi" w:cstheme="majorHAnsi"/>
          <w:color w:val="000000" w:themeColor="text1"/>
          <w:sz w:val="22"/>
          <w:szCs w:val="22"/>
          <w:lang w:val="en-AU"/>
        </w:rPr>
        <w:t>The assistance is underpinned by long-standing relationships between the respective organisations and seems quite successful in terms of relevance and delivery to Indonesian counterparts, with some interesting innovations in approach being applied.</w:t>
      </w:r>
      <w:r w:rsidR="00A16179">
        <w:rPr>
          <w:rFonts w:asciiTheme="majorHAnsi" w:hAnsiTheme="majorHAnsi" w:cstheme="majorHAnsi"/>
          <w:color w:val="000000" w:themeColor="text1"/>
          <w:sz w:val="22"/>
          <w:szCs w:val="22"/>
          <w:lang w:val="en-AU"/>
        </w:rPr>
        <w:t xml:space="preserve"> </w:t>
      </w:r>
    </w:p>
    <w:p w14:paraId="0DC2FA18" w14:textId="587F4894" w:rsidR="009F63F9" w:rsidRPr="00660706" w:rsidRDefault="00D758A2" w:rsidP="00D758A2">
      <w:pPr>
        <w:tabs>
          <w:tab w:val="left" w:pos="709"/>
        </w:tabs>
        <w:spacing w:line="274" w:lineRule="auto"/>
        <w:rPr>
          <w:rFonts w:ascii="Calibri Light" w:hAnsi="Calibri Light" w:cs="Calibri Light"/>
          <w:color w:val="000000" w:themeColor="text1"/>
          <w:sz w:val="22"/>
          <w:szCs w:val="22"/>
          <w:lang w:val="en-AU"/>
        </w:rPr>
      </w:pPr>
      <w:r w:rsidRPr="00660706">
        <w:rPr>
          <w:rFonts w:ascii="Calibri Light" w:hAnsi="Calibri Light" w:cs="Calibri Light"/>
          <w:color w:val="000000" w:themeColor="text1"/>
          <w:sz w:val="22"/>
          <w:szCs w:val="22"/>
          <w:lang w:val="en-AU"/>
        </w:rPr>
        <w:t>However, in both cases there is little information about the effectiveness of the support being provided</w:t>
      </w:r>
      <w:bookmarkStart w:id="4" w:name="_Hlk17305533"/>
      <w:r w:rsidR="00CA24CC">
        <w:rPr>
          <w:rFonts w:ascii="Calibri Light" w:hAnsi="Calibri Light" w:cs="Calibri Light"/>
          <w:color w:val="000000" w:themeColor="text1"/>
          <w:sz w:val="22"/>
          <w:szCs w:val="22"/>
          <w:lang w:val="en-AU"/>
        </w:rPr>
        <w:t>, or what is being learnt from the interventions</w:t>
      </w:r>
      <w:r w:rsidRPr="00660706">
        <w:rPr>
          <w:rFonts w:ascii="Calibri Light" w:hAnsi="Calibri Light" w:cs="Calibri Light"/>
          <w:color w:val="000000" w:themeColor="text1"/>
          <w:sz w:val="22"/>
          <w:szCs w:val="22"/>
          <w:lang w:val="en-AU"/>
        </w:rPr>
        <w:t xml:space="preserve">. </w:t>
      </w:r>
      <w:bookmarkEnd w:id="4"/>
    </w:p>
    <w:p w14:paraId="4D7B06BA" w14:textId="671DBADB" w:rsidR="00D758A2" w:rsidRPr="00660706" w:rsidRDefault="00C86666" w:rsidP="006B32D6">
      <w:pPr>
        <w:pStyle w:val="ListParagraph"/>
        <w:numPr>
          <w:ilvl w:val="2"/>
          <w:numId w:val="3"/>
        </w:numPr>
        <w:tabs>
          <w:tab w:val="left" w:pos="709"/>
        </w:tabs>
        <w:spacing w:line="274" w:lineRule="auto"/>
        <w:contextualSpacing w:val="0"/>
        <w:rPr>
          <w:rFonts w:ascii="Calibri Light" w:hAnsi="Calibri Light" w:cs="Calibri Light"/>
          <w:b/>
          <w:bCs/>
          <w:color w:val="000000" w:themeColor="text1"/>
          <w:sz w:val="22"/>
          <w:szCs w:val="22"/>
          <w:lang w:val="en-AU"/>
        </w:rPr>
      </w:pPr>
      <w:r w:rsidRPr="00660706">
        <w:rPr>
          <w:rFonts w:ascii="Calibri Light" w:hAnsi="Calibri Light" w:cs="Calibri Light"/>
          <w:color w:val="000000" w:themeColor="text1"/>
          <w:sz w:val="22"/>
          <w:szCs w:val="22"/>
          <w:lang w:val="en-AU"/>
        </w:rPr>
        <w:t>This</w:t>
      </w:r>
      <w:r w:rsidR="00D758A2" w:rsidRPr="00660706">
        <w:rPr>
          <w:rFonts w:ascii="Calibri Light" w:hAnsi="Calibri Light" w:cs="Calibri Light"/>
          <w:color w:val="000000" w:themeColor="text1"/>
          <w:sz w:val="22"/>
          <w:szCs w:val="22"/>
          <w:lang w:val="en-AU"/>
        </w:rPr>
        <w:t xml:space="preserve"> is explained </w:t>
      </w:r>
      <w:r w:rsidRPr="00660706">
        <w:rPr>
          <w:rFonts w:ascii="Calibri Light" w:hAnsi="Calibri Light" w:cs="Calibri Light"/>
          <w:color w:val="000000" w:themeColor="text1"/>
          <w:sz w:val="22"/>
          <w:szCs w:val="22"/>
          <w:lang w:val="en-AU"/>
        </w:rPr>
        <w:t xml:space="preserve">in part </w:t>
      </w:r>
      <w:r w:rsidR="00D758A2" w:rsidRPr="00660706">
        <w:rPr>
          <w:rFonts w:ascii="Calibri Light" w:hAnsi="Calibri Light" w:cs="Calibri Light"/>
          <w:color w:val="000000" w:themeColor="text1"/>
          <w:sz w:val="22"/>
          <w:szCs w:val="22"/>
          <w:lang w:val="en-AU"/>
        </w:rPr>
        <w:t>by the relative newness of AIPJ2’s work on preventing violent extremism.</w:t>
      </w:r>
      <w:r w:rsidR="008573F5">
        <w:rPr>
          <w:rFonts w:ascii="Calibri Light" w:hAnsi="Calibri Light" w:cs="Calibri Light"/>
          <w:color w:val="000000" w:themeColor="text1"/>
          <w:sz w:val="22"/>
          <w:szCs w:val="22"/>
          <w:lang w:val="en-AU"/>
        </w:rPr>
        <w:t xml:space="preserve"> </w:t>
      </w:r>
      <w:r w:rsidR="00660706">
        <w:rPr>
          <w:rFonts w:ascii="Calibri Light" w:hAnsi="Calibri Light" w:cs="Calibri Light"/>
          <w:color w:val="000000" w:themeColor="text1"/>
          <w:sz w:val="22"/>
          <w:szCs w:val="22"/>
          <w:lang w:val="en-AU"/>
        </w:rPr>
        <w:t>I</w:t>
      </w:r>
      <w:r w:rsidRPr="00660706">
        <w:rPr>
          <w:rFonts w:ascii="Calibri Light" w:hAnsi="Calibri Light" w:cs="Calibri Light"/>
          <w:color w:val="000000" w:themeColor="text1"/>
          <w:sz w:val="22"/>
          <w:szCs w:val="22"/>
          <w:lang w:val="en-AU"/>
        </w:rPr>
        <w:t xml:space="preserve">t also reflects </w:t>
      </w:r>
      <w:r w:rsidR="00D758A2" w:rsidRPr="00660706">
        <w:rPr>
          <w:rFonts w:ascii="Calibri Light" w:hAnsi="Calibri Light" w:cs="Calibri Light"/>
          <w:color w:val="000000" w:themeColor="text1"/>
          <w:sz w:val="22"/>
          <w:szCs w:val="22"/>
          <w:lang w:val="en-AU"/>
        </w:rPr>
        <w:t>the well-known challenge of measuring the effectiveness of preventive investments</w:t>
      </w:r>
      <w:r w:rsidRPr="00660706">
        <w:rPr>
          <w:rFonts w:ascii="Calibri Light" w:hAnsi="Calibri Light" w:cs="Calibri Light"/>
          <w:color w:val="000000" w:themeColor="text1"/>
          <w:sz w:val="22"/>
          <w:szCs w:val="22"/>
          <w:lang w:val="en-AU"/>
        </w:rPr>
        <w:t xml:space="preserve"> – </w:t>
      </w:r>
      <w:r w:rsidR="00660706">
        <w:rPr>
          <w:rFonts w:ascii="Calibri Light" w:hAnsi="Calibri Light" w:cs="Calibri Light"/>
          <w:color w:val="000000" w:themeColor="text1"/>
          <w:sz w:val="22"/>
          <w:szCs w:val="22"/>
          <w:lang w:val="en-AU"/>
        </w:rPr>
        <w:t>which</w:t>
      </w:r>
      <w:r w:rsidRPr="00660706">
        <w:rPr>
          <w:rFonts w:ascii="Calibri Light" w:hAnsi="Calibri Light" w:cs="Calibri Light"/>
          <w:color w:val="000000" w:themeColor="text1"/>
          <w:sz w:val="22"/>
          <w:szCs w:val="22"/>
          <w:lang w:val="en-AU"/>
        </w:rPr>
        <w:t xml:space="preserve"> in these cases</w:t>
      </w:r>
      <w:r w:rsidR="00D758A2" w:rsidRPr="00660706">
        <w:rPr>
          <w:rFonts w:ascii="Calibri Light" w:hAnsi="Calibri Light" w:cs="Calibri Light"/>
          <w:color w:val="000000" w:themeColor="text1"/>
          <w:sz w:val="22"/>
          <w:szCs w:val="22"/>
          <w:lang w:val="en-AU"/>
        </w:rPr>
        <w:t xml:space="preserve"> </w:t>
      </w:r>
      <w:r w:rsidR="00660706">
        <w:rPr>
          <w:rFonts w:ascii="Calibri Light" w:hAnsi="Calibri Light" w:cs="Calibri Light"/>
          <w:color w:val="000000" w:themeColor="text1"/>
          <w:sz w:val="22"/>
          <w:szCs w:val="22"/>
          <w:lang w:val="en-AU"/>
        </w:rPr>
        <w:t xml:space="preserve">are </w:t>
      </w:r>
      <w:r w:rsidR="00D758A2" w:rsidRPr="00660706">
        <w:rPr>
          <w:rFonts w:ascii="Calibri Light" w:hAnsi="Calibri Light" w:cs="Calibri Light"/>
          <w:color w:val="000000" w:themeColor="text1"/>
          <w:sz w:val="22"/>
          <w:szCs w:val="22"/>
          <w:lang w:val="en-AU"/>
        </w:rPr>
        <w:t>compounded by sensitivities (and in some cases risks) associated with assessment in the security field.</w:t>
      </w:r>
      <w:r w:rsidR="008573F5">
        <w:rPr>
          <w:rFonts w:ascii="Calibri Light" w:hAnsi="Calibri Light" w:cs="Calibri Light"/>
          <w:color w:val="000000" w:themeColor="text1"/>
          <w:sz w:val="22"/>
          <w:szCs w:val="22"/>
          <w:lang w:val="en-AU"/>
        </w:rPr>
        <w:t xml:space="preserve"> </w:t>
      </w:r>
      <w:r w:rsidR="00D758A2" w:rsidRPr="00660706">
        <w:rPr>
          <w:rFonts w:ascii="Calibri Light" w:hAnsi="Calibri Light" w:cs="Calibri Light"/>
          <w:color w:val="000000" w:themeColor="text1"/>
          <w:sz w:val="22"/>
          <w:szCs w:val="22"/>
          <w:lang w:val="en-AU"/>
        </w:rPr>
        <w:t xml:space="preserve">However, it also appears to be a function of AIPJ2’s ‘hands-off’ approach to monitoring and evaluation for this work. </w:t>
      </w:r>
    </w:p>
    <w:p w14:paraId="03BDEF6E" w14:textId="59504258" w:rsidR="00D758A2" w:rsidRPr="00660706" w:rsidRDefault="00323272" w:rsidP="006B32D6">
      <w:pPr>
        <w:pStyle w:val="ListParagraph"/>
        <w:numPr>
          <w:ilvl w:val="2"/>
          <w:numId w:val="3"/>
        </w:numPr>
        <w:tabs>
          <w:tab w:val="left" w:pos="709"/>
        </w:tabs>
        <w:spacing w:line="274" w:lineRule="auto"/>
        <w:contextualSpacing w:val="0"/>
        <w:rPr>
          <w:rFonts w:ascii="Calibri Light" w:hAnsi="Calibri Light" w:cs="Calibri Light"/>
          <w:b/>
          <w:bCs/>
          <w:color w:val="000000" w:themeColor="text1"/>
          <w:sz w:val="22"/>
          <w:szCs w:val="22"/>
          <w:lang w:val="en-AU"/>
        </w:rPr>
      </w:pPr>
      <w:r>
        <w:rPr>
          <w:rFonts w:ascii="Calibri Light" w:hAnsi="Calibri Light" w:cs="Calibri Light"/>
          <w:color w:val="000000" w:themeColor="text1"/>
          <w:sz w:val="22"/>
          <w:szCs w:val="22"/>
          <w:lang w:val="en-AU"/>
        </w:rPr>
        <w:t xml:space="preserve">Integrating </w:t>
      </w:r>
      <w:r w:rsidRPr="00323272">
        <w:rPr>
          <w:rFonts w:ascii="Calibri Light" w:hAnsi="Calibri Light" w:cs="Calibri Light"/>
          <w:color w:val="000000" w:themeColor="text1"/>
          <w:sz w:val="22"/>
          <w:szCs w:val="22"/>
          <w:lang w:val="en-AU"/>
        </w:rPr>
        <w:t>Australia</w:t>
      </w:r>
      <w:r>
        <w:rPr>
          <w:rFonts w:ascii="Calibri Light" w:hAnsi="Calibri Light" w:cs="Calibri Light"/>
          <w:color w:val="000000" w:themeColor="text1"/>
          <w:sz w:val="22"/>
          <w:szCs w:val="22"/>
          <w:lang w:val="en-AU"/>
        </w:rPr>
        <w:t>n</w:t>
      </w:r>
      <w:r w:rsidRPr="00323272">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 xml:space="preserve">government agencies </w:t>
      </w:r>
      <w:r w:rsidRPr="00323272">
        <w:rPr>
          <w:rFonts w:ascii="Calibri Light" w:hAnsi="Calibri Light" w:cs="Calibri Light"/>
          <w:color w:val="000000" w:themeColor="text1"/>
          <w:sz w:val="22"/>
          <w:szCs w:val="22"/>
          <w:lang w:val="en-AU"/>
        </w:rPr>
        <w:t xml:space="preserve">into </w:t>
      </w:r>
      <w:r>
        <w:rPr>
          <w:rFonts w:ascii="Calibri Light" w:hAnsi="Calibri Light" w:cs="Calibri Light"/>
          <w:color w:val="000000" w:themeColor="text1"/>
          <w:sz w:val="22"/>
          <w:szCs w:val="22"/>
          <w:lang w:val="en-AU"/>
        </w:rPr>
        <w:t>AIPJ2 has involved</w:t>
      </w:r>
      <w:r w:rsidRPr="00323272">
        <w:rPr>
          <w:rFonts w:ascii="Calibri Light" w:hAnsi="Calibri Light" w:cs="Calibri Light"/>
          <w:color w:val="000000" w:themeColor="text1"/>
          <w:sz w:val="22"/>
          <w:szCs w:val="22"/>
          <w:lang w:val="en-AU"/>
        </w:rPr>
        <w:t xml:space="preserve"> new way</w:t>
      </w:r>
      <w:r>
        <w:rPr>
          <w:rFonts w:ascii="Calibri Light" w:hAnsi="Calibri Light" w:cs="Calibri Light"/>
          <w:color w:val="000000" w:themeColor="text1"/>
          <w:sz w:val="22"/>
          <w:szCs w:val="22"/>
          <w:lang w:val="en-AU"/>
        </w:rPr>
        <w:t>s</w:t>
      </w:r>
      <w:r w:rsidRPr="00323272">
        <w:rPr>
          <w:rFonts w:ascii="Calibri Light" w:hAnsi="Calibri Light" w:cs="Calibri Light"/>
          <w:color w:val="000000" w:themeColor="text1"/>
          <w:sz w:val="22"/>
          <w:szCs w:val="22"/>
          <w:lang w:val="en-AU"/>
        </w:rPr>
        <w:t xml:space="preserve"> of working</w:t>
      </w:r>
      <w:r>
        <w:rPr>
          <w:rFonts w:ascii="Calibri Light" w:hAnsi="Calibri Light" w:cs="Calibri Light"/>
          <w:color w:val="000000" w:themeColor="text1"/>
          <w:sz w:val="22"/>
          <w:szCs w:val="22"/>
          <w:lang w:val="en-AU"/>
        </w:rPr>
        <w:t xml:space="preserve"> for those agencies and to some extent they are </w:t>
      </w:r>
      <w:r w:rsidRPr="00323272">
        <w:rPr>
          <w:rFonts w:ascii="Calibri Light" w:hAnsi="Calibri Light" w:cs="Calibri Light"/>
          <w:color w:val="000000" w:themeColor="text1"/>
          <w:sz w:val="22"/>
          <w:szCs w:val="22"/>
          <w:lang w:val="en-AU"/>
        </w:rPr>
        <w:t xml:space="preserve">still adjusting reporting structures and systems to </w:t>
      </w:r>
      <w:r>
        <w:rPr>
          <w:rFonts w:ascii="Calibri Light" w:hAnsi="Calibri Light" w:cs="Calibri Light"/>
          <w:color w:val="000000" w:themeColor="text1"/>
          <w:sz w:val="22"/>
          <w:szCs w:val="22"/>
          <w:lang w:val="en-AU"/>
        </w:rPr>
        <w:t xml:space="preserve">meet the requirements of </w:t>
      </w:r>
      <w:r w:rsidRPr="00323272">
        <w:rPr>
          <w:rFonts w:ascii="Calibri Light" w:hAnsi="Calibri Light" w:cs="Calibri Light"/>
          <w:color w:val="000000" w:themeColor="text1"/>
          <w:sz w:val="22"/>
          <w:szCs w:val="22"/>
          <w:lang w:val="en-AU"/>
        </w:rPr>
        <w:t>development cooperation</w:t>
      </w:r>
      <w:r>
        <w:rPr>
          <w:rFonts w:ascii="Calibri Light" w:hAnsi="Calibri Light" w:cs="Calibri Light"/>
          <w:color w:val="000000" w:themeColor="text1"/>
          <w:sz w:val="22"/>
          <w:szCs w:val="22"/>
          <w:lang w:val="en-AU"/>
        </w:rPr>
        <w:t xml:space="preserve"> assistance</w:t>
      </w:r>
      <w:r w:rsidRPr="00323272">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 xml:space="preserve"> </w:t>
      </w:r>
      <w:r w:rsidRPr="00323272">
        <w:rPr>
          <w:rFonts w:ascii="Calibri Light" w:hAnsi="Calibri Light" w:cs="Calibri Light"/>
          <w:color w:val="000000" w:themeColor="text1"/>
          <w:sz w:val="22"/>
          <w:szCs w:val="22"/>
          <w:lang w:val="en-AU"/>
        </w:rPr>
        <w:t xml:space="preserve">AIPJ2 and DFAT </w:t>
      </w:r>
      <w:r w:rsidR="00D758A2" w:rsidRPr="00660706">
        <w:rPr>
          <w:rFonts w:ascii="Calibri Light" w:hAnsi="Calibri Light" w:cs="Calibri Light"/>
          <w:color w:val="000000" w:themeColor="text1"/>
          <w:sz w:val="22"/>
          <w:szCs w:val="22"/>
          <w:lang w:val="en-AU"/>
        </w:rPr>
        <w:t xml:space="preserve">has developed a generic template for six-monthly progress reporting by Australian government agencies, structured around AIPJ2’s intermediate outcomes (knowledge, partnerships, systems strengthening and understanding </w:t>
      </w:r>
      <w:r w:rsidR="00660706">
        <w:rPr>
          <w:rFonts w:ascii="Calibri Light" w:hAnsi="Calibri Light" w:cs="Calibri Light"/>
          <w:color w:val="000000" w:themeColor="text1"/>
          <w:sz w:val="22"/>
          <w:szCs w:val="22"/>
          <w:lang w:val="en-AU"/>
        </w:rPr>
        <w:t>about</w:t>
      </w:r>
      <w:r w:rsidR="00D758A2" w:rsidRPr="00660706">
        <w:rPr>
          <w:rFonts w:ascii="Calibri Light" w:hAnsi="Calibri Light" w:cs="Calibri Light"/>
          <w:color w:val="000000" w:themeColor="text1"/>
          <w:sz w:val="22"/>
          <w:szCs w:val="22"/>
          <w:lang w:val="en-AU"/>
        </w:rPr>
        <w:t xml:space="preserve"> promot</w:t>
      </w:r>
      <w:r w:rsidR="00660706">
        <w:rPr>
          <w:rFonts w:ascii="Calibri Light" w:hAnsi="Calibri Light" w:cs="Calibri Light"/>
          <w:color w:val="000000" w:themeColor="text1"/>
          <w:sz w:val="22"/>
          <w:szCs w:val="22"/>
          <w:lang w:val="en-AU"/>
        </w:rPr>
        <w:t xml:space="preserve">ion </w:t>
      </w:r>
      <w:r w:rsidR="00D758A2" w:rsidRPr="00660706">
        <w:rPr>
          <w:rFonts w:ascii="Calibri Light" w:hAnsi="Calibri Light" w:cs="Calibri Light"/>
          <w:color w:val="000000" w:themeColor="text1"/>
          <w:sz w:val="22"/>
          <w:szCs w:val="22"/>
          <w:lang w:val="en-AU"/>
        </w:rPr>
        <w:t>and protect</w:t>
      </w:r>
      <w:r w:rsidR="00660706">
        <w:rPr>
          <w:rFonts w:ascii="Calibri Light" w:hAnsi="Calibri Light" w:cs="Calibri Light"/>
          <w:color w:val="000000" w:themeColor="text1"/>
          <w:sz w:val="22"/>
          <w:szCs w:val="22"/>
          <w:lang w:val="en-AU"/>
        </w:rPr>
        <w:t>ion of</w:t>
      </w:r>
      <w:r w:rsidR="00D758A2" w:rsidRPr="00660706">
        <w:rPr>
          <w:rFonts w:ascii="Calibri Light" w:hAnsi="Calibri Light" w:cs="Calibri Light"/>
          <w:color w:val="000000" w:themeColor="text1"/>
          <w:sz w:val="22"/>
          <w:szCs w:val="22"/>
          <w:lang w:val="en-AU"/>
        </w:rPr>
        <w:t xml:space="preserve"> women’s and people with disability’s rights). It is questionable whether this tool is best-suited to drawing out reflections on effectiveness by Australian agencies. The design contrasts with the format developed by </w:t>
      </w:r>
      <w:r w:rsidR="00660706">
        <w:rPr>
          <w:rFonts w:ascii="Calibri Light" w:hAnsi="Calibri Light" w:cs="Calibri Light"/>
          <w:color w:val="000000" w:themeColor="text1"/>
          <w:sz w:val="22"/>
          <w:szCs w:val="22"/>
          <w:lang w:val="en-AU"/>
        </w:rPr>
        <w:t xml:space="preserve">another Australian facility </w:t>
      </w:r>
      <w:r w:rsidR="00CB68BF">
        <w:rPr>
          <w:rFonts w:ascii="Calibri Light" w:hAnsi="Calibri Light" w:cs="Calibri Light"/>
          <w:color w:val="000000" w:themeColor="text1"/>
          <w:sz w:val="22"/>
          <w:szCs w:val="22"/>
          <w:lang w:val="en-AU"/>
        </w:rPr>
        <w:t>–</w:t>
      </w:r>
      <w:r w:rsidR="00660706">
        <w:rPr>
          <w:rFonts w:ascii="Calibri Light" w:hAnsi="Calibri Light" w:cs="Calibri Light"/>
          <w:color w:val="000000" w:themeColor="text1"/>
          <w:sz w:val="22"/>
          <w:szCs w:val="22"/>
          <w:lang w:val="en-AU"/>
        </w:rPr>
        <w:t xml:space="preserve"> PROSPER</w:t>
      </w:r>
      <w:r w:rsidR="00CB68BF">
        <w:rPr>
          <w:rFonts w:ascii="Calibri Light" w:hAnsi="Calibri Light" w:cs="Calibri Light"/>
          <w:color w:val="000000" w:themeColor="text1"/>
          <w:sz w:val="22"/>
          <w:szCs w:val="22"/>
          <w:lang w:val="en-AU"/>
        </w:rPr>
        <w:t xml:space="preserve">A – which </w:t>
      </w:r>
      <w:r w:rsidR="00D758A2" w:rsidRPr="00660706">
        <w:rPr>
          <w:rFonts w:ascii="Calibri Light" w:hAnsi="Calibri Light" w:cs="Calibri Light"/>
          <w:color w:val="000000" w:themeColor="text1"/>
          <w:sz w:val="22"/>
          <w:szCs w:val="22"/>
          <w:lang w:val="en-AU"/>
        </w:rPr>
        <w:t xml:space="preserve">is still straightforward but tailored to the specific objectives/outcomes of the </w:t>
      </w:r>
      <w:r w:rsidR="00CB68BF">
        <w:rPr>
          <w:rFonts w:ascii="Calibri Light" w:hAnsi="Calibri Light" w:cs="Calibri Light"/>
          <w:color w:val="000000" w:themeColor="text1"/>
          <w:sz w:val="22"/>
          <w:szCs w:val="22"/>
          <w:lang w:val="en-AU"/>
        </w:rPr>
        <w:t xml:space="preserve">agency’s </w:t>
      </w:r>
      <w:r w:rsidR="00D758A2" w:rsidRPr="00660706">
        <w:rPr>
          <w:rFonts w:ascii="Calibri Light" w:hAnsi="Calibri Light" w:cs="Calibri Light"/>
          <w:color w:val="000000" w:themeColor="text1"/>
          <w:sz w:val="22"/>
          <w:szCs w:val="22"/>
          <w:lang w:val="en-AU"/>
        </w:rPr>
        <w:t>engagement and includes agreed measures and data collection responsibilities.</w:t>
      </w:r>
    </w:p>
    <w:p w14:paraId="28970AFB" w14:textId="79DDCDAE" w:rsidR="00D758A2" w:rsidRPr="006470E5" w:rsidRDefault="00D758A2" w:rsidP="006B32D6">
      <w:pPr>
        <w:pStyle w:val="ListParagraph"/>
        <w:numPr>
          <w:ilvl w:val="2"/>
          <w:numId w:val="3"/>
        </w:numPr>
        <w:tabs>
          <w:tab w:val="left" w:pos="709"/>
        </w:tabs>
        <w:spacing w:line="274" w:lineRule="auto"/>
        <w:contextualSpacing w:val="0"/>
        <w:rPr>
          <w:rFonts w:ascii="Calibri Light" w:hAnsi="Calibri Light" w:cs="Calibri Light"/>
          <w:b/>
          <w:bCs/>
          <w:color w:val="000000" w:themeColor="text1"/>
          <w:sz w:val="22"/>
          <w:szCs w:val="22"/>
          <w:lang w:val="en-AU"/>
        </w:rPr>
      </w:pPr>
      <w:r w:rsidRPr="006470E5">
        <w:rPr>
          <w:rFonts w:ascii="Calibri Light" w:hAnsi="Calibri Light" w:cs="Calibri Light"/>
          <w:color w:val="000000" w:themeColor="text1"/>
          <w:sz w:val="22"/>
          <w:szCs w:val="22"/>
          <w:lang w:val="en-AU"/>
        </w:rPr>
        <w:t>In the case of assistance for preventing violent extremism, AIPJ2 partners do, in varying ways, assess their work regularly.</w:t>
      </w:r>
      <w:r w:rsidR="008573F5">
        <w:rPr>
          <w:rFonts w:ascii="Calibri Light" w:hAnsi="Calibri Light" w:cs="Calibri Light"/>
          <w:color w:val="000000" w:themeColor="text1"/>
          <w:sz w:val="22"/>
          <w:szCs w:val="22"/>
          <w:lang w:val="en-AU"/>
        </w:rPr>
        <w:t xml:space="preserve"> </w:t>
      </w:r>
      <w:r w:rsidRPr="006470E5">
        <w:rPr>
          <w:rFonts w:ascii="Calibri Light" w:hAnsi="Calibri Light" w:cs="Calibri Light"/>
          <w:color w:val="000000" w:themeColor="text1"/>
          <w:sz w:val="22"/>
          <w:szCs w:val="22"/>
          <w:lang w:val="en-AU"/>
        </w:rPr>
        <w:t>And this has been usefully facilitated by AIPJ2’s initiation of quarterly reflection exercises by partners.</w:t>
      </w:r>
      <w:r w:rsidR="008573F5">
        <w:rPr>
          <w:rFonts w:ascii="Calibri Light" w:hAnsi="Calibri Light" w:cs="Calibri Light"/>
          <w:color w:val="000000" w:themeColor="text1"/>
          <w:sz w:val="22"/>
          <w:szCs w:val="22"/>
          <w:lang w:val="en-AU"/>
        </w:rPr>
        <w:t xml:space="preserve"> </w:t>
      </w:r>
      <w:r w:rsidRPr="006470E5">
        <w:rPr>
          <w:rFonts w:ascii="Calibri Light" w:hAnsi="Calibri Light" w:cs="Calibri Light"/>
          <w:color w:val="000000" w:themeColor="text1"/>
          <w:sz w:val="22"/>
          <w:szCs w:val="22"/>
          <w:lang w:val="en-AU"/>
        </w:rPr>
        <w:t xml:space="preserve">However, AIPJ2 itself </w:t>
      </w:r>
      <w:r w:rsidR="00CA24CC">
        <w:rPr>
          <w:rFonts w:ascii="Calibri Light" w:hAnsi="Calibri Light" w:cs="Calibri Light"/>
          <w:color w:val="000000" w:themeColor="text1"/>
          <w:sz w:val="22"/>
          <w:szCs w:val="22"/>
          <w:lang w:val="en-AU"/>
        </w:rPr>
        <w:t>appears less interested in</w:t>
      </w:r>
      <w:r w:rsidRPr="006470E5">
        <w:rPr>
          <w:rFonts w:ascii="Calibri Light" w:hAnsi="Calibri Light" w:cs="Calibri Light"/>
          <w:color w:val="000000" w:themeColor="text1"/>
          <w:sz w:val="22"/>
          <w:szCs w:val="22"/>
          <w:lang w:val="en-AU"/>
        </w:rPr>
        <w:t xml:space="preserve">  </w:t>
      </w:r>
      <w:r w:rsidR="00771F58">
        <w:rPr>
          <w:rFonts w:ascii="Calibri Light" w:hAnsi="Calibri Light" w:cs="Calibri Light"/>
          <w:color w:val="000000" w:themeColor="text1"/>
          <w:sz w:val="22"/>
          <w:szCs w:val="22"/>
          <w:lang w:val="en-AU"/>
        </w:rPr>
        <w:t xml:space="preserve">the </w:t>
      </w:r>
      <w:r w:rsidRPr="006470E5">
        <w:rPr>
          <w:rFonts w:ascii="Calibri Light" w:hAnsi="Calibri Light" w:cs="Calibri Light"/>
          <w:color w:val="000000" w:themeColor="text1"/>
          <w:sz w:val="22"/>
          <w:szCs w:val="22"/>
          <w:lang w:val="en-AU"/>
        </w:rPr>
        <w:t xml:space="preserve">approaches and methods </w:t>
      </w:r>
      <w:r w:rsidR="00771F58">
        <w:rPr>
          <w:rFonts w:ascii="Calibri Light" w:hAnsi="Calibri Light" w:cs="Calibri Light"/>
          <w:color w:val="000000" w:themeColor="text1"/>
          <w:sz w:val="22"/>
          <w:szCs w:val="22"/>
          <w:lang w:val="en-AU"/>
        </w:rPr>
        <w:t xml:space="preserve">partners use </w:t>
      </w:r>
      <w:r w:rsidRPr="006470E5">
        <w:rPr>
          <w:rFonts w:ascii="Calibri Light" w:hAnsi="Calibri Light" w:cs="Calibri Light"/>
          <w:color w:val="000000" w:themeColor="text1"/>
          <w:sz w:val="22"/>
          <w:szCs w:val="22"/>
          <w:lang w:val="en-AU"/>
        </w:rPr>
        <w:t>and undertakes limited aggregate analysis of the reports provided – focusing mainly on implementation progress (and managing risk of fraud). Normally, a program’s strategy provides a framework for such aggregate assessment and reflection but in the case of AIPJ2’s work on preventing violent extremism, the strategy is quite under-developed (a point picked up again in the next section).</w:t>
      </w:r>
      <w:r w:rsidR="00A16179">
        <w:rPr>
          <w:rFonts w:ascii="Calibri Light" w:hAnsi="Calibri Light" w:cs="Calibri Light"/>
          <w:color w:val="000000" w:themeColor="text1"/>
          <w:sz w:val="22"/>
          <w:szCs w:val="22"/>
          <w:lang w:val="en-AU"/>
        </w:rPr>
        <w:t xml:space="preserve"> </w:t>
      </w:r>
    </w:p>
    <w:p w14:paraId="6B0F8893" w14:textId="7565EBFE" w:rsidR="00535A33" w:rsidRDefault="00535A33" w:rsidP="006B32D6">
      <w:pPr>
        <w:pStyle w:val="ListParagraph"/>
        <w:numPr>
          <w:ilvl w:val="2"/>
          <w:numId w:val="3"/>
        </w:numPr>
        <w:tabs>
          <w:tab w:val="left" w:pos="709"/>
        </w:tabs>
        <w:spacing w:line="274" w:lineRule="auto"/>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This light-touch approach entails some risk.</w:t>
      </w:r>
      <w:r w:rsidR="008573F5">
        <w:rPr>
          <w:rFonts w:ascii="Calibri Light" w:hAnsi="Calibri Light" w:cs="Calibri Light"/>
          <w:color w:val="000000" w:themeColor="text1"/>
          <w:sz w:val="22"/>
          <w:szCs w:val="22"/>
          <w:lang w:val="en-AU"/>
        </w:rPr>
        <w:t xml:space="preserve"> </w:t>
      </w:r>
      <w:r w:rsidR="006470E5">
        <w:rPr>
          <w:rFonts w:ascii="Calibri Light" w:hAnsi="Calibri Light" w:cs="Calibri Light"/>
          <w:color w:val="000000" w:themeColor="text1"/>
          <w:sz w:val="22"/>
          <w:szCs w:val="22"/>
          <w:lang w:val="en-AU"/>
        </w:rPr>
        <w:t xml:space="preserve">Success of activities </w:t>
      </w:r>
      <w:r w:rsidR="00CA24CC">
        <w:rPr>
          <w:rFonts w:ascii="Calibri Light" w:hAnsi="Calibri Light" w:cs="Calibri Light"/>
          <w:color w:val="000000" w:themeColor="text1"/>
          <w:sz w:val="22"/>
          <w:szCs w:val="22"/>
          <w:lang w:val="en-AU"/>
        </w:rPr>
        <w:t>under</w:t>
      </w:r>
      <w:r w:rsidR="006470E5">
        <w:rPr>
          <w:rFonts w:ascii="Calibri Light" w:hAnsi="Calibri Light" w:cs="Calibri Light"/>
          <w:color w:val="000000" w:themeColor="text1"/>
          <w:sz w:val="22"/>
          <w:szCs w:val="22"/>
          <w:lang w:val="en-AU"/>
        </w:rPr>
        <w:t xml:space="preserve"> either </w:t>
      </w:r>
      <w:r w:rsidR="00CA24CC">
        <w:rPr>
          <w:rFonts w:ascii="Calibri Light" w:hAnsi="Calibri Light" w:cs="Calibri Light"/>
          <w:color w:val="000000" w:themeColor="text1"/>
          <w:sz w:val="22"/>
          <w:szCs w:val="22"/>
          <w:lang w:val="en-AU"/>
        </w:rPr>
        <w:t xml:space="preserve">pillar </w:t>
      </w:r>
      <w:r w:rsidR="006470E5">
        <w:rPr>
          <w:rFonts w:ascii="Calibri Light" w:hAnsi="Calibri Light" w:cs="Calibri Light"/>
          <w:color w:val="000000" w:themeColor="text1"/>
          <w:sz w:val="22"/>
          <w:szCs w:val="22"/>
          <w:lang w:val="en-AU"/>
        </w:rPr>
        <w:t>is not assured.</w:t>
      </w:r>
      <w:r w:rsidR="008573F5">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 xml:space="preserve">Preventing violent extremism is an area of assistance that has grown internationally but </w:t>
      </w:r>
      <w:r w:rsidR="000C21F1">
        <w:rPr>
          <w:rFonts w:ascii="Calibri Light" w:hAnsi="Calibri Light" w:cs="Calibri Light"/>
          <w:color w:val="000000" w:themeColor="text1"/>
          <w:sz w:val="22"/>
          <w:szCs w:val="22"/>
          <w:lang w:val="en-AU"/>
        </w:rPr>
        <w:t>without an accompanying increase in understanding about what works.</w:t>
      </w:r>
      <w:r w:rsidR="008573F5">
        <w:rPr>
          <w:rFonts w:ascii="Calibri Light" w:hAnsi="Calibri Light" w:cs="Calibri Light"/>
          <w:color w:val="000000" w:themeColor="text1"/>
          <w:sz w:val="22"/>
          <w:szCs w:val="22"/>
          <w:lang w:val="en-AU"/>
        </w:rPr>
        <w:t xml:space="preserve"> </w:t>
      </w:r>
      <w:r w:rsidR="000C21F1">
        <w:rPr>
          <w:rFonts w:ascii="Calibri Light" w:hAnsi="Calibri Light" w:cs="Calibri Light"/>
          <w:color w:val="000000" w:themeColor="text1"/>
          <w:sz w:val="22"/>
          <w:szCs w:val="22"/>
          <w:lang w:val="en-AU"/>
        </w:rPr>
        <w:t xml:space="preserve">Similarly, notwithstanding positive approaches and relationships established between Australian Government agencies and Indonesian counterpart bodies, the effectiveness of development programs </w:t>
      </w:r>
      <w:r w:rsidR="006470E5">
        <w:rPr>
          <w:rFonts w:ascii="Calibri Light" w:hAnsi="Calibri Light" w:cs="Calibri Light"/>
          <w:color w:val="000000" w:themeColor="text1"/>
          <w:sz w:val="22"/>
          <w:szCs w:val="22"/>
          <w:lang w:val="en-AU"/>
        </w:rPr>
        <w:t>based on</w:t>
      </w:r>
      <w:r w:rsidR="000C21F1">
        <w:rPr>
          <w:rFonts w:ascii="Calibri Light" w:hAnsi="Calibri Light" w:cs="Calibri Light"/>
          <w:color w:val="000000" w:themeColor="text1"/>
          <w:sz w:val="22"/>
          <w:szCs w:val="22"/>
          <w:lang w:val="en-AU"/>
        </w:rPr>
        <w:t xml:space="preserve"> organisational capacity building has historically been patchy at best.</w:t>
      </w:r>
      <w:r w:rsidR="00A16179">
        <w:rPr>
          <w:rFonts w:ascii="Calibri Light" w:hAnsi="Calibri Light" w:cs="Calibri Light"/>
          <w:color w:val="000000" w:themeColor="text1"/>
          <w:sz w:val="22"/>
          <w:szCs w:val="22"/>
          <w:lang w:val="en-AU"/>
        </w:rPr>
        <w:t xml:space="preserve"> </w:t>
      </w:r>
      <w:r w:rsidR="00CA24CC">
        <w:rPr>
          <w:rFonts w:ascii="Calibri Light" w:hAnsi="Calibri Light" w:cs="Calibri Light"/>
          <w:color w:val="000000" w:themeColor="text1"/>
          <w:sz w:val="22"/>
          <w:szCs w:val="22"/>
          <w:lang w:val="en-AU"/>
        </w:rPr>
        <w:t xml:space="preserve">For this reason, investment in monitoring, evaluation and learning is particularly important. </w:t>
      </w:r>
      <w:r w:rsidR="000C21F1">
        <w:rPr>
          <w:rFonts w:ascii="Calibri Light" w:hAnsi="Calibri Light" w:cs="Calibri Light"/>
          <w:color w:val="000000" w:themeColor="text1"/>
          <w:sz w:val="22"/>
          <w:szCs w:val="22"/>
          <w:lang w:val="en-AU"/>
        </w:rPr>
        <w:t xml:space="preserve"> </w:t>
      </w:r>
    </w:p>
    <w:p w14:paraId="458D059E" w14:textId="74DD26FB" w:rsidR="00D758A2" w:rsidRPr="006470E5" w:rsidRDefault="00BC5F03" w:rsidP="006B32D6">
      <w:pPr>
        <w:pStyle w:val="ListParagraph"/>
        <w:numPr>
          <w:ilvl w:val="2"/>
          <w:numId w:val="3"/>
        </w:numPr>
        <w:tabs>
          <w:tab w:val="left" w:pos="709"/>
        </w:tabs>
        <w:spacing w:line="274" w:lineRule="auto"/>
        <w:contextualSpacing w:val="0"/>
        <w:rPr>
          <w:rFonts w:ascii="Calibri Light" w:hAnsi="Calibri Light" w:cs="Calibri Light"/>
          <w:color w:val="000000" w:themeColor="text1"/>
          <w:sz w:val="22"/>
          <w:szCs w:val="22"/>
          <w:lang w:val="en-AU"/>
        </w:rPr>
      </w:pPr>
      <w:r w:rsidRPr="006470E5">
        <w:rPr>
          <w:rFonts w:ascii="Calibri Light" w:hAnsi="Calibri Light" w:cs="Calibri Light"/>
          <w:color w:val="000000" w:themeColor="text1"/>
          <w:sz w:val="22"/>
          <w:szCs w:val="22"/>
          <w:lang w:val="en-AU"/>
        </w:rPr>
        <w:t xml:space="preserve">Under pillars 2 and 3, </w:t>
      </w:r>
      <w:r w:rsidR="00D758A2" w:rsidRPr="006470E5">
        <w:rPr>
          <w:rFonts w:ascii="Calibri Light" w:hAnsi="Calibri Light" w:cs="Calibri Light"/>
          <w:color w:val="000000" w:themeColor="text1"/>
          <w:sz w:val="22"/>
          <w:szCs w:val="22"/>
          <w:lang w:val="en-AU"/>
        </w:rPr>
        <w:t xml:space="preserve">AIPJ2 currently covers funding agreements with </w:t>
      </w:r>
      <w:r w:rsidR="002C641E">
        <w:rPr>
          <w:rFonts w:ascii="Calibri Light" w:hAnsi="Calibri Light" w:cs="Calibri Light"/>
          <w:color w:val="000000" w:themeColor="text1"/>
          <w:sz w:val="22"/>
          <w:szCs w:val="22"/>
          <w:lang w:val="en-AU"/>
        </w:rPr>
        <w:t>nine</w:t>
      </w:r>
      <w:r w:rsidR="002C641E" w:rsidRPr="006470E5">
        <w:rPr>
          <w:rFonts w:ascii="Calibri Light" w:hAnsi="Calibri Light" w:cs="Calibri Light"/>
          <w:color w:val="000000" w:themeColor="text1"/>
          <w:sz w:val="22"/>
          <w:szCs w:val="22"/>
          <w:lang w:val="en-AU"/>
        </w:rPr>
        <w:t xml:space="preserve"> </w:t>
      </w:r>
      <w:r w:rsidR="00D758A2" w:rsidRPr="006470E5">
        <w:rPr>
          <w:rFonts w:ascii="Calibri Light" w:hAnsi="Calibri Light" w:cs="Calibri Light"/>
          <w:color w:val="000000" w:themeColor="text1"/>
          <w:sz w:val="22"/>
          <w:szCs w:val="22"/>
          <w:lang w:val="en-AU"/>
        </w:rPr>
        <w:t>civil society organisations and partnering activities by ten Australian government agencies/units – in the main from the Home Affairs portfolio</w:t>
      </w:r>
      <w:r w:rsidR="00D758A2" w:rsidRPr="006470E5">
        <w:rPr>
          <w:rStyle w:val="FootnoteReference"/>
          <w:rFonts w:ascii="Calibri Light" w:hAnsi="Calibri Light" w:cs="Calibri Light"/>
          <w:color w:val="000000" w:themeColor="text1"/>
          <w:sz w:val="22"/>
          <w:szCs w:val="22"/>
          <w:lang w:val="en-AU"/>
        </w:rPr>
        <w:footnoteReference w:id="5"/>
      </w:r>
      <w:r w:rsidR="00D758A2" w:rsidRPr="006470E5">
        <w:rPr>
          <w:rFonts w:ascii="Calibri Light" w:hAnsi="Calibri Light" w:cs="Calibri Light"/>
          <w:color w:val="000000" w:themeColor="text1"/>
          <w:sz w:val="22"/>
          <w:szCs w:val="22"/>
          <w:lang w:val="en-AU"/>
        </w:rPr>
        <w:t xml:space="preserve">. The argument that it is not feasible for AIPJ2 to engage in more detail on monitoring and evaluation given the range of partners </w:t>
      </w:r>
      <w:r w:rsidR="00445E89">
        <w:rPr>
          <w:rFonts w:ascii="Calibri Light" w:hAnsi="Calibri Light" w:cs="Calibri Light"/>
          <w:color w:val="000000" w:themeColor="text1"/>
          <w:sz w:val="22"/>
          <w:szCs w:val="22"/>
          <w:lang w:val="en-AU"/>
        </w:rPr>
        <w:t>does not seem</w:t>
      </w:r>
      <w:r w:rsidR="00D758A2" w:rsidRPr="006470E5">
        <w:rPr>
          <w:rFonts w:ascii="Calibri Light" w:hAnsi="Calibri Light" w:cs="Calibri Light"/>
          <w:color w:val="000000" w:themeColor="text1"/>
          <w:sz w:val="22"/>
          <w:szCs w:val="22"/>
          <w:lang w:val="en-AU"/>
        </w:rPr>
        <w:t xml:space="preserve"> an adequate response.</w:t>
      </w:r>
      <w:r w:rsidR="008573F5">
        <w:rPr>
          <w:rFonts w:ascii="Calibri Light" w:hAnsi="Calibri Light" w:cs="Calibri Light"/>
          <w:color w:val="000000" w:themeColor="text1"/>
          <w:sz w:val="22"/>
          <w:szCs w:val="22"/>
          <w:lang w:val="en-AU"/>
        </w:rPr>
        <w:t xml:space="preserve"> </w:t>
      </w:r>
      <w:r w:rsidR="007A713F" w:rsidRPr="006470E5">
        <w:rPr>
          <w:rFonts w:ascii="Calibri Light" w:hAnsi="Calibri Light" w:cs="Calibri Light"/>
          <w:color w:val="000000" w:themeColor="text1"/>
          <w:sz w:val="22"/>
          <w:szCs w:val="22"/>
          <w:lang w:val="en-AU"/>
        </w:rPr>
        <w:t xml:space="preserve">Knowledge of what works in preventing violent extremism </w:t>
      </w:r>
      <w:r w:rsidR="006A573C" w:rsidRPr="006470E5">
        <w:rPr>
          <w:rFonts w:ascii="Calibri Light" w:hAnsi="Calibri Light" w:cs="Calibri Light"/>
          <w:color w:val="000000" w:themeColor="text1"/>
          <w:sz w:val="22"/>
          <w:szCs w:val="22"/>
          <w:lang w:val="en-AU"/>
        </w:rPr>
        <w:t xml:space="preserve">in particular </w:t>
      </w:r>
      <w:r w:rsidR="007A713F" w:rsidRPr="006470E5">
        <w:rPr>
          <w:rFonts w:ascii="Calibri Light" w:hAnsi="Calibri Light" w:cs="Calibri Light"/>
          <w:color w:val="000000" w:themeColor="text1"/>
          <w:sz w:val="22"/>
          <w:szCs w:val="22"/>
          <w:lang w:val="en-AU"/>
        </w:rPr>
        <w:t xml:space="preserve">is underdeveloped internationally, and interventions are in many respects experimental. In this </w:t>
      </w:r>
      <w:r w:rsidR="00BD18C6" w:rsidRPr="006470E5">
        <w:rPr>
          <w:rFonts w:ascii="Calibri Light" w:hAnsi="Calibri Light" w:cs="Calibri Light"/>
          <w:color w:val="000000" w:themeColor="text1"/>
          <w:sz w:val="22"/>
          <w:szCs w:val="22"/>
          <w:lang w:val="en-AU"/>
        </w:rPr>
        <w:t>setting</w:t>
      </w:r>
      <w:r w:rsidR="007A713F" w:rsidRPr="006470E5">
        <w:rPr>
          <w:rFonts w:ascii="Calibri Light" w:hAnsi="Calibri Light" w:cs="Calibri Light"/>
          <w:color w:val="000000" w:themeColor="text1"/>
          <w:sz w:val="22"/>
          <w:szCs w:val="22"/>
          <w:lang w:val="en-AU"/>
        </w:rPr>
        <w:t xml:space="preserve">, monitoring and evaluation is not only more important but also a source of </w:t>
      </w:r>
      <w:r w:rsidR="00BD18C6" w:rsidRPr="006470E5">
        <w:rPr>
          <w:rFonts w:ascii="Calibri Light" w:hAnsi="Calibri Light" w:cs="Calibri Light"/>
          <w:color w:val="000000" w:themeColor="text1"/>
          <w:sz w:val="22"/>
          <w:szCs w:val="22"/>
          <w:lang w:val="en-AU"/>
        </w:rPr>
        <w:t xml:space="preserve">valuable </w:t>
      </w:r>
      <w:r w:rsidR="007A713F" w:rsidRPr="006470E5">
        <w:rPr>
          <w:rFonts w:ascii="Calibri Light" w:hAnsi="Calibri Light" w:cs="Calibri Light"/>
          <w:color w:val="000000" w:themeColor="text1"/>
          <w:sz w:val="22"/>
          <w:szCs w:val="22"/>
          <w:lang w:val="en-AU"/>
        </w:rPr>
        <w:t>learning</w:t>
      </w:r>
      <w:r w:rsidR="00BD18C6" w:rsidRPr="006470E5">
        <w:rPr>
          <w:rFonts w:ascii="Calibri Light" w:hAnsi="Calibri Light" w:cs="Calibri Light"/>
          <w:color w:val="000000" w:themeColor="text1"/>
          <w:sz w:val="22"/>
          <w:szCs w:val="22"/>
          <w:lang w:val="en-AU"/>
        </w:rPr>
        <w:t xml:space="preserve"> internationally</w:t>
      </w:r>
      <w:r w:rsidR="007A713F" w:rsidRPr="006470E5">
        <w:rPr>
          <w:rFonts w:ascii="Calibri Light" w:hAnsi="Calibri Light" w:cs="Calibri Light"/>
          <w:color w:val="000000" w:themeColor="text1"/>
          <w:sz w:val="22"/>
          <w:szCs w:val="22"/>
          <w:lang w:val="en-AU"/>
        </w:rPr>
        <w:t xml:space="preserve">, and a </w:t>
      </w:r>
      <w:r w:rsidR="00BD18C6" w:rsidRPr="006470E5">
        <w:rPr>
          <w:rFonts w:ascii="Calibri Light" w:hAnsi="Calibri Light" w:cs="Calibri Light"/>
          <w:color w:val="000000" w:themeColor="text1"/>
          <w:sz w:val="22"/>
          <w:szCs w:val="22"/>
          <w:lang w:val="en-AU"/>
        </w:rPr>
        <w:t xml:space="preserve">basis </w:t>
      </w:r>
      <w:r w:rsidR="007A713F" w:rsidRPr="006470E5">
        <w:rPr>
          <w:rFonts w:ascii="Calibri Light" w:hAnsi="Calibri Light" w:cs="Calibri Light"/>
          <w:color w:val="000000" w:themeColor="text1"/>
          <w:sz w:val="22"/>
          <w:szCs w:val="22"/>
          <w:lang w:val="en-AU"/>
        </w:rPr>
        <w:t xml:space="preserve">to extend </w:t>
      </w:r>
      <w:r w:rsidR="00BD18C6" w:rsidRPr="006470E5">
        <w:rPr>
          <w:rFonts w:ascii="Calibri Light" w:hAnsi="Calibri Light" w:cs="Calibri Light"/>
          <w:color w:val="000000" w:themeColor="text1"/>
          <w:sz w:val="22"/>
          <w:szCs w:val="22"/>
          <w:lang w:val="en-AU"/>
        </w:rPr>
        <w:t>fu</w:t>
      </w:r>
      <w:r w:rsidR="006A573C" w:rsidRPr="006470E5">
        <w:rPr>
          <w:rFonts w:ascii="Calibri Light" w:hAnsi="Calibri Light" w:cs="Calibri Light"/>
          <w:color w:val="000000" w:themeColor="text1"/>
          <w:sz w:val="22"/>
          <w:szCs w:val="22"/>
          <w:lang w:val="en-AU"/>
        </w:rPr>
        <w:t>r</w:t>
      </w:r>
      <w:r w:rsidR="00BD18C6" w:rsidRPr="006470E5">
        <w:rPr>
          <w:rFonts w:ascii="Calibri Light" w:hAnsi="Calibri Light" w:cs="Calibri Light"/>
          <w:color w:val="000000" w:themeColor="text1"/>
          <w:sz w:val="22"/>
          <w:szCs w:val="22"/>
          <w:lang w:val="en-AU"/>
        </w:rPr>
        <w:t>th</w:t>
      </w:r>
      <w:r w:rsidR="006A573C" w:rsidRPr="006470E5">
        <w:rPr>
          <w:rFonts w:ascii="Calibri Light" w:hAnsi="Calibri Light" w:cs="Calibri Light"/>
          <w:color w:val="000000" w:themeColor="text1"/>
          <w:sz w:val="22"/>
          <w:szCs w:val="22"/>
          <w:lang w:val="en-AU"/>
        </w:rPr>
        <w:t>er</w:t>
      </w:r>
      <w:r w:rsidR="00BD18C6" w:rsidRPr="006470E5">
        <w:rPr>
          <w:rFonts w:ascii="Calibri Light" w:hAnsi="Calibri Light" w:cs="Calibri Light"/>
          <w:color w:val="000000" w:themeColor="text1"/>
          <w:sz w:val="22"/>
          <w:szCs w:val="22"/>
          <w:lang w:val="en-AU"/>
        </w:rPr>
        <w:t xml:space="preserve"> </w:t>
      </w:r>
      <w:r w:rsidR="007A713F" w:rsidRPr="006470E5">
        <w:rPr>
          <w:rFonts w:ascii="Calibri Light" w:hAnsi="Calibri Light" w:cs="Calibri Light"/>
          <w:color w:val="000000" w:themeColor="text1"/>
          <w:sz w:val="22"/>
          <w:szCs w:val="22"/>
          <w:lang w:val="en-AU"/>
        </w:rPr>
        <w:t>AIPJ2’s influence</w:t>
      </w:r>
      <w:r w:rsidR="00BD18C6" w:rsidRPr="006470E5">
        <w:rPr>
          <w:rFonts w:ascii="Calibri Light" w:hAnsi="Calibri Light" w:cs="Calibri Light"/>
          <w:color w:val="000000" w:themeColor="text1"/>
          <w:sz w:val="22"/>
          <w:szCs w:val="22"/>
          <w:lang w:val="en-AU"/>
        </w:rPr>
        <w:t xml:space="preserve"> and reputation</w:t>
      </w:r>
      <w:r w:rsidR="007A713F" w:rsidRPr="006470E5">
        <w:rPr>
          <w:rFonts w:ascii="Calibri Light" w:hAnsi="Calibri Light" w:cs="Calibri Light"/>
          <w:color w:val="000000" w:themeColor="text1"/>
          <w:sz w:val="22"/>
          <w:szCs w:val="22"/>
          <w:lang w:val="en-AU"/>
        </w:rPr>
        <w:t xml:space="preserve">. </w:t>
      </w:r>
      <w:r w:rsidR="00D758A2" w:rsidRPr="006470E5">
        <w:rPr>
          <w:rFonts w:ascii="Calibri Light" w:hAnsi="Calibri Light" w:cs="Calibri Light"/>
          <w:color w:val="000000" w:themeColor="text1"/>
          <w:sz w:val="22"/>
          <w:szCs w:val="22"/>
          <w:lang w:val="en-AU"/>
        </w:rPr>
        <w:t xml:space="preserve">AIPJ2 could develop a stronger but proportionate </w:t>
      </w:r>
      <w:r w:rsidR="00CA24CC">
        <w:rPr>
          <w:rFonts w:ascii="Calibri Light" w:hAnsi="Calibri Light" w:cs="Calibri Light"/>
          <w:color w:val="000000" w:themeColor="text1"/>
          <w:sz w:val="22"/>
          <w:szCs w:val="22"/>
          <w:lang w:val="en-AU"/>
        </w:rPr>
        <w:t>monitoring and evaluation</w:t>
      </w:r>
      <w:r w:rsidR="00D758A2" w:rsidRPr="006470E5">
        <w:rPr>
          <w:rFonts w:ascii="Calibri Light" w:hAnsi="Calibri Light" w:cs="Calibri Light"/>
          <w:color w:val="000000" w:themeColor="text1"/>
          <w:sz w:val="22"/>
          <w:szCs w:val="22"/>
          <w:lang w:val="en-AU"/>
        </w:rPr>
        <w:t xml:space="preserve"> approach, recognising differences in allocations between activities/partners, to obtain better insights into the effectiveness of the work it funds. If doing so would require additional resources available only by trimming existing activities or stopping marginal ones entirely, this is most likely a good trade-off.</w:t>
      </w:r>
      <w:r w:rsidR="00A16179">
        <w:rPr>
          <w:rFonts w:ascii="Calibri Light" w:hAnsi="Calibri Light" w:cs="Calibri Light"/>
          <w:color w:val="000000" w:themeColor="text1"/>
          <w:sz w:val="22"/>
          <w:szCs w:val="22"/>
          <w:lang w:val="en-AU"/>
        </w:rPr>
        <w:t xml:space="preserve"> </w:t>
      </w:r>
    </w:p>
    <w:p w14:paraId="3DFA0D4E" w14:textId="632D598D" w:rsidR="00275B5D" w:rsidRPr="00CE4351" w:rsidRDefault="00275B5D" w:rsidP="006B32D6">
      <w:pPr>
        <w:pStyle w:val="ListParagraph"/>
        <w:numPr>
          <w:ilvl w:val="1"/>
          <w:numId w:val="3"/>
        </w:numPr>
        <w:tabs>
          <w:tab w:val="clear" w:pos="1418"/>
          <w:tab w:val="left" w:pos="567"/>
        </w:tabs>
        <w:spacing w:before="36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 xml:space="preserve">AIPJ2’s approach to capacity building </w:t>
      </w:r>
    </w:p>
    <w:p w14:paraId="3CDD4F17" w14:textId="5DD1657D" w:rsidR="00275B5D" w:rsidRPr="006470E5"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The terms of reference for the review explicitly directed the team to consider the effectiveness of AIPJ2’s approach to capacity building with civil society and Indonesian government partners.</w:t>
      </w:r>
      <w:r w:rsidR="008573F5">
        <w:rPr>
          <w:rFonts w:asciiTheme="majorHAnsi" w:hAnsiTheme="majorHAnsi" w:cstheme="majorHAnsi"/>
          <w:color w:val="000000" w:themeColor="text1"/>
          <w:sz w:val="22"/>
          <w:szCs w:val="22"/>
          <w:lang w:val="en-AU"/>
        </w:rPr>
        <w:t xml:space="preserve"> </w:t>
      </w:r>
      <w:r w:rsidRPr="006470E5">
        <w:rPr>
          <w:rFonts w:asciiTheme="majorHAnsi" w:hAnsiTheme="majorHAnsi" w:cstheme="majorHAnsi"/>
          <w:color w:val="000000" w:themeColor="text1"/>
          <w:sz w:val="22"/>
          <w:szCs w:val="22"/>
          <w:lang w:val="en-AU"/>
        </w:rPr>
        <w:t>Under AIPJ2 support for civil society partners transitioned from core funding to providing specific activity grants to partners supplemented by targeted capacity development activities. On the whole, partners have adjusted to this change well, although many note the difficulty of covering core costs as more development programs cease core support</w:t>
      </w:r>
      <w:r w:rsidRPr="006470E5">
        <w:rPr>
          <w:rStyle w:val="FootnoteReference"/>
          <w:rFonts w:asciiTheme="majorHAnsi" w:hAnsiTheme="majorHAnsi" w:cstheme="majorHAnsi"/>
          <w:color w:val="000000" w:themeColor="text1"/>
          <w:sz w:val="22"/>
          <w:szCs w:val="22"/>
          <w:lang w:val="en-AU"/>
        </w:rPr>
        <w:footnoteReference w:id="6"/>
      </w:r>
      <w:r w:rsidRPr="006470E5">
        <w:rPr>
          <w:rFonts w:asciiTheme="majorHAnsi" w:hAnsiTheme="majorHAnsi" w:cstheme="majorHAnsi"/>
          <w:color w:val="000000" w:themeColor="text1"/>
          <w:sz w:val="22"/>
          <w:szCs w:val="22"/>
          <w:lang w:val="en-AU"/>
        </w:rPr>
        <w:t xml:space="preserve">. </w:t>
      </w:r>
    </w:p>
    <w:p w14:paraId="112FF276" w14:textId="72AA3317" w:rsidR="00275B5D" w:rsidRPr="006470E5"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AIPJ2 supports capacity development in a mix of formal and informal ways – through specific training, on-the-job mentoring, through fostering self-reflection and providing spaces for information exchange and networking.</w:t>
      </w:r>
    </w:p>
    <w:p w14:paraId="777548D1" w14:textId="555BF09A" w:rsidR="00275B5D" w:rsidRPr="006470E5" w:rsidRDefault="00275B5D" w:rsidP="006B32D6">
      <w:pPr>
        <w:pStyle w:val="ListParagraph"/>
        <w:numPr>
          <w:ilvl w:val="2"/>
          <w:numId w:val="7"/>
        </w:numPr>
        <w:tabs>
          <w:tab w:val="left" w:pos="567"/>
        </w:tabs>
        <w:spacing w:line="274" w:lineRule="auto"/>
        <w:ind w:left="567" w:hanging="567"/>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AIPJ2 has provided a number of capacity development trainings or workshops for</w:t>
      </w:r>
      <w:r w:rsidR="00145367" w:rsidRPr="006470E5">
        <w:rPr>
          <w:rFonts w:asciiTheme="majorHAnsi" w:hAnsiTheme="majorHAnsi" w:cstheme="majorHAnsi"/>
          <w:color w:val="000000" w:themeColor="text1"/>
          <w:sz w:val="22"/>
          <w:szCs w:val="22"/>
          <w:lang w:val="en-AU"/>
        </w:rPr>
        <w:t xml:space="preserve"> both civil society and government</w:t>
      </w:r>
      <w:r w:rsidRPr="006470E5">
        <w:rPr>
          <w:rFonts w:asciiTheme="majorHAnsi" w:hAnsiTheme="majorHAnsi" w:cstheme="majorHAnsi"/>
          <w:color w:val="000000" w:themeColor="text1"/>
          <w:sz w:val="22"/>
          <w:szCs w:val="22"/>
          <w:lang w:val="en-AU"/>
        </w:rPr>
        <w:t xml:space="preserve"> partners, ranging from initial training on child protection and financial reporting, received by all partners as a matter of course, to more tailored workshops on strategic communications. This focus on strategic communications has been sustained across a number of capacity development activities, including sessions and support provided by The Conversation, KOMPAS and Maverick to support partners to communicate their work more effectively in media and social media outlets. Partners have appreciated the relevance and practical nature of this kind of capacity support. Stemming from this support, a number of partners have had articles published on The Conversation, in The Jakarta Post, and other outlets. </w:t>
      </w:r>
    </w:p>
    <w:p w14:paraId="6E92A8AF" w14:textId="35BE8553" w:rsidR="00145367" w:rsidRPr="006470E5" w:rsidRDefault="00145367" w:rsidP="006B32D6">
      <w:pPr>
        <w:pStyle w:val="ListParagraph"/>
        <w:numPr>
          <w:ilvl w:val="2"/>
          <w:numId w:val="7"/>
        </w:numPr>
        <w:tabs>
          <w:tab w:val="left" w:pos="567"/>
        </w:tabs>
        <w:spacing w:line="274" w:lineRule="auto"/>
        <w:ind w:left="567" w:hanging="567"/>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 xml:space="preserve">In addition, civil society and government partners are routinely invited to attend professional development courses being undertaken by AIPJ2 personnel. For instance, civil society partners have </w:t>
      </w:r>
      <w:r w:rsidR="008840A6" w:rsidRPr="006470E5">
        <w:rPr>
          <w:rFonts w:asciiTheme="majorHAnsi" w:hAnsiTheme="majorHAnsi" w:cstheme="majorHAnsi"/>
          <w:color w:val="000000" w:themeColor="text1"/>
          <w:sz w:val="22"/>
          <w:szCs w:val="22"/>
          <w:lang w:val="en-AU"/>
        </w:rPr>
        <w:t>undertaken</w:t>
      </w:r>
      <w:r w:rsidRPr="006470E5">
        <w:rPr>
          <w:rFonts w:asciiTheme="majorHAnsi" w:hAnsiTheme="majorHAnsi" w:cstheme="majorHAnsi"/>
          <w:color w:val="000000" w:themeColor="text1"/>
          <w:sz w:val="22"/>
          <w:szCs w:val="22"/>
          <w:lang w:val="en-AU"/>
        </w:rPr>
        <w:t xml:space="preserve"> training in M&amp;E</w:t>
      </w:r>
      <w:r w:rsidR="00445E89">
        <w:rPr>
          <w:rFonts w:asciiTheme="majorHAnsi" w:hAnsiTheme="majorHAnsi" w:cstheme="majorHAnsi"/>
          <w:color w:val="000000" w:themeColor="text1"/>
          <w:sz w:val="22"/>
          <w:szCs w:val="22"/>
          <w:lang w:val="en-AU"/>
        </w:rPr>
        <w:t>;</w:t>
      </w:r>
      <w:r w:rsidRPr="006470E5">
        <w:rPr>
          <w:rFonts w:asciiTheme="majorHAnsi" w:hAnsiTheme="majorHAnsi" w:cstheme="majorHAnsi"/>
          <w:color w:val="000000" w:themeColor="text1"/>
          <w:sz w:val="22"/>
          <w:szCs w:val="22"/>
          <w:lang w:val="en-AU"/>
        </w:rPr>
        <w:t xml:space="preserve"> </w:t>
      </w:r>
      <w:r w:rsidR="00445E89">
        <w:rPr>
          <w:rFonts w:asciiTheme="majorHAnsi" w:hAnsiTheme="majorHAnsi" w:cstheme="majorHAnsi"/>
          <w:color w:val="000000" w:themeColor="text1"/>
          <w:sz w:val="22"/>
          <w:szCs w:val="22"/>
          <w:lang w:val="en-AU"/>
        </w:rPr>
        <w:t>a</w:t>
      </w:r>
      <w:r w:rsidRPr="006470E5">
        <w:rPr>
          <w:rFonts w:asciiTheme="majorHAnsi" w:hAnsiTheme="majorHAnsi" w:cstheme="majorHAnsi"/>
          <w:color w:val="000000" w:themeColor="text1"/>
          <w:sz w:val="22"/>
          <w:szCs w:val="22"/>
          <w:lang w:val="en-AU"/>
        </w:rPr>
        <w:t xml:space="preserve">nd a government counterpart in </w:t>
      </w:r>
      <w:r w:rsidR="004456BE" w:rsidRPr="006470E5">
        <w:rPr>
          <w:rFonts w:asciiTheme="majorHAnsi" w:hAnsiTheme="majorHAnsi" w:cstheme="majorHAnsi"/>
          <w:color w:val="000000" w:themeColor="text1"/>
          <w:sz w:val="22"/>
          <w:szCs w:val="22"/>
          <w:lang w:val="en-AU"/>
        </w:rPr>
        <w:t>the National Agency for Combatting Terrorism</w:t>
      </w:r>
      <w:r w:rsidR="008840A6" w:rsidRPr="006470E5">
        <w:rPr>
          <w:rFonts w:asciiTheme="majorHAnsi" w:hAnsiTheme="majorHAnsi" w:cstheme="majorHAnsi"/>
          <w:color w:val="000000" w:themeColor="text1"/>
          <w:sz w:val="22"/>
          <w:szCs w:val="22"/>
          <w:lang w:val="en-AU"/>
        </w:rPr>
        <w:t xml:space="preserve"> </w:t>
      </w:r>
      <w:r w:rsidR="004456BE" w:rsidRPr="006470E5">
        <w:rPr>
          <w:rFonts w:asciiTheme="majorHAnsi" w:hAnsiTheme="majorHAnsi" w:cstheme="majorHAnsi"/>
          <w:color w:val="000000" w:themeColor="text1"/>
          <w:sz w:val="22"/>
          <w:szCs w:val="22"/>
          <w:lang w:val="en-AU"/>
        </w:rPr>
        <w:t>(</w:t>
      </w:r>
      <w:r w:rsidR="004456BE" w:rsidRPr="00990CAA">
        <w:rPr>
          <w:rFonts w:asciiTheme="majorHAnsi" w:hAnsiTheme="majorHAnsi"/>
          <w:bCs/>
          <w:color w:val="000000" w:themeColor="text1"/>
          <w:sz w:val="22"/>
          <w:lang w:val="en-AU"/>
        </w:rPr>
        <w:t>BNPT</w:t>
      </w:r>
      <w:r w:rsidR="004456BE" w:rsidRPr="006470E5">
        <w:rPr>
          <w:rFonts w:asciiTheme="majorHAnsi" w:hAnsiTheme="majorHAnsi" w:cstheme="majorHAnsi"/>
          <w:color w:val="000000" w:themeColor="text1"/>
          <w:sz w:val="22"/>
          <w:szCs w:val="22"/>
          <w:lang w:val="en-AU"/>
        </w:rPr>
        <w:t xml:space="preserve">) </w:t>
      </w:r>
      <w:r w:rsidR="008840A6" w:rsidRPr="006470E5">
        <w:rPr>
          <w:rFonts w:asciiTheme="majorHAnsi" w:hAnsiTheme="majorHAnsi" w:cstheme="majorHAnsi"/>
          <w:color w:val="000000" w:themeColor="text1"/>
          <w:sz w:val="22"/>
          <w:szCs w:val="22"/>
          <w:lang w:val="en-AU"/>
        </w:rPr>
        <w:t>is attending a countering violent extremism conference in The Netherlands</w:t>
      </w:r>
      <w:r w:rsidR="00445E89">
        <w:rPr>
          <w:rFonts w:asciiTheme="majorHAnsi" w:hAnsiTheme="majorHAnsi" w:cstheme="majorHAnsi"/>
          <w:color w:val="000000" w:themeColor="text1"/>
          <w:sz w:val="22"/>
          <w:szCs w:val="22"/>
          <w:lang w:val="en-AU"/>
        </w:rPr>
        <w:t>, alongside AIPJ2 staff</w:t>
      </w:r>
      <w:r w:rsidR="008840A6" w:rsidRPr="006470E5">
        <w:rPr>
          <w:rFonts w:asciiTheme="majorHAnsi" w:hAnsiTheme="majorHAnsi" w:cstheme="majorHAnsi"/>
          <w:color w:val="000000" w:themeColor="text1"/>
          <w:sz w:val="22"/>
          <w:szCs w:val="22"/>
          <w:lang w:val="en-AU"/>
        </w:rPr>
        <w:t xml:space="preserve">. </w:t>
      </w:r>
    </w:p>
    <w:p w14:paraId="1D830DE7" w14:textId="7B044447" w:rsidR="004456BE" w:rsidRPr="006470E5" w:rsidRDefault="004456BE" w:rsidP="006B32D6">
      <w:pPr>
        <w:pStyle w:val="ListParagraph"/>
        <w:numPr>
          <w:ilvl w:val="2"/>
          <w:numId w:val="7"/>
        </w:numPr>
        <w:tabs>
          <w:tab w:val="left" w:pos="567"/>
        </w:tabs>
        <w:spacing w:line="274" w:lineRule="auto"/>
        <w:ind w:left="567" w:hanging="567"/>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AIPJ2 is funding work to establish systems within Bappenas and BNPT to track donor programs and enable better coordination in the law and justice and counter-terrorism/</w:t>
      </w:r>
      <w:r w:rsidR="004A787B" w:rsidRPr="006470E5">
        <w:rPr>
          <w:rFonts w:asciiTheme="majorHAnsi" w:hAnsiTheme="majorHAnsi" w:cstheme="majorHAnsi"/>
          <w:color w:val="000000" w:themeColor="text1"/>
          <w:sz w:val="22"/>
          <w:szCs w:val="22"/>
          <w:lang w:val="en-AU"/>
        </w:rPr>
        <w:t>v</w:t>
      </w:r>
      <w:r w:rsidRPr="006470E5">
        <w:rPr>
          <w:rFonts w:asciiTheme="majorHAnsi" w:hAnsiTheme="majorHAnsi" w:cstheme="majorHAnsi"/>
          <w:color w:val="000000" w:themeColor="text1"/>
          <w:sz w:val="22"/>
          <w:szCs w:val="22"/>
          <w:lang w:val="en-AU"/>
        </w:rPr>
        <w:t>iolent extremism field</w:t>
      </w:r>
      <w:r w:rsidR="00445E89">
        <w:rPr>
          <w:rFonts w:asciiTheme="majorHAnsi" w:hAnsiTheme="majorHAnsi" w:cstheme="majorHAnsi"/>
          <w:color w:val="000000" w:themeColor="text1"/>
          <w:sz w:val="22"/>
          <w:szCs w:val="22"/>
          <w:lang w:val="en-AU"/>
        </w:rPr>
        <w:t>s</w:t>
      </w:r>
      <w:r w:rsidRPr="006470E5">
        <w:rPr>
          <w:rFonts w:asciiTheme="majorHAnsi" w:hAnsiTheme="majorHAnsi" w:cstheme="majorHAnsi"/>
          <w:color w:val="000000" w:themeColor="text1"/>
          <w:sz w:val="22"/>
          <w:szCs w:val="22"/>
          <w:lang w:val="en-AU"/>
        </w:rPr>
        <w:t xml:space="preserve"> respectively.</w:t>
      </w:r>
      <w:r w:rsidR="008573F5">
        <w:rPr>
          <w:rFonts w:asciiTheme="majorHAnsi" w:hAnsiTheme="majorHAnsi" w:cstheme="majorHAnsi"/>
          <w:color w:val="000000" w:themeColor="text1"/>
          <w:sz w:val="22"/>
          <w:szCs w:val="22"/>
          <w:lang w:val="en-AU"/>
        </w:rPr>
        <w:t xml:space="preserve"> </w:t>
      </w:r>
      <w:r w:rsidRPr="006470E5">
        <w:rPr>
          <w:rFonts w:asciiTheme="majorHAnsi" w:hAnsiTheme="majorHAnsi" w:cstheme="majorHAnsi"/>
          <w:color w:val="000000" w:themeColor="text1"/>
          <w:sz w:val="22"/>
          <w:szCs w:val="22"/>
          <w:lang w:val="en-AU"/>
        </w:rPr>
        <w:t xml:space="preserve">Both organisations acknowledge current capacity to monitor donors in this field is limited and value </w:t>
      </w:r>
      <w:r w:rsidR="004A787B" w:rsidRPr="006470E5">
        <w:rPr>
          <w:rFonts w:asciiTheme="majorHAnsi" w:hAnsiTheme="majorHAnsi" w:cstheme="majorHAnsi"/>
          <w:color w:val="000000" w:themeColor="text1"/>
          <w:sz w:val="22"/>
          <w:szCs w:val="22"/>
          <w:lang w:val="en-AU"/>
        </w:rPr>
        <w:t>AIPJ2’s support</w:t>
      </w:r>
      <w:r w:rsidR="003C2D8E">
        <w:rPr>
          <w:rFonts w:asciiTheme="majorHAnsi" w:hAnsiTheme="majorHAnsi" w:cstheme="majorHAnsi"/>
          <w:color w:val="000000" w:themeColor="text1"/>
          <w:sz w:val="22"/>
          <w:szCs w:val="22"/>
          <w:lang w:val="en-AU"/>
        </w:rPr>
        <w:t>. To be effective, however, this initial, largely technical,  step may require further engagement by AIPJ2 to facilitate physical interaction.</w:t>
      </w:r>
    </w:p>
    <w:p w14:paraId="697783B7" w14:textId="001C8772" w:rsidR="00275B5D" w:rsidRPr="006470E5" w:rsidRDefault="00275B5D" w:rsidP="006B32D6">
      <w:pPr>
        <w:pStyle w:val="ListParagraph"/>
        <w:numPr>
          <w:ilvl w:val="2"/>
          <w:numId w:val="7"/>
        </w:numPr>
        <w:tabs>
          <w:tab w:val="left" w:pos="567"/>
        </w:tabs>
        <w:spacing w:line="274" w:lineRule="auto"/>
        <w:ind w:left="567" w:hanging="567"/>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 xml:space="preserve">AIPJ2 has also instituted quarterly reflection sessions with its civil society partners. These are dedicated (day-long) sessions every quarter for the partner (in some cases in combination with other </w:t>
      </w:r>
      <w:r w:rsidR="006C3619" w:rsidRPr="006470E5">
        <w:rPr>
          <w:rFonts w:asciiTheme="majorHAnsi" w:hAnsiTheme="majorHAnsi" w:cstheme="majorHAnsi"/>
          <w:color w:val="000000" w:themeColor="text1"/>
          <w:sz w:val="22"/>
          <w:szCs w:val="22"/>
          <w:lang w:val="en-AU"/>
        </w:rPr>
        <w:t xml:space="preserve">AIPJ2 </w:t>
      </w:r>
      <w:r w:rsidRPr="006470E5">
        <w:rPr>
          <w:rFonts w:asciiTheme="majorHAnsi" w:hAnsiTheme="majorHAnsi" w:cstheme="majorHAnsi"/>
          <w:color w:val="000000" w:themeColor="text1"/>
          <w:sz w:val="22"/>
          <w:szCs w:val="22"/>
          <w:lang w:val="en-AU"/>
        </w:rPr>
        <w:t xml:space="preserve">partners working on the same area) and AIPJ2 staff to reflect on what they have been doing, what results are being seen, and what might need to change. The first of these sessions was facilitated by local monitoring, evaluation and learning organisation, Solidaritas. The second was facilitated by AIPJ2 staff, with the civil society partner staff later taking over facilitation themselves. Now, at the mid-way point in the program, the sessions are being handed over to the partners to run themselves, although AIPJ2 </w:t>
      </w:r>
      <w:r w:rsidR="006C3619" w:rsidRPr="006470E5">
        <w:rPr>
          <w:rFonts w:asciiTheme="majorHAnsi" w:hAnsiTheme="majorHAnsi" w:cstheme="majorHAnsi"/>
          <w:color w:val="000000" w:themeColor="text1"/>
          <w:sz w:val="22"/>
          <w:szCs w:val="22"/>
          <w:lang w:val="en-AU"/>
        </w:rPr>
        <w:t xml:space="preserve">is invited </w:t>
      </w:r>
      <w:r w:rsidRPr="006470E5">
        <w:rPr>
          <w:rFonts w:asciiTheme="majorHAnsi" w:hAnsiTheme="majorHAnsi" w:cstheme="majorHAnsi"/>
          <w:color w:val="000000" w:themeColor="text1"/>
          <w:sz w:val="22"/>
          <w:szCs w:val="22"/>
          <w:lang w:val="en-AU"/>
        </w:rPr>
        <w:t>to participate. Partners all value the process, with some finding them so useful they are instituting them in their wider work. This more informal form of capacity development encourages critical thinking and reflection that is not always a feature of civil society support by donor programs. The time-intensive investment by AIPJ2 is to be applauded.</w:t>
      </w:r>
      <w:r w:rsidR="00A16179">
        <w:rPr>
          <w:rFonts w:asciiTheme="majorHAnsi" w:hAnsiTheme="majorHAnsi" w:cstheme="majorHAnsi"/>
          <w:color w:val="000000" w:themeColor="text1"/>
          <w:sz w:val="22"/>
          <w:szCs w:val="22"/>
          <w:lang w:val="en-AU"/>
        </w:rPr>
        <w:t xml:space="preserve"> </w:t>
      </w:r>
    </w:p>
    <w:p w14:paraId="2905052F" w14:textId="70CA686F" w:rsidR="00275B5D" w:rsidRPr="006470E5" w:rsidRDefault="00275B5D" w:rsidP="006B32D6">
      <w:pPr>
        <w:pStyle w:val="ListParagraph"/>
        <w:numPr>
          <w:ilvl w:val="2"/>
          <w:numId w:val="3"/>
        </w:numPr>
        <w:tabs>
          <w:tab w:val="left" w:pos="567"/>
        </w:tabs>
        <w:spacing w:before="240" w:line="274" w:lineRule="auto"/>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 xml:space="preserve">Finally, AIPJ2 has established an offline and online Knowledge Hub ‘K-HUB’. The offline K-HUB involves the organisation of regular Thursday sessions at the AIPJ2 office (as well as, less frequently, at the office in Makassar) on a range of topics of interest to civil society partners. These sessions are open to wide participation and have included </w:t>
      </w:r>
      <w:r w:rsidR="0017585C" w:rsidRPr="006470E5">
        <w:rPr>
          <w:rFonts w:asciiTheme="majorHAnsi" w:hAnsiTheme="majorHAnsi" w:cstheme="majorHAnsi"/>
          <w:color w:val="000000" w:themeColor="text1"/>
          <w:sz w:val="22"/>
          <w:szCs w:val="22"/>
          <w:lang w:val="en-AU"/>
        </w:rPr>
        <w:t xml:space="preserve">presentations by </w:t>
      </w:r>
      <w:r w:rsidRPr="006470E5">
        <w:rPr>
          <w:rFonts w:asciiTheme="majorHAnsi" w:hAnsiTheme="majorHAnsi" w:cstheme="majorHAnsi"/>
          <w:color w:val="000000" w:themeColor="text1"/>
          <w:sz w:val="22"/>
          <w:szCs w:val="22"/>
          <w:lang w:val="en-AU"/>
        </w:rPr>
        <w:t>partners on their work</w:t>
      </w:r>
      <w:r w:rsidR="0017585C" w:rsidRPr="006470E5">
        <w:rPr>
          <w:rFonts w:asciiTheme="majorHAnsi" w:hAnsiTheme="majorHAnsi" w:cstheme="majorHAnsi"/>
          <w:color w:val="000000" w:themeColor="text1"/>
          <w:sz w:val="22"/>
          <w:szCs w:val="22"/>
          <w:lang w:val="en-AU"/>
        </w:rPr>
        <w:t xml:space="preserve"> and</w:t>
      </w:r>
      <w:r w:rsidRPr="006470E5">
        <w:rPr>
          <w:rFonts w:asciiTheme="majorHAnsi" w:hAnsiTheme="majorHAnsi" w:cstheme="majorHAnsi"/>
          <w:color w:val="000000" w:themeColor="text1"/>
          <w:sz w:val="22"/>
          <w:szCs w:val="22"/>
          <w:lang w:val="en-AU"/>
        </w:rPr>
        <w:t xml:space="preserve"> more capacity development focused sessions – for instance on how to develop infographics. These K-HUB events are a forum for knowledge sharing, </w:t>
      </w:r>
      <w:r w:rsidR="00145367" w:rsidRPr="006470E5">
        <w:rPr>
          <w:rFonts w:asciiTheme="majorHAnsi" w:hAnsiTheme="majorHAnsi" w:cstheme="majorHAnsi"/>
          <w:color w:val="000000" w:themeColor="text1"/>
          <w:sz w:val="22"/>
          <w:szCs w:val="22"/>
          <w:lang w:val="en-AU"/>
        </w:rPr>
        <w:t>and</w:t>
      </w:r>
      <w:r w:rsidR="007D1744" w:rsidRPr="006470E5">
        <w:rPr>
          <w:rFonts w:asciiTheme="majorHAnsi" w:hAnsiTheme="majorHAnsi" w:cstheme="majorHAnsi"/>
          <w:color w:val="000000" w:themeColor="text1"/>
          <w:sz w:val="22"/>
          <w:szCs w:val="22"/>
          <w:lang w:val="en-AU"/>
        </w:rPr>
        <w:t xml:space="preserve"> </w:t>
      </w:r>
      <w:r w:rsidRPr="006470E5">
        <w:rPr>
          <w:rFonts w:asciiTheme="majorHAnsi" w:hAnsiTheme="majorHAnsi" w:cstheme="majorHAnsi"/>
          <w:color w:val="000000" w:themeColor="text1"/>
          <w:sz w:val="22"/>
          <w:szCs w:val="22"/>
          <w:lang w:val="en-AU"/>
        </w:rPr>
        <w:t>provide a</w:t>
      </w:r>
      <w:r w:rsidR="0017585C" w:rsidRPr="006470E5">
        <w:rPr>
          <w:rFonts w:asciiTheme="majorHAnsi" w:hAnsiTheme="majorHAnsi" w:cstheme="majorHAnsi"/>
          <w:color w:val="000000" w:themeColor="text1"/>
          <w:sz w:val="22"/>
          <w:szCs w:val="22"/>
          <w:lang w:val="en-AU"/>
        </w:rPr>
        <w:t xml:space="preserve"> dedicated</w:t>
      </w:r>
      <w:r w:rsidRPr="006470E5">
        <w:rPr>
          <w:rFonts w:asciiTheme="majorHAnsi" w:hAnsiTheme="majorHAnsi" w:cstheme="majorHAnsi"/>
          <w:color w:val="000000" w:themeColor="text1"/>
          <w:sz w:val="22"/>
          <w:szCs w:val="22"/>
          <w:lang w:val="en-AU"/>
        </w:rPr>
        <w:t xml:space="preserve"> space for informal networking and building relationships between civil society partners</w:t>
      </w:r>
      <w:r w:rsidR="00145367" w:rsidRPr="006470E5">
        <w:rPr>
          <w:rFonts w:asciiTheme="majorHAnsi" w:hAnsiTheme="majorHAnsi" w:cstheme="majorHAnsi"/>
          <w:color w:val="000000" w:themeColor="text1"/>
          <w:sz w:val="22"/>
          <w:szCs w:val="22"/>
          <w:lang w:val="en-AU"/>
        </w:rPr>
        <w:t xml:space="preserve"> – </w:t>
      </w:r>
      <w:r w:rsidR="007D1744" w:rsidRPr="006470E5">
        <w:rPr>
          <w:rFonts w:asciiTheme="majorHAnsi" w:hAnsiTheme="majorHAnsi" w:cstheme="majorHAnsi"/>
          <w:color w:val="000000" w:themeColor="text1"/>
          <w:sz w:val="22"/>
          <w:szCs w:val="22"/>
          <w:lang w:val="en-AU"/>
        </w:rPr>
        <w:t xml:space="preserve">many of whom may already know one another but </w:t>
      </w:r>
      <w:r w:rsidR="00771F58">
        <w:rPr>
          <w:rFonts w:asciiTheme="majorHAnsi" w:hAnsiTheme="majorHAnsi" w:cstheme="majorHAnsi"/>
          <w:color w:val="000000" w:themeColor="text1"/>
          <w:sz w:val="22"/>
          <w:szCs w:val="22"/>
          <w:lang w:val="en-AU"/>
        </w:rPr>
        <w:t xml:space="preserve">may </w:t>
      </w:r>
      <w:r w:rsidR="007D1744" w:rsidRPr="006470E5">
        <w:rPr>
          <w:rFonts w:asciiTheme="majorHAnsi" w:hAnsiTheme="majorHAnsi" w:cstheme="majorHAnsi"/>
          <w:color w:val="000000" w:themeColor="text1"/>
          <w:sz w:val="22"/>
          <w:szCs w:val="22"/>
          <w:lang w:val="en-AU"/>
        </w:rPr>
        <w:t>lack opportunities to come together</w:t>
      </w:r>
      <w:r w:rsidRPr="006470E5">
        <w:rPr>
          <w:rFonts w:asciiTheme="majorHAnsi" w:hAnsiTheme="majorHAnsi" w:cstheme="majorHAnsi"/>
          <w:color w:val="000000" w:themeColor="text1"/>
          <w:sz w:val="22"/>
          <w:szCs w:val="22"/>
          <w:lang w:val="en-AU"/>
        </w:rPr>
        <w:t xml:space="preserve">. </w:t>
      </w:r>
    </w:p>
    <w:p w14:paraId="40A49FA9" w14:textId="369E40CC" w:rsidR="00275B5D" w:rsidRPr="006470E5"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6470E5">
        <w:rPr>
          <w:rFonts w:asciiTheme="majorHAnsi" w:hAnsiTheme="majorHAnsi" w:cstheme="majorHAnsi"/>
          <w:color w:val="000000" w:themeColor="text1"/>
          <w:sz w:val="22"/>
          <w:szCs w:val="22"/>
          <w:lang w:val="en-AU"/>
        </w:rPr>
        <w:t xml:space="preserve">The online K-HUB, </w:t>
      </w:r>
      <w:r w:rsidR="00445E89">
        <w:rPr>
          <w:rFonts w:asciiTheme="majorHAnsi" w:hAnsiTheme="majorHAnsi" w:cstheme="majorHAnsi"/>
          <w:color w:val="000000" w:themeColor="text1"/>
          <w:sz w:val="22"/>
          <w:szCs w:val="22"/>
          <w:lang w:val="en-AU"/>
        </w:rPr>
        <w:t xml:space="preserve">which was </w:t>
      </w:r>
      <w:r w:rsidRPr="006470E5">
        <w:rPr>
          <w:rFonts w:asciiTheme="majorHAnsi" w:hAnsiTheme="majorHAnsi" w:cstheme="majorHAnsi"/>
          <w:color w:val="000000" w:themeColor="text1"/>
          <w:sz w:val="22"/>
          <w:szCs w:val="22"/>
          <w:lang w:val="en-AU"/>
        </w:rPr>
        <w:t xml:space="preserve">to be launched in </w:t>
      </w:r>
      <w:r w:rsidR="00445E89">
        <w:rPr>
          <w:rFonts w:asciiTheme="majorHAnsi" w:hAnsiTheme="majorHAnsi" w:cstheme="majorHAnsi"/>
          <w:color w:val="000000" w:themeColor="text1"/>
          <w:sz w:val="22"/>
          <w:szCs w:val="22"/>
          <w:lang w:val="en-AU"/>
        </w:rPr>
        <w:t>August 2019</w:t>
      </w:r>
      <w:r w:rsidRPr="006470E5">
        <w:rPr>
          <w:rFonts w:asciiTheme="majorHAnsi" w:hAnsiTheme="majorHAnsi" w:cstheme="majorHAnsi"/>
          <w:color w:val="000000" w:themeColor="text1"/>
          <w:sz w:val="22"/>
          <w:szCs w:val="22"/>
          <w:lang w:val="en-AU"/>
        </w:rPr>
        <w:t>, is a series of online communities focused on a range of thematic areas that broadly mirror AIPJ2’s areas of programming: preventing violen</w:t>
      </w:r>
      <w:r w:rsidR="00445E89">
        <w:rPr>
          <w:rFonts w:asciiTheme="majorHAnsi" w:hAnsiTheme="majorHAnsi" w:cstheme="majorHAnsi"/>
          <w:color w:val="000000" w:themeColor="text1"/>
          <w:sz w:val="22"/>
          <w:szCs w:val="22"/>
          <w:lang w:val="en-AU"/>
        </w:rPr>
        <w:t>t</w:t>
      </w:r>
      <w:r w:rsidRPr="006470E5">
        <w:rPr>
          <w:rFonts w:asciiTheme="majorHAnsi" w:hAnsiTheme="majorHAnsi" w:cstheme="majorHAnsi"/>
          <w:color w:val="000000" w:themeColor="text1"/>
          <w:sz w:val="22"/>
          <w:szCs w:val="22"/>
          <w:lang w:val="en-AU"/>
        </w:rPr>
        <w:t xml:space="preserve"> extremism; anti-corruption; judicial reform; and law and security. Each community page is administrated by a different government or civil society partner and aims to collate work by AIPJ2’s partners and wider networks working on related issues. The online K-HUB aim</w:t>
      </w:r>
      <w:r w:rsidR="00897F4F" w:rsidRPr="006470E5">
        <w:rPr>
          <w:rFonts w:asciiTheme="majorHAnsi" w:hAnsiTheme="majorHAnsi" w:cstheme="majorHAnsi"/>
          <w:color w:val="000000" w:themeColor="text1"/>
          <w:sz w:val="22"/>
          <w:szCs w:val="22"/>
          <w:lang w:val="en-AU"/>
        </w:rPr>
        <w:t>s</w:t>
      </w:r>
      <w:r w:rsidRPr="006470E5">
        <w:rPr>
          <w:rFonts w:asciiTheme="majorHAnsi" w:hAnsiTheme="majorHAnsi" w:cstheme="majorHAnsi"/>
          <w:color w:val="000000" w:themeColor="text1"/>
          <w:sz w:val="22"/>
          <w:szCs w:val="22"/>
          <w:lang w:val="en-AU"/>
        </w:rPr>
        <w:t xml:space="preserve"> to bring together resources and promote discussion within the online communities. Although AIPJ2 have not conceived of the online K-HUB as a form of capacity development</w:t>
      </w:r>
      <w:r w:rsidR="006470E5">
        <w:rPr>
          <w:rFonts w:asciiTheme="majorHAnsi" w:hAnsiTheme="majorHAnsi" w:cstheme="majorHAnsi"/>
          <w:color w:val="000000" w:themeColor="text1"/>
          <w:sz w:val="22"/>
          <w:szCs w:val="22"/>
          <w:lang w:val="en-AU"/>
        </w:rPr>
        <w:t xml:space="preserve"> – it is primarily an information sharing mechanism –</w:t>
      </w:r>
      <w:r w:rsidRPr="006470E5">
        <w:rPr>
          <w:rFonts w:asciiTheme="majorHAnsi" w:hAnsiTheme="majorHAnsi" w:cstheme="majorHAnsi"/>
          <w:color w:val="000000" w:themeColor="text1"/>
          <w:sz w:val="22"/>
          <w:szCs w:val="22"/>
          <w:lang w:val="en-AU"/>
        </w:rPr>
        <w:t xml:space="preserve"> it appears to have the potential to further support the cooperation </w:t>
      </w:r>
      <w:r w:rsidR="006470E5">
        <w:rPr>
          <w:rFonts w:asciiTheme="majorHAnsi" w:hAnsiTheme="majorHAnsi" w:cstheme="majorHAnsi"/>
          <w:color w:val="000000" w:themeColor="text1"/>
          <w:sz w:val="22"/>
          <w:szCs w:val="22"/>
          <w:lang w:val="en-AU"/>
        </w:rPr>
        <w:t xml:space="preserve">and relational capital </w:t>
      </w:r>
      <w:r w:rsidRPr="006470E5">
        <w:rPr>
          <w:rFonts w:asciiTheme="majorHAnsi" w:hAnsiTheme="majorHAnsi" w:cstheme="majorHAnsi"/>
          <w:color w:val="000000" w:themeColor="text1"/>
          <w:sz w:val="22"/>
          <w:szCs w:val="22"/>
          <w:lang w:val="en-AU"/>
        </w:rPr>
        <w:t xml:space="preserve">of civil society in key policy areas. </w:t>
      </w:r>
    </w:p>
    <w:p w14:paraId="068DEA18" w14:textId="6DBE7AA7" w:rsidR="00275B5D" w:rsidRPr="00AD5764"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AIPJ2’s approach to capacity development is well considered and reflects a genuine interest in useful support to partners</w:t>
      </w:r>
      <w:r w:rsidR="00445E89">
        <w:rPr>
          <w:rFonts w:asciiTheme="majorHAnsi" w:hAnsiTheme="majorHAnsi" w:cstheme="majorHAnsi"/>
          <w:color w:val="000000" w:themeColor="text1"/>
          <w:sz w:val="22"/>
          <w:szCs w:val="22"/>
          <w:lang w:val="en-AU"/>
        </w:rPr>
        <w:t>.</w:t>
      </w:r>
      <w:r w:rsidRPr="00AD5764">
        <w:rPr>
          <w:rFonts w:asciiTheme="majorHAnsi" w:hAnsiTheme="majorHAnsi" w:cstheme="majorHAnsi"/>
          <w:color w:val="000000" w:themeColor="text1"/>
          <w:sz w:val="22"/>
          <w:szCs w:val="22"/>
          <w:lang w:val="en-AU"/>
        </w:rPr>
        <w:t xml:space="preserve"> </w:t>
      </w:r>
      <w:r w:rsidR="00445E89">
        <w:rPr>
          <w:rFonts w:asciiTheme="majorHAnsi" w:hAnsiTheme="majorHAnsi" w:cstheme="majorHAnsi"/>
          <w:color w:val="000000" w:themeColor="text1"/>
          <w:sz w:val="22"/>
          <w:szCs w:val="22"/>
          <w:lang w:val="en-AU"/>
        </w:rPr>
        <w:t>However</w:t>
      </w:r>
      <w:r w:rsidRPr="00AD5764">
        <w:rPr>
          <w:rFonts w:asciiTheme="majorHAnsi" w:hAnsiTheme="majorHAnsi" w:cstheme="majorHAnsi"/>
          <w:color w:val="000000" w:themeColor="text1"/>
          <w:sz w:val="22"/>
          <w:szCs w:val="22"/>
          <w:lang w:val="en-AU"/>
        </w:rPr>
        <w:t>, the needs and interests of partners are determined informally through interactions and discussions with partners, as well as through the quality review of their reporting. Partners indicated they would welcome a more systematic way to communicate areas where support would be useful (for instance, adding an explicit question about this in regular reporting</w:t>
      </w:r>
      <w:r w:rsidR="00B2697B">
        <w:rPr>
          <w:rFonts w:asciiTheme="majorHAnsi" w:hAnsiTheme="majorHAnsi" w:cstheme="majorHAnsi"/>
          <w:color w:val="000000" w:themeColor="text1"/>
          <w:sz w:val="22"/>
          <w:szCs w:val="22"/>
          <w:lang w:val="en-AU"/>
        </w:rPr>
        <w:t xml:space="preserve"> to enable partners to indicate their interests</w:t>
      </w:r>
      <w:r w:rsidRPr="00AD5764">
        <w:rPr>
          <w:rFonts w:asciiTheme="majorHAnsi" w:hAnsiTheme="majorHAnsi" w:cstheme="majorHAnsi"/>
          <w:color w:val="000000" w:themeColor="text1"/>
          <w:sz w:val="22"/>
          <w:szCs w:val="22"/>
          <w:lang w:val="en-AU"/>
        </w:rPr>
        <w:t xml:space="preserve">). </w:t>
      </w:r>
    </w:p>
    <w:p w14:paraId="0D5A4A14" w14:textId="57698A5E" w:rsidR="00275B5D" w:rsidRPr="00CE4351" w:rsidRDefault="00275B5D"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 xml:space="preserve">Prospects for achieving AIPJ2’s ‘end-of-facility’ objectives: limitations in AIPJ2’s performance assessment framework </w:t>
      </w:r>
    </w:p>
    <w:p w14:paraId="5BD88CF3" w14:textId="2A20DAE9" w:rsidR="00275B5D" w:rsidRPr="00AD5764"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Reforming the law, justice and security sectors is uncertain; it takes time and is subject to setbacks and periods of little or no progress.</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This makes the task of projecting likely future achievements inherently difficult.</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However, the tas</w:t>
      </w:r>
      <w:r w:rsidR="008840A6" w:rsidRPr="00AD5764">
        <w:rPr>
          <w:rFonts w:asciiTheme="majorHAnsi" w:hAnsiTheme="majorHAnsi" w:cstheme="majorHAnsi"/>
          <w:color w:val="000000" w:themeColor="text1"/>
          <w:sz w:val="22"/>
          <w:szCs w:val="22"/>
          <w:lang w:val="en-AU"/>
        </w:rPr>
        <w:t>k</w:t>
      </w:r>
      <w:r w:rsidRPr="00AD5764">
        <w:rPr>
          <w:rFonts w:asciiTheme="majorHAnsi" w:hAnsiTheme="majorHAnsi" w:cstheme="majorHAnsi"/>
          <w:color w:val="000000" w:themeColor="text1"/>
          <w:sz w:val="22"/>
          <w:szCs w:val="22"/>
          <w:lang w:val="en-AU"/>
        </w:rPr>
        <w:t xml:space="preserve"> is made all the more </w:t>
      </w:r>
      <w:r w:rsidR="00445E89">
        <w:rPr>
          <w:rFonts w:asciiTheme="majorHAnsi" w:hAnsiTheme="majorHAnsi" w:cstheme="majorHAnsi"/>
          <w:color w:val="000000" w:themeColor="text1"/>
          <w:sz w:val="22"/>
          <w:szCs w:val="22"/>
          <w:lang w:val="en-AU"/>
        </w:rPr>
        <w:t>difficult</w:t>
      </w:r>
      <w:r w:rsidRPr="00AD5764">
        <w:rPr>
          <w:rFonts w:asciiTheme="majorHAnsi" w:hAnsiTheme="majorHAnsi" w:cstheme="majorHAnsi"/>
          <w:color w:val="000000" w:themeColor="text1"/>
          <w:sz w:val="22"/>
          <w:szCs w:val="22"/>
          <w:lang w:val="en-AU"/>
        </w:rPr>
        <w:t xml:space="preserve"> by limitations in AIPJ2’s </w:t>
      </w:r>
      <w:r w:rsidR="00B72679">
        <w:rPr>
          <w:rFonts w:asciiTheme="majorHAnsi" w:hAnsiTheme="majorHAnsi" w:cstheme="majorHAnsi"/>
          <w:color w:val="000000" w:themeColor="text1"/>
          <w:sz w:val="22"/>
          <w:szCs w:val="22"/>
          <w:lang w:val="en-AU"/>
        </w:rPr>
        <w:t>monitoring and evaluation framework</w:t>
      </w:r>
      <w:r w:rsidRPr="00AD5764">
        <w:rPr>
          <w:rFonts w:asciiTheme="majorHAnsi" w:hAnsiTheme="majorHAnsi" w:cstheme="majorHAnsi"/>
          <w:color w:val="000000" w:themeColor="text1"/>
          <w:sz w:val="22"/>
          <w:szCs w:val="22"/>
          <w:lang w:val="en-AU"/>
        </w:rPr>
        <w:t xml:space="preserve">. </w:t>
      </w:r>
    </w:p>
    <w:p w14:paraId="1DA41C26" w14:textId="3ED9154F" w:rsidR="00275B5D" w:rsidRPr="00AD5764"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AIPJ2’s current end-of-facility outcomes focus exclusively on informing “policies and implementation plans”.</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 xml:space="preserve">AIPJ2 is currently contributing to the development of some 30 or so policies/plans, of which as many as twelve are considered </w:t>
      </w:r>
      <w:r w:rsidR="00824FBF">
        <w:rPr>
          <w:rFonts w:asciiTheme="majorHAnsi" w:hAnsiTheme="majorHAnsi" w:cstheme="majorHAnsi"/>
          <w:color w:val="000000" w:themeColor="text1"/>
          <w:sz w:val="22"/>
          <w:szCs w:val="22"/>
          <w:lang w:val="en-AU"/>
        </w:rPr>
        <w:t xml:space="preserve">key </w:t>
      </w:r>
      <w:r w:rsidRPr="00AD5764">
        <w:rPr>
          <w:rFonts w:asciiTheme="majorHAnsi" w:hAnsiTheme="majorHAnsi" w:cstheme="majorHAnsi"/>
          <w:color w:val="000000" w:themeColor="text1"/>
          <w:sz w:val="22"/>
          <w:szCs w:val="22"/>
          <w:lang w:val="en-AU"/>
        </w:rPr>
        <w:t>priorities</w:t>
      </w:r>
      <w:r w:rsidR="00824FBF">
        <w:rPr>
          <w:rFonts w:asciiTheme="majorHAnsi" w:hAnsiTheme="majorHAnsi" w:cstheme="majorHAnsi"/>
          <w:color w:val="000000" w:themeColor="text1"/>
          <w:sz w:val="22"/>
          <w:szCs w:val="22"/>
          <w:lang w:val="en-AU"/>
        </w:rPr>
        <w:t xml:space="preserve"> by AIPJ2</w:t>
      </w:r>
      <w:r w:rsidRPr="00AD5764">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In one sense, therefore, AIPJ2 is already achieving the end-of-facility outcomes targeted in its performance assessment framework.</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 xml:space="preserve">But as the discussion about child marriage below demonstrates (see Box </w:t>
      </w:r>
      <w:r w:rsidR="003B2E6F">
        <w:rPr>
          <w:rFonts w:asciiTheme="majorHAnsi" w:hAnsiTheme="majorHAnsi" w:cstheme="majorHAnsi"/>
          <w:color w:val="000000" w:themeColor="text1"/>
          <w:sz w:val="22"/>
          <w:szCs w:val="22"/>
          <w:lang w:val="en-AU"/>
        </w:rPr>
        <w:t>5</w:t>
      </w:r>
      <w:r w:rsidRPr="00AD5764">
        <w:rPr>
          <w:rFonts w:asciiTheme="majorHAnsi" w:hAnsiTheme="majorHAnsi" w:cstheme="majorHAnsi"/>
          <w:color w:val="000000" w:themeColor="text1"/>
          <w:sz w:val="22"/>
          <w:szCs w:val="22"/>
          <w:lang w:val="en-AU"/>
        </w:rPr>
        <w:t xml:space="preserve">), a national plan or sub-national policy is only </w:t>
      </w:r>
      <w:r w:rsidR="000F662F">
        <w:rPr>
          <w:rFonts w:asciiTheme="majorHAnsi" w:hAnsiTheme="majorHAnsi" w:cstheme="majorHAnsi"/>
          <w:color w:val="000000" w:themeColor="text1"/>
          <w:sz w:val="22"/>
          <w:szCs w:val="22"/>
          <w:lang w:val="en-AU"/>
        </w:rPr>
        <w:t>one</w:t>
      </w:r>
      <w:r w:rsidRPr="00AD5764">
        <w:rPr>
          <w:rFonts w:asciiTheme="majorHAnsi" w:hAnsiTheme="majorHAnsi" w:cstheme="majorHAnsi"/>
          <w:color w:val="000000" w:themeColor="text1"/>
          <w:sz w:val="22"/>
          <w:szCs w:val="22"/>
          <w:lang w:val="en-AU"/>
        </w:rPr>
        <w:t xml:space="preserve"> element in the process of change needed to materially affect behaviours.</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 xml:space="preserve">Similarly, substantive behavioural change requires more than the three </w:t>
      </w:r>
      <w:r w:rsidR="00771F58">
        <w:rPr>
          <w:rFonts w:asciiTheme="majorHAnsi" w:hAnsiTheme="majorHAnsi" w:cstheme="majorHAnsi"/>
          <w:color w:val="000000" w:themeColor="text1"/>
          <w:sz w:val="22"/>
          <w:szCs w:val="22"/>
          <w:lang w:val="en-AU"/>
        </w:rPr>
        <w:t xml:space="preserve">(no doubt important) </w:t>
      </w:r>
      <w:r w:rsidRPr="00AD5764">
        <w:rPr>
          <w:rFonts w:asciiTheme="majorHAnsi" w:hAnsiTheme="majorHAnsi" w:cstheme="majorHAnsi"/>
          <w:color w:val="000000" w:themeColor="text1"/>
          <w:sz w:val="22"/>
          <w:szCs w:val="22"/>
          <w:lang w:val="en-AU"/>
        </w:rPr>
        <w:t>areas selected in AIPJ2’s theory of change:</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 xml:space="preserve">enhanced knowledge, partnerships and organisational capacity. </w:t>
      </w:r>
    </w:p>
    <w:p w14:paraId="3BD8976D" w14:textId="617EE972" w:rsidR="00275B5D" w:rsidRPr="00AD5764"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AIPJ2 fully understands this and no doubt the framing of its end of facility outcomes and theory of change reflect</w:t>
      </w:r>
      <w:r w:rsidR="000F662F">
        <w:rPr>
          <w:rFonts w:asciiTheme="majorHAnsi" w:hAnsiTheme="majorHAnsi" w:cstheme="majorHAnsi"/>
          <w:color w:val="000000" w:themeColor="text1"/>
          <w:sz w:val="22"/>
          <w:szCs w:val="22"/>
          <w:lang w:val="en-AU"/>
        </w:rPr>
        <w:t>,</w:t>
      </w:r>
      <w:r w:rsidRPr="00AD5764">
        <w:rPr>
          <w:rFonts w:asciiTheme="majorHAnsi" w:hAnsiTheme="majorHAnsi" w:cstheme="majorHAnsi"/>
          <w:color w:val="000000" w:themeColor="text1"/>
          <w:sz w:val="22"/>
          <w:szCs w:val="22"/>
          <w:lang w:val="en-AU"/>
        </w:rPr>
        <w:t xml:space="preserve"> in part at least</w:t>
      </w:r>
      <w:r w:rsidR="000F662F">
        <w:rPr>
          <w:rFonts w:asciiTheme="majorHAnsi" w:hAnsiTheme="majorHAnsi" w:cstheme="majorHAnsi"/>
          <w:color w:val="000000" w:themeColor="text1"/>
          <w:sz w:val="22"/>
          <w:szCs w:val="22"/>
          <w:lang w:val="en-AU"/>
        </w:rPr>
        <w:t>,</w:t>
      </w:r>
      <w:r w:rsidRPr="00AD5764">
        <w:rPr>
          <w:rFonts w:asciiTheme="majorHAnsi" w:hAnsiTheme="majorHAnsi" w:cstheme="majorHAnsi"/>
          <w:color w:val="000000" w:themeColor="text1"/>
          <w:sz w:val="22"/>
          <w:szCs w:val="22"/>
          <w:lang w:val="en-AU"/>
        </w:rPr>
        <w:t xml:space="preserve"> legitimate concerns about what AIPJ2 might be held accountable for</w:t>
      </w:r>
      <w:r w:rsidR="006470E5">
        <w:rPr>
          <w:rFonts w:asciiTheme="majorHAnsi" w:hAnsiTheme="majorHAnsi" w:cstheme="majorHAnsi"/>
          <w:color w:val="000000" w:themeColor="text1"/>
          <w:sz w:val="22"/>
          <w:szCs w:val="22"/>
          <w:lang w:val="en-AU"/>
        </w:rPr>
        <w:t xml:space="preserve"> by the end of the phase</w:t>
      </w:r>
      <w:r w:rsidRPr="00AD5764">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00777B6A" w:rsidRPr="00AD5764">
        <w:rPr>
          <w:rFonts w:asciiTheme="majorHAnsi" w:hAnsiTheme="majorHAnsi" w:cstheme="majorHAnsi"/>
          <w:color w:val="000000" w:themeColor="text1"/>
          <w:sz w:val="22"/>
          <w:szCs w:val="22"/>
          <w:lang w:val="en-AU"/>
        </w:rPr>
        <w:t>N</w:t>
      </w:r>
      <w:r w:rsidRPr="00AD5764">
        <w:rPr>
          <w:rFonts w:asciiTheme="majorHAnsi" w:hAnsiTheme="majorHAnsi" w:cstheme="majorHAnsi"/>
          <w:color w:val="000000" w:themeColor="text1"/>
          <w:sz w:val="22"/>
          <w:szCs w:val="22"/>
          <w:lang w:val="en-AU"/>
        </w:rPr>
        <w:t>evertheless, the result of this framing has been performance reports that largely describe the activities supported to inform a list of policies/plans, with little or no analysis of whether and why this matters</w:t>
      </w:r>
      <w:r w:rsidR="000F662F">
        <w:rPr>
          <w:rFonts w:asciiTheme="majorHAnsi" w:hAnsiTheme="majorHAnsi" w:cstheme="majorHAnsi"/>
          <w:color w:val="000000" w:themeColor="text1"/>
          <w:sz w:val="22"/>
          <w:szCs w:val="22"/>
          <w:lang w:val="en-AU"/>
        </w:rPr>
        <w:t>.</w:t>
      </w:r>
      <w:r w:rsidRPr="00AD5764">
        <w:rPr>
          <w:rFonts w:asciiTheme="majorHAnsi" w:hAnsiTheme="majorHAnsi" w:cstheme="majorHAnsi"/>
          <w:color w:val="000000" w:themeColor="text1"/>
          <w:sz w:val="22"/>
          <w:szCs w:val="22"/>
          <w:lang w:val="en-AU"/>
        </w:rPr>
        <w:t xml:space="preserve"> </w:t>
      </w:r>
      <w:r w:rsidR="008573F5">
        <w:rPr>
          <w:rFonts w:asciiTheme="majorHAnsi" w:hAnsiTheme="majorHAnsi" w:cstheme="majorHAnsi"/>
          <w:color w:val="000000" w:themeColor="text1"/>
          <w:sz w:val="22"/>
          <w:szCs w:val="22"/>
          <w:lang w:val="en-AU"/>
        </w:rPr>
        <w:t xml:space="preserve"> </w:t>
      </w:r>
      <w:r w:rsidR="000F662F">
        <w:rPr>
          <w:rFonts w:asciiTheme="majorHAnsi" w:hAnsiTheme="majorHAnsi" w:cstheme="majorHAnsi"/>
          <w:color w:val="000000" w:themeColor="text1"/>
          <w:sz w:val="22"/>
          <w:szCs w:val="22"/>
          <w:lang w:val="en-AU"/>
        </w:rPr>
        <w:t>T</w:t>
      </w:r>
      <w:r w:rsidR="000F662F" w:rsidRPr="00AD5764">
        <w:rPr>
          <w:rFonts w:asciiTheme="majorHAnsi" w:hAnsiTheme="majorHAnsi" w:cstheme="majorHAnsi"/>
          <w:color w:val="000000" w:themeColor="text1"/>
          <w:sz w:val="22"/>
          <w:szCs w:val="22"/>
          <w:lang w:val="en-AU"/>
        </w:rPr>
        <w:t>hat</w:t>
      </w:r>
      <w:r w:rsidR="00777B6A" w:rsidRPr="00AD5764">
        <w:rPr>
          <w:rFonts w:asciiTheme="majorHAnsi" w:hAnsiTheme="majorHAnsi" w:cstheme="majorHAnsi"/>
          <w:color w:val="000000" w:themeColor="text1"/>
          <w:sz w:val="22"/>
          <w:szCs w:val="22"/>
          <w:lang w:val="en-AU"/>
        </w:rPr>
        <w:t xml:space="preserve"> is, </w:t>
      </w:r>
      <w:r w:rsidRPr="00AD5764">
        <w:rPr>
          <w:rFonts w:asciiTheme="majorHAnsi" w:hAnsiTheme="majorHAnsi" w:cstheme="majorHAnsi"/>
          <w:color w:val="000000" w:themeColor="text1"/>
          <w:sz w:val="22"/>
          <w:szCs w:val="22"/>
          <w:lang w:val="en-AU"/>
        </w:rPr>
        <w:t>why achieving what AIPJ2 can reasonably influence is expected to contribute substantively to wider goals and whether the prospects for that actually happening are improving or worsening.</w:t>
      </w:r>
      <w:r w:rsidR="00A16179">
        <w:rPr>
          <w:rFonts w:asciiTheme="majorHAnsi" w:hAnsiTheme="majorHAnsi" w:cstheme="majorHAnsi"/>
          <w:color w:val="000000" w:themeColor="text1"/>
          <w:sz w:val="22"/>
          <w:szCs w:val="22"/>
          <w:lang w:val="en-AU"/>
        </w:rPr>
        <w:t xml:space="preserve"> </w:t>
      </w:r>
    </w:p>
    <w:p w14:paraId="7F35FE38" w14:textId="7EEBD2D2" w:rsidR="00275B5D" w:rsidRPr="00AD5764" w:rsidRDefault="00275B5D" w:rsidP="006B32D6">
      <w:pPr>
        <w:pStyle w:val="ListParagraph"/>
        <w:numPr>
          <w:ilvl w:val="2"/>
          <w:numId w:val="3"/>
        </w:numPr>
        <w:tabs>
          <w:tab w:val="left" w:pos="567"/>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To some extent, this approach may have been reinforced by DFAT’s own Performance Assessment Framework for the Australian aid program in Indonesia</w:t>
      </w:r>
      <w:r w:rsidR="000F662F">
        <w:rPr>
          <w:rFonts w:asciiTheme="majorHAnsi" w:hAnsiTheme="majorHAnsi" w:cstheme="majorHAnsi"/>
          <w:color w:val="000000" w:themeColor="text1"/>
          <w:sz w:val="22"/>
          <w:szCs w:val="22"/>
          <w:lang w:val="en-AU"/>
        </w:rPr>
        <w:t>,</w:t>
      </w:r>
      <w:r w:rsidRPr="00AD5764">
        <w:rPr>
          <w:rFonts w:asciiTheme="majorHAnsi" w:hAnsiTheme="majorHAnsi" w:cstheme="majorHAnsi"/>
          <w:color w:val="000000" w:themeColor="text1"/>
          <w:sz w:val="22"/>
          <w:szCs w:val="22"/>
          <w:lang w:val="en-AU"/>
        </w:rPr>
        <w:t xml:space="preserve"> within which AIPJ2 sits.</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Key measures of success for the two main areas of the Framework where AIPJ2 contributes</w:t>
      </w:r>
      <w:r w:rsidRPr="00AD5764">
        <w:rPr>
          <w:rStyle w:val="FootnoteReference"/>
          <w:rFonts w:asciiTheme="majorHAnsi" w:hAnsiTheme="majorHAnsi" w:cstheme="majorHAnsi"/>
          <w:color w:val="000000" w:themeColor="text1"/>
          <w:sz w:val="22"/>
          <w:szCs w:val="22"/>
          <w:lang w:val="en-AU"/>
        </w:rPr>
        <w:footnoteReference w:id="7"/>
      </w:r>
      <w:r w:rsidRPr="00AD5764">
        <w:rPr>
          <w:rFonts w:asciiTheme="majorHAnsi" w:hAnsiTheme="majorHAnsi" w:cstheme="majorHAnsi"/>
          <w:color w:val="000000" w:themeColor="text1"/>
          <w:sz w:val="22"/>
          <w:szCs w:val="22"/>
          <w:lang w:val="en-AU"/>
        </w:rPr>
        <w:t xml:space="preserve"> include the development of plans and the provision of evidence to inform policy.</w:t>
      </w:r>
    </w:p>
    <w:p w14:paraId="5566B170" w14:textId="036E8BC5" w:rsidR="00275B5D" w:rsidRPr="00AD5764" w:rsidRDefault="00275B5D"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 xml:space="preserve">To be clear, the review team is not criticising the value of better of policies or strategies </w:t>
      </w:r>
      <w:r w:rsidRPr="00AD5764">
        <w:rPr>
          <w:rFonts w:asciiTheme="majorHAnsi" w:hAnsiTheme="majorHAnsi" w:cstheme="majorHAnsi"/>
          <w:i/>
          <w:iCs/>
          <w:color w:val="000000" w:themeColor="text1"/>
          <w:sz w:val="22"/>
          <w:szCs w:val="22"/>
          <w:lang w:val="en-AU"/>
        </w:rPr>
        <w:t>per se</w:t>
      </w:r>
      <w:r w:rsidRPr="00AD5764">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But any informative reflection on end-of-facility outcomes must situate these improvements within a real-world context – one that recognises that the potential significance, timeframe and indeed success prospects for different policy changes will vary depending on the current political and social settings and the depth of reform required.</w:t>
      </w:r>
      <w:r w:rsidR="00A16179">
        <w:rPr>
          <w:rFonts w:asciiTheme="majorHAnsi" w:hAnsiTheme="majorHAnsi" w:cstheme="majorHAnsi"/>
          <w:color w:val="000000" w:themeColor="text1"/>
          <w:sz w:val="22"/>
          <w:szCs w:val="22"/>
          <w:lang w:val="en-AU"/>
        </w:rPr>
        <w:t xml:space="preserve"> </w:t>
      </w:r>
    </w:p>
    <w:p w14:paraId="765DCA66" w14:textId="4A871596" w:rsidR="00A9064C" w:rsidRPr="00AD5764" w:rsidRDefault="00081392"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sidRPr="00AD5764">
        <w:rPr>
          <w:rFonts w:asciiTheme="majorHAnsi" w:hAnsiTheme="majorHAnsi" w:cstheme="majorHAnsi"/>
          <w:color w:val="000000" w:themeColor="text1"/>
          <w:sz w:val="22"/>
          <w:szCs w:val="22"/>
          <w:lang w:val="en-AU"/>
        </w:rPr>
        <w:t>The</w:t>
      </w:r>
      <w:r w:rsidR="003E0229" w:rsidRPr="00AD5764">
        <w:rPr>
          <w:rFonts w:asciiTheme="majorHAnsi" w:hAnsiTheme="majorHAnsi" w:cstheme="majorHAnsi"/>
          <w:color w:val="000000" w:themeColor="text1"/>
          <w:sz w:val="22"/>
          <w:szCs w:val="22"/>
          <w:lang w:val="en-AU"/>
        </w:rPr>
        <w:t xml:space="preserve"> review of achievements to date (section 2.1</w:t>
      </w:r>
      <w:r w:rsidR="00A9064C" w:rsidRPr="00AD5764">
        <w:rPr>
          <w:rFonts w:asciiTheme="majorHAnsi" w:hAnsiTheme="majorHAnsi" w:cstheme="majorHAnsi"/>
          <w:color w:val="000000" w:themeColor="text1"/>
          <w:sz w:val="22"/>
          <w:szCs w:val="22"/>
          <w:lang w:val="en-AU"/>
        </w:rPr>
        <w:t xml:space="preserve"> above)</w:t>
      </w:r>
      <w:r w:rsidRPr="00AD5764">
        <w:rPr>
          <w:rFonts w:asciiTheme="majorHAnsi" w:hAnsiTheme="majorHAnsi" w:cstheme="majorHAnsi"/>
          <w:color w:val="000000" w:themeColor="text1"/>
          <w:sz w:val="22"/>
          <w:szCs w:val="22"/>
          <w:lang w:val="en-AU"/>
        </w:rPr>
        <w:t xml:space="preserve"> highlight</w:t>
      </w:r>
      <w:r w:rsidR="00AD5764">
        <w:rPr>
          <w:rFonts w:asciiTheme="majorHAnsi" w:hAnsiTheme="majorHAnsi" w:cstheme="majorHAnsi"/>
          <w:color w:val="000000" w:themeColor="text1"/>
          <w:sz w:val="22"/>
          <w:szCs w:val="22"/>
          <w:lang w:val="en-AU"/>
        </w:rPr>
        <w:t>ed</w:t>
      </w:r>
      <w:r w:rsidRPr="00AD5764">
        <w:rPr>
          <w:rFonts w:asciiTheme="majorHAnsi" w:hAnsiTheme="majorHAnsi" w:cstheme="majorHAnsi"/>
          <w:color w:val="000000" w:themeColor="text1"/>
          <w:sz w:val="22"/>
          <w:szCs w:val="22"/>
          <w:lang w:val="en-AU"/>
        </w:rPr>
        <w:t xml:space="preserve"> </w:t>
      </w:r>
      <w:r w:rsidR="00A9064C" w:rsidRPr="00AD5764">
        <w:rPr>
          <w:rFonts w:asciiTheme="majorHAnsi" w:hAnsiTheme="majorHAnsi" w:cstheme="majorHAnsi"/>
          <w:color w:val="000000" w:themeColor="text1"/>
          <w:sz w:val="22"/>
          <w:szCs w:val="22"/>
          <w:lang w:val="en-AU"/>
        </w:rPr>
        <w:t xml:space="preserve">that AIPJ2’s support to partners has indeed contributed to significant policy changes in the last 2.5 years but </w:t>
      </w:r>
      <w:r w:rsidRPr="00AD5764">
        <w:rPr>
          <w:rFonts w:asciiTheme="majorHAnsi" w:hAnsiTheme="majorHAnsi" w:cstheme="majorHAnsi"/>
          <w:color w:val="000000" w:themeColor="text1"/>
          <w:sz w:val="22"/>
          <w:szCs w:val="22"/>
          <w:lang w:val="en-AU"/>
        </w:rPr>
        <w:t xml:space="preserve">also </w:t>
      </w:r>
      <w:r w:rsidR="00A9064C" w:rsidRPr="00AD5764">
        <w:rPr>
          <w:rFonts w:asciiTheme="majorHAnsi" w:hAnsiTheme="majorHAnsi" w:cstheme="majorHAnsi"/>
          <w:color w:val="000000" w:themeColor="text1"/>
          <w:sz w:val="22"/>
          <w:szCs w:val="22"/>
          <w:lang w:val="en-AU"/>
        </w:rPr>
        <w:t xml:space="preserve">that realising the potential </w:t>
      </w:r>
      <w:r w:rsidR="006A573C" w:rsidRPr="00AD5764">
        <w:rPr>
          <w:rFonts w:asciiTheme="majorHAnsi" w:hAnsiTheme="majorHAnsi" w:cstheme="majorHAnsi"/>
          <w:color w:val="000000" w:themeColor="text1"/>
          <w:sz w:val="22"/>
          <w:szCs w:val="22"/>
          <w:lang w:val="en-AU"/>
        </w:rPr>
        <w:t xml:space="preserve">value </w:t>
      </w:r>
      <w:r w:rsidR="00A9064C" w:rsidRPr="00AD5764">
        <w:rPr>
          <w:rFonts w:asciiTheme="majorHAnsi" w:hAnsiTheme="majorHAnsi" w:cstheme="majorHAnsi"/>
          <w:color w:val="000000" w:themeColor="text1"/>
          <w:sz w:val="22"/>
          <w:szCs w:val="22"/>
          <w:lang w:val="en-AU"/>
        </w:rPr>
        <w:t>of these changes requires much additional work.</w:t>
      </w:r>
      <w:r w:rsidR="008573F5">
        <w:rPr>
          <w:rFonts w:asciiTheme="majorHAnsi" w:hAnsiTheme="majorHAnsi" w:cstheme="majorHAnsi"/>
          <w:color w:val="000000" w:themeColor="text1"/>
          <w:sz w:val="22"/>
          <w:szCs w:val="22"/>
          <w:lang w:val="en-AU"/>
        </w:rPr>
        <w:t xml:space="preserve"> </w:t>
      </w:r>
      <w:r w:rsidR="00A9064C" w:rsidRPr="00AD5764">
        <w:rPr>
          <w:rFonts w:asciiTheme="majorHAnsi" w:hAnsiTheme="majorHAnsi" w:cstheme="majorHAnsi"/>
          <w:color w:val="000000" w:themeColor="text1"/>
          <w:sz w:val="22"/>
          <w:szCs w:val="22"/>
          <w:lang w:val="en-AU"/>
        </w:rPr>
        <w:t xml:space="preserve">This raises </w:t>
      </w:r>
      <w:r w:rsidR="000F662F">
        <w:rPr>
          <w:rFonts w:asciiTheme="majorHAnsi" w:hAnsiTheme="majorHAnsi" w:cstheme="majorHAnsi"/>
          <w:color w:val="000000" w:themeColor="text1"/>
          <w:sz w:val="22"/>
          <w:szCs w:val="22"/>
          <w:lang w:val="en-AU"/>
        </w:rPr>
        <w:t>the</w:t>
      </w:r>
      <w:r w:rsidR="00A9064C" w:rsidRPr="00AD5764">
        <w:rPr>
          <w:rFonts w:asciiTheme="majorHAnsi" w:hAnsiTheme="majorHAnsi" w:cstheme="majorHAnsi"/>
          <w:color w:val="000000" w:themeColor="text1"/>
          <w:sz w:val="22"/>
          <w:szCs w:val="22"/>
          <w:lang w:val="en-AU"/>
        </w:rPr>
        <w:t xml:space="preserve"> issue of whether AIPJ2 focuses on policy change in a wide range of areas at the expense of </w:t>
      </w:r>
      <w:r w:rsidR="00AD5764">
        <w:rPr>
          <w:rFonts w:asciiTheme="majorHAnsi" w:hAnsiTheme="majorHAnsi" w:cstheme="majorHAnsi"/>
          <w:color w:val="000000" w:themeColor="text1"/>
          <w:sz w:val="22"/>
          <w:szCs w:val="22"/>
          <w:lang w:val="en-AU"/>
        </w:rPr>
        <w:t xml:space="preserve">policy </w:t>
      </w:r>
      <w:r w:rsidR="000F662F">
        <w:rPr>
          <w:rFonts w:asciiTheme="majorHAnsi" w:hAnsiTheme="majorHAnsi" w:cstheme="majorHAnsi"/>
          <w:color w:val="000000" w:themeColor="text1"/>
          <w:sz w:val="22"/>
          <w:szCs w:val="22"/>
          <w:lang w:val="en-AU"/>
        </w:rPr>
        <w:t xml:space="preserve">change </w:t>
      </w:r>
      <w:r w:rsidR="000F662F">
        <w:rPr>
          <w:rFonts w:asciiTheme="majorHAnsi" w:hAnsiTheme="majorHAnsi" w:cstheme="majorHAnsi"/>
          <w:i/>
          <w:iCs/>
          <w:color w:val="000000" w:themeColor="text1"/>
          <w:sz w:val="22"/>
          <w:szCs w:val="22"/>
          <w:lang w:val="en-AU"/>
        </w:rPr>
        <w:t xml:space="preserve">and </w:t>
      </w:r>
      <w:r w:rsidR="00A9064C" w:rsidRPr="00771F58">
        <w:rPr>
          <w:rFonts w:asciiTheme="majorHAnsi" w:hAnsiTheme="majorHAnsi"/>
          <w:i/>
          <w:color w:val="000000" w:themeColor="text1"/>
          <w:sz w:val="22"/>
          <w:lang w:val="en-AU"/>
        </w:rPr>
        <w:t>implement</w:t>
      </w:r>
      <w:r w:rsidR="00AD5764" w:rsidRPr="00771F58">
        <w:rPr>
          <w:rFonts w:asciiTheme="majorHAnsi" w:hAnsiTheme="majorHAnsi"/>
          <w:i/>
          <w:color w:val="000000" w:themeColor="text1"/>
          <w:sz w:val="22"/>
          <w:lang w:val="en-AU"/>
        </w:rPr>
        <w:t>ation</w:t>
      </w:r>
      <w:r w:rsidR="00A9064C" w:rsidRPr="00AD5764">
        <w:rPr>
          <w:rFonts w:asciiTheme="majorHAnsi" w:hAnsiTheme="majorHAnsi" w:cstheme="majorHAnsi"/>
          <w:color w:val="000000" w:themeColor="text1"/>
          <w:sz w:val="22"/>
          <w:szCs w:val="22"/>
          <w:lang w:val="en-AU"/>
        </w:rPr>
        <w:t xml:space="preserve"> in a smaller number of areas. A criticism of the Partnership we heard from some quarters was that </w:t>
      </w:r>
      <w:r w:rsidR="00AD5764">
        <w:rPr>
          <w:rFonts w:asciiTheme="majorHAnsi" w:hAnsiTheme="majorHAnsi" w:cstheme="majorHAnsi"/>
          <w:color w:val="000000" w:themeColor="text1"/>
          <w:sz w:val="22"/>
          <w:szCs w:val="22"/>
          <w:lang w:val="en-AU"/>
        </w:rPr>
        <w:t>it</w:t>
      </w:r>
      <w:r w:rsidR="00A9064C" w:rsidRPr="00AD5764">
        <w:rPr>
          <w:rFonts w:asciiTheme="majorHAnsi" w:hAnsiTheme="majorHAnsi" w:cstheme="majorHAnsi"/>
          <w:color w:val="000000" w:themeColor="text1"/>
          <w:sz w:val="22"/>
          <w:szCs w:val="22"/>
          <w:lang w:val="en-AU"/>
        </w:rPr>
        <w:t xml:space="preserve"> had supported important work – such as legal aid under AIPJ1 – only to cease support once the </w:t>
      </w:r>
      <w:r w:rsidR="00724DA3" w:rsidRPr="00AD5764">
        <w:rPr>
          <w:rFonts w:asciiTheme="majorHAnsi" w:hAnsiTheme="majorHAnsi" w:cstheme="majorHAnsi"/>
          <w:color w:val="000000" w:themeColor="text1"/>
          <w:sz w:val="22"/>
          <w:szCs w:val="22"/>
          <w:lang w:val="en-AU"/>
        </w:rPr>
        <w:t xml:space="preserve">change in </w:t>
      </w:r>
      <w:r w:rsidR="00A9064C" w:rsidRPr="00AD5764">
        <w:rPr>
          <w:rFonts w:asciiTheme="majorHAnsi" w:hAnsiTheme="majorHAnsi" w:cstheme="majorHAnsi"/>
          <w:color w:val="000000" w:themeColor="text1"/>
          <w:sz w:val="22"/>
          <w:szCs w:val="22"/>
          <w:lang w:val="en-AU"/>
        </w:rPr>
        <w:t xml:space="preserve">policy or law was achieved. </w:t>
      </w:r>
      <w:r w:rsidR="00724DA3" w:rsidRPr="00AD5764">
        <w:rPr>
          <w:rFonts w:asciiTheme="majorHAnsi" w:hAnsiTheme="majorHAnsi" w:cstheme="majorHAnsi"/>
          <w:color w:val="000000" w:themeColor="text1"/>
          <w:sz w:val="22"/>
          <w:szCs w:val="22"/>
          <w:lang w:val="en-AU"/>
        </w:rPr>
        <w:t>S</w:t>
      </w:r>
      <w:r w:rsidR="00A9064C" w:rsidRPr="00AD5764">
        <w:rPr>
          <w:rFonts w:asciiTheme="majorHAnsi" w:hAnsiTheme="majorHAnsi" w:cstheme="majorHAnsi"/>
          <w:color w:val="000000" w:themeColor="text1"/>
          <w:sz w:val="22"/>
          <w:szCs w:val="22"/>
          <w:lang w:val="en-AU"/>
        </w:rPr>
        <w:t>ome interviewees suggested that a more sustained engagement on</w:t>
      </w:r>
      <w:r w:rsidR="00724DA3" w:rsidRPr="00AD5764">
        <w:rPr>
          <w:rFonts w:asciiTheme="majorHAnsi" w:hAnsiTheme="majorHAnsi" w:cstheme="majorHAnsi"/>
          <w:color w:val="000000" w:themeColor="text1"/>
          <w:sz w:val="22"/>
          <w:szCs w:val="22"/>
          <w:lang w:val="en-AU"/>
        </w:rPr>
        <w:t xml:space="preserve"> implementation</w:t>
      </w:r>
      <w:r w:rsidR="00A9064C" w:rsidRPr="00AD5764">
        <w:rPr>
          <w:rFonts w:asciiTheme="majorHAnsi" w:hAnsiTheme="majorHAnsi" w:cstheme="majorHAnsi"/>
          <w:color w:val="000000" w:themeColor="text1"/>
          <w:sz w:val="22"/>
          <w:szCs w:val="22"/>
          <w:lang w:val="en-AU"/>
        </w:rPr>
        <w:t xml:space="preserve"> issues beyond policy or legal change</w:t>
      </w:r>
      <w:r w:rsidR="00724DA3" w:rsidRPr="00AD5764">
        <w:rPr>
          <w:rFonts w:asciiTheme="majorHAnsi" w:hAnsiTheme="majorHAnsi" w:cstheme="majorHAnsi"/>
          <w:color w:val="000000" w:themeColor="text1"/>
          <w:sz w:val="22"/>
          <w:szCs w:val="22"/>
          <w:lang w:val="en-AU"/>
        </w:rPr>
        <w:t xml:space="preserve">, albeit on a smaller range of issues, might </w:t>
      </w:r>
      <w:r w:rsidR="00A9064C" w:rsidRPr="00AD5764">
        <w:rPr>
          <w:rFonts w:asciiTheme="majorHAnsi" w:hAnsiTheme="majorHAnsi" w:cstheme="majorHAnsi"/>
          <w:color w:val="000000" w:themeColor="text1"/>
          <w:sz w:val="22"/>
          <w:szCs w:val="22"/>
          <w:lang w:val="en-AU"/>
        </w:rPr>
        <w:t xml:space="preserve">deliver a </w:t>
      </w:r>
      <w:r w:rsidR="00724DA3" w:rsidRPr="00AD5764">
        <w:rPr>
          <w:rFonts w:asciiTheme="majorHAnsi" w:hAnsiTheme="majorHAnsi" w:cstheme="majorHAnsi"/>
          <w:color w:val="000000" w:themeColor="text1"/>
          <w:sz w:val="22"/>
          <w:szCs w:val="22"/>
          <w:lang w:val="en-AU"/>
        </w:rPr>
        <w:t xml:space="preserve">greater </w:t>
      </w:r>
      <w:r w:rsidR="00A9064C" w:rsidRPr="00AD5764">
        <w:rPr>
          <w:rFonts w:asciiTheme="majorHAnsi" w:hAnsiTheme="majorHAnsi" w:cstheme="majorHAnsi"/>
          <w:color w:val="000000" w:themeColor="text1"/>
          <w:sz w:val="22"/>
          <w:szCs w:val="22"/>
          <w:lang w:val="en-AU"/>
        </w:rPr>
        <w:t>development divide</w:t>
      </w:r>
      <w:r w:rsidR="00724DA3" w:rsidRPr="00AD5764">
        <w:rPr>
          <w:rFonts w:asciiTheme="majorHAnsi" w:hAnsiTheme="majorHAnsi" w:cstheme="majorHAnsi"/>
          <w:color w:val="000000" w:themeColor="text1"/>
          <w:sz w:val="22"/>
          <w:szCs w:val="22"/>
          <w:lang w:val="en-AU"/>
        </w:rPr>
        <w:t>n</w:t>
      </w:r>
      <w:r w:rsidR="00A9064C" w:rsidRPr="00AD5764">
        <w:rPr>
          <w:rFonts w:asciiTheme="majorHAnsi" w:hAnsiTheme="majorHAnsi" w:cstheme="majorHAnsi"/>
          <w:color w:val="000000" w:themeColor="text1"/>
          <w:sz w:val="22"/>
          <w:szCs w:val="22"/>
          <w:lang w:val="en-AU"/>
        </w:rPr>
        <w:t xml:space="preserve">d for </w:t>
      </w:r>
      <w:r w:rsidR="00AD5764">
        <w:rPr>
          <w:rFonts w:asciiTheme="majorHAnsi" w:hAnsiTheme="majorHAnsi" w:cstheme="majorHAnsi"/>
          <w:color w:val="000000" w:themeColor="text1"/>
          <w:sz w:val="22"/>
          <w:szCs w:val="22"/>
          <w:lang w:val="en-AU"/>
        </w:rPr>
        <w:t>citizens</w:t>
      </w:r>
      <w:r w:rsidR="00A9064C" w:rsidRPr="00AD5764">
        <w:rPr>
          <w:rFonts w:asciiTheme="majorHAnsi" w:hAnsiTheme="majorHAnsi" w:cstheme="majorHAnsi"/>
          <w:color w:val="000000" w:themeColor="text1"/>
          <w:sz w:val="22"/>
          <w:szCs w:val="22"/>
          <w:lang w:val="en-AU"/>
        </w:rPr>
        <w:t xml:space="preserve">. </w:t>
      </w:r>
    </w:p>
    <w:p w14:paraId="43E1EDE7" w14:textId="0EAD82A2" w:rsidR="00724DA3" w:rsidRDefault="00724DA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bookmarkStart w:id="5" w:name="_Hlk17307848"/>
      <w:r w:rsidRPr="00AD5764">
        <w:rPr>
          <w:rFonts w:asciiTheme="majorHAnsi" w:hAnsiTheme="majorHAnsi" w:cstheme="majorHAnsi"/>
          <w:color w:val="000000" w:themeColor="text1"/>
          <w:sz w:val="22"/>
          <w:szCs w:val="22"/>
          <w:lang w:val="en-AU"/>
        </w:rPr>
        <w:t>Of course, it is important to be realistic about the funding available to AIPJ2 and there is a risk that a focus on implementation could quickly drain these resources. The Partnership itself sees its role as supporting the instigation of change through policy or legal reform, then allowing the Indonesian Government to take forward implementation with far greater resources.</w:t>
      </w:r>
      <w:r w:rsidR="008573F5">
        <w:rPr>
          <w:rFonts w:asciiTheme="majorHAnsi" w:hAnsiTheme="majorHAnsi" w:cstheme="majorHAnsi"/>
          <w:color w:val="000000" w:themeColor="text1"/>
          <w:sz w:val="22"/>
          <w:szCs w:val="22"/>
          <w:lang w:val="en-AU"/>
        </w:rPr>
        <w:t xml:space="preserve"> </w:t>
      </w:r>
      <w:r w:rsidR="00860B00">
        <w:rPr>
          <w:rFonts w:asciiTheme="majorHAnsi" w:hAnsiTheme="majorHAnsi" w:cstheme="majorHAnsi"/>
          <w:color w:val="000000" w:themeColor="text1"/>
          <w:sz w:val="22"/>
          <w:szCs w:val="22"/>
          <w:lang w:val="en-AU"/>
        </w:rPr>
        <w:t>While AIPJ2 should not be actua</w:t>
      </w:r>
      <w:r w:rsidR="00990CAA">
        <w:rPr>
          <w:rFonts w:asciiTheme="majorHAnsi" w:hAnsiTheme="majorHAnsi" w:cstheme="majorHAnsi"/>
          <w:color w:val="000000" w:themeColor="text1"/>
          <w:sz w:val="22"/>
          <w:szCs w:val="22"/>
          <w:lang w:val="en-AU"/>
        </w:rPr>
        <w:t>l</w:t>
      </w:r>
      <w:r w:rsidR="00860B00">
        <w:rPr>
          <w:rFonts w:asciiTheme="majorHAnsi" w:hAnsiTheme="majorHAnsi" w:cstheme="majorHAnsi"/>
          <w:color w:val="000000" w:themeColor="text1"/>
          <w:sz w:val="22"/>
          <w:szCs w:val="22"/>
          <w:lang w:val="en-AU"/>
        </w:rPr>
        <w:t>l</w:t>
      </w:r>
      <w:r w:rsidR="00990CAA">
        <w:rPr>
          <w:rFonts w:asciiTheme="majorHAnsi" w:hAnsiTheme="majorHAnsi" w:cstheme="majorHAnsi"/>
          <w:color w:val="000000" w:themeColor="text1"/>
          <w:sz w:val="22"/>
          <w:szCs w:val="22"/>
          <w:lang w:val="en-AU"/>
        </w:rPr>
        <w:t>y</w:t>
      </w:r>
      <w:r w:rsidR="00860B00">
        <w:rPr>
          <w:rFonts w:asciiTheme="majorHAnsi" w:hAnsiTheme="majorHAnsi" w:cstheme="majorHAnsi"/>
          <w:color w:val="000000" w:themeColor="text1"/>
          <w:sz w:val="22"/>
          <w:szCs w:val="22"/>
          <w:lang w:val="en-AU"/>
        </w:rPr>
        <w:t xml:space="preserve"> </w:t>
      </w:r>
      <w:r w:rsidR="00990CAA">
        <w:rPr>
          <w:rFonts w:asciiTheme="majorHAnsi" w:hAnsiTheme="majorHAnsi" w:cstheme="majorHAnsi"/>
          <w:color w:val="000000" w:themeColor="text1"/>
          <w:sz w:val="22"/>
          <w:szCs w:val="22"/>
          <w:lang w:val="en-AU"/>
        </w:rPr>
        <w:t xml:space="preserve">delivering services, </w:t>
      </w:r>
      <w:r w:rsidR="00860B00">
        <w:rPr>
          <w:rFonts w:asciiTheme="majorHAnsi" w:hAnsiTheme="majorHAnsi" w:cstheme="majorHAnsi"/>
          <w:color w:val="000000" w:themeColor="text1"/>
          <w:sz w:val="22"/>
          <w:szCs w:val="22"/>
          <w:lang w:val="en-AU"/>
        </w:rPr>
        <w:t>there is potential scope for AIPJ2</w:t>
      </w:r>
      <w:r w:rsidR="00990CAA">
        <w:rPr>
          <w:rFonts w:asciiTheme="majorHAnsi" w:hAnsiTheme="majorHAnsi" w:cstheme="majorHAnsi"/>
          <w:color w:val="000000" w:themeColor="text1"/>
          <w:sz w:val="22"/>
          <w:szCs w:val="22"/>
          <w:lang w:val="en-AU"/>
        </w:rPr>
        <w:t xml:space="preserve"> to provide advisory support on, for example, design of implementation systems, monitoring and resolution of teething problems.  </w:t>
      </w:r>
      <w:r w:rsidRPr="00AD5764">
        <w:rPr>
          <w:rFonts w:asciiTheme="majorHAnsi" w:hAnsiTheme="majorHAnsi" w:cstheme="majorHAnsi"/>
          <w:color w:val="000000" w:themeColor="text1"/>
          <w:sz w:val="22"/>
          <w:szCs w:val="22"/>
          <w:lang w:val="en-AU"/>
        </w:rPr>
        <w:t>This would keep its role focused on support to government and brokering in the expertise of civil society</w:t>
      </w:r>
      <w:r w:rsidR="00234193">
        <w:rPr>
          <w:rFonts w:asciiTheme="majorHAnsi" w:hAnsiTheme="majorHAnsi" w:cstheme="majorHAnsi"/>
          <w:color w:val="000000" w:themeColor="text1"/>
          <w:sz w:val="22"/>
          <w:szCs w:val="22"/>
          <w:lang w:val="en-AU"/>
        </w:rPr>
        <w:t xml:space="preserve"> </w:t>
      </w:r>
      <w:r w:rsidRPr="00AD5764">
        <w:rPr>
          <w:rFonts w:asciiTheme="majorHAnsi" w:hAnsiTheme="majorHAnsi" w:cstheme="majorHAnsi"/>
          <w:color w:val="000000" w:themeColor="text1"/>
          <w:sz w:val="22"/>
          <w:szCs w:val="22"/>
          <w:lang w:val="en-AU"/>
        </w:rPr>
        <w:t>but ensure more sustained support in priority areas.</w:t>
      </w:r>
    </w:p>
    <w:p w14:paraId="1C586A4D" w14:textId="77777777" w:rsidR="00534F69" w:rsidRDefault="00534F69" w:rsidP="00534F69">
      <w:pPr>
        <w:pStyle w:val="ListParagraph"/>
        <w:tabs>
          <w:tab w:val="left" w:pos="567"/>
          <w:tab w:val="left" w:pos="3969"/>
        </w:tabs>
        <w:spacing w:line="274" w:lineRule="auto"/>
        <w:ind w:left="0"/>
        <w:contextualSpacing w:val="0"/>
        <w:rPr>
          <w:rFonts w:asciiTheme="majorHAnsi" w:hAnsiTheme="majorHAnsi" w:cstheme="majorHAnsi"/>
          <w:color w:val="000000" w:themeColor="text1"/>
          <w:sz w:val="22"/>
          <w:szCs w:val="22"/>
          <w:lang w:val="en-AU"/>
        </w:rPr>
        <w:sectPr w:rsidR="00534F69" w:rsidSect="00E6108C">
          <w:headerReference w:type="even" r:id="rId20"/>
          <w:headerReference w:type="default" r:id="rId21"/>
          <w:footerReference w:type="default" r:id="rId22"/>
          <w:headerReference w:type="first" r:id="rId23"/>
          <w:pgSz w:w="11900" w:h="16840"/>
          <w:pgMar w:top="1482" w:right="1440" w:bottom="1440" w:left="1440" w:header="708" w:footer="708" w:gutter="0"/>
          <w:pgNumType w:start="1"/>
          <w:cols w:space="708"/>
          <w:docGrid w:linePitch="360"/>
        </w:sectPr>
      </w:pPr>
    </w:p>
    <w:bookmarkEnd w:id="5"/>
    <w:p w14:paraId="5555C611" w14:textId="77777777" w:rsidR="00137FCE" w:rsidRPr="00534F69" w:rsidRDefault="00137FCE" w:rsidP="006B32D6">
      <w:pPr>
        <w:pStyle w:val="ListParagraph"/>
        <w:numPr>
          <w:ilvl w:val="0"/>
          <w:numId w:val="3"/>
        </w:numPr>
        <w:spacing w:before="240" w:after="240"/>
        <w:ind w:left="567" w:hanging="567"/>
        <w:contextualSpacing w:val="0"/>
        <w:rPr>
          <w:rFonts w:asciiTheme="majorHAnsi" w:hAnsiTheme="majorHAnsi" w:cstheme="majorHAnsi"/>
          <w:b/>
          <w:bCs/>
          <w:color w:val="00B0F0"/>
          <w:sz w:val="32"/>
          <w:szCs w:val="32"/>
          <w:lang w:val="en-AU"/>
        </w:rPr>
      </w:pPr>
      <w:r w:rsidRPr="00534F69">
        <w:rPr>
          <w:rFonts w:asciiTheme="majorHAnsi" w:hAnsiTheme="majorHAnsi" w:cstheme="majorHAnsi"/>
          <w:b/>
          <w:bCs/>
          <w:color w:val="00B0F0"/>
          <w:sz w:val="32"/>
          <w:szCs w:val="32"/>
          <w:lang w:val="en-AU"/>
        </w:rPr>
        <w:t>Implementation arrangements</w:t>
      </w:r>
    </w:p>
    <w:p w14:paraId="2AE8108D" w14:textId="18DBC99E" w:rsidR="00AD5764" w:rsidRPr="00CE4351" w:rsidRDefault="00AD5764"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Partnering approach</w:t>
      </w:r>
    </w:p>
    <w:p w14:paraId="153ACA37" w14:textId="28A5E56A" w:rsidR="00534F69" w:rsidRDefault="00534F69"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Calibri Light" w:hAnsi="Calibri Light" w:cs="Calibri Light"/>
          <w:sz w:val="22"/>
          <w:szCs w:val="22"/>
        </w:rPr>
        <w:t>AIPJ2's</w:t>
      </w:r>
      <w:r>
        <w:rPr>
          <w:rFonts w:asciiTheme="majorHAnsi" w:hAnsiTheme="majorHAnsi" w:cstheme="majorHAnsi"/>
          <w:color w:val="000000" w:themeColor="text1"/>
          <w:sz w:val="22"/>
          <w:szCs w:val="22"/>
        </w:rPr>
        <w:t xml:space="preserve"> </w:t>
      </w:r>
      <w:r w:rsidR="0081437F">
        <w:rPr>
          <w:rFonts w:asciiTheme="majorHAnsi" w:hAnsiTheme="majorHAnsi" w:cstheme="majorHAnsi"/>
          <w:color w:val="000000" w:themeColor="text1"/>
          <w:sz w:val="22"/>
          <w:szCs w:val="22"/>
        </w:rPr>
        <w:t xml:space="preserve">achievements discussed in section 2 </w:t>
      </w:r>
      <w:r>
        <w:rPr>
          <w:rFonts w:asciiTheme="majorHAnsi" w:hAnsiTheme="majorHAnsi" w:cstheme="majorHAnsi"/>
          <w:color w:val="000000" w:themeColor="text1"/>
          <w:sz w:val="22"/>
          <w:szCs w:val="22"/>
        </w:rPr>
        <w:t xml:space="preserve">have been </w:t>
      </w:r>
      <w:r w:rsidR="0081437F">
        <w:rPr>
          <w:rFonts w:asciiTheme="majorHAnsi" w:hAnsiTheme="majorHAnsi" w:cstheme="majorHAnsi"/>
          <w:color w:val="000000" w:themeColor="text1"/>
          <w:sz w:val="22"/>
          <w:szCs w:val="22"/>
        </w:rPr>
        <w:t xml:space="preserve">realised </w:t>
      </w:r>
      <w:r>
        <w:rPr>
          <w:rFonts w:asciiTheme="majorHAnsi" w:hAnsiTheme="majorHAnsi" w:cstheme="majorHAnsi"/>
          <w:color w:val="000000" w:themeColor="text1"/>
          <w:sz w:val="22"/>
          <w:szCs w:val="22"/>
        </w:rPr>
        <w:t xml:space="preserve">despite the fact that its investment is </w:t>
      </w:r>
      <w:r w:rsidRPr="007F7F60">
        <w:rPr>
          <w:rFonts w:asciiTheme="majorHAnsi" w:hAnsiTheme="majorHAnsi" w:cstheme="majorHAnsi"/>
          <w:color w:val="000000" w:themeColor="text1"/>
          <w:sz w:val="22"/>
          <w:szCs w:val="22"/>
        </w:rPr>
        <w:t xml:space="preserve">relatively small </w:t>
      </w:r>
      <w:r>
        <w:rPr>
          <w:rFonts w:asciiTheme="majorHAnsi" w:hAnsiTheme="majorHAnsi" w:cstheme="majorHAnsi"/>
          <w:color w:val="000000" w:themeColor="text1"/>
          <w:sz w:val="22"/>
          <w:szCs w:val="22"/>
        </w:rPr>
        <w:t>and the areas of work are in the main sensitive and highly political</w:t>
      </w:r>
      <w:r w:rsidRPr="007F7F60">
        <w:rPr>
          <w:rFonts w:asciiTheme="majorHAnsi" w:hAnsiTheme="majorHAnsi" w:cstheme="majorHAnsi"/>
          <w:color w:val="000000" w:themeColor="text1"/>
          <w:sz w:val="22"/>
          <w:szCs w:val="22"/>
        </w:rPr>
        <w:t>.</w:t>
      </w:r>
      <w:r w:rsidR="008573F5">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AIPJ2’s approach to the choice and development of partnerships appears to be a key factor in this.</w:t>
      </w:r>
      <w:r w:rsidR="008573F5">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AIPJ2 has </w:t>
      </w:r>
      <w:r w:rsidRPr="007F7F60">
        <w:rPr>
          <w:rFonts w:asciiTheme="majorHAnsi" w:hAnsiTheme="majorHAnsi" w:cstheme="majorHAnsi"/>
          <w:color w:val="000000" w:themeColor="text1"/>
          <w:sz w:val="22"/>
          <w:szCs w:val="22"/>
        </w:rPr>
        <w:t>tackle</w:t>
      </w:r>
      <w:r>
        <w:rPr>
          <w:rFonts w:asciiTheme="majorHAnsi" w:hAnsiTheme="majorHAnsi" w:cstheme="majorHAnsi"/>
          <w:color w:val="000000" w:themeColor="text1"/>
          <w:sz w:val="22"/>
          <w:szCs w:val="22"/>
        </w:rPr>
        <w:t>d</w:t>
      </w:r>
      <w:r w:rsidRPr="007F7F60">
        <w:rPr>
          <w:rFonts w:asciiTheme="majorHAnsi" w:hAnsiTheme="majorHAnsi" w:cstheme="majorHAnsi"/>
          <w:color w:val="000000" w:themeColor="text1"/>
          <w:sz w:val="22"/>
          <w:szCs w:val="22"/>
        </w:rPr>
        <w:t xml:space="preserve"> sensitive issues in smart ways that </w:t>
      </w:r>
      <w:r w:rsidR="00060B91">
        <w:rPr>
          <w:rFonts w:asciiTheme="majorHAnsi" w:hAnsiTheme="majorHAnsi" w:cstheme="majorHAnsi"/>
          <w:color w:val="000000" w:themeColor="text1"/>
          <w:sz w:val="22"/>
          <w:szCs w:val="22"/>
        </w:rPr>
        <w:t xml:space="preserve">have managed risks for DFAT well, and that </w:t>
      </w:r>
      <w:r w:rsidRPr="007F7F60">
        <w:rPr>
          <w:rFonts w:asciiTheme="majorHAnsi" w:hAnsiTheme="majorHAnsi" w:cstheme="majorHAnsi"/>
          <w:color w:val="000000" w:themeColor="text1"/>
          <w:sz w:val="22"/>
          <w:szCs w:val="22"/>
        </w:rPr>
        <w:t xml:space="preserve">get traction through a combination of skilled, experienced team leader, </w:t>
      </w:r>
      <w:r>
        <w:rPr>
          <w:rFonts w:asciiTheme="majorHAnsi" w:hAnsiTheme="majorHAnsi" w:cstheme="majorHAnsi"/>
          <w:color w:val="000000" w:themeColor="text1"/>
          <w:sz w:val="22"/>
          <w:szCs w:val="22"/>
        </w:rPr>
        <w:t>good</w:t>
      </w:r>
      <w:r w:rsidRPr="007F7F60">
        <w:rPr>
          <w:rFonts w:asciiTheme="majorHAnsi" w:hAnsiTheme="majorHAnsi" w:cstheme="majorHAnsi"/>
          <w:color w:val="000000" w:themeColor="text1"/>
          <w:sz w:val="22"/>
          <w:szCs w:val="22"/>
        </w:rPr>
        <w:t xml:space="preserve"> relationships with Indonesian state institutions</w:t>
      </w:r>
      <w:r>
        <w:rPr>
          <w:rFonts w:asciiTheme="majorHAnsi" w:hAnsiTheme="majorHAnsi" w:cstheme="majorHAnsi"/>
          <w:color w:val="000000" w:themeColor="text1"/>
          <w:sz w:val="22"/>
          <w:szCs w:val="22"/>
        </w:rPr>
        <w:t>,</w:t>
      </w:r>
      <w:r w:rsidRPr="007F7F60">
        <w:rPr>
          <w:rFonts w:asciiTheme="majorHAnsi" w:hAnsiTheme="majorHAnsi" w:cstheme="majorHAnsi"/>
          <w:color w:val="000000" w:themeColor="text1"/>
          <w:sz w:val="22"/>
          <w:szCs w:val="22"/>
        </w:rPr>
        <w:t xml:space="preserve"> effective partnerships with </w:t>
      </w:r>
      <w:r>
        <w:rPr>
          <w:rFonts w:asciiTheme="majorHAnsi" w:hAnsiTheme="majorHAnsi" w:cstheme="majorHAnsi"/>
          <w:color w:val="000000" w:themeColor="text1"/>
          <w:sz w:val="22"/>
          <w:szCs w:val="22"/>
        </w:rPr>
        <w:t xml:space="preserve">generally strong </w:t>
      </w:r>
      <w:r w:rsidRPr="007F7F60">
        <w:rPr>
          <w:rFonts w:asciiTheme="majorHAnsi" w:hAnsiTheme="majorHAnsi" w:cstheme="majorHAnsi"/>
          <w:color w:val="000000" w:themeColor="text1"/>
          <w:sz w:val="22"/>
          <w:szCs w:val="22"/>
        </w:rPr>
        <w:t>civil society</w:t>
      </w:r>
      <w:r>
        <w:rPr>
          <w:rFonts w:asciiTheme="majorHAnsi" w:hAnsiTheme="majorHAnsi" w:cstheme="majorHAnsi"/>
          <w:color w:val="000000" w:themeColor="text1"/>
          <w:sz w:val="22"/>
          <w:szCs w:val="22"/>
        </w:rPr>
        <w:t xml:space="preserve"> organisations, selection of issues with sufficient local ownership and flexible and responsive support.</w:t>
      </w:r>
    </w:p>
    <w:p w14:paraId="0B6C5376" w14:textId="376B1954" w:rsidR="00534F69" w:rsidRPr="00812F6D" w:rsidRDefault="00534F69" w:rsidP="006B32D6">
      <w:pPr>
        <w:pStyle w:val="ListParagraph"/>
        <w:numPr>
          <w:ilvl w:val="0"/>
          <w:numId w:val="11"/>
        </w:numPr>
        <w:spacing w:line="274" w:lineRule="auto"/>
        <w:rPr>
          <w:rFonts w:asciiTheme="majorHAnsi" w:hAnsiTheme="majorHAnsi" w:cstheme="majorHAnsi"/>
          <w:color w:val="000000" w:themeColor="text1"/>
          <w:sz w:val="22"/>
          <w:szCs w:val="22"/>
        </w:rPr>
      </w:pPr>
      <w:r w:rsidRPr="00812F6D">
        <w:rPr>
          <w:rFonts w:asciiTheme="majorHAnsi" w:hAnsiTheme="majorHAnsi" w:cstheme="majorHAnsi"/>
          <w:color w:val="000000" w:themeColor="text1"/>
          <w:sz w:val="22"/>
          <w:szCs w:val="22"/>
        </w:rPr>
        <w:t>AIPJ2 works through partnerships with both Indonesian government and civil society organisations, typically building on existing relationships between relevant bodies.</w:t>
      </w:r>
      <w:r w:rsidR="008573F5">
        <w:rPr>
          <w:rFonts w:asciiTheme="majorHAnsi" w:hAnsiTheme="majorHAnsi" w:cstheme="majorHAnsi"/>
          <w:color w:val="000000" w:themeColor="text1"/>
          <w:sz w:val="22"/>
          <w:szCs w:val="22"/>
        </w:rPr>
        <w:t xml:space="preserve"> </w:t>
      </w:r>
      <w:r w:rsidRPr="00812F6D">
        <w:rPr>
          <w:rFonts w:asciiTheme="majorHAnsi" w:hAnsiTheme="majorHAnsi" w:cstheme="majorHAnsi"/>
          <w:color w:val="000000" w:themeColor="text1"/>
          <w:sz w:val="22"/>
          <w:szCs w:val="22"/>
        </w:rPr>
        <w:t xml:space="preserve">A key factor enabling AIPJ2’s effectiveness is the openness and willingness of Indonesian government and civil society organisations to work together on </w:t>
      </w:r>
      <w:r>
        <w:rPr>
          <w:rFonts w:asciiTheme="majorHAnsi" w:hAnsiTheme="majorHAnsi" w:cstheme="majorHAnsi"/>
          <w:color w:val="000000" w:themeColor="text1"/>
          <w:sz w:val="22"/>
          <w:szCs w:val="22"/>
        </w:rPr>
        <w:t>areas of reform where shared interests exist.</w:t>
      </w:r>
      <w:r w:rsidR="00A16179">
        <w:rPr>
          <w:rFonts w:asciiTheme="majorHAnsi" w:hAnsiTheme="majorHAnsi" w:cstheme="majorHAnsi"/>
          <w:color w:val="000000" w:themeColor="text1"/>
          <w:sz w:val="22"/>
          <w:szCs w:val="22"/>
        </w:rPr>
        <w:t xml:space="preserve"> </w:t>
      </w:r>
    </w:p>
    <w:p w14:paraId="55CA812D" w14:textId="1D88DC36" w:rsidR="00534F69" w:rsidRPr="00812F6D" w:rsidRDefault="00534F69" w:rsidP="006B32D6">
      <w:pPr>
        <w:pStyle w:val="ListParagraph"/>
        <w:numPr>
          <w:ilvl w:val="0"/>
          <w:numId w:val="11"/>
        </w:numPr>
        <w:tabs>
          <w:tab w:val="left" w:pos="709"/>
        </w:tabs>
        <w:spacing w:line="274" w:lineRule="auto"/>
        <w:rPr>
          <w:rFonts w:asciiTheme="majorHAnsi" w:hAnsiTheme="majorHAnsi" w:cstheme="majorHAnsi"/>
          <w:color w:val="000000" w:themeColor="text1"/>
          <w:sz w:val="22"/>
          <w:szCs w:val="22"/>
        </w:rPr>
      </w:pPr>
      <w:r w:rsidRPr="00812F6D">
        <w:rPr>
          <w:rFonts w:asciiTheme="majorHAnsi" w:hAnsiTheme="majorHAnsi" w:cstheme="majorHAnsi"/>
          <w:color w:val="000000" w:themeColor="text1"/>
          <w:sz w:val="22"/>
          <w:szCs w:val="22"/>
        </w:rPr>
        <w:t xml:space="preserve">AIPJ2 also works with </w:t>
      </w:r>
      <w:r w:rsidRPr="00812F6D">
        <w:rPr>
          <w:rFonts w:ascii="Calibri Light" w:hAnsi="Calibri Light" w:cs="Calibri Light"/>
          <w:sz w:val="22"/>
          <w:szCs w:val="22"/>
        </w:rPr>
        <w:t>good quality partners, who are prominent in their fields and have established networks of their own on which they can draw.</w:t>
      </w:r>
      <w:r w:rsidR="008573F5">
        <w:rPr>
          <w:rFonts w:ascii="Calibri Light" w:hAnsi="Calibri Light" w:cs="Calibri Light"/>
          <w:sz w:val="22"/>
          <w:szCs w:val="22"/>
        </w:rPr>
        <w:t xml:space="preserve"> </w:t>
      </w:r>
      <w:r w:rsidRPr="00812F6D">
        <w:rPr>
          <w:rFonts w:ascii="Calibri Light" w:hAnsi="Calibri Light" w:cs="Calibri Light"/>
          <w:sz w:val="22"/>
          <w:szCs w:val="22"/>
        </w:rPr>
        <w:t xml:space="preserve">This is true of Indonesia partner organisations but also of the bilateral partnerships supported by AIPJ2, </w:t>
      </w:r>
      <w:r>
        <w:rPr>
          <w:rFonts w:ascii="Calibri Light" w:hAnsi="Calibri Light" w:cs="Calibri Light"/>
          <w:sz w:val="22"/>
          <w:szCs w:val="22"/>
        </w:rPr>
        <w:t>for example,</w:t>
      </w:r>
      <w:r w:rsidRPr="00812F6D">
        <w:rPr>
          <w:rFonts w:ascii="Calibri Light" w:hAnsi="Calibri Light" w:cs="Calibri Light"/>
          <w:sz w:val="22"/>
          <w:szCs w:val="22"/>
        </w:rPr>
        <w:t xml:space="preserve"> those between the Indonesia Supreme Court</w:t>
      </w:r>
      <w:r w:rsidR="00990CAA">
        <w:rPr>
          <w:rFonts w:ascii="Calibri Light" w:hAnsi="Calibri Light" w:cs="Calibri Light"/>
          <w:sz w:val="22"/>
          <w:szCs w:val="22"/>
        </w:rPr>
        <w:t xml:space="preserve"> (</w:t>
      </w:r>
      <w:r w:rsidR="00D94603">
        <w:rPr>
          <w:rFonts w:ascii="Calibri Light" w:hAnsi="Calibri Light" w:cs="Calibri Light"/>
          <w:sz w:val="22"/>
          <w:szCs w:val="22"/>
        </w:rPr>
        <w:t>MA</w:t>
      </w:r>
      <w:r w:rsidR="00990CAA">
        <w:rPr>
          <w:rFonts w:ascii="Calibri Light" w:hAnsi="Calibri Light" w:cs="Calibri Light"/>
          <w:sz w:val="22"/>
          <w:szCs w:val="22"/>
        </w:rPr>
        <w:t>)</w:t>
      </w:r>
      <w:r w:rsidRPr="00812F6D">
        <w:rPr>
          <w:rFonts w:ascii="Calibri Light" w:hAnsi="Calibri Light" w:cs="Calibri Light"/>
          <w:sz w:val="22"/>
          <w:szCs w:val="22"/>
        </w:rPr>
        <w:t xml:space="preserve"> and both the Family Court of Australia and Federal Court of Australia.</w:t>
      </w:r>
      <w:r w:rsidR="00A16179">
        <w:rPr>
          <w:rFonts w:ascii="Calibri Light" w:hAnsi="Calibri Light" w:cs="Calibri Light"/>
          <w:sz w:val="22"/>
          <w:szCs w:val="22"/>
        </w:rPr>
        <w:t xml:space="preserve"> </w:t>
      </w:r>
    </w:p>
    <w:p w14:paraId="54CA74BC" w14:textId="75CFEFD9" w:rsidR="00534F69" w:rsidRPr="0081322D" w:rsidRDefault="00534F69" w:rsidP="006B32D6">
      <w:pPr>
        <w:pStyle w:val="ListParagraph"/>
        <w:numPr>
          <w:ilvl w:val="0"/>
          <w:numId w:val="11"/>
        </w:numPr>
        <w:tabs>
          <w:tab w:val="left" w:pos="709"/>
        </w:tabs>
        <w:spacing w:line="274" w:lineRule="auto"/>
        <w:rPr>
          <w:rFonts w:asciiTheme="majorHAnsi" w:hAnsiTheme="majorHAnsi" w:cstheme="majorHAnsi"/>
          <w:color w:val="000000" w:themeColor="text1"/>
          <w:sz w:val="22"/>
          <w:szCs w:val="22"/>
        </w:rPr>
      </w:pPr>
      <w:r w:rsidRPr="0081322D">
        <w:rPr>
          <w:rFonts w:ascii="Calibri Light" w:hAnsi="Calibri Light" w:cs="Calibri Light"/>
          <w:sz w:val="22"/>
          <w:szCs w:val="22"/>
        </w:rPr>
        <w:t xml:space="preserve">Most </w:t>
      </w:r>
      <w:r>
        <w:rPr>
          <w:rFonts w:ascii="Calibri Light" w:hAnsi="Calibri Light" w:cs="Calibri Light"/>
          <w:sz w:val="22"/>
          <w:szCs w:val="22"/>
        </w:rPr>
        <w:t xml:space="preserve">of AIPJ2’s </w:t>
      </w:r>
      <w:r w:rsidRPr="0081322D">
        <w:rPr>
          <w:rFonts w:ascii="Calibri Light" w:hAnsi="Calibri Light" w:cs="Calibri Light"/>
          <w:sz w:val="22"/>
          <w:szCs w:val="22"/>
        </w:rPr>
        <w:t xml:space="preserve">civil society partners </w:t>
      </w:r>
      <w:r>
        <w:rPr>
          <w:rFonts w:ascii="Calibri Light" w:hAnsi="Calibri Light" w:cs="Calibri Light"/>
          <w:sz w:val="22"/>
          <w:szCs w:val="22"/>
        </w:rPr>
        <w:t>are organisationally</w:t>
      </w:r>
      <w:r w:rsidRPr="0081322D">
        <w:rPr>
          <w:rFonts w:ascii="Calibri Light" w:hAnsi="Calibri Light" w:cs="Calibri Light"/>
          <w:sz w:val="22"/>
          <w:szCs w:val="22"/>
        </w:rPr>
        <w:t xml:space="preserve"> quite well-developed, but the funding and platforms provided by AIPJ2 helps to amplify their advocacy and research.</w:t>
      </w:r>
      <w:r w:rsidR="008573F5">
        <w:rPr>
          <w:rFonts w:ascii="Calibri Light" w:hAnsi="Calibri Light" w:cs="Calibri Light"/>
          <w:sz w:val="22"/>
          <w:szCs w:val="22"/>
        </w:rPr>
        <w:t xml:space="preserve"> </w:t>
      </w:r>
      <w:r w:rsidRPr="0081322D">
        <w:rPr>
          <w:rFonts w:ascii="Calibri Light" w:hAnsi="Calibri Light" w:cs="Calibri Light"/>
          <w:sz w:val="22"/>
          <w:szCs w:val="22"/>
        </w:rPr>
        <w:t xml:space="preserve">AIPJ2 has provided some valued </w:t>
      </w:r>
      <w:r>
        <w:rPr>
          <w:rFonts w:ascii="Calibri Light" w:hAnsi="Calibri Light" w:cs="Calibri Light"/>
          <w:sz w:val="22"/>
          <w:szCs w:val="22"/>
        </w:rPr>
        <w:t xml:space="preserve">assistance to build </w:t>
      </w:r>
      <w:r w:rsidRPr="0081322D">
        <w:rPr>
          <w:rFonts w:ascii="Calibri Light" w:hAnsi="Calibri Light" w:cs="Calibri Light"/>
          <w:sz w:val="22"/>
          <w:szCs w:val="22"/>
        </w:rPr>
        <w:t>capacity directly</w:t>
      </w:r>
      <w:r>
        <w:rPr>
          <w:rFonts w:ascii="Calibri Light" w:hAnsi="Calibri Light" w:cs="Calibri Light"/>
          <w:sz w:val="22"/>
          <w:szCs w:val="22"/>
        </w:rPr>
        <w:t>,</w:t>
      </w:r>
      <w:r w:rsidR="008B170B">
        <w:rPr>
          <w:rFonts w:ascii="Calibri Light" w:hAnsi="Calibri Light" w:cs="Calibri Light"/>
          <w:sz w:val="22"/>
          <w:szCs w:val="22"/>
        </w:rPr>
        <w:t xml:space="preserve"> </w:t>
      </w:r>
      <w:r>
        <w:rPr>
          <w:rFonts w:ascii="Calibri Light" w:hAnsi="Calibri Light" w:cs="Calibri Light"/>
          <w:sz w:val="22"/>
          <w:szCs w:val="22"/>
        </w:rPr>
        <w:t>although p</w:t>
      </w:r>
      <w:r w:rsidRPr="00A869A4">
        <w:rPr>
          <w:rFonts w:ascii="Calibri Light" w:hAnsi="Calibri Light" w:cs="Calibri Light"/>
          <w:sz w:val="22"/>
          <w:szCs w:val="22"/>
        </w:rPr>
        <w:t>artners</w:t>
      </w:r>
      <w:r w:rsidRPr="0081322D">
        <w:rPr>
          <w:rFonts w:asciiTheme="majorHAnsi" w:hAnsiTheme="majorHAnsi" w:cstheme="majorHAnsi"/>
          <w:color w:val="000000" w:themeColor="text1"/>
          <w:sz w:val="22"/>
          <w:szCs w:val="22"/>
        </w:rPr>
        <w:t xml:space="preserve"> indicated they would welcome a more systematic way to communicate areas where support would be useful</w:t>
      </w:r>
      <w:r>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p>
    <w:p w14:paraId="75ED44E2" w14:textId="45316153" w:rsidR="00534F69" w:rsidRPr="00A869A4" w:rsidRDefault="00534F69" w:rsidP="006B32D6">
      <w:pPr>
        <w:pStyle w:val="ListParagraph"/>
        <w:numPr>
          <w:ilvl w:val="0"/>
          <w:numId w:val="11"/>
        </w:numPr>
        <w:tabs>
          <w:tab w:val="left" w:pos="709"/>
        </w:tabs>
        <w:spacing w:line="274" w:lineRule="auto"/>
        <w:ind w:left="714" w:hanging="357"/>
        <w:contextualSpacing w:val="0"/>
        <w:rPr>
          <w:rFonts w:asciiTheme="majorHAnsi" w:hAnsiTheme="majorHAnsi" w:cstheme="majorHAnsi"/>
          <w:color w:val="000000" w:themeColor="text1"/>
          <w:sz w:val="22"/>
          <w:szCs w:val="22"/>
        </w:rPr>
      </w:pPr>
      <w:r w:rsidRPr="00A869A4">
        <w:rPr>
          <w:rFonts w:ascii="Calibri Light" w:hAnsi="Calibri Light" w:cs="Calibri Light"/>
          <w:sz w:val="22"/>
          <w:szCs w:val="22"/>
        </w:rPr>
        <w:t xml:space="preserve">AIPJ2 is ably led by a trusted and respected Team Leader who prioritises relationships and who is supported by a strong team. </w:t>
      </w:r>
      <w:r w:rsidRPr="00A869A4">
        <w:rPr>
          <w:rFonts w:asciiTheme="majorHAnsi" w:hAnsiTheme="majorHAnsi" w:cstheme="majorHAnsi"/>
          <w:color w:val="000000" w:themeColor="text1"/>
          <w:sz w:val="22"/>
          <w:szCs w:val="22"/>
        </w:rPr>
        <w:t xml:space="preserve">AIPJ2 has been able to capitalise on existing, locally-created opportunities and capacity thanks </w:t>
      </w:r>
      <w:r>
        <w:rPr>
          <w:rFonts w:asciiTheme="majorHAnsi" w:hAnsiTheme="majorHAnsi" w:cstheme="majorHAnsi"/>
          <w:color w:val="000000" w:themeColor="text1"/>
          <w:sz w:val="22"/>
          <w:szCs w:val="22"/>
        </w:rPr>
        <w:t>largely</w:t>
      </w:r>
      <w:r w:rsidRPr="00A869A4">
        <w:rPr>
          <w:rFonts w:asciiTheme="majorHAnsi" w:hAnsiTheme="majorHAnsi" w:cstheme="majorHAnsi"/>
          <w:color w:val="000000" w:themeColor="text1"/>
          <w:sz w:val="22"/>
          <w:szCs w:val="22"/>
        </w:rPr>
        <w:t xml:space="preserve"> to the quality of the relationships it has established with </w:t>
      </w:r>
      <w:r>
        <w:rPr>
          <w:rFonts w:asciiTheme="majorHAnsi" w:hAnsiTheme="majorHAnsi" w:cstheme="majorHAnsi"/>
          <w:color w:val="000000" w:themeColor="text1"/>
          <w:sz w:val="22"/>
          <w:szCs w:val="22"/>
        </w:rPr>
        <w:t xml:space="preserve">its </w:t>
      </w:r>
      <w:r w:rsidRPr="00A869A4">
        <w:rPr>
          <w:rFonts w:asciiTheme="majorHAnsi" w:hAnsiTheme="majorHAnsi" w:cstheme="majorHAnsi"/>
          <w:color w:val="000000" w:themeColor="text1"/>
          <w:sz w:val="22"/>
          <w:szCs w:val="22"/>
        </w:rPr>
        <w:t>partners</w:t>
      </w:r>
      <w:r>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p>
    <w:p w14:paraId="2A788438" w14:textId="77777777" w:rsidR="00534F69" w:rsidRPr="00246AB5" w:rsidRDefault="00534F69" w:rsidP="006B32D6">
      <w:pPr>
        <w:pStyle w:val="ListParagraph"/>
        <w:numPr>
          <w:ilvl w:val="1"/>
          <w:numId w:val="10"/>
        </w:numPr>
        <w:tabs>
          <w:tab w:val="left" w:pos="567"/>
        </w:tabs>
        <w:spacing w:line="274" w:lineRule="auto"/>
        <w:contextualSpacing w:val="0"/>
        <w:rPr>
          <w:rFonts w:asciiTheme="majorHAnsi" w:hAnsiTheme="majorHAnsi" w:cstheme="majorHAnsi"/>
          <w:color w:val="000000" w:themeColor="text1"/>
          <w:sz w:val="22"/>
          <w:szCs w:val="22"/>
        </w:rPr>
      </w:pPr>
      <w:r>
        <w:rPr>
          <w:rFonts w:ascii="Calibri Light" w:hAnsi="Calibri Light" w:cs="Calibri Light"/>
          <w:sz w:val="22"/>
          <w:szCs w:val="22"/>
        </w:rPr>
        <w:t xml:space="preserve">AIPJ2’s support is valued because it is flexible and responsive to emerging issues, enabling partners to adjust workplans and activities as implementation opportunities and challenges arise. </w:t>
      </w:r>
    </w:p>
    <w:p w14:paraId="6C752465" w14:textId="126F92FC" w:rsidR="00534F69" w:rsidRDefault="00534F69" w:rsidP="006B32D6">
      <w:pPr>
        <w:pStyle w:val="ListParagraph"/>
        <w:numPr>
          <w:ilvl w:val="1"/>
          <w:numId w:val="10"/>
        </w:numPr>
        <w:spacing w:line="271" w:lineRule="auto"/>
        <w:contextualSpacing w:val="0"/>
        <w:rPr>
          <w:rFonts w:ascii="Calibri Light" w:hAnsi="Calibri Light" w:cs="Calibri Light"/>
          <w:sz w:val="22"/>
          <w:szCs w:val="22"/>
        </w:rPr>
      </w:pPr>
      <w:r>
        <w:rPr>
          <w:rFonts w:ascii="Calibri Light" w:hAnsi="Calibri Light" w:cs="Calibri Light"/>
          <w:sz w:val="22"/>
          <w:szCs w:val="22"/>
        </w:rPr>
        <w:t>Civil society</w:t>
      </w:r>
      <w:r w:rsidRPr="00255B80">
        <w:rPr>
          <w:rFonts w:ascii="Calibri Light" w:hAnsi="Calibri Light" w:cs="Calibri Light"/>
          <w:sz w:val="22"/>
          <w:szCs w:val="22"/>
        </w:rPr>
        <w:t xml:space="preserve"> partners appreciate the sense of genuine partnership with AIPJ2</w:t>
      </w:r>
      <w:r>
        <w:rPr>
          <w:rFonts w:ascii="Calibri Light" w:hAnsi="Calibri Light" w:cs="Calibri Light"/>
          <w:sz w:val="22"/>
          <w:szCs w:val="22"/>
        </w:rPr>
        <w:t xml:space="preserve"> and the process of routine reflection on progress facilitated by AIPJ2</w:t>
      </w:r>
      <w:r w:rsidRPr="00255B80">
        <w:rPr>
          <w:rFonts w:ascii="Calibri Light" w:hAnsi="Calibri Light" w:cs="Calibri Light"/>
          <w:sz w:val="22"/>
          <w:szCs w:val="22"/>
        </w:rPr>
        <w:t>.</w:t>
      </w:r>
      <w:r w:rsidR="008573F5">
        <w:rPr>
          <w:rFonts w:ascii="Calibri Light" w:hAnsi="Calibri Light" w:cs="Calibri Light"/>
          <w:sz w:val="22"/>
          <w:szCs w:val="22"/>
        </w:rPr>
        <w:t xml:space="preserve"> </w:t>
      </w:r>
      <w:r w:rsidRPr="00255B80">
        <w:rPr>
          <w:rFonts w:ascii="Calibri Light" w:hAnsi="Calibri Light" w:cs="Calibri Light"/>
          <w:sz w:val="22"/>
          <w:szCs w:val="22"/>
        </w:rPr>
        <w:t>Even potentially onerous reporting requirements are viewed as valuable – though compliance challenges exist</w:t>
      </w:r>
      <w:r>
        <w:rPr>
          <w:rFonts w:ascii="Calibri Light" w:hAnsi="Calibri Light" w:cs="Calibri Light"/>
          <w:sz w:val="22"/>
          <w:szCs w:val="22"/>
        </w:rPr>
        <w:t>.</w:t>
      </w:r>
    </w:p>
    <w:p w14:paraId="4ED6AB15" w14:textId="5D667B40" w:rsidR="00AD5764" w:rsidRDefault="00534F69"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color w:val="000000" w:themeColor="text1"/>
          <w:sz w:val="28"/>
          <w:szCs w:val="28"/>
          <w:lang w:val="en-AU"/>
        </w:rPr>
      </w:pPr>
      <w:r w:rsidRPr="00897B1D">
        <w:rPr>
          <w:rFonts w:ascii="Calibri Light" w:hAnsi="Calibri Light" w:cs="Calibri Light"/>
          <w:sz w:val="22"/>
          <w:szCs w:val="22"/>
        </w:rPr>
        <w:t>A</w:t>
      </w:r>
      <w:r w:rsidRPr="00897B1D">
        <w:rPr>
          <w:rFonts w:asciiTheme="majorHAnsi" w:hAnsiTheme="majorHAnsi" w:cstheme="majorHAnsi"/>
          <w:color w:val="000000" w:themeColor="text1"/>
          <w:sz w:val="22"/>
          <w:szCs w:val="22"/>
        </w:rPr>
        <w:t xml:space="preserve">IPJ2 has tackled sensitive issues </w:t>
      </w:r>
      <w:r>
        <w:rPr>
          <w:rFonts w:asciiTheme="majorHAnsi" w:hAnsiTheme="majorHAnsi" w:cstheme="majorHAnsi"/>
          <w:color w:val="000000" w:themeColor="text1"/>
          <w:sz w:val="22"/>
          <w:szCs w:val="22"/>
        </w:rPr>
        <w:t>facing the Indonesian Government in nuanced ways that reflects understanding</w:t>
      </w:r>
      <w:r>
        <w:rPr>
          <w:rFonts w:ascii="Calibri Light" w:hAnsi="Calibri Light" w:cs="Calibri Light"/>
          <w:sz w:val="22"/>
          <w:szCs w:val="22"/>
        </w:rPr>
        <w:t xml:space="preserve"> of the challenges faced by partners and the wider reform environment.</w:t>
      </w:r>
      <w:r w:rsidR="008573F5">
        <w:rPr>
          <w:rFonts w:ascii="Calibri Light" w:hAnsi="Calibri Light" w:cs="Calibri Light"/>
          <w:sz w:val="22"/>
          <w:szCs w:val="22"/>
        </w:rPr>
        <w:t xml:space="preserve"> </w:t>
      </w:r>
      <w:r>
        <w:rPr>
          <w:rFonts w:ascii="Calibri Light" w:hAnsi="Calibri Light" w:cs="Calibri Light"/>
          <w:sz w:val="22"/>
          <w:szCs w:val="22"/>
        </w:rPr>
        <w:t xml:space="preserve">The review team found some evidence that </w:t>
      </w:r>
      <w:r w:rsidRPr="00246AB5">
        <w:rPr>
          <w:rFonts w:ascii="Calibri Light" w:hAnsi="Calibri Light" w:cs="Calibri Light"/>
          <w:sz w:val="22"/>
          <w:szCs w:val="22"/>
        </w:rPr>
        <w:t xml:space="preserve">stronger analysis </w:t>
      </w:r>
      <w:r>
        <w:rPr>
          <w:rFonts w:ascii="Calibri Light" w:hAnsi="Calibri Light" w:cs="Calibri Light"/>
          <w:sz w:val="22"/>
          <w:szCs w:val="22"/>
        </w:rPr>
        <w:t xml:space="preserve">by AIPJ2 </w:t>
      </w:r>
      <w:r w:rsidRPr="00246AB5">
        <w:rPr>
          <w:rFonts w:ascii="Calibri Light" w:hAnsi="Calibri Light" w:cs="Calibri Light"/>
          <w:sz w:val="22"/>
          <w:szCs w:val="22"/>
        </w:rPr>
        <w:t xml:space="preserve">of the structure, culture and key </w:t>
      </w:r>
      <w:r>
        <w:rPr>
          <w:rFonts w:ascii="Calibri Light" w:hAnsi="Calibri Light" w:cs="Calibri Light"/>
          <w:sz w:val="22"/>
          <w:szCs w:val="22"/>
        </w:rPr>
        <w:t>actors</w:t>
      </w:r>
      <w:r w:rsidRPr="00246AB5">
        <w:rPr>
          <w:rFonts w:ascii="Calibri Light" w:hAnsi="Calibri Light" w:cs="Calibri Light"/>
          <w:sz w:val="22"/>
          <w:szCs w:val="22"/>
        </w:rPr>
        <w:t xml:space="preserve"> </w:t>
      </w:r>
      <w:r w:rsidRPr="000D2DC3">
        <w:rPr>
          <w:rFonts w:ascii="Calibri Light" w:hAnsi="Calibri Light" w:cs="Calibri Light"/>
          <w:sz w:val="22"/>
          <w:szCs w:val="22"/>
        </w:rPr>
        <w:t>at different levels within complex state institutions could help establish more secure relationships</w:t>
      </w:r>
      <w:r w:rsidRPr="00246AB5">
        <w:rPr>
          <w:rFonts w:ascii="Calibri Light" w:hAnsi="Calibri Light" w:cs="Calibri Light"/>
          <w:sz w:val="22"/>
          <w:szCs w:val="22"/>
        </w:rPr>
        <w:t xml:space="preserve"> that go</w:t>
      </w:r>
      <w:r>
        <w:rPr>
          <w:rFonts w:ascii="Calibri Light" w:hAnsi="Calibri Light" w:cs="Calibri Light"/>
          <w:sz w:val="22"/>
          <w:szCs w:val="22"/>
        </w:rPr>
        <w:t xml:space="preserve"> beyond</w:t>
      </w:r>
      <w:r w:rsidRPr="00246AB5">
        <w:rPr>
          <w:rFonts w:ascii="Calibri Light" w:hAnsi="Calibri Light" w:cs="Calibri Light"/>
          <w:sz w:val="22"/>
          <w:szCs w:val="22"/>
        </w:rPr>
        <w:t xml:space="preserve"> </w:t>
      </w:r>
      <w:r>
        <w:rPr>
          <w:rFonts w:ascii="Calibri Light" w:hAnsi="Calibri Light" w:cs="Calibri Light"/>
          <w:sz w:val="22"/>
          <w:szCs w:val="22"/>
        </w:rPr>
        <w:t xml:space="preserve">current </w:t>
      </w:r>
      <w:r w:rsidRPr="00246AB5">
        <w:rPr>
          <w:rFonts w:ascii="Calibri Light" w:hAnsi="Calibri Light" w:cs="Calibri Light"/>
          <w:sz w:val="22"/>
          <w:szCs w:val="22"/>
        </w:rPr>
        <w:t>incumbent</w:t>
      </w:r>
      <w:r>
        <w:rPr>
          <w:rFonts w:ascii="Calibri Light" w:hAnsi="Calibri Light" w:cs="Calibri Light"/>
          <w:sz w:val="22"/>
          <w:szCs w:val="22"/>
        </w:rPr>
        <w:t>s, but overall AIPJ2’s relationships are a key strength.</w:t>
      </w:r>
    </w:p>
    <w:p w14:paraId="569C5823" w14:textId="7832C5AE" w:rsidR="00137FCE" w:rsidRPr="00CE4351" w:rsidRDefault="00137FCE"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Rationale for a facility model</w:t>
      </w:r>
    </w:p>
    <w:p w14:paraId="46EE0803" w14:textId="57AFDE7A" w:rsidR="00137FCE" w:rsidRPr="00534F69" w:rsidRDefault="00AD5764"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CE4351">
        <w:rPr>
          <w:rFonts w:ascii="Calibri Light" w:hAnsi="Calibri Light" w:cs="Calibri Light"/>
          <w:sz w:val="22"/>
          <w:szCs w:val="22"/>
        </w:rPr>
        <w:t>Notwithstanding</w:t>
      </w:r>
      <w:r>
        <w:rPr>
          <w:rFonts w:ascii="Calibri Light" w:hAnsi="Calibri Light" w:cs="Calibri Light"/>
          <w:color w:val="000000" w:themeColor="text1"/>
          <w:sz w:val="22"/>
          <w:szCs w:val="22"/>
          <w:lang w:val="en-AU"/>
        </w:rPr>
        <w:t xml:space="preserve"> the ‘smart’ way AIPJ2 has worked, a</w:t>
      </w:r>
      <w:r w:rsidR="00137FCE" w:rsidRPr="00534F69">
        <w:rPr>
          <w:rFonts w:ascii="Calibri Light" w:hAnsi="Calibri Light" w:cs="Calibri Light"/>
          <w:color w:val="000000" w:themeColor="text1"/>
          <w:sz w:val="22"/>
          <w:szCs w:val="22"/>
          <w:lang w:val="en-AU"/>
        </w:rPr>
        <w:t xml:space="preserve"> key question in the terms of reference for the mid-term review is whether AIPJ2’s modality </w:t>
      </w:r>
      <w:r w:rsidR="00534F69">
        <w:rPr>
          <w:rFonts w:ascii="Calibri Light" w:hAnsi="Calibri Light" w:cs="Calibri Light"/>
          <w:color w:val="000000" w:themeColor="text1"/>
          <w:sz w:val="22"/>
          <w:szCs w:val="22"/>
          <w:lang w:val="en-AU"/>
        </w:rPr>
        <w:t>is well matched to its objectives</w:t>
      </w:r>
      <w:r w:rsidR="00137FCE" w:rsidRPr="00534F69">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00137FCE" w:rsidRPr="00534F69">
        <w:rPr>
          <w:rFonts w:ascii="Calibri Light" w:hAnsi="Calibri Light" w:cs="Calibri Light"/>
          <w:color w:val="000000" w:themeColor="text1"/>
          <w:sz w:val="22"/>
          <w:szCs w:val="22"/>
          <w:lang w:val="en-AU"/>
        </w:rPr>
        <w:t>AIPJ2 has been designed as a “facility” – a flexible delivery mechanism that provides significant discretion to DFAT and the managing contractor in deciding how to pursue a set of broad development objectives.</w:t>
      </w:r>
      <w:r w:rsidR="00A16179">
        <w:rPr>
          <w:rFonts w:ascii="Calibri Light" w:hAnsi="Calibri Light" w:cs="Calibri Light"/>
          <w:color w:val="000000" w:themeColor="text1"/>
          <w:sz w:val="22"/>
          <w:szCs w:val="22"/>
          <w:lang w:val="en-AU"/>
        </w:rPr>
        <w:t xml:space="preserve"> </w:t>
      </w:r>
    </w:p>
    <w:p w14:paraId="34B63800" w14:textId="303AD855" w:rsidR="00137FCE" w:rsidRPr="00534F69"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CE4351">
        <w:rPr>
          <w:rFonts w:ascii="Calibri Light" w:hAnsi="Calibri Light" w:cs="Calibri Light"/>
          <w:noProof/>
          <w:sz w:val="22"/>
          <w:szCs w:val="22"/>
          <w:lang w:val="en-AU" w:eastAsia="en-AU"/>
        </w:rPr>
        <mc:AlternateContent>
          <mc:Choice Requires="wps">
            <w:drawing>
              <wp:anchor distT="0" distB="0" distL="114300" distR="114300" simplePos="0" relativeHeight="251659264" behindDoc="0" locked="0" layoutInCell="1" allowOverlap="1" wp14:anchorId="714F4B57" wp14:editId="60892A2E">
                <wp:simplePos x="0" y="0"/>
                <wp:positionH relativeFrom="column">
                  <wp:posOffset>3068955</wp:posOffset>
                </wp:positionH>
                <wp:positionV relativeFrom="paragraph">
                  <wp:posOffset>1308100</wp:posOffset>
                </wp:positionV>
                <wp:extent cx="3054350" cy="37211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3054350" cy="3721100"/>
                        </a:xfrm>
                        <a:prstGeom prst="rect">
                          <a:avLst/>
                        </a:prstGeom>
                        <a:solidFill>
                          <a:schemeClr val="bg2"/>
                        </a:solidFill>
                        <a:ln w="6350">
                          <a:solidFill>
                            <a:schemeClr val="bg1">
                              <a:lumMod val="75000"/>
                            </a:schemeClr>
                          </a:solidFill>
                        </a:ln>
                      </wps:spPr>
                      <wps:txbx>
                        <w:txbxContent>
                          <w:p w14:paraId="50E38614" w14:textId="22737B96" w:rsidR="00172B2A" w:rsidRPr="00990CAA" w:rsidRDefault="00172B2A" w:rsidP="00137FCE">
                            <w:pPr>
                              <w:spacing w:before="80" w:after="80"/>
                              <w:rPr>
                                <w:rFonts w:ascii="Calibri Light" w:hAnsi="Calibri Light" w:cs="Calibri Light"/>
                                <w:b/>
                                <w:bCs/>
                                <w:sz w:val="20"/>
                                <w:szCs w:val="20"/>
                              </w:rPr>
                            </w:pPr>
                            <w:r w:rsidRPr="00990CAA">
                              <w:rPr>
                                <w:rFonts w:ascii="Calibri Light" w:hAnsi="Calibri Light" w:cs="Calibri Light"/>
                                <w:b/>
                                <w:bCs/>
                                <w:sz w:val="20"/>
                                <w:szCs w:val="20"/>
                              </w:rPr>
                              <w:t>Box 4:  Design intentions from AIPJ2 design document</w:t>
                            </w:r>
                          </w:p>
                          <w:p w14:paraId="439B85AE"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“[AIPJ2]</w:t>
                            </w:r>
                            <w:r w:rsidRPr="00990CAA">
                              <w:rPr>
                                <w:rFonts w:ascii="Times New Roman" w:eastAsia="Times New Roman" w:hAnsi="Times New Roman" w:cs="Times New Roman"/>
                                <w:sz w:val="18"/>
                                <w:szCs w:val="18"/>
                              </w:rPr>
                              <w:t xml:space="preserve"> </w:t>
                            </w:r>
                            <w:r w:rsidRPr="00990CAA">
                              <w:rPr>
                                <w:rFonts w:ascii="Calibri Light" w:hAnsi="Calibri Light" w:cs="Calibri Light"/>
                                <w:sz w:val="18"/>
                                <w:szCs w:val="18"/>
                              </w:rPr>
                              <w:t xml:space="preserve">is purposely designed as a flexible facility to enable iterative programming, in line with the reform priorities of both governments (p2) </w:t>
                            </w:r>
                          </w:p>
                          <w:p w14:paraId="40644AF0" w14:textId="77777777" w:rsidR="00172B2A" w:rsidRPr="00990CAA"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990CAA">
                              <w:rPr>
                                <w:rFonts w:ascii="Calibri Light" w:eastAsiaTheme="minorEastAsia" w:hAnsi="Calibri Light" w:cs="Calibri Light"/>
                                <w:sz w:val="18"/>
                                <w:szCs w:val="18"/>
                              </w:rPr>
                              <w:t xml:space="preserve">“The management decision to combine Australia’s justice and ODA-eligible security investments was taken … to achieve greater development effectiveness, efficiency and strategic coherence.   (p3). </w:t>
                            </w:r>
                          </w:p>
                          <w:p w14:paraId="629BB426" w14:textId="77777777" w:rsidR="00172B2A" w:rsidRPr="00990CAA"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990CAA">
                              <w:rPr>
                                <w:rFonts w:ascii="Calibri Light" w:eastAsiaTheme="minorEastAsia" w:hAnsi="Calibri Light" w:cs="Calibri Light"/>
                                <w:sz w:val="18"/>
                                <w:szCs w:val="18"/>
                              </w:rPr>
                              <w:t xml:space="preserve">“Over time, the partnership aims to improve whole-of- government coordination among both Indonesian and Australian agencies… </w:t>
                            </w:r>
                            <w:r w:rsidRPr="00990CAA">
                              <w:rPr>
                                <w:rFonts w:ascii="Calibri Light" w:hAnsi="Calibri Light" w:cs="Calibri Light"/>
                                <w:sz w:val="18"/>
                                <w:szCs w:val="18"/>
                              </w:rPr>
                              <w:t>Where technically appropriate and politically possible, justice and security activities under the Partnership are integrated, achieving greater strategic coherence...  (p5).</w:t>
                            </w:r>
                          </w:p>
                          <w:p w14:paraId="0A5B0347"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“The flexible facility allows the partners… to capitalise on political momentum for reform, test a range of approaches and scale up those that work. (p8)</w:t>
                            </w:r>
                          </w:p>
                          <w:p w14:paraId="60997CBA"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 xml:space="preserve">“As a purposefully flexible investment, …[r]eflecting on progress is critical to test the assumptions upon which interventions have been developed, and harness this to continually adjust.”  (p31). </w:t>
                            </w:r>
                          </w:p>
                          <w:p w14:paraId="7B52E5C6" w14:textId="77777777" w:rsidR="00172B2A" w:rsidRPr="00990CAA" w:rsidRDefault="00172B2A" w:rsidP="00137FCE">
                            <w:pPr>
                              <w:spacing w:before="80" w:after="80"/>
                              <w:rPr>
                                <w:rFonts w:ascii="Times New Roman" w:eastAsia="Times New Roman" w:hAnsi="Times New Roman" w:cs="Times New Roman"/>
                                <w:sz w:val="28"/>
                                <w:szCs w:val="28"/>
                              </w:rPr>
                            </w:pPr>
                          </w:p>
                          <w:p w14:paraId="3645E6F3" w14:textId="77777777" w:rsidR="00172B2A" w:rsidRPr="00990CAA" w:rsidRDefault="00172B2A" w:rsidP="00137FCE">
                            <w:pPr>
                              <w:rPr>
                                <w:rFonts w:ascii="Calibri Light" w:hAnsi="Calibri Light" w:cs="Calibri Light"/>
                                <w:sz w:val="20"/>
                                <w:szCs w:val="20"/>
                              </w:rPr>
                            </w:pPr>
                          </w:p>
                        </w:txbxContent>
                      </wps:txbx>
                      <wps:bodyPr rot="0" spcFirstLastPara="0" vertOverflow="overflow" horzOverflow="overflow" vert="horz" wrap="square" lIns="144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4B57" id="Text Box 1" o:spid="_x0000_s1027" type="#_x0000_t202" style="position:absolute;left:0;text-align:left;margin-left:241.65pt;margin-top:103pt;width:24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" fillcolor="#e7e6e6 [3214]" strokecolor="#bfbfbf [2412]" strokeweight=".5pt">
                <v:textbox inset="4mm,2mm,3mm,2mm">
                  <w:txbxContent>
                    <w:p w14:paraId="50E38614" w14:textId="22737B96" w:rsidR="00172B2A" w:rsidRPr="00990CAA" w:rsidRDefault="00172B2A" w:rsidP="00137FCE">
                      <w:pPr>
                        <w:spacing w:before="80" w:after="80"/>
                        <w:rPr>
                          <w:rFonts w:ascii="Calibri Light" w:hAnsi="Calibri Light" w:cs="Calibri Light"/>
                          <w:b/>
                          <w:bCs/>
                          <w:sz w:val="20"/>
                          <w:szCs w:val="20"/>
                        </w:rPr>
                      </w:pPr>
                      <w:r w:rsidRPr="00990CAA">
                        <w:rPr>
                          <w:rFonts w:ascii="Calibri Light" w:hAnsi="Calibri Light" w:cs="Calibri Light"/>
                          <w:b/>
                          <w:bCs/>
                          <w:sz w:val="20"/>
                          <w:szCs w:val="20"/>
                        </w:rPr>
                        <w:t>Box 4:  Design intentions from AIPJ2 design document</w:t>
                      </w:r>
                    </w:p>
                    <w:p w14:paraId="439B85AE"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“[AIPJ2]</w:t>
                      </w:r>
                      <w:r w:rsidRPr="00990CAA">
                        <w:rPr>
                          <w:rFonts w:ascii="Times New Roman" w:eastAsia="Times New Roman" w:hAnsi="Times New Roman" w:cs="Times New Roman"/>
                          <w:sz w:val="18"/>
                          <w:szCs w:val="18"/>
                        </w:rPr>
                        <w:t xml:space="preserve"> </w:t>
                      </w:r>
                      <w:r w:rsidRPr="00990CAA">
                        <w:rPr>
                          <w:rFonts w:ascii="Calibri Light" w:hAnsi="Calibri Light" w:cs="Calibri Light"/>
                          <w:sz w:val="18"/>
                          <w:szCs w:val="18"/>
                        </w:rPr>
                        <w:t xml:space="preserve">is purposely designed as a flexible facility to enable iterative programming, in line with the reform priorities of both governments (p2) </w:t>
                      </w:r>
                    </w:p>
                    <w:p w14:paraId="40644AF0" w14:textId="77777777" w:rsidR="00172B2A" w:rsidRPr="00990CAA"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990CAA">
                        <w:rPr>
                          <w:rFonts w:ascii="Calibri Light" w:eastAsiaTheme="minorEastAsia" w:hAnsi="Calibri Light" w:cs="Calibri Light"/>
                          <w:sz w:val="18"/>
                          <w:szCs w:val="18"/>
                        </w:rPr>
                        <w:t xml:space="preserve">“The management decision to combine Australia’s justice and ODA-eligible security investments was taken … to achieve greater development effectiveness, efficiency and strategic coherence.   (p3). </w:t>
                      </w:r>
                    </w:p>
                    <w:p w14:paraId="629BB426" w14:textId="77777777" w:rsidR="00172B2A" w:rsidRPr="00990CAA"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990CAA">
                        <w:rPr>
                          <w:rFonts w:ascii="Calibri Light" w:eastAsiaTheme="minorEastAsia" w:hAnsi="Calibri Light" w:cs="Calibri Light"/>
                          <w:sz w:val="18"/>
                          <w:szCs w:val="18"/>
                        </w:rPr>
                        <w:t xml:space="preserve">“Over time, the partnership aims to improve whole-of- government coordination among both Indonesian and Australian agencies… </w:t>
                      </w:r>
                      <w:r w:rsidRPr="00990CAA">
                        <w:rPr>
                          <w:rFonts w:ascii="Calibri Light" w:hAnsi="Calibri Light" w:cs="Calibri Light"/>
                          <w:sz w:val="18"/>
                          <w:szCs w:val="18"/>
                        </w:rPr>
                        <w:t>Where technically appropriate and politically possible, justice and security activities under the Partnership are integrated, achieving greater strategic coherence...  (p5).</w:t>
                      </w:r>
                    </w:p>
                    <w:p w14:paraId="0A5B0347"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“The flexible facility allows the partners… to capitalise on political momentum for reform, test a range of approaches and scale up those that work. (p8)</w:t>
                      </w:r>
                    </w:p>
                    <w:p w14:paraId="60997CBA" w14:textId="77777777" w:rsidR="00172B2A" w:rsidRPr="00990CAA" w:rsidRDefault="00172B2A" w:rsidP="00137FCE">
                      <w:pPr>
                        <w:spacing w:before="80" w:after="80"/>
                        <w:rPr>
                          <w:rFonts w:ascii="Calibri Light" w:hAnsi="Calibri Light" w:cs="Calibri Light"/>
                          <w:sz w:val="18"/>
                          <w:szCs w:val="18"/>
                        </w:rPr>
                      </w:pPr>
                      <w:r w:rsidRPr="00990CAA">
                        <w:rPr>
                          <w:rFonts w:ascii="Calibri Light" w:hAnsi="Calibri Light" w:cs="Calibri Light"/>
                          <w:sz w:val="18"/>
                          <w:szCs w:val="18"/>
                        </w:rPr>
                        <w:t xml:space="preserve">“As a purposefully flexible investment, …[r]eflecting on progress is critical to test the assumptions upon which interventions have been developed, and harness this to continually adjust.”  (p31). </w:t>
                      </w:r>
                    </w:p>
                    <w:p w14:paraId="7B52E5C6" w14:textId="77777777" w:rsidR="00172B2A" w:rsidRPr="00990CAA" w:rsidRDefault="00172B2A" w:rsidP="00137FCE">
                      <w:pPr>
                        <w:spacing w:before="80" w:after="80"/>
                        <w:rPr>
                          <w:rFonts w:ascii="Times New Roman" w:eastAsia="Times New Roman" w:hAnsi="Times New Roman" w:cs="Times New Roman"/>
                          <w:sz w:val="28"/>
                          <w:szCs w:val="28"/>
                        </w:rPr>
                      </w:pPr>
                    </w:p>
                    <w:p w14:paraId="3645E6F3" w14:textId="77777777" w:rsidR="00172B2A" w:rsidRPr="00990CAA" w:rsidRDefault="00172B2A" w:rsidP="00137FCE">
                      <w:pPr>
                        <w:rPr>
                          <w:rFonts w:ascii="Calibri Light" w:hAnsi="Calibri Light" w:cs="Calibri Light"/>
                          <w:sz w:val="20"/>
                          <w:szCs w:val="20"/>
                        </w:rPr>
                      </w:pPr>
                    </w:p>
                  </w:txbxContent>
                </v:textbox>
                <w10:wrap type="square"/>
              </v:shape>
            </w:pict>
          </mc:Fallback>
        </mc:AlternateContent>
      </w:r>
      <w:r w:rsidRPr="00CE4351">
        <w:rPr>
          <w:rFonts w:ascii="Calibri Light" w:hAnsi="Calibri Light" w:cs="Calibri Light"/>
          <w:sz w:val="22"/>
          <w:szCs w:val="22"/>
        </w:rPr>
        <w:t>Facilities</w:t>
      </w:r>
      <w:r w:rsidRPr="00534F69">
        <w:rPr>
          <w:rFonts w:ascii="Calibri Light" w:hAnsi="Calibri Light" w:cs="Calibri Light"/>
          <w:color w:val="000000" w:themeColor="text1"/>
          <w:sz w:val="22"/>
          <w:szCs w:val="22"/>
          <w:lang w:val="en-AU"/>
        </w:rPr>
        <w:t xml:space="preserve"> tend to be the preferred delivery model when the best means of achieving desired results are not clear at the outset and strategies and approaches need to evolve over time.</w:t>
      </w:r>
      <w:r w:rsidR="008573F5">
        <w:rPr>
          <w:rFonts w:ascii="Calibri Light" w:hAnsi="Calibri Light" w:cs="Calibri Light"/>
          <w:color w:val="000000" w:themeColor="text1"/>
          <w:sz w:val="22"/>
          <w:szCs w:val="22"/>
          <w:lang w:val="en-AU"/>
        </w:rPr>
        <w:t xml:space="preserve"> </w:t>
      </w:r>
      <w:r w:rsidRPr="00534F69">
        <w:rPr>
          <w:rFonts w:ascii="Calibri Light" w:hAnsi="Calibri Light" w:cs="Calibri Light"/>
          <w:color w:val="000000" w:themeColor="text1"/>
          <w:sz w:val="22"/>
          <w:szCs w:val="22"/>
          <w:lang w:val="en-AU"/>
        </w:rPr>
        <w:t>They are by design flexible – in principle they have significant administrative scope to respond to new opportunities or circumstances, to shift funding between components or years, and to change activities where necessary or strategic. Facilities are also expected to enable adaptiveness – which refers to a more strategic process of testing or experimenting with strategies for change, learning from these and then adapting at the level of strategy (or theory of change) to account for this.</w:t>
      </w:r>
      <w:r w:rsidR="008573F5">
        <w:rPr>
          <w:rFonts w:ascii="Calibri Light" w:hAnsi="Calibri Light" w:cs="Calibri Light"/>
          <w:color w:val="000000" w:themeColor="text1"/>
          <w:sz w:val="22"/>
          <w:szCs w:val="22"/>
          <w:lang w:val="en-AU"/>
        </w:rPr>
        <w:t xml:space="preserve"> </w:t>
      </w:r>
      <w:r w:rsidRPr="00534F69">
        <w:rPr>
          <w:rFonts w:ascii="Calibri Light" w:hAnsi="Calibri Light" w:cs="Calibri Light"/>
          <w:color w:val="000000" w:themeColor="text1"/>
          <w:sz w:val="22"/>
          <w:szCs w:val="22"/>
          <w:lang w:val="en-AU"/>
        </w:rPr>
        <w:t>Facilities can also combine what might otherwise be separate programs, in order to enable more coherent (and by assumption, effective) engagement – by exploiting synergies between activities and permitting a more holistic approach to ‘wicked’ problems.</w:t>
      </w:r>
      <w:r w:rsidR="00A16179">
        <w:rPr>
          <w:rFonts w:ascii="Calibri Light" w:hAnsi="Calibri Light" w:cs="Calibri Light"/>
          <w:color w:val="000000" w:themeColor="text1"/>
          <w:sz w:val="22"/>
          <w:szCs w:val="22"/>
          <w:lang w:val="en-AU"/>
        </w:rPr>
        <w:t xml:space="preserve"> </w:t>
      </w:r>
    </w:p>
    <w:p w14:paraId="4D8F3AD4" w14:textId="1C0FE7C5" w:rsidR="00137FCE" w:rsidRPr="00534F69" w:rsidRDefault="00137FCE" w:rsidP="006B32D6">
      <w:pPr>
        <w:pStyle w:val="ListParagraph"/>
        <w:numPr>
          <w:ilvl w:val="2"/>
          <w:numId w:val="3"/>
        </w:numPr>
        <w:tabs>
          <w:tab w:val="left" w:pos="567"/>
          <w:tab w:val="left" w:pos="3969"/>
        </w:tabs>
        <w:spacing w:line="274" w:lineRule="auto"/>
        <w:contextualSpacing w:val="0"/>
        <w:rPr>
          <w:rFonts w:ascii="Calibri Light" w:eastAsia="Times New Roman" w:hAnsi="Calibri Light" w:cs="Calibri Light"/>
          <w:lang w:val="en-AU"/>
        </w:rPr>
      </w:pPr>
      <w:r w:rsidRPr="00534F69">
        <w:rPr>
          <w:rFonts w:ascii="Calibri Light" w:hAnsi="Calibri Light" w:cs="Calibri Light"/>
          <w:color w:val="000000" w:themeColor="text1"/>
          <w:sz w:val="22"/>
          <w:szCs w:val="22"/>
          <w:lang w:val="en-AU"/>
        </w:rPr>
        <w:t>On this basis, a facility-based delivery model seems highly appropriate for AIPJ2.</w:t>
      </w:r>
      <w:r w:rsidR="008573F5">
        <w:rPr>
          <w:rFonts w:ascii="Calibri Light" w:hAnsi="Calibri Light" w:cs="Calibri Light"/>
          <w:color w:val="000000" w:themeColor="text1"/>
          <w:sz w:val="22"/>
          <w:szCs w:val="22"/>
          <w:lang w:val="en-AU"/>
        </w:rPr>
        <w:t xml:space="preserve"> </w:t>
      </w:r>
      <w:r w:rsidRPr="00534F69">
        <w:rPr>
          <w:rFonts w:ascii="Calibri Light" w:hAnsi="Calibri Light" w:cs="Calibri Light"/>
          <w:color w:val="000000" w:themeColor="text1"/>
          <w:sz w:val="22"/>
          <w:szCs w:val="22"/>
          <w:lang w:val="en-AU"/>
        </w:rPr>
        <w:t>Indeed, AIPJ2’s design explicitly acknowledged these characteristics and their fit with AIPJ2’s intentions (</w:t>
      </w:r>
      <w:r w:rsidR="003B2E6F">
        <w:rPr>
          <w:rFonts w:ascii="Calibri Light" w:hAnsi="Calibri Light" w:cs="Calibri Light"/>
          <w:color w:val="000000" w:themeColor="text1"/>
          <w:sz w:val="22"/>
          <w:szCs w:val="22"/>
          <w:lang w:val="en-AU"/>
        </w:rPr>
        <w:t>B</w:t>
      </w:r>
      <w:r w:rsidRPr="00534F69">
        <w:rPr>
          <w:rFonts w:ascii="Calibri Light" w:hAnsi="Calibri Light" w:cs="Calibri Light"/>
          <w:color w:val="000000" w:themeColor="text1"/>
          <w:sz w:val="22"/>
          <w:szCs w:val="22"/>
          <w:lang w:val="en-AU"/>
        </w:rPr>
        <w:t xml:space="preserve">ox </w:t>
      </w:r>
      <w:r w:rsidR="00FF1121" w:rsidRPr="00534F69">
        <w:rPr>
          <w:rFonts w:ascii="Calibri Light" w:hAnsi="Calibri Light" w:cs="Calibri Light"/>
          <w:color w:val="000000" w:themeColor="text1"/>
          <w:sz w:val="22"/>
          <w:szCs w:val="22"/>
          <w:lang w:val="en-AU"/>
        </w:rPr>
        <w:t>4</w:t>
      </w:r>
      <w:r w:rsidRPr="00534F69">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Pr="00534F69">
        <w:rPr>
          <w:rFonts w:ascii="Calibri Light" w:hAnsi="Calibri Light" w:cs="Calibri Light"/>
          <w:color w:val="000000" w:themeColor="text1"/>
          <w:sz w:val="22"/>
          <w:szCs w:val="22"/>
          <w:lang w:val="en-AU"/>
        </w:rPr>
        <w:t>However, there are also risks associated with the facility model and realising the design ambitions has proved challenging elsewhere.</w:t>
      </w:r>
      <w:r w:rsidR="008573F5">
        <w:rPr>
          <w:rFonts w:ascii="Calibri Light" w:hAnsi="Calibri Light" w:cs="Calibri Light"/>
          <w:color w:val="000000" w:themeColor="text1"/>
          <w:sz w:val="22"/>
          <w:szCs w:val="22"/>
          <w:lang w:val="en-AU"/>
        </w:rPr>
        <w:t xml:space="preserve"> </w:t>
      </w:r>
      <w:r w:rsidRPr="00534F69">
        <w:rPr>
          <w:rFonts w:ascii="Calibri Light" w:hAnsi="Calibri Light" w:cs="Calibri Light"/>
          <w:color w:val="000000" w:themeColor="text1"/>
          <w:sz w:val="22"/>
          <w:szCs w:val="22"/>
          <w:lang w:val="en-AU"/>
        </w:rPr>
        <w:t xml:space="preserve">The next sections consider AIPJ2’s progress to date in meeting this challenge. </w:t>
      </w:r>
    </w:p>
    <w:p w14:paraId="0AD0C743" w14:textId="77777777" w:rsidR="00137FCE" w:rsidRPr="00CE4351" w:rsidRDefault="00137FCE" w:rsidP="006B32D6">
      <w:pPr>
        <w:pStyle w:val="ListParagraph"/>
        <w:numPr>
          <w:ilvl w:val="1"/>
          <w:numId w:val="3"/>
        </w:numPr>
        <w:tabs>
          <w:tab w:val="clear" w:pos="1418"/>
          <w:tab w:val="left" w:pos="567"/>
        </w:tabs>
        <w:spacing w:before="240" w:after="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 xml:space="preserve"> Flexible and adaptive working</w:t>
      </w:r>
    </w:p>
    <w:p w14:paraId="06790C91" w14:textId="405FBF6A" w:rsidR="00137FCE" w:rsidRPr="00534F69"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534F69">
        <w:rPr>
          <w:rFonts w:ascii="Calibri Light" w:hAnsi="Calibri Light" w:cs="Calibri Light"/>
          <w:color w:val="000000" w:themeColor="text1"/>
          <w:sz w:val="22"/>
          <w:szCs w:val="22"/>
          <w:lang w:val="en-AU"/>
        </w:rPr>
        <w:t xml:space="preserve">AIPJ2 clearly exploits the </w:t>
      </w:r>
      <w:r w:rsidRPr="00534F69">
        <w:rPr>
          <w:rFonts w:ascii="Calibri Light" w:hAnsi="Calibri Light" w:cs="Calibri Light"/>
          <w:b/>
          <w:bCs/>
          <w:color w:val="000000" w:themeColor="text1"/>
          <w:sz w:val="22"/>
          <w:szCs w:val="22"/>
          <w:lang w:val="en-AU"/>
        </w:rPr>
        <w:t>flexibility</w:t>
      </w:r>
      <w:r w:rsidRPr="00534F69">
        <w:rPr>
          <w:rFonts w:ascii="Calibri Light" w:hAnsi="Calibri Light" w:cs="Calibri Light"/>
          <w:color w:val="000000" w:themeColor="text1"/>
          <w:sz w:val="22"/>
          <w:szCs w:val="22"/>
          <w:lang w:val="en-AU"/>
        </w:rPr>
        <w:t xml:space="preserve"> inherent in its design to good effect. The program responds to new opportunities and emerging demands from stakeholders. Perhaps most notably, this has occurred under ‘Pillar 2’, with the recent inclusion of a maritime security component that was not foreseen earlier in the program. More broadly, the program is also able to be responsive to the needs of government partners and ensure that </w:t>
      </w:r>
      <w:r w:rsidR="003B2E6F">
        <w:rPr>
          <w:rFonts w:ascii="Calibri Light" w:hAnsi="Calibri Light" w:cs="Calibri Light"/>
          <w:color w:val="000000" w:themeColor="text1"/>
          <w:sz w:val="22"/>
          <w:szCs w:val="22"/>
          <w:lang w:val="en-AU"/>
        </w:rPr>
        <w:t>AIPJ2</w:t>
      </w:r>
      <w:r w:rsidRPr="00534F69">
        <w:rPr>
          <w:rFonts w:ascii="Calibri Light" w:hAnsi="Calibri Light" w:cs="Calibri Light"/>
          <w:color w:val="000000" w:themeColor="text1"/>
          <w:sz w:val="22"/>
          <w:szCs w:val="22"/>
          <w:lang w:val="en-AU"/>
        </w:rPr>
        <w:t xml:space="preserve"> </w:t>
      </w:r>
      <w:r w:rsidR="003B2E6F">
        <w:rPr>
          <w:rFonts w:ascii="Calibri Light" w:hAnsi="Calibri Light" w:cs="Calibri Light"/>
          <w:color w:val="000000" w:themeColor="text1"/>
          <w:sz w:val="22"/>
          <w:szCs w:val="22"/>
          <w:lang w:val="en-AU"/>
        </w:rPr>
        <w:t>is</w:t>
      </w:r>
      <w:r w:rsidRPr="00534F69">
        <w:rPr>
          <w:rFonts w:ascii="Calibri Light" w:hAnsi="Calibri Light" w:cs="Calibri Light"/>
          <w:color w:val="000000" w:themeColor="text1"/>
          <w:sz w:val="22"/>
          <w:szCs w:val="22"/>
          <w:lang w:val="en-AU"/>
        </w:rPr>
        <w:t xml:space="preserve"> aligned to their agendas. AIPJ2 is also noted as highly flexible by its civil society partners, who report being able to vary their work plans in light of implementation challenges or emerging opportunities. This flexibility is clearly valued by DFAT, government and civil society partners and enables AIPJ2 to be responsive and to flex to the needs of its stakeholders. </w:t>
      </w:r>
    </w:p>
    <w:p w14:paraId="6CE3C521" w14:textId="77777777" w:rsidR="00137FCE" w:rsidRPr="00534F69"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534F69">
        <w:rPr>
          <w:rFonts w:ascii="Calibri Light" w:hAnsi="Calibri Light" w:cs="Calibri Light"/>
          <w:color w:val="000000" w:themeColor="text1"/>
          <w:sz w:val="22"/>
          <w:szCs w:val="22"/>
          <w:lang w:val="en-AU"/>
        </w:rPr>
        <w:t xml:space="preserve">However, AIPJ2 cannot be described as </w:t>
      </w:r>
      <w:r w:rsidRPr="00534F69">
        <w:rPr>
          <w:rFonts w:ascii="Calibri Light" w:hAnsi="Calibri Light" w:cs="Calibri Light"/>
          <w:b/>
          <w:bCs/>
          <w:color w:val="000000" w:themeColor="text1"/>
          <w:sz w:val="22"/>
          <w:szCs w:val="22"/>
          <w:lang w:val="en-AU"/>
        </w:rPr>
        <w:t>adaptive</w:t>
      </w:r>
      <w:r w:rsidRPr="00534F69">
        <w:rPr>
          <w:rFonts w:ascii="Calibri Light" w:hAnsi="Calibri Light" w:cs="Calibri Light"/>
          <w:color w:val="000000" w:themeColor="text1"/>
          <w:sz w:val="22"/>
          <w:szCs w:val="22"/>
          <w:lang w:val="en-AU"/>
        </w:rPr>
        <w:t xml:space="preserve"> at the facility level, in the sense of regular testing, reflection and modification of its strategies for change based on learning from implementation experience (although its activities do adjust). This stems from two limitations. </w:t>
      </w:r>
    </w:p>
    <w:p w14:paraId="790E7480" w14:textId="7AB3FE02" w:rsidR="00137FCE" w:rsidRPr="00534F69" w:rsidRDefault="00137FCE" w:rsidP="006B32D6">
      <w:pPr>
        <w:pStyle w:val="ListParagraph"/>
        <w:numPr>
          <w:ilvl w:val="0"/>
          <w:numId w:val="5"/>
        </w:numPr>
        <w:tabs>
          <w:tab w:val="left" w:pos="709"/>
        </w:tabs>
        <w:spacing w:line="274" w:lineRule="auto"/>
        <w:ind w:hanging="436"/>
        <w:contextualSpacing w:val="0"/>
        <w:rPr>
          <w:rFonts w:ascii="Calibri Light" w:hAnsi="Calibri Light" w:cs="Calibri Light"/>
          <w:color w:val="000000" w:themeColor="text1"/>
          <w:sz w:val="22"/>
          <w:szCs w:val="22"/>
          <w:lang w:val="en-AU"/>
        </w:rPr>
      </w:pPr>
      <w:r w:rsidRPr="00534F69">
        <w:rPr>
          <w:rFonts w:ascii="Calibri Light" w:hAnsi="Calibri Light" w:cs="Calibri Light"/>
          <w:color w:val="000000" w:themeColor="text1"/>
          <w:sz w:val="22"/>
          <w:szCs w:val="22"/>
          <w:lang w:val="en-AU"/>
        </w:rPr>
        <w:t xml:space="preserve">First, formal strategies for major strands of work are underdeveloped or implicit. </w:t>
      </w:r>
      <w:r w:rsidR="00600124" w:rsidRPr="00534F69">
        <w:rPr>
          <w:rFonts w:ascii="Calibri Light" w:hAnsi="Calibri Light" w:cs="Calibri Light"/>
          <w:color w:val="000000" w:themeColor="text1"/>
          <w:sz w:val="22"/>
          <w:szCs w:val="22"/>
          <w:lang w:val="en-AU"/>
        </w:rPr>
        <w:t>A sense of</w:t>
      </w:r>
      <w:r w:rsidRPr="00534F69">
        <w:rPr>
          <w:rFonts w:ascii="Calibri Light" w:hAnsi="Calibri Light" w:cs="Calibri Light"/>
          <w:color w:val="000000" w:themeColor="text1"/>
          <w:sz w:val="22"/>
          <w:szCs w:val="22"/>
          <w:lang w:val="en-AU"/>
        </w:rPr>
        <w:t xml:space="preserve"> strategy is</w:t>
      </w:r>
      <w:r w:rsidR="003B2E6F">
        <w:rPr>
          <w:rFonts w:ascii="Calibri Light" w:hAnsi="Calibri Light" w:cs="Calibri Light"/>
          <w:color w:val="000000" w:themeColor="text1"/>
          <w:sz w:val="22"/>
          <w:szCs w:val="22"/>
          <w:lang w:val="en-AU"/>
        </w:rPr>
        <w:t>, in some cases,</w:t>
      </w:r>
      <w:r w:rsidRPr="00534F69">
        <w:rPr>
          <w:rFonts w:ascii="Calibri Light" w:hAnsi="Calibri Light" w:cs="Calibri Light"/>
          <w:color w:val="000000" w:themeColor="text1"/>
          <w:sz w:val="22"/>
          <w:szCs w:val="22"/>
          <w:lang w:val="en-AU"/>
        </w:rPr>
        <w:t xml:space="preserve"> apparent when speaking with AIPJ2 staff</w:t>
      </w:r>
      <w:r w:rsidR="007B73AD" w:rsidRPr="00534F69">
        <w:rPr>
          <w:rFonts w:ascii="Calibri Light" w:hAnsi="Calibri Light" w:cs="Calibri Light"/>
          <w:color w:val="000000" w:themeColor="text1"/>
          <w:sz w:val="22"/>
          <w:szCs w:val="22"/>
          <w:lang w:val="en-AU"/>
        </w:rPr>
        <w:t xml:space="preserve"> or with partners</w:t>
      </w:r>
      <w:r w:rsidRPr="00534F69">
        <w:rPr>
          <w:rFonts w:ascii="Calibri Light" w:hAnsi="Calibri Light" w:cs="Calibri Light"/>
          <w:color w:val="000000" w:themeColor="text1"/>
          <w:sz w:val="22"/>
          <w:szCs w:val="22"/>
          <w:lang w:val="en-AU"/>
        </w:rPr>
        <w:t xml:space="preserve">, but there is not a consistent narrative across the program </w:t>
      </w:r>
      <w:r w:rsidR="007B73AD" w:rsidRPr="00534F69">
        <w:rPr>
          <w:rFonts w:ascii="Calibri Light" w:hAnsi="Calibri Light" w:cs="Calibri Light"/>
          <w:color w:val="000000" w:themeColor="text1"/>
          <w:sz w:val="22"/>
          <w:szCs w:val="22"/>
          <w:lang w:val="en-AU"/>
        </w:rPr>
        <w:t xml:space="preserve">and partners </w:t>
      </w:r>
      <w:r w:rsidRPr="00534F69">
        <w:rPr>
          <w:rFonts w:ascii="Calibri Light" w:hAnsi="Calibri Light" w:cs="Calibri Light"/>
          <w:color w:val="000000" w:themeColor="text1"/>
          <w:sz w:val="22"/>
          <w:szCs w:val="22"/>
          <w:lang w:val="en-AU"/>
        </w:rPr>
        <w:t>of what the strategies are that are being pursued</w:t>
      </w:r>
      <w:r w:rsidR="007B73AD" w:rsidRPr="00534F69">
        <w:rPr>
          <w:rFonts w:ascii="Calibri Light" w:hAnsi="Calibri Light" w:cs="Calibri Light"/>
          <w:color w:val="000000" w:themeColor="text1"/>
          <w:sz w:val="22"/>
          <w:szCs w:val="22"/>
          <w:lang w:val="en-AU"/>
        </w:rPr>
        <w:t>, and tested,</w:t>
      </w:r>
      <w:r w:rsidRPr="00534F69">
        <w:rPr>
          <w:rFonts w:ascii="Calibri Light" w:hAnsi="Calibri Light" w:cs="Calibri Light"/>
          <w:color w:val="000000" w:themeColor="text1"/>
          <w:sz w:val="22"/>
          <w:szCs w:val="22"/>
          <w:lang w:val="en-AU"/>
        </w:rPr>
        <w:t xml:space="preserve"> at the more aggregate level</w:t>
      </w:r>
      <w:r w:rsidR="00C960B6" w:rsidRPr="00534F69">
        <w:rPr>
          <w:rFonts w:ascii="Calibri Light" w:hAnsi="Calibri Light" w:cs="Calibri Light"/>
          <w:color w:val="000000" w:themeColor="text1"/>
          <w:sz w:val="22"/>
          <w:szCs w:val="22"/>
          <w:lang w:val="en-AU"/>
        </w:rPr>
        <w:t xml:space="preserve"> (</w:t>
      </w:r>
      <w:r w:rsidR="003B2E6F">
        <w:rPr>
          <w:rFonts w:ascii="Calibri Light" w:hAnsi="Calibri Light" w:cs="Calibri Light"/>
          <w:color w:val="000000" w:themeColor="text1"/>
          <w:sz w:val="22"/>
          <w:szCs w:val="22"/>
          <w:lang w:val="en-AU"/>
        </w:rPr>
        <w:t>B</w:t>
      </w:r>
      <w:r w:rsidR="00C960B6" w:rsidRPr="00534F69">
        <w:rPr>
          <w:rFonts w:ascii="Calibri Light" w:hAnsi="Calibri Light" w:cs="Calibri Light"/>
          <w:color w:val="000000" w:themeColor="text1"/>
          <w:sz w:val="22"/>
          <w:szCs w:val="22"/>
          <w:lang w:val="en-AU"/>
        </w:rPr>
        <w:t>ox 5).</w:t>
      </w:r>
      <w:r w:rsidR="008573F5">
        <w:rPr>
          <w:rFonts w:ascii="Calibri Light" w:hAnsi="Calibri Light" w:cs="Calibri Light"/>
          <w:color w:val="000000" w:themeColor="text1"/>
          <w:sz w:val="22"/>
          <w:szCs w:val="22"/>
          <w:lang w:val="en-AU"/>
        </w:rPr>
        <w:t xml:space="preserve"> </w:t>
      </w:r>
      <w:r w:rsidR="00C960B6" w:rsidRPr="00534F69">
        <w:rPr>
          <w:rFonts w:ascii="Calibri Light" w:hAnsi="Calibri Light" w:cs="Calibri Light"/>
          <w:color w:val="000000" w:themeColor="text1"/>
          <w:sz w:val="22"/>
          <w:szCs w:val="22"/>
          <w:lang w:val="en-AU"/>
        </w:rPr>
        <w:t>For example, AIPJ2’s strategy for preventing violent extremism largely describes a framework and typology to situate the different areas of AIPJ2 assistance.</w:t>
      </w:r>
      <w:r w:rsidR="008573F5">
        <w:rPr>
          <w:rFonts w:ascii="Calibri Light" w:hAnsi="Calibri Light" w:cs="Calibri Light"/>
          <w:color w:val="000000" w:themeColor="text1"/>
          <w:sz w:val="22"/>
          <w:szCs w:val="22"/>
          <w:lang w:val="en-AU"/>
        </w:rPr>
        <w:t xml:space="preserve"> </w:t>
      </w:r>
      <w:r w:rsidR="00C960B6" w:rsidRPr="00534F69">
        <w:rPr>
          <w:rFonts w:ascii="Calibri Light" w:hAnsi="Calibri Light" w:cs="Calibri Light"/>
          <w:color w:val="000000" w:themeColor="text1"/>
          <w:sz w:val="22"/>
          <w:szCs w:val="22"/>
          <w:lang w:val="en-AU"/>
        </w:rPr>
        <w:t>However, it does not elaborate how the separate activities are expected to relate to one other or indee</w:t>
      </w:r>
      <w:r w:rsidR="009E1BAA" w:rsidRPr="00534F69">
        <w:rPr>
          <w:rFonts w:ascii="Calibri Light" w:hAnsi="Calibri Light" w:cs="Calibri Light"/>
          <w:color w:val="000000" w:themeColor="text1"/>
          <w:sz w:val="22"/>
          <w:szCs w:val="22"/>
          <w:lang w:val="en-AU"/>
        </w:rPr>
        <w:t>d express</w:t>
      </w:r>
      <w:r w:rsidR="00C960B6" w:rsidRPr="00534F69">
        <w:rPr>
          <w:rFonts w:ascii="Calibri Light" w:hAnsi="Calibri Light" w:cs="Calibri Light"/>
          <w:color w:val="000000" w:themeColor="text1"/>
          <w:sz w:val="22"/>
          <w:szCs w:val="22"/>
          <w:lang w:val="en-AU"/>
        </w:rPr>
        <w:t xml:space="preserve"> AIPJ2’s specific role in what is a broad, multi-stakeholder </w:t>
      </w:r>
      <w:r w:rsidR="009E1BAA" w:rsidRPr="00534F69">
        <w:rPr>
          <w:rFonts w:ascii="Calibri Light" w:hAnsi="Calibri Light" w:cs="Calibri Light"/>
          <w:color w:val="000000" w:themeColor="text1"/>
          <w:sz w:val="22"/>
          <w:szCs w:val="22"/>
          <w:lang w:val="en-AU"/>
        </w:rPr>
        <w:t xml:space="preserve">and complex and uncertain </w:t>
      </w:r>
      <w:r w:rsidR="00C960B6" w:rsidRPr="00534F69">
        <w:rPr>
          <w:rFonts w:ascii="Calibri Light" w:hAnsi="Calibri Light" w:cs="Calibri Light"/>
          <w:color w:val="000000" w:themeColor="text1"/>
          <w:sz w:val="22"/>
          <w:szCs w:val="22"/>
          <w:lang w:val="en-AU"/>
        </w:rPr>
        <w:t>field.</w:t>
      </w:r>
      <w:r w:rsidR="008573F5">
        <w:rPr>
          <w:rFonts w:ascii="Calibri Light" w:hAnsi="Calibri Light" w:cs="Calibri Light"/>
          <w:color w:val="000000" w:themeColor="text1"/>
          <w:sz w:val="22"/>
          <w:szCs w:val="22"/>
          <w:lang w:val="en-AU"/>
        </w:rPr>
        <w:t xml:space="preserve"> </w:t>
      </w:r>
      <w:r w:rsidR="00EA4FA8" w:rsidRPr="00534F69">
        <w:rPr>
          <w:rFonts w:ascii="Calibri Light" w:hAnsi="Calibri Light" w:cs="Calibri Light"/>
          <w:color w:val="000000" w:themeColor="text1"/>
          <w:sz w:val="22"/>
          <w:szCs w:val="22"/>
          <w:lang w:val="en-AU"/>
        </w:rPr>
        <w:t xml:space="preserve">Moreover, after two years of implementation experience, </w:t>
      </w:r>
      <w:r w:rsidR="00CB7A04" w:rsidRPr="00534F69">
        <w:rPr>
          <w:rFonts w:ascii="Calibri Light" w:hAnsi="Calibri Light" w:cs="Calibri Light"/>
          <w:color w:val="000000" w:themeColor="text1"/>
          <w:sz w:val="22"/>
          <w:szCs w:val="22"/>
          <w:lang w:val="en-AU"/>
        </w:rPr>
        <w:t xml:space="preserve">the strategy does not seem to be </w:t>
      </w:r>
      <w:r w:rsidR="003B2E6F">
        <w:rPr>
          <w:rFonts w:ascii="Calibri Light" w:hAnsi="Calibri Light" w:cs="Calibri Light"/>
          <w:color w:val="000000" w:themeColor="text1"/>
          <w:sz w:val="22"/>
          <w:szCs w:val="22"/>
          <w:lang w:val="en-AU"/>
        </w:rPr>
        <w:t>adapting</w:t>
      </w:r>
      <w:r w:rsidR="00CB7A04" w:rsidRPr="00534F69">
        <w:rPr>
          <w:rFonts w:ascii="Calibri Light" w:hAnsi="Calibri Light" w:cs="Calibri Light"/>
          <w:color w:val="000000" w:themeColor="text1"/>
          <w:sz w:val="22"/>
          <w:szCs w:val="22"/>
          <w:lang w:val="en-AU"/>
        </w:rPr>
        <w:t xml:space="preserve"> significantly </w:t>
      </w:r>
      <w:r w:rsidR="009E1BAA" w:rsidRPr="00534F69">
        <w:rPr>
          <w:rFonts w:ascii="Calibri Light" w:hAnsi="Calibri Light" w:cs="Calibri Light"/>
          <w:color w:val="000000" w:themeColor="text1"/>
          <w:sz w:val="22"/>
          <w:szCs w:val="22"/>
          <w:lang w:val="en-AU"/>
        </w:rPr>
        <w:t>(</w:t>
      </w:r>
      <w:r w:rsidR="00EA4FA8" w:rsidRPr="00534F69">
        <w:rPr>
          <w:rFonts w:ascii="Calibri Light" w:hAnsi="Calibri Light" w:cs="Calibri Light"/>
          <w:color w:val="000000" w:themeColor="text1"/>
          <w:sz w:val="22"/>
          <w:szCs w:val="22"/>
          <w:lang w:val="en-AU"/>
        </w:rPr>
        <w:t>formally</w:t>
      </w:r>
      <w:r w:rsidR="009E1BAA" w:rsidRPr="00534F69">
        <w:rPr>
          <w:rFonts w:ascii="Calibri Light" w:hAnsi="Calibri Light" w:cs="Calibri Light"/>
          <w:color w:val="000000" w:themeColor="text1"/>
          <w:sz w:val="22"/>
          <w:szCs w:val="22"/>
          <w:lang w:val="en-AU"/>
        </w:rPr>
        <w:t xml:space="preserve"> at least)</w:t>
      </w:r>
      <w:r w:rsidR="00EA4FA8" w:rsidRPr="00534F69">
        <w:rPr>
          <w:rFonts w:ascii="Calibri Light" w:hAnsi="Calibri Light" w:cs="Calibri Light"/>
          <w:color w:val="000000" w:themeColor="text1"/>
          <w:sz w:val="22"/>
          <w:szCs w:val="22"/>
          <w:lang w:val="en-AU"/>
        </w:rPr>
        <w:t>, in spite of a</w:t>
      </w:r>
      <w:r w:rsidR="0081437F">
        <w:rPr>
          <w:rFonts w:ascii="Calibri Light" w:hAnsi="Calibri Light" w:cs="Calibri Light"/>
          <w:color w:val="000000" w:themeColor="text1"/>
          <w:sz w:val="22"/>
          <w:szCs w:val="22"/>
          <w:lang w:val="en-AU"/>
        </w:rPr>
        <w:t>ccess to relevant advisory expertise</w:t>
      </w:r>
      <w:r w:rsidR="00EA4FA8" w:rsidRPr="00534F69">
        <w:rPr>
          <w:rFonts w:ascii="Calibri Light" w:hAnsi="Calibri Light" w:cs="Calibri Light"/>
          <w:color w:val="000000" w:themeColor="text1"/>
          <w:sz w:val="22"/>
          <w:szCs w:val="22"/>
          <w:lang w:val="en-AU"/>
        </w:rPr>
        <w:t xml:space="preserve"> </w:t>
      </w:r>
      <w:r w:rsidR="0081437F">
        <w:rPr>
          <w:rFonts w:ascii="Calibri Light" w:hAnsi="Calibri Light" w:cs="Calibri Light"/>
          <w:color w:val="000000" w:themeColor="text1"/>
          <w:sz w:val="22"/>
          <w:szCs w:val="22"/>
          <w:lang w:val="en-AU"/>
        </w:rPr>
        <w:t xml:space="preserve">and a </w:t>
      </w:r>
      <w:r w:rsidR="00EA4FA8" w:rsidRPr="00534F69">
        <w:rPr>
          <w:rFonts w:ascii="Calibri Light" w:hAnsi="Calibri Light" w:cs="Calibri Light"/>
          <w:color w:val="000000" w:themeColor="text1"/>
          <w:sz w:val="22"/>
          <w:szCs w:val="22"/>
          <w:lang w:val="en-AU"/>
        </w:rPr>
        <w:t>recent review and strategy refresh workshop</w:t>
      </w:r>
      <w:r w:rsidR="0081437F">
        <w:rPr>
          <w:rFonts w:ascii="Calibri Light" w:hAnsi="Calibri Light" w:cs="Calibri Light"/>
          <w:color w:val="000000" w:themeColor="text1"/>
          <w:sz w:val="22"/>
          <w:szCs w:val="22"/>
          <w:lang w:val="en-AU"/>
        </w:rPr>
        <w:t xml:space="preserve"> with partners</w:t>
      </w:r>
      <w:r w:rsidR="00EA4FA8" w:rsidRPr="00534F69">
        <w:rPr>
          <w:rFonts w:ascii="Calibri Light" w:hAnsi="Calibri Light" w:cs="Calibri Light"/>
          <w:color w:val="000000" w:themeColor="text1"/>
          <w:sz w:val="22"/>
          <w:szCs w:val="22"/>
          <w:lang w:val="en-AU"/>
        </w:rPr>
        <w:t xml:space="preserve">. </w:t>
      </w:r>
    </w:p>
    <w:p w14:paraId="3A9859E5" w14:textId="7046EF4E" w:rsidR="00137FCE" w:rsidRPr="00757592" w:rsidRDefault="007B73AD" w:rsidP="006B32D6">
      <w:pPr>
        <w:pStyle w:val="ListParagraph"/>
        <w:numPr>
          <w:ilvl w:val="0"/>
          <w:numId w:val="5"/>
        </w:numPr>
        <w:tabs>
          <w:tab w:val="left" w:pos="709"/>
        </w:tabs>
        <w:spacing w:line="274" w:lineRule="auto"/>
        <w:ind w:hanging="436"/>
        <w:contextualSpacing w:val="0"/>
        <w:rPr>
          <w:rFonts w:ascii="Calibri Light" w:hAnsi="Calibri Light" w:cs="Calibri Light"/>
          <w:color w:val="000000" w:themeColor="text1"/>
          <w:sz w:val="22"/>
          <w:szCs w:val="22"/>
          <w:lang w:val="en-AU"/>
        </w:rPr>
      </w:pPr>
      <w:r w:rsidRPr="000D2EB1">
        <w:rPr>
          <w:rFonts w:ascii="Calibri Light" w:hAnsi="Calibri Light" w:cs="Calibri Light"/>
          <w:noProof/>
          <w:color w:val="000000" w:themeColor="text1"/>
          <w:sz w:val="22"/>
          <w:szCs w:val="22"/>
          <w:lang w:val="en-AU" w:eastAsia="en-AU"/>
        </w:rPr>
        <mc:AlternateContent>
          <mc:Choice Requires="wps">
            <w:drawing>
              <wp:anchor distT="0" distB="0" distL="114300" distR="114300" simplePos="0" relativeHeight="251661312" behindDoc="0" locked="0" layoutInCell="1" allowOverlap="1" wp14:anchorId="47364358" wp14:editId="513D9599">
                <wp:simplePos x="0" y="0"/>
                <wp:positionH relativeFrom="column">
                  <wp:posOffset>-55880</wp:posOffset>
                </wp:positionH>
                <wp:positionV relativeFrom="paragraph">
                  <wp:posOffset>1273810</wp:posOffset>
                </wp:positionV>
                <wp:extent cx="5868035" cy="5223510"/>
                <wp:effectExtent l="0" t="0" r="12065" b="8890"/>
                <wp:wrapSquare wrapText="bothSides"/>
                <wp:docPr id="3" name="Text Box 3"/>
                <wp:cNvGraphicFramePr/>
                <a:graphic xmlns:a="http://schemas.openxmlformats.org/drawingml/2006/main">
                  <a:graphicData uri="http://schemas.microsoft.com/office/word/2010/wordprocessingShape">
                    <wps:wsp>
                      <wps:cNvSpPr txBox="1"/>
                      <wps:spPr>
                        <a:xfrm>
                          <a:off x="0" y="0"/>
                          <a:ext cx="5868035" cy="5223510"/>
                        </a:xfrm>
                        <a:prstGeom prst="rect">
                          <a:avLst/>
                        </a:prstGeom>
                        <a:solidFill>
                          <a:schemeClr val="bg2"/>
                        </a:solidFill>
                        <a:ln w="6350">
                          <a:solidFill>
                            <a:schemeClr val="bg1">
                              <a:lumMod val="75000"/>
                            </a:schemeClr>
                          </a:solidFill>
                        </a:ln>
                      </wps:spPr>
                      <wps:txbx>
                        <w:txbxContent>
                          <w:p w14:paraId="1B5D35FD" w14:textId="024BAD1E" w:rsidR="00172B2A" w:rsidRPr="00990CAA" w:rsidRDefault="00172B2A" w:rsidP="00137FCE">
                            <w:pPr>
                              <w:rPr>
                                <w:rFonts w:ascii="Calibri Light" w:hAnsi="Calibri Light" w:cs="Calibri Light"/>
                                <w:b/>
                                <w:bCs/>
                                <w:sz w:val="20"/>
                                <w:szCs w:val="20"/>
                              </w:rPr>
                            </w:pPr>
                            <w:r w:rsidRPr="00990CAA">
                              <w:rPr>
                                <w:rFonts w:ascii="Calibri Light" w:hAnsi="Calibri Light" w:cs="Calibri Light"/>
                                <w:b/>
                                <w:bCs/>
                                <w:sz w:val="20"/>
                                <w:szCs w:val="20"/>
                              </w:rPr>
                              <w:t>Box 5: AIPJ2’s work on child marriage</w:t>
                            </w:r>
                          </w:p>
                          <w:p w14:paraId="61ECFB9B" w14:textId="1356A033" w:rsidR="00172B2A" w:rsidRPr="00990CAA" w:rsidRDefault="00172B2A" w:rsidP="00600124">
                            <w:pPr>
                              <w:pStyle w:val="ListParagraph"/>
                              <w:tabs>
                                <w:tab w:val="left" w:pos="567"/>
                              </w:tabs>
                              <w:spacing w:after="0"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Work to address the serious and growing issue of child marriage in Indonesia is an area of significant investment for AIPJ2. AIPJ2 supports the Family Court of Australia (through Law and Development Partners – an Australian-based firm) and three civil society organisations: Rumah Kitab, PEKKA and ICJ Makassar. Each of the organisations are pursuing different strategies for change, including:</w:t>
                            </w:r>
                          </w:p>
                          <w:p w14:paraId="5B7D5B33"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Encouraging the Religious Courts to consider the rights of the child in requests for dispensation for child marriage;</w:t>
                            </w:r>
                          </w:p>
                          <w:p w14:paraId="732090F6"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Working with religious leaders to dissuade them from supporting child marriages;</w:t>
                            </w:r>
                          </w:p>
                          <w:p w14:paraId="43661A9D" w14:textId="01B861B1"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Working with community leaders to dissuade them from supporting child marriage, including by putting in place local regulations prohibiting it;</w:t>
                            </w:r>
                          </w:p>
                          <w:p w14:paraId="3F17CC95"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 xml:space="preserve">Working with parents and communities to sensitise them to the dangers of child marriage. </w:t>
                            </w:r>
                          </w:p>
                          <w:p w14:paraId="0F1037EA" w14:textId="3B40C6B1" w:rsidR="00172B2A" w:rsidRPr="00990CAA" w:rsidRDefault="00172B2A" w:rsidP="00137FCE">
                            <w:pPr>
                              <w:pStyle w:val="ListParagraph"/>
                              <w:tabs>
                                <w:tab w:val="left" w:pos="709"/>
                              </w:tabs>
                              <w:spacing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 xml:space="preserve">For AIPJ2, these different approaches are not clearly located within a wider overarching strategy at the Partnership level, although in practice, staff and partners working on the issue describe the approach as one of ‘closing as many doors [to child marriage] as possible,’ in the words of one AIPJ2 staff member. </w:t>
                            </w:r>
                          </w:p>
                          <w:p w14:paraId="7C3DBFEE" w14:textId="05164424" w:rsidR="00172B2A" w:rsidRPr="00990CAA" w:rsidRDefault="00172B2A" w:rsidP="00137FCE">
                            <w:pPr>
                              <w:pStyle w:val="ListParagraph"/>
                              <w:tabs>
                                <w:tab w:val="left" w:pos="709"/>
                              </w:tabs>
                              <w:spacing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 xml:space="preserve">Sensitivity and a reflection upon potential unintended consequences is needed in relation to the work with the Religious Courts in particular. For example, it is widely acknowledged, including by AIPJ2, that were the courts to not grant dispensation for a child marriage, it would almost certainly go ahead despite this. In this case, the marriage would be unregistered, leaving the children – and the girl in particular – with little legal certainty in regard to claims for compensation, land, child maintenance or inheritance on the death or divorce of her husband.  For this reason, AIPJ2 does not actively encourage the Religious Courts to deny marriage dispensations, but rather takes a more incremental approach to reform by encouraging the Courts to reflect on the interests and rights of the child in considering such cases, ensure that children are given the opportunity to be heard in court hearings and are provided with information on their rights and options. </w:t>
                            </w:r>
                          </w:p>
                          <w:p w14:paraId="57D8EC93" w14:textId="3F133A6F" w:rsidR="00172B2A" w:rsidRPr="00990CAA" w:rsidRDefault="00172B2A" w:rsidP="00B16C28">
                            <w:pPr>
                              <w:pStyle w:val="ListParagraph"/>
                              <w:tabs>
                                <w:tab w:val="left" w:pos="709"/>
                              </w:tabs>
                              <w:spacing w:line="274" w:lineRule="auto"/>
                              <w:ind w:left="0"/>
                              <w:contextualSpacing w:val="0"/>
                              <w:rPr>
                                <w:rFonts w:ascii="Calibri Light" w:hAnsi="Calibri Light" w:cs="Calibri Light"/>
                                <w:sz w:val="18"/>
                                <w:szCs w:val="18"/>
                              </w:rPr>
                            </w:pPr>
                            <w:r w:rsidRPr="00990CAA">
                              <w:rPr>
                                <w:rFonts w:ascii="Calibri Light" w:hAnsi="Calibri Light" w:cs="Calibri Light"/>
                                <w:sz w:val="18"/>
                                <w:szCs w:val="18"/>
                                <w:lang w:val="en-AU"/>
                              </w:rPr>
                              <w:t xml:space="preserve">As part of a wider strategy that seeks to address other drivers of child marriage, this approach makes sense but thinking more explicitly about the multiple pathways for change being pursued, clearly articulating these and hypothesising how they relate to each other at the pillar/thematic level within AIPJ2 and in the different contexts in Indonesia would support more deliberate ‘testing’ and learning about which strategies yield the most promising results in different settings. This would also be invaluable learning for wider programs working to address child marriage internationally.  </w:t>
                            </w:r>
                          </w:p>
                          <w:p w14:paraId="37F8BA3D" w14:textId="77777777" w:rsidR="00172B2A" w:rsidRPr="00990CAA" w:rsidRDefault="00172B2A" w:rsidP="00137FC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64358" id="Text Box 3" o:spid="_x0000_s1028" type="#_x0000_t202" style="position:absolute;left:0;text-align:left;margin-left:-4.4pt;margin-top:100.3pt;width:462.05pt;height:41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" fillcolor="#e7e6e6 [3214]" strokecolor="#bfbfbf [2412]" strokeweight=".5pt">
                <v:textbox>
                  <w:txbxContent>
                    <w:p w14:paraId="1B5D35FD" w14:textId="024BAD1E" w:rsidR="00172B2A" w:rsidRPr="00990CAA" w:rsidRDefault="00172B2A" w:rsidP="00137FCE">
                      <w:pPr>
                        <w:rPr>
                          <w:rFonts w:ascii="Calibri Light" w:hAnsi="Calibri Light" w:cs="Calibri Light"/>
                          <w:b/>
                          <w:bCs/>
                          <w:sz w:val="20"/>
                          <w:szCs w:val="20"/>
                        </w:rPr>
                      </w:pPr>
                      <w:r w:rsidRPr="00990CAA">
                        <w:rPr>
                          <w:rFonts w:ascii="Calibri Light" w:hAnsi="Calibri Light" w:cs="Calibri Light"/>
                          <w:b/>
                          <w:bCs/>
                          <w:sz w:val="20"/>
                          <w:szCs w:val="20"/>
                        </w:rPr>
                        <w:t>Box 5: AIPJ2’s work on child marriage</w:t>
                      </w:r>
                    </w:p>
                    <w:p w14:paraId="61ECFB9B" w14:textId="1356A033" w:rsidR="00172B2A" w:rsidRPr="00990CAA" w:rsidRDefault="00172B2A" w:rsidP="00600124">
                      <w:pPr>
                        <w:pStyle w:val="ListParagraph"/>
                        <w:tabs>
                          <w:tab w:val="left" w:pos="567"/>
                        </w:tabs>
                        <w:spacing w:after="0"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Work to address the serious and growing issue of child marriage in Indonesia is an area of significant investment for AIPJ2. AIPJ2 supports the Family Court of Australia (through Law and Development Partners – an Australian-based firm) and three civil society organisations: Rumah Kitab, PEKKA and ICJ Makassar. Each of the organisations are pursuing different strategies for change, including:</w:t>
                      </w:r>
                    </w:p>
                    <w:p w14:paraId="5B7D5B33"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Encouraging the Religious Courts to consider the rights of the child in requests for dispensation for child marriage;</w:t>
                      </w:r>
                    </w:p>
                    <w:p w14:paraId="732090F6"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Working with religious leaders to dissuade them from supporting child marriages;</w:t>
                      </w:r>
                    </w:p>
                    <w:p w14:paraId="43661A9D" w14:textId="01B861B1"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Working with community leaders to dissuade them from supporting child marriage, including by putting in place local regulations prohibiting it;</w:t>
                      </w:r>
                    </w:p>
                    <w:p w14:paraId="3F17CC95" w14:textId="77777777" w:rsidR="00172B2A" w:rsidRPr="00990CAA" w:rsidRDefault="00172B2A" w:rsidP="006B32D6">
                      <w:pPr>
                        <w:pStyle w:val="ListParagraph"/>
                        <w:numPr>
                          <w:ilvl w:val="0"/>
                          <w:numId w:val="6"/>
                        </w:numPr>
                        <w:tabs>
                          <w:tab w:val="left" w:pos="709"/>
                        </w:tabs>
                        <w:spacing w:line="274" w:lineRule="auto"/>
                        <w:contextualSpacing w:val="0"/>
                        <w:rPr>
                          <w:rFonts w:ascii="Calibri Light" w:hAnsi="Calibri Light" w:cs="Calibri Light"/>
                          <w:color w:val="000000" w:themeColor="text1"/>
                          <w:sz w:val="18"/>
                          <w:szCs w:val="18"/>
                        </w:rPr>
                      </w:pPr>
                      <w:r w:rsidRPr="00990CAA">
                        <w:rPr>
                          <w:rFonts w:ascii="Calibri Light" w:hAnsi="Calibri Light" w:cs="Calibri Light"/>
                          <w:color w:val="000000" w:themeColor="text1"/>
                          <w:sz w:val="18"/>
                          <w:szCs w:val="18"/>
                        </w:rPr>
                        <w:t xml:space="preserve">Working with parents and communities to sensitise them to the dangers of child marriage. </w:t>
                      </w:r>
                    </w:p>
                    <w:p w14:paraId="0F1037EA" w14:textId="3B40C6B1" w:rsidR="00172B2A" w:rsidRPr="00990CAA" w:rsidRDefault="00172B2A" w:rsidP="00137FCE">
                      <w:pPr>
                        <w:pStyle w:val="ListParagraph"/>
                        <w:tabs>
                          <w:tab w:val="left" w:pos="709"/>
                        </w:tabs>
                        <w:spacing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 xml:space="preserve">For AIPJ2, these different approaches are not clearly located within a wider overarching strategy at the Partnership level, although in practice, staff and partners working on the issue describe the approach as one of ‘closing as many doors [to child marriage] as possible,’ in the words of one AIPJ2 staff member. </w:t>
                      </w:r>
                    </w:p>
                    <w:p w14:paraId="7C3DBFEE" w14:textId="05164424" w:rsidR="00172B2A" w:rsidRPr="00990CAA" w:rsidRDefault="00172B2A" w:rsidP="00137FCE">
                      <w:pPr>
                        <w:pStyle w:val="ListParagraph"/>
                        <w:tabs>
                          <w:tab w:val="left" w:pos="709"/>
                        </w:tabs>
                        <w:spacing w:line="274" w:lineRule="auto"/>
                        <w:ind w:left="0"/>
                        <w:contextualSpacing w:val="0"/>
                        <w:rPr>
                          <w:rFonts w:ascii="Calibri Light" w:hAnsi="Calibri Light" w:cs="Calibri Light"/>
                          <w:sz w:val="18"/>
                          <w:szCs w:val="18"/>
                          <w:lang w:val="en-AU"/>
                        </w:rPr>
                      </w:pPr>
                      <w:r w:rsidRPr="00990CAA">
                        <w:rPr>
                          <w:rFonts w:ascii="Calibri Light" w:hAnsi="Calibri Light" w:cs="Calibri Light"/>
                          <w:sz w:val="18"/>
                          <w:szCs w:val="18"/>
                          <w:lang w:val="en-AU"/>
                        </w:rPr>
                        <w:t xml:space="preserve">Sensitivity and a reflection upon potential unintended consequences is needed in relation to the work with the Religious Courts in particular. For example, it is widely acknowledged, including by AIPJ2, that were the courts to not grant dispensation for a child marriage, it would almost certainly go ahead despite this. In this case, the marriage would be unregistered, leaving the children – and the girl in particular – with little legal certainty in regard to claims for compensation, land, child maintenance or inheritance on the death or divorce of her husband.  For this reason, AIPJ2 does not actively encourage the Religious Courts to deny marriage dispensations, but rather takes a more incremental approach to reform by encouraging the Courts to reflect on the interests and rights of the child in considering such cases, ensure that children are given the opportunity to be heard in court hearings and are provided with information on their rights and options. </w:t>
                      </w:r>
                    </w:p>
                    <w:p w14:paraId="57D8EC93" w14:textId="3F133A6F" w:rsidR="00172B2A" w:rsidRPr="00990CAA" w:rsidRDefault="00172B2A" w:rsidP="00B16C28">
                      <w:pPr>
                        <w:pStyle w:val="ListParagraph"/>
                        <w:tabs>
                          <w:tab w:val="left" w:pos="709"/>
                        </w:tabs>
                        <w:spacing w:line="274" w:lineRule="auto"/>
                        <w:ind w:left="0"/>
                        <w:contextualSpacing w:val="0"/>
                        <w:rPr>
                          <w:rFonts w:ascii="Calibri Light" w:hAnsi="Calibri Light" w:cs="Calibri Light"/>
                          <w:sz w:val="18"/>
                          <w:szCs w:val="18"/>
                        </w:rPr>
                      </w:pPr>
                      <w:r w:rsidRPr="00990CAA">
                        <w:rPr>
                          <w:rFonts w:ascii="Calibri Light" w:hAnsi="Calibri Light" w:cs="Calibri Light"/>
                          <w:sz w:val="18"/>
                          <w:szCs w:val="18"/>
                          <w:lang w:val="en-AU"/>
                        </w:rPr>
                        <w:t xml:space="preserve">As part of a wider strategy that seeks to address other drivers of child marriage, this approach makes sense but thinking more explicitly about the multiple pathways for change being pursued, clearly articulating these and hypothesising how they relate to each other at the pillar/thematic level within AIPJ2 and in the different contexts in Indonesia would support more deliberate ‘testing’ and learning about which strategies yield the most promising results in different settings. This would also be invaluable learning for wider programs working to address child marriage internationally.  </w:t>
                      </w:r>
                    </w:p>
                    <w:p w14:paraId="37F8BA3D" w14:textId="77777777" w:rsidR="00172B2A" w:rsidRPr="00990CAA" w:rsidRDefault="00172B2A" w:rsidP="00137FCE">
                      <w:pPr>
                        <w:rPr>
                          <w:sz w:val="28"/>
                          <w:szCs w:val="28"/>
                        </w:rPr>
                      </w:pPr>
                    </w:p>
                  </w:txbxContent>
                </v:textbox>
                <w10:wrap type="square"/>
              </v:shape>
            </w:pict>
          </mc:Fallback>
        </mc:AlternateContent>
      </w:r>
      <w:r w:rsidR="00137FCE" w:rsidRPr="000D2EB1">
        <w:rPr>
          <w:rFonts w:ascii="Calibri Light" w:hAnsi="Calibri Light" w:cs="Calibri Light"/>
          <w:color w:val="000000" w:themeColor="text1"/>
          <w:sz w:val="22"/>
          <w:szCs w:val="22"/>
          <w:lang w:val="en-AU"/>
        </w:rPr>
        <w:t xml:space="preserve">Second, a lack of quarterly reflection sessions at </w:t>
      </w:r>
      <w:r w:rsidR="00534F69">
        <w:rPr>
          <w:rFonts w:ascii="Calibri Light" w:hAnsi="Calibri Light" w:cs="Calibri Light"/>
          <w:color w:val="000000" w:themeColor="text1"/>
          <w:sz w:val="22"/>
          <w:szCs w:val="22"/>
          <w:lang w:val="en-AU"/>
        </w:rPr>
        <w:t xml:space="preserve">a more aggregate, </w:t>
      </w:r>
      <w:r w:rsidR="00137FCE" w:rsidRPr="000D2EB1">
        <w:rPr>
          <w:rFonts w:ascii="Calibri Light" w:hAnsi="Calibri Light" w:cs="Calibri Light"/>
          <w:color w:val="000000" w:themeColor="text1"/>
          <w:sz w:val="22"/>
          <w:szCs w:val="22"/>
          <w:lang w:val="en-AU"/>
        </w:rPr>
        <w:t>facility level</w:t>
      </w:r>
      <w:r w:rsidR="00990CAA">
        <w:rPr>
          <w:rFonts w:ascii="Calibri Light" w:hAnsi="Calibri Light" w:cs="Calibri Light"/>
          <w:color w:val="000000" w:themeColor="text1"/>
          <w:sz w:val="22"/>
          <w:szCs w:val="22"/>
          <w:lang w:val="en-AU"/>
        </w:rPr>
        <w:t xml:space="preserve"> </w:t>
      </w:r>
      <w:r w:rsidR="00137FCE" w:rsidRPr="000D2EB1">
        <w:rPr>
          <w:rFonts w:ascii="Calibri Light" w:hAnsi="Calibri Light" w:cs="Calibri Light"/>
          <w:color w:val="000000" w:themeColor="text1"/>
          <w:sz w:val="22"/>
          <w:szCs w:val="22"/>
          <w:lang w:val="en-AU"/>
        </w:rPr>
        <w:t xml:space="preserve">means there is no forum for AIPJ2 as a whole to reflect on current strategies being pursued at the pillar/thematic level. This means opportunities to articulate, learn from and judge the effectiveness of current strategies for reform are missing. Again, some of this reflection clearly happens in the minds of key AIPJ2 staff – principally the Team Leader – but is not </w:t>
      </w:r>
      <w:r w:rsidR="00137FCE" w:rsidRPr="00757592">
        <w:rPr>
          <w:rFonts w:ascii="Calibri Light" w:hAnsi="Calibri Light" w:cs="Calibri Light"/>
          <w:color w:val="000000" w:themeColor="text1"/>
          <w:sz w:val="22"/>
          <w:szCs w:val="22"/>
          <w:lang w:val="en-AU"/>
        </w:rPr>
        <w:t xml:space="preserve">established as a structured management process drawing on a wider ‘management team’. </w:t>
      </w:r>
    </w:p>
    <w:p w14:paraId="01BD88BA" w14:textId="0FB8FB3D" w:rsidR="00137FCE" w:rsidRPr="000D2EB1" w:rsidRDefault="00137FCE" w:rsidP="006B32D6">
      <w:pPr>
        <w:pStyle w:val="ListParagraph"/>
        <w:numPr>
          <w:ilvl w:val="2"/>
          <w:numId w:val="3"/>
        </w:numPr>
        <w:tabs>
          <w:tab w:val="left" w:pos="567"/>
          <w:tab w:val="left" w:pos="3969"/>
        </w:tabs>
        <w:spacing w:before="240" w:line="274" w:lineRule="auto"/>
        <w:contextualSpacing w:val="0"/>
        <w:rPr>
          <w:rFonts w:ascii="Calibri Light" w:hAnsi="Calibri Light" w:cs="Calibri Light"/>
          <w:color w:val="000000" w:themeColor="text1"/>
          <w:sz w:val="22"/>
          <w:szCs w:val="22"/>
          <w:lang w:val="en-AU"/>
        </w:rPr>
      </w:pPr>
      <w:r w:rsidRPr="000D2EB1">
        <w:rPr>
          <w:rFonts w:ascii="Calibri Light" w:hAnsi="Calibri Light" w:cs="Calibri Light"/>
          <w:color w:val="000000" w:themeColor="text1"/>
          <w:sz w:val="22"/>
          <w:szCs w:val="22"/>
          <w:lang w:val="en-AU"/>
        </w:rPr>
        <w:t xml:space="preserve">Articulating strategies and providing a </w:t>
      </w:r>
      <w:r w:rsidR="00606C27">
        <w:rPr>
          <w:rFonts w:ascii="Calibri Light" w:hAnsi="Calibri Light" w:cs="Calibri Light"/>
          <w:color w:val="000000" w:themeColor="text1"/>
          <w:sz w:val="22"/>
          <w:szCs w:val="22"/>
          <w:lang w:val="en-AU"/>
        </w:rPr>
        <w:t xml:space="preserve">regular </w:t>
      </w:r>
      <w:r w:rsidRPr="000D2EB1">
        <w:rPr>
          <w:rFonts w:ascii="Calibri Light" w:hAnsi="Calibri Light" w:cs="Calibri Light"/>
          <w:color w:val="000000" w:themeColor="text1"/>
          <w:sz w:val="22"/>
          <w:szCs w:val="22"/>
          <w:lang w:val="en-AU"/>
        </w:rPr>
        <w:t xml:space="preserve">forum to then reflect on them is important for </w:t>
      </w:r>
      <w:r w:rsidR="00226822">
        <w:rPr>
          <w:rFonts w:ascii="Calibri Light" w:hAnsi="Calibri Light" w:cs="Calibri Light"/>
          <w:color w:val="000000" w:themeColor="text1"/>
          <w:sz w:val="22"/>
          <w:szCs w:val="22"/>
          <w:lang w:val="en-AU"/>
        </w:rPr>
        <w:t xml:space="preserve">programmatic relevance, more effective communication of AIPJ2’s work to external stakeholders and </w:t>
      </w:r>
      <w:r w:rsidRPr="000D2EB1">
        <w:rPr>
          <w:rFonts w:ascii="Calibri Light" w:hAnsi="Calibri Light" w:cs="Calibri Light"/>
          <w:color w:val="000000" w:themeColor="text1"/>
          <w:sz w:val="22"/>
          <w:szCs w:val="22"/>
          <w:lang w:val="en-AU"/>
        </w:rPr>
        <w:t>internal AIPJ2 capacity development . Programmatically, the implication of this finding varies depending on the field of work, as adaptation is likely to be more critical in some areas of programming than others:</w:t>
      </w:r>
    </w:p>
    <w:p w14:paraId="5F32F593" w14:textId="5ADF7CF9" w:rsidR="00137FCE" w:rsidRPr="000D2EB1" w:rsidRDefault="00137FCE" w:rsidP="006B32D6">
      <w:pPr>
        <w:pStyle w:val="ListParagraph"/>
        <w:numPr>
          <w:ilvl w:val="0"/>
          <w:numId w:val="5"/>
        </w:numPr>
        <w:tabs>
          <w:tab w:val="left" w:pos="709"/>
        </w:tabs>
        <w:spacing w:line="274" w:lineRule="auto"/>
        <w:ind w:hanging="436"/>
        <w:contextualSpacing w:val="0"/>
        <w:rPr>
          <w:rFonts w:ascii="Calibri Light" w:hAnsi="Calibri Light" w:cs="Calibri Light"/>
          <w:color w:val="000000" w:themeColor="text1"/>
          <w:sz w:val="22"/>
          <w:szCs w:val="22"/>
          <w:lang w:val="en-AU"/>
        </w:rPr>
      </w:pPr>
      <w:r w:rsidRPr="000D2EB1">
        <w:rPr>
          <w:rFonts w:ascii="Calibri Light" w:hAnsi="Calibri Light" w:cs="Calibri Light"/>
          <w:color w:val="000000" w:themeColor="text1"/>
          <w:sz w:val="22"/>
          <w:szCs w:val="22"/>
          <w:lang w:val="en-AU"/>
        </w:rPr>
        <w:t>While AIPJ2’s work on court reform</w:t>
      </w:r>
      <w:r w:rsidR="00995053" w:rsidRPr="000D2EB1">
        <w:rPr>
          <w:rFonts w:ascii="Calibri Light" w:hAnsi="Calibri Light" w:cs="Calibri Light"/>
          <w:color w:val="000000" w:themeColor="text1"/>
          <w:sz w:val="22"/>
          <w:szCs w:val="22"/>
          <w:lang w:val="en-AU"/>
        </w:rPr>
        <w:t xml:space="preserve"> and</w:t>
      </w:r>
      <w:r w:rsidRPr="000D2EB1">
        <w:rPr>
          <w:rFonts w:ascii="Calibri Light" w:hAnsi="Calibri Light" w:cs="Calibri Light"/>
          <w:color w:val="000000" w:themeColor="text1"/>
          <w:sz w:val="22"/>
          <w:szCs w:val="22"/>
          <w:lang w:val="en-AU"/>
        </w:rPr>
        <w:t xml:space="preserve"> corrections would benefit from adaptive approaches, the stage of maturity reached in this work makes it less imperative. In these areas of work, partners and their approaches are largely fixed, although of course could always benefit from critical reflection. </w:t>
      </w:r>
    </w:p>
    <w:p w14:paraId="4103F679" w14:textId="5AAC6E92" w:rsidR="00137FCE" w:rsidRPr="000D2EB1" w:rsidRDefault="00137FCE" w:rsidP="006B32D6">
      <w:pPr>
        <w:pStyle w:val="ListParagraph"/>
        <w:numPr>
          <w:ilvl w:val="0"/>
          <w:numId w:val="5"/>
        </w:numPr>
        <w:tabs>
          <w:tab w:val="left" w:pos="709"/>
        </w:tabs>
        <w:spacing w:line="274" w:lineRule="auto"/>
        <w:ind w:hanging="436"/>
        <w:contextualSpacing w:val="0"/>
        <w:rPr>
          <w:rFonts w:ascii="Calibri Light" w:hAnsi="Calibri Light" w:cs="Calibri Light"/>
          <w:color w:val="000000" w:themeColor="text1"/>
          <w:sz w:val="22"/>
          <w:szCs w:val="22"/>
          <w:lang w:val="en-AU"/>
        </w:rPr>
      </w:pPr>
      <w:r w:rsidRPr="000D2EB1">
        <w:rPr>
          <w:rFonts w:ascii="Calibri Light" w:hAnsi="Calibri Light" w:cs="Calibri Light"/>
          <w:color w:val="000000" w:themeColor="text1"/>
          <w:sz w:val="22"/>
          <w:szCs w:val="22"/>
          <w:lang w:val="en-AU"/>
        </w:rPr>
        <w:t xml:space="preserve">AIPJ2’s work on justice for women and girls, restorative justice and preventing violent extremism are newer </w:t>
      </w:r>
      <w:r w:rsidR="007B73AD" w:rsidRPr="000D2EB1">
        <w:rPr>
          <w:rFonts w:ascii="Calibri Light" w:hAnsi="Calibri Light" w:cs="Calibri Light"/>
          <w:color w:val="000000" w:themeColor="text1"/>
          <w:sz w:val="22"/>
          <w:szCs w:val="22"/>
          <w:lang w:val="en-AU"/>
        </w:rPr>
        <w:t xml:space="preserve">– or the pathways to change are less certain – </w:t>
      </w:r>
      <w:r w:rsidRPr="000D2EB1">
        <w:rPr>
          <w:rFonts w:ascii="Calibri Light" w:hAnsi="Calibri Light" w:cs="Calibri Light"/>
          <w:color w:val="000000" w:themeColor="text1"/>
          <w:sz w:val="22"/>
          <w:szCs w:val="22"/>
          <w:lang w:val="en-AU"/>
        </w:rPr>
        <w:t>and would benefit from a more deliberate, adaptive approach that tests different strategies for achieving change. There are many ways to progress change in these areas and AIPJ2’s role is not self-evident.</w:t>
      </w:r>
      <w:r w:rsidR="008573F5">
        <w:rPr>
          <w:rFonts w:ascii="Calibri Light" w:hAnsi="Calibri Light" w:cs="Calibri Light"/>
          <w:color w:val="000000" w:themeColor="text1"/>
          <w:sz w:val="22"/>
          <w:szCs w:val="22"/>
          <w:lang w:val="en-AU"/>
        </w:rPr>
        <w:t xml:space="preserve"> </w:t>
      </w:r>
      <w:r w:rsidRPr="000D2EB1">
        <w:rPr>
          <w:rFonts w:ascii="Calibri Light" w:hAnsi="Calibri Light" w:cs="Calibri Light"/>
          <w:color w:val="000000" w:themeColor="text1"/>
          <w:sz w:val="22"/>
          <w:szCs w:val="22"/>
          <w:lang w:val="en-AU"/>
        </w:rPr>
        <w:t>While the review team are not suggesting the current approaches pursued by AIPJ2 are ineffective, remaining alert to the possibility of alternative approaches will likely be important in achieving results.</w:t>
      </w:r>
      <w:r w:rsidR="00A16179">
        <w:rPr>
          <w:rFonts w:ascii="Calibri Light" w:hAnsi="Calibri Light" w:cs="Calibri Light"/>
          <w:color w:val="000000" w:themeColor="text1"/>
          <w:sz w:val="22"/>
          <w:szCs w:val="22"/>
          <w:lang w:val="en-AU"/>
        </w:rPr>
        <w:t xml:space="preserve"> </w:t>
      </w:r>
    </w:p>
    <w:p w14:paraId="36383DBC" w14:textId="4BCCCDC2" w:rsidR="00995053" w:rsidRPr="000D2EB1" w:rsidRDefault="00483A1F" w:rsidP="00AA0FA5">
      <w:pPr>
        <w:pStyle w:val="ListParagraph"/>
        <w:numPr>
          <w:ilvl w:val="2"/>
          <w:numId w:val="3"/>
        </w:numPr>
        <w:tabs>
          <w:tab w:val="left" w:pos="567"/>
          <w:tab w:val="left" w:pos="3969"/>
        </w:tabs>
        <w:spacing w:before="240" w:line="274" w:lineRule="auto"/>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rPr>
        <w:t>Doing so effectively requires a</w:t>
      </w:r>
      <w:r w:rsidR="00A233DD">
        <w:rPr>
          <w:rFonts w:ascii="Calibri Light" w:hAnsi="Calibri Light" w:cs="Calibri Light"/>
          <w:color w:val="000000" w:themeColor="text1"/>
        </w:rPr>
        <w:t>n</w:t>
      </w:r>
      <w:r>
        <w:rPr>
          <w:rFonts w:ascii="Calibri Light" w:hAnsi="Calibri Light" w:cs="Calibri Light"/>
          <w:color w:val="000000" w:themeColor="text1"/>
        </w:rPr>
        <w:t xml:space="preserve"> </w:t>
      </w:r>
      <w:r w:rsidR="00AA0FA5">
        <w:rPr>
          <w:rFonts w:ascii="Calibri Light" w:hAnsi="Calibri Light" w:cs="Calibri Light"/>
          <w:color w:val="000000" w:themeColor="text1"/>
        </w:rPr>
        <w:t>experience</w:t>
      </w:r>
      <w:r>
        <w:rPr>
          <w:rFonts w:ascii="Calibri Light" w:hAnsi="Calibri Light" w:cs="Calibri Light"/>
          <w:color w:val="000000" w:themeColor="text1"/>
        </w:rPr>
        <w:t xml:space="preserve"> and expertise </w:t>
      </w:r>
      <w:r w:rsidR="00AA0FA5">
        <w:rPr>
          <w:rFonts w:ascii="Calibri Light" w:hAnsi="Calibri Light" w:cs="Calibri Light"/>
          <w:color w:val="000000" w:themeColor="text1"/>
        </w:rPr>
        <w:t>in</w:t>
      </w:r>
      <w:r>
        <w:rPr>
          <w:rFonts w:ascii="Calibri Light" w:hAnsi="Calibri Light" w:cs="Calibri Light"/>
          <w:color w:val="000000" w:themeColor="text1"/>
        </w:rPr>
        <w:t xml:space="preserve"> technical as well as political economy issues.  Where individual AIPJ2 teams</w:t>
      </w:r>
      <w:r w:rsidR="00AA0FA5">
        <w:rPr>
          <w:rFonts w:ascii="Calibri Light" w:hAnsi="Calibri Light" w:cs="Calibri Light"/>
          <w:color w:val="000000" w:themeColor="text1"/>
        </w:rPr>
        <w:t xml:space="preserve"> do not have sufficient capacity, there is scope to involve </w:t>
      </w:r>
      <w:r w:rsidR="00AA0FA5" w:rsidRPr="00AA0FA5">
        <w:rPr>
          <w:rFonts w:ascii="Calibri Light" w:hAnsi="Calibri Light" w:cs="Calibri Light"/>
          <w:color w:val="000000" w:themeColor="text1"/>
        </w:rPr>
        <w:t xml:space="preserve">additional resource persons or ‘critical friends’ – such as some of the advisors AIPJ2 relies on </w:t>
      </w:r>
      <w:r w:rsidR="00AA0FA5">
        <w:rPr>
          <w:rFonts w:ascii="Calibri Light" w:hAnsi="Calibri Light" w:cs="Calibri Light"/>
          <w:color w:val="000000" w:themeColor="text1"/>
        </w:rPr>
        <w:t xml:space="preserve">– to support their work.   </w:t>
      </w:r>
      <w:r w:rsidR="00A233DD">
        <w:rPr>
          <w:rFonts w:ascii="Calibri Light" w:hAnsi="Calibri Light" w:cs="Calibri Light"/>
          <w:color w:val="000000" w:themeColor="text1"/>
        </w:rPr>
        <w:t xml:space="preserve">Indeed, there is scope for AIPJ2 to use its advisors and expert networks more in this regard.   </w:t>
      </w:r>
      <w:r w:rsidR="00AA0FA5">
        <w:rPr>
          <w:rFonts w:ascii="Calibri Light" w:hAnsi="Calibri Light" w:cs="Calibri Light"/>
          <w:color w:val="000000" w:themeColor="text1"/>
        </w:rPr>
        <w:t xml:space="preserve">Developing this strategic reflection capability within AIPJ2 will also enable the Partnership to elevate its interaction with partners, when appropriate, beyond day-to-day implementation issues.    </w:t>
      </w:r>
    </w:p>
    <w:p w14:paraId="50136A48" w14:textId="77777777" w:rsidR="00137FCE" w:rsidRPr="00CE4351" w:rsidRDefault="00137FCE"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CE4351">
        <w:rPr>
          <w:rFonts w:asciiTheme="majorHAnsi" w:hAnsiTheme="majorHAnsi" w:cstheme="majorHAnsi"/>
          <w:b/>
          <w:bCs/>
          <w:color w:val="000000" w:themeColor="text1"/>
          <w:sz w:val="26"/>
          <w:szCs w:val="26"/>
          <w:lang w:val="en-AU"/>
        </w:rPr>
        <w:t>Integrated, coherent approach</w:t>
      </w:r>
    </w:p>
    <w:p w14:paraId="13E11C55" w14:textId="36C1D15D" w:rsidR="00137FCE" w:rsidRPr="000D2EB1" w:rsidRDefault="00137FCE" w:rsidP="006B32D6">
      <w:pPr>
        <w:pStyle w:val="ListParagraph"/>
        <w:numPr>
          <w:ilvl w:val="2"/>
          <w:numId w:val="3"/>
        </w:numPr>
        <w:tabs>
          <w:tab w:val="left" w:pos="567"/>
          <w:tab w:val="left" w:pos="3969"/>
        </w:tabs>
        <w:spacing w:before="240" w:line="274" w:lineRule="auto"/>
        <w:contextualSpacing w:val="0"/>
        <w:rPr>
          <w:rFonts w:ascii="Calibri Light" w:hAnsi="Calibri Light" w:cs="Calibri Light"/>
          <w:color w:val="000000" w:themeColor="text1"/>
          <w:sz w:val="22"/>
          <w:szCs w:val="22"/>
          <w:lang w:val="en-AU"/>
        </w:rPr>
      </w:pPr>
      <w:r w:rsidRPr="000D2EB1">
        <w:rPr>
          <w:rFonts w:ascii="Calibri Light" w:hAnsi="Calibri Light" w:cs="Calibri Light"/>
          <w:color w:val="000000" w:themeColor="text1"/>
          <w:sz w:val="22"/>
          <w:szCs w:val="22"/>
          <w:lang w:val="en-AU"/>
        </w:rPr>
        <w:t>More integrated, coherent approaches are frequently presented as a key justification for multi-sector facilities.</w:t>
      </w:r>
      <w:r w:rsidR="008573F5">
        <w:rPr>
          <w:rFonts w:ascii="Calibri Light" w:hAnsi="Calibri Light" w:cs="Calibri Light"/>
          <w:color w:val="000000" w:themeColor="text1"/>
          <w:sz w:val="22"/>
          <w:szCs w:val="22"/>
          <w:lang w:val="en-AU"/>
        </w:rPr>
        <w:t xml:space="preserve"> </w:t>
      </w:r>
      <w:r w:rsidRPr="000D2EB1">
        <w:rPr>
          <w:rFonts w:ascii="Calibri Light" w:hAnsi="Calibri Light" w:cs="Calibri Light"/>
          <w:color w:val="000000" w:themeColor="text1"/>
          <w:sz w:val="22"/>
          <w:szCs w:val="22"/>
          <w:lang w:val="en-AU"/>
        </w:rPr>
        <w:t>However, experience elsewhere</w:t>
      </w:r>
      <w:r w:rsidR="000D2EB1">
        <w:rPr>
          <w:rStyle w:val="FootnoteReference"/>
          <w:rFonts w:ascii="Calibri Light" w:hAnsi="Calibri Light" w:cs="Calibri Light"/>
          <w:color w:val="000000" w:themeColor="text1"/>
          <w:sz w:val="22"/>
          <w:szCs w:val="22"/>
          <w:lang w:val="en-AU"/>
        </w:rPr>
        <w:footnoteReference w:id="8"/>
      </w:r>
      <w:r w:rsidRPr="000D2EB1">
        <w:rPr>
          <w:rFonts w:ascii="Calibri Light" w:hAnsi="Calibri Light" w:cs="Calibri Light"/>
          <w:color w:val="000000" w:themeColor="text1"/>
          <w:sz w:val="22"/>
          <w:szCs w:val="22"/>
          <w:lang w:val="en-AU"/>
        </w:rPr>
        <w:t xml:space="preserve"> indicates that greater coordination does not happen ‘automatically’ and is not cost-free.</w:t>
      </w:r>
      <w:r w:rsidR="008573F5">
        <w:rPr>
          <w:rFonts w:ascii="Calibri Light" w:hAnsi="Calibri Light" w:cs="Calibri Light"/>
          <w:color w:val="000000" w:themeColor="text1"/>
          <w:sz w:val="22"/>
          <w:szCs w:val="22"/>
          <w:lang w:val="en-AU"/>
        </w:rPr>
        <w:t xml:space="preserve"> </w:t>
      </w:r>
      <w:r w:rsidRPr="000D2EB1">
        <w:rPr>
          <w:rFonts w:ascii="Calibri Light" w:hAnsi="Calibri Light" w:cs="Calibri Light"/>
          <w:color w:val="000000" w:themeColor="text1"/>
          <w:sz w:val="22"/>
          <w:szCs w:val="22"/>
          <w:lang w:val="en-AU"/>
        </w:rPr>
        <w:t>On paper, AIPJ2 has significant potential for more integrated working (</w:t>
      </w:r>
      <w:r w:rsidR="00606C27">
        <w:rPr>
          <w:rFonts w:ascii="Calibri Light" w:hAnsi="Calibri Light" w:cs="Calibri Light"/>
          <w:color w:val="000000" w:themeColor="text1"/>
          <w:sz w:val="22"/>
          <w:szCs w:val="22"/>
          <w:lang w:val="en-AU"/>
        </w:rPr>
        <w:t>B</w:t>
      </w:r>
      <w:r w:rsidRPr="000D2EB1">
        <w:rPr>
          <w:rFonts w:ascii="Calibri Light" w:hAnsi="Calibri Light" w:cs="Calibri Light"/>
          <w:color w:val="000000" w:themeColor="text1"/>
          <w:sz w:val="22"/>
          <w:szCs w:val="22"/>
          <w:lang w:val="en-AU"/>
        </w:rPr>
        <w:t xml:space="preserve">ox </w:t>
      </w:r>
      <w:r w:rsidR="002B58AE" w:rsidRPr="000D2EB1">
        <w:rPr>
          <w:rFonts w:ascii="Calibri Light" w:hAnsi="Calibri Light" w:cs="Calibri Light"/>
          <w:color w:val="000000" w:themeColor="text1"/>
          <w:sz w:val="22"/>
          <w:szCs w:val="22"/>
          <w:lang w:val="en-AU"/>
        </w:rPr>
        <w:t>6</w:t>
      </w:r>
      <w:r w:rsidRPr="000D2EB1">
        <w:rPr>
          <w:rFonts w:ascii="Calibri Light" w:hAnsi="Calibri Light" w:cs="Calibri Light"/>
          <w:color w:val="000000" w:themeColor="text1"/>
          <w:sz w:val="22"/>
          <w:szCs w:val="22"/>
          <w:lang w:val="en-AU"/>
        </w:rPr>
        <w:t>) but further effort is required to realise this.</w:t>
      </w:r>
    </w:p>
    <w:p w14:paraId="3E08A9FE" w14:textId="0FF032C1" w:rsidR="00137FCE" w:rsidRPr="000D2EB1"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0D2EB1">
        <w:rPr>
          <w:rFonts w:ascii="Calibri Light" w:hAnsi="Calibri Light" w:cs="Calibri Light"/>
          <w:color w:val="000000" w:themeColor="text1"/>
          <w:sz w:val="22"/>
          <w:szCs w:val="22"/>
          <w:lang w:val="en-AU"/>
        </w:rPr>
        <w:t>AIPJ2 staff do engage in cross-pillar discussion about linkages and clearly see the connections between their different areas of work but the process is largely informal and conditioned by personal relationships between the small AIPJ2 team. Echoing the finding above regarding AIPJ2’s approach to adaptiveness (para 3.2.</w:t>
      </w:r>
      <w:r w:rsidR="00F8264D" w:rsidRPr="000D2EB1">
        <w:rPr>
          <w:rFonts w:ascii="Calibri Light" w:hAnsi="Calibri Light" w:cs="Calibri Light"/>
          <w:color w:val="000000" w:themeColor="text1"/>
          <w:sz w:val="22"/>
          <w:szCs w:val="22"/>
          <w:lang w:val="en-AU"/>
        </w:rPr>
        <w:t>2</w:t>
      </w:r>
      <w:r w:rsidRPr="000D2EB1">
        <w:rPr>
          <w:rFonts w:ascii="Calibri Light" w:hAnsi="Calibri Light" w:cs="Calibri Light"/>
          <w:color w:val="000000" w:themeColor="text1"/>
          <w:sz w:val="22"/>
          <w:szCs w:val="22"/>
          <w:lang w:val="en-AU"/>
        </w:rPr>
        <w:t>), connections between the pillars have been to date relatively informal.</w:t>
      </w:r>
      <w:r w:rsidR="00A16179">
        <w:rPr>
          <w:rFonts w:ascii="Calibri Light" w:hAnsi="Calibri Light" w:cs="Calibri Light"/>
          <w:color w:val="000000" w:themeColor="text1"/>
          <w:sz w:val="22"/>
          <w:szCs w:val="22"/>
          <w:lang w:val="en-AU"/>
        </w:rPr>
        <w:t xml:space="preserve"> </w:t>
      </w:r>
    </w:p>
    <w:p w14:paraId="6D6E4931" w14:textId="495144C9" w:rsidR="00137FCE" w:rsidRPr="00434973"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To some degree, the establishment of ‘pillars’ in AIPJ2’s design has contributed to this.</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While the intention no doubt was to avoid predetermining the areas of reform, such structures create their own boundaries.</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There is potential for AIPJ2 to take, for example, a more systemic view and approach to its law and justice work, extending good progress with courts and corrections across the justice chain and broadening impact.</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 xml:space="preserve">AIPJ2’s intentions to engage the Indonesian National Police and the Attorney General’s Office </w:t>
      </w:r>
      <w:r w:rsidR="00567E27">
        <w:rPr>
          <w:rFonts w:ascii="Calibri Light" w:hAnsi="Calibri Light" w:cs="Calibri Light"/>
          <w:color w:val="000000" w:themeColor="text1"/>
          <w:sz w:val="22"/>
          <w:szCs w:val="22"/>
          <w:lang w:val="en-AU"/>
        </w:rPr>
        <w:t>(</w:t>
      </w:r>
      <w:r w:rsidR="00567E27" w:rsidRPr="00990CAA">
        <w:rPr>
          <w:rFonts w:ascii="Calibri Light" w:hAnsi="Calibri Light" w:cs="Calibri Light"/>
          <w:color w:val="000000" w:themeColor="text1"/>
          <w:sz w:val="22"/>
          <w:szCs w:val="22"/>
          <w:lang w:val="en-AU"/>
        </w:rPr>
        <w:t>AGO</w:t>
      </w:r>
      <w:r w:rsidR="00567E27">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should be seen in this context</w:t>
      </w:r>
      <w:r w:rsidRPr="00434973">
        <w:rPr>
          <w:rFonts w:ascii="Calibri Light" w:hAnsi="Calibri Light" w:cs="Calibri Light"/>
          <w:sz w:val="22"/>
          <w:szCs w:val="22"/>
          <w:lang w:val="en-AU"/>
        </w:rPr>
        <w:t>.</w:t>
      </w:r>
      <w:r w:rsidRPr="00434973">
        <w:rPr>
          <w:rFonts w:ascii="Calibri Light" w:hAnsi="Calibri Light" w:cs="Calibri Light"/>
          <w:lang w:val="en-AU"/>
        </w:rPr>
        <w:t xml:space="preserve"> </w:t>
      </w:r>
    </w:p>
    <w:p w14:paraId="3AFAC76D" w14:textId="0B31E7B6" w:rsidR="00137FCE" w:rsidRPr="00434973" w:rsidRDefault="00226822"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noProof/>
          <w:color w:val="000000" w:themeColor="text1"/>
          <w:sz w:val="22"/>
          <w:szCs w:val="22"/>
          <w:lang w:val="en-AU" w:eastAsia="en-AU"/>
        </w:rPr>
        <mc:AlternateContent>
          <mc:Choice Requires="wps">
            <w:drawing>
              <wp:anchor distT="0" distB="0" distL="114300" distR="114300" simplePos="0" relativeHeight="251671552" behindDoc="0" locked="0" layoutInCell="1" allowOverlap="1" wp14:anchorId="460322A4" wp14:editId="3A965C84">
                <wp:simplePos x="0" y="0"/>
                <wp:positionH relativeFrom="column">
                  <wp:posOffset>-182880</wp:posOffset>
                </wp:positionH>
                <wp:positionV relativeFrom="paragraph">
                  <wp:posOffset>68580</wp:posOffset>
                </wp:positionV>
                <wp:extent cx="3339465" cy="4491990"/>
                <wp:effectExtent l="0" t="0" r="13335" b="16510"/>
                <wp:wrapSquare wrapText="bothSides"/>
                <wp:docPr id="14" name="Text Box 14"/>
                <wp:cNvGraphicFramePr/>
                <a:graphic xmlns:a="http://schemas.openxmlformats.org/drawingml/2006/main">
                  <a:graphicData uri="http://schemas.microsoft.com/office/word/2010/wordprocessingShape">
                    <wps:wsp>
                      <wps:cNvSpPr txBox="1"/>
                      <wps:spPr>
                        <a:xfrm>
                          <a:off x="0" y="0"/>
                          <a:ext cx="3339465" cy="4491990"/>
                        </a:xfrm>
                        <a:prstGeom prst="rect">
                          <a:avLst/>
                        </a:prstGeom>
                        <a:solidFill>
                          <a:schemeClr val="bg2"/>
                        </a:solidFill>
                        <a:ln w="6350">
                          <a:solidFill>
                            <a:schemeClr val="bg1">
                              <a:lumMod val="75000"/>
                            </a:schemeClr>
                          </a:solidFill>
                        </a:ln>
                      </wps:spPr>
                      <wps:txbx>
                        <w:txbxContent>
                          <w:p w14:paraId="390AB409" w14:textId="77777777" w:rsidR="00172B2A" w:rsidRPr="00226822" w:rsidRDefault="00172B2A" w:rsidP="00137FCE">
                            <w:pPr>
                              <w:spacing w:before="80" w:after="80"/>
                              <w:rPr>
                                <w:rFonts w:ascii="Calibri Light" w:hAnsi="Calibri Light" w:cs="Calibri Light"/>
                                <w:b/>
                                <w:bCs/>
                                <w:sz w:val="20"/>
                                <w:szCs w:val="20"/>
                              </w:rPr>
                            </w:pPr>
                            <w:r w:rsidRPr="00226822">
                              <w:rPr>
                                <w:rFonts w:ascii="Calibri Light" w:hAnsi="Calibri Light" w:cs="Calibri Light"/>
                                <w:b/>
                                <w:bCs/>
                                <w:sz w:val="20"/>
                                <w:szCs w:val="20"/>
                              </w:rPr>
                              <w:t>Box 6:  Potential for cross-AIPJ2 coherence</w:t>
                            </w:r>
                          </w:p>
                          <w:p w14:paraId="6AA97E28" w14:textId="77777777" w:rsidR="00172B2A" w:rsidRPr="00226822" w:rsidRDefault="00172B2A" w:rsidP="00137FCE">
                            <w:pPr>
                              <w:spacing w:before="80" w:after="80"/>
                              <w:rPr>
                                <w:rFonts w:ascii="Calibri Light" w:hAnsi="Calibri Light" w:cs="Calibri Light"/>
                                <w:sz w:val="18"/>
                                <w:szCs w:val="18"/>
                              </w:rPr>
                            </w:pPr>
                            <w:r w:rsidRPr="00226822">
                              <w:rPr>
                                <w:rFonts w:ascii="Calibri Light" w:hAnsi="Calibri Light" w:cs="Calibri Light"/>
                                <w:sz w:val="18"/>
                                <w:szCs w:val="18"/>
                              </w:rPr>
                              <w:t>Within the law and justice sector, AIPJ2 works on a range of related issues, located under its Pillars 1 and Pillars 4.</w:t>
                            </w:r>
                            <w:r w:rsidRPr="00226822" w:rsidDel="00606C27">
                              <w:rPr>
                                <w:rFonts w:ascii="Calibri Light" w:hAnsi="Calibri Light" w:cs="Calibri Light"/>
                                <w:sz w:val="18"/>
                                <w:szCs w:val="18"/>
                              </w:rPr>
                              <w:t xml:space="preserve"> </w:t>
                            </w:r>
                            <w:r w:rsidRPr="00226822">
                              <w:rPr>
                                <w:rFonts w:ascii="Calibri Light" w:hAnsi="Calibri Light" w:cs="Calibri Light"/>
                                <w:sz w:val="18"/>
                                <w:szCs w:val="18"/>
                              </w:rPr>
                              <w:t xml:space="preserve">  Support to reform of court processes and restorative justice (Pillar 1) is potentially highly relevant to AIPJ2’s engagement on addressing prison overcrowding through corrections reform (</w:t>
                            </w:r>
                            <w:r w:rsidRPr="00226822" w:rsidDel="00606C27">
                              <w:rPr>
                                <w:rFonts w:ascii="Calibri Light" w:hAnsi="Calibri Light" w:cs="Calibri Light"/>
                                <w:sz w:val="18"/>
                                <w:szCs w:val="18"/>
                              </w:rPr>
                              <w:t xml:space="preserve">under </w:t>
                            </w:r>
                            <w:r w:rsidRPr="00226822">
                              <w:rPr>
                                <w:rFonts w:ascii="Calibri Light" w:hAnsi="Calibri Light" w:cs="Calibri Light"/>
                                <w:sz w:val="18"/>
                                <w:szCs w:val="18"/>
                              </w:rPr>
                              <w:t>Pillar 4)</w:t>
                            </w:r>
                            <w:r w:rsidRPr="00226822" w:rsidDel="001C2CD0">
                              <w:rPr>
                                <w:rFonts w:ascii="Calibri Light" w:hAnsi="Calibri Light" w:cs="Calibri Light"/>
                                <w:sz w:val="18"/>
                                <w:szCs w:val="18"/>
                              </w:rPr>
                              <w:t xml:space="preserve"> from the perspective of managing prison overcrowding</w:t>
                            </w:r>
                            <w:r w:rsidRPr="00226822">
                              <w:rPr>
                                <w:rFonts w:ascii="Calibri Light" w:hAnsi="Calibri Light" w:cs="Calibri Light"/>
                                <w:sz w:val="18"/>
                                <w:szCs w:val="18"/>
                              </w:rPr>
                              <w:t xml:space="preserve">.  </w:t>
                            </w:r>
                          </w:p>
                          <w:p w14:paraId="0359A9EA" w14:textId="77777777" w:rsidR="00172B2A" w:rsidRPr="00226822"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226822">
                              <w:rPr>
                                <w:rFonts w:ascii="Calibri Light" w:eastAsiaTheme="minorEastAsia" w:hAnsi="Calibri Light" w:cs="Calibri Light"/>
                                <w:sz w:val="18"/>
                                <w:szCs w:val="18"/>
                              </w:rPr>
                              <w:t>Pursuing potential linkages between the law and justice and security sectors requires sensitive handling but AIPJ2 is well-placed,</w:t>
                            </w:r>
                            <w:r w:rsidRPr="00226822" w:rsidDel="001C2CD0">
                              <w:rPr>
                                <w:rFonts w:ascii="Calibri Light" w:eastAsiaTheme="minorEastAsia" w:hAnsi="Calibri Light" w:cs="Calibri Light"/>
                                <w:sz w:val="18"/>
                                <w:szCs w:val="18"/>
                              </w:rPr>
                              <w:t>;</w:t>
                            </w:r>
                            <w:r w:rsidRPr="00226822">
                              <w:rPr>
                                <w:rFonts w:ascii="Calibri Light" w:eastAsiaTheme="minorEastAsia" w:hAnsi="Calibri Light" w:cs="Calibri Light"/>
                                <w:sz w:val="18"/>
                                <w:szCs w:val="18"/>
                              </w:rPr>
                              <w:t xml:space="preserve"> for example, to connect work on prisoner risk assessment for better management of terrorism-related inmates (Pillar 4) to the community-based corrections concept being developed under Pillar 3.  </w:t>
                            </w:r>
                          </w:p>
                          <w:p w14:paraId="21D82045" w14:textId="77777777" w:rsidR="00172B2A" w:rsidRPr="00226822" w:rsidRDefault="00172B2A" w:rsidP="00137FCE">
                            <w:pPr>
                              <w:pStyle w:val="NormalWeb"/>
                              <w:spacing w:before="80" w:beforeAutospacing="0" w:after="80" w:afterAutospacing="0" w:line="269" w:lineRule="auto"/>
                              <w:rPr>
                                <w:rFonts w:ascii="Calibri Light" w:hAnsi="Calibri Light" w:cs="Calibri Light"/>
                                <w:sz w:val="20"/>
                                <w:szCs w:val="20"/>
                              </w:rPr>
                            </w:pPr>
                            <w:r w:rsidRPr="00226822">
                              <w:rPr>
                                <w:rFonts w:ascii="Calibri Light" w:eastAsiaTheme="minorEastAsia" w:hAnsi="Calibri Light" w:cs="Calibri Light"/>
                                <w:sz w:val="18"/>
                                <w:szCs w:val="18"/>
                              </w:rPr>
                              <w:t>Coordinating work being conducted by Australian government agencies with other AIPJ2 activities is more challenging, but opportunities exist.  For example, AIPJ2’s support to develop procedures for rehabilitation and reintegration of foreign fighters with Ministry of Social Affairs has potential linkages with Australian Border Force’s Strong Borders program also funded under AIPJ2.  Similarly, AIPJ2 supports a range of anti-corruption initiatives under Pillar 1 with potential synergy with Australian Federal Police’s work under Pillar 2.  The collaboration between Australia’s Home Affairs (Legal),</w:t>
                            </w:r>
                            <w:r w:rsidRPr="00226822" w:rsidDel="001C2CD0">
                              <w:rPr>
                                <w:rFonts w:ascii="Calibri Light" w:eastAsiaTheme="minorEastAsia" w:hAnsi="Calibri Light" w:cs="Calibri Light"/>
                                <w:sz w:val="18"/>
                                <w:szCs w:val="18"/>
                              </w:rPr>
                              <w:t xml:space="preserve"> </w:t>
                            </w:r>
                            <w:r w:rsidRPr="00226822">
                              <w:rPr>
                                <w:rFonts w:ascii="Calibri Light" w:eastAsiaTheme="minorEastAsia" w:hAnsi="Calibri Light" w:cs="Calibri Light"/>
                                <w:sz w:val="18"/>
                                <w:szCs w:val="18"/>
                              </w:rPr>
                              <w:t xml:space="preserve"> the Indonesian Centre for Law and Policy Studies (PSHK) and the Anti-Corruption Commission (KPK) to produce Anti-money Laundering guidelines is demonstration of this.</w:t>
                            </w:r>
                          </w:p>
                          <w:p w14:paraId="7B5ABB9F" w14:textId="77777777" w:rsidR="00172B2A" w:rsidRPr="00226822" w:rsidRDefault="00172B2A" w:rsidP="00137FCE">
                            <w:pPr>
                              <w:rPr>
                                <w:sz w:val="28"/>
                                <w:szCs w:val="28"/>
                              </w:rPr>
                            </w:pPr>
                          </w:p>
                        </w:txbxContent>
                      </wps:txbx>
                      <wps:bodyPr rot="0" spcFirstLastPara="0" vertOverflow="overflow" horzOverflow="overflow" vert="horz" wrap="square" lIns="144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22A4" id="Text Box 14" o:spid="_x0000_s1029" type="#_x0000_t202" style="position:absolute;left:0;text-align:left;margin-left:-14.4pt;margin-top:5.4pt;width:262.95pt;height:35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" fillcolor="#e7e6e6 [3214]" strokecolor="#bfbfbf [2412]" strokeweight=".5pt">
                <v:textbox inset="4mm,2mm,3mm,2mm">
                  <w:txbxContent>
                    <w:p w14:paraId="390AB409" w14:textId="77777777" w:rsidR="00172B2A" w:rsidRPr="00226822" w:rsidRDefault="00172B2A" w:rsidP="00137FCE">
                      <w:pPr>
                        <w:spacing w:before="80" w:after="80"/>
                        <w:rPr>
                          <w:rFonts w:ascii="Calibri Light" w:hAnsi="Calibri Light" w:cs="Calibri Light"/>
                          <w:b/>
                          <w:bCs/>
                          <w:sz w:val="20"/>
                          <w:szCs w:val="20"/>
                        </w:rPr>
                      </w:pPr>
                      <w:r w:rsidRPr="00226822">
                        <w:rPr>
                          <w:rFonts w:ascii="Calibri Light" w:hAnsi="Calibri Light" w:cs="Calibri Light"/>
                          <w:b/>
                          <w:bCs/>
                          <w:sz w:val="20"/>
                          <w:szCs w:val="20"/>
                        </w:rPr>
                        <w:t>Box 6:  Potential for cross-AIPJ2 coherence</w:t>
                      </w:r>
                    </w:p>
                    <w:p w14:paraId="6AA97E28" w14:textId="77777777" w:rsidR="00172B2A" w:rsidRPr="00226822" w:rsidRDefault="00172B2A" w:rsidP="00137FCE">
                      <w:pPr>
                        <w:spacing w:before="80" w:after="80"/>
                        <w:rPr>
                          <w:rFonts w:ascii="Calibri Light" w:hAnsi="Calibri Light" w:cs="Calibri Light"/>
                          <w:sz w:val="18"/>
                          <w:szCs w:val="18"/>
                        </w:rPr>
                      </w:pPr>
                      <w:r w:rsidRPr="00226822">
                        <w:rPr>
                          <w:rFonts w:ascii="Calibri Light" w:hAnsi="Calibri Light" w:cs="Calibri Light"/>
                          <w:sz w:val="18"/>
                          <w:szCs w:val="18"/>
                        </w:rPr>
                        <w:t>Within the law and justice sector, AIPJ2 works on a range of related issues, located under its Pillars 1 and Pillars 4.</w:t>
                      </w:r>
                      <w:r w:rsidRPr="00226822" w:rsidDel="00606C27">
                        <w:rPr>
                          <w:rFonts w:ascii="Calibri Light" w:hAnsi="Calibri Light" w:cs="Calibri Light"/>
                          <w:sz w:val="18"/>
                          <w:szCs w:val="18"/>
                        </w:rPr>
                        <w:t xml:space="preserve"> </w:t>
                      </w:r>
                      <w:r w:rsidRPr="00226822">
                        <w:rPr>
                          <w:rFonts w:ascii="Calibri Light" w:hAnsi="Calibri Light" w:cs="Calibri Light"/>
                          <w:sz w:val="18"/>
                          <w:szCs w:val="18"/>
                        </w:rPr>
                        <w:t xml:space="preserve">  Support to reform of court processes and restorative justice (Pillar 1) is potentially highly relevant to AIPJ2’s engagement on addressing prison overcrowding through corrections reform (</w:t>
                      </w:r>
                      <w:r w:rsidRPr="00226822" w:rsidDel="00606C27">
                        <w:rPr>
                          <w:rFonts w:ascii="Calibri Light" w:hAnsi="Calibri Light" w:cs="Calibri Light"/>
                          <w:sz w:val="18"/>
                          <w:szCs w:val="18"/>
                        </w:rPr>
                        <w:t xml:space="preserve">under </w:t>
                      </w:r>
                      <w:r w:rsidRPr="00226822">
                        <w:rPr>
                          <w:rFonts w:ascii="Calibri Light" w:hAnsi="Calibri Light" w:cs="Calibri Light"/>
                          <w:sz w:val="18"/>
                          <w:szCs w:val="18"/>
                        </w:rPr>
                        <w:t>Pillar 4)</w:t>
                      </w:r>
                      <w:r w:rsidRPr="00226822" w:rsidDel="001C2CD0">
                        <w:rPr>
                          <w:rFonts w:ascii="Calibri Light" w:hAnsi="Calibri Light" w:cs="Calibri Light"/>
                          <w:sz w:val="18"/>
                          <w:szCs w:val="18"/>
                        </w:rPr>
                        <w:t xml:space="preserve"> from the perspective of managing prison overcrowding</w:t>
                      </w:r>
                      <w:r w:rsidRPr="00226822">
                        <w:rPr>
                          <w:rFonts w:ascii="Calibri Light" w:hAnsi="Calibri Light" w:cs="Calibri Light"/>
                          <w:sz w:val="18"/>
                          <w:szCs w:val="18"/>
                        </w:rPr>
                        <w:t xml:space="preserve">.  </w:t>
                      </w:r>
                    </w:p>
                    <w:p w14:paraId="0359A9EA" w14:textId="77777777" w:rsidR="00172B2A" w:rsidRPr="00226822" w:rsidRDefault="00172B2A" w:rsidP="00137FCE">
                      <w:pPr>
                        <w:pStyle w:val="NormalWeb"/>
                        <w:spacing w:before="80" w:beforeAutospacing="0" w:after="80" w:afterAutospacing="0" w:line="269" w:lineRule="auto"/>
                        <w:rPr>
                          <w:rFonts w:ascii="Calibri Light" w:eastAsiaTheme="minorEastAsia" w:hAnsi="Calibri Light" w:cs="Calibri Light"/>
                          <w:sz w:val="18"/>
                          <w:szCs w:val="18"/>
                        </w:rPr>
                      </w:pPr>
                      <w:r w:rsidRPr="00226822">
                        <w:rPr>
                          <w:rFonts w:ascii="Calibri Light" w:eastAsiaTheme="minorEastAsia" w:hAnsi="Calibri Light" w:cs="Calibri Light"/>
                          <w:sz w:val="18"/>
                          <w:szCs w:val="18"/>
                        </w:rPr>
                        <w:t>Pursuing potential linkages between the law and justice and security sectors requires sensitive handling but AIPJ2 is well-placed,</w:t>
                      </w:r>
                      <w:r w:rsidRPr="00226822" w:rsidDel="001C2CD0">
                        <w:rPr>
                          <w:rFonts w:ascii="Calibri Light" w:eastAsiaTheme="minorEastAsia" w:hAnsi="Calibri Light" w:cs="Calibri Light"/>
                          <w:sz w:val="18"/>
                          <w:szCs w:val="18"/>
                        </w:rPr>
                        <w:t>;</w:t>
                      </w:r>
                      <w:r w:rsidRPr="00226822">
                        <w:rPr>
                          <w:rFonts w:ascii="Calibri Light" w:eastAsiaTheme="minorEastAsia" w:hAnsi="Calibri Light" w:cs="Calibri Light"/>
                          <w:sz w:val="18"/>
                          <w:szCs w:val="18"/>
                        </w:rPr>
                        <w:t xml:space="preserve"> for example, to connect work on prisoner risk assessment for better management of terrorism-related inmates (Pillar 4) to the community-based corrections concept being developed under Pillar 3.  </w:t>
                      </w:r>
                    </w:p>
                    <w:p w14:paraId="21D82045" w14:textId="77777777" w:rsidR="00172B2A" w:rsidRPr="00226822" w:rsidRDefault="00172B2A" w:rsidP="00137FCE">
                      <w:pPr>
                        <w:pStyle w:val="NormalWeb"/>
                        <w:spacing w:before="80" w:beforeAutospacing="0" w:after="80" w:afterAutospacing="0" w:line="269" w:lineRule="auto"/>
                        <w:rPr>
                          <w:rFonts w:ascii="Calibri Light" w:hAnsi="Calibri Light" w:cs="Calibri Light"/>
                          <w:sz w:val="20"/>
                          <w:szCs w:val="20"/>
                        </w:rPr>
                      </w:pPr>
                      <w:r w:rsidRPr="00226822">
                        <w:rPr>
                          <w:rFonts w:ascii="Calibri Light" w:eastAsiaTheme="minorEastAsia" w:hAnsi="Calibri Light" w:cs="Calibri Light"/>
                          <w:sz w:val="18"/>
                          <w:szCs w:val="18"/>
                        </w:rPr>
                        <w:t>Coordinating work being conducted by Australian government agencies with other AIPJ2 activities is more challenging, but opportunities exist.  For example, AIPJ2’s support to develop procedures for rehabilitation and reintegration of foreign fighters with Ministry of Social Affairs has potential linkages with Australian Border Force’s Strong Borders program also funded under AIPJ2.  Similarly, AIPJ2 supports a range of anti-corruption initiatives under Pillar 1 with potential synergy with Australian Federal Police’s work under Pillar 2.  The collaboration between Australia’s Home Affairs (Legal),</w:t>
                      </w:r>
                      <w:r w:rsidRPr="00226822" w:rsidDel="001C2CD0">
                        <w:rPr>
                          <w:rFonts w:ascii="Calibri Light" w:eastAsiaTheme="minorEastAsia" w:hAnsi="Calibri Light" w:cs="Calibri Light"/>
                          <w:sz w:val="18"/>
                          <w:szCs w:val="18"/>
                        </w:rPr>
                        <w:t xml:space="preserve"> </w:t>
                      </w:r>
                      <w:r w:rsidRPr="00226822">
                        <w:rPr>
                          <w:rFonts w:ascii="Calibri Light" w:eastAsiaTheme="minorEastAsia" w:hAnsi="Calibri Light" w:cs="Calibri Light"/>
                          <w:sz w:val="18"/>
                          <w:szCs w:val="18"/>
                        </w:rPr>
                        <w:t xml:space="preserve"> the Indonesian Centre for Law and Policy Studies (PSHK) and the Anti-Corruption Commission (KPK) to produce Anti-money Laundering guidelines is demonstration of this.</w:t>
                      </w:r>
                    </w:p>
                    <w:p w14:paraId="7B5ABB9F" w14:textId="77777777" w:rsidR="00172B2A" w:rsidRPr="00226822" w:rsidRDefault="00172B2A" w:rsidP="00137FCE">
                      <w:pPr>
                        <w:rPr>
                          <w:sz w:val="28"/>
                          <w:szCs w:val="28"/>
                        </w:rPr>
                      </w:pPr>
                    </w:p>
                  </w:txbxContent>
                </v:textbox>
                <w10:wrap type="square"/>
              </v:shape>
            </w:pict>
          </mc:Fallback>
        </mc:AlternateContent>
      </w:r>
      <w:r w:rsidR="00137FCE" w:rsidRPr="00434973">
        <w:rPr>
          <w:rFonts w:ascii="Calibri Light" w:hAnsi="Calibri Light" w:cs="Calibri Light"/>
          <w:color w:val="000000" w:themeColor="text1"/>
          <w:sz w:val="22"/>
          <w:szCs w:val="22"/>
          <w:lang w:val="en-AU"/>
        </w:rPr>
        <w:t>In principle, there is also scope to connect better Australian Government agencies working under Pillar 2 with relevant parts of AIPJ2 – even allowing for the caution and sensitivity needed in linking security and law and justice initiatives.</w:t>
      </w:r>
      <w:r w:rsidR="008573F5">
        <w:rPr>
          <w:rFonts w:ascii="Calibri Light" w:hAnsi="Calibri Light" w:cs="Calibri Light"/>
          <w:color w:val="000000" w:themeColor="text1"/>
          <w:sz w:val="22"/>
          <w:szCs w:val="22"/>
          <w:lang w:val="en-AU"/>
        </w:rPr>
        <w:t xml:space="preserve"> </w:t>
      </w:r>
      <w:r w:rsidR="00137FCE" w:rsidRPr="00434973">
        <w:rPr>
          <w:rFonts w:ascii="Calibri Light" w:hAnsi="Calibri Light" w:cs="Calibri Light"/>
          <w:color w:val="000000" w:themeColor="text1"/>
          <w:sz w:val="22"/>
          <w:szCs w:val="22"/>
          <w:lang w:val="en-AU"/>
        </w:rPr>
        <w:t>Indeed, steps have started to be taken with this in mind.</w:t>
      </w:r>
      <w:r w:rsidR="008573F5">
        <w:rPr>
          <w:rFonts w:ascii="Calibri Light" w:hAnsi="Calibri Light" w:cs="Calibri Light"/>
          <w:color w:val="000000" w:themeColor="text1"/>
          <w:sz w:val="22"/>
          <w:szCs w:val="22"/>
          <w:lang w:val="en-AU"/>
        </w:rPr>
        <w:t xml:space="preserve"> </w:t>
      </w:r>
      <w:r w:rsidR="00137FCE" w:rsidRPr="00434973">
        <w:rPr>
          <w:rFonts w:ascii="Calibri Light" w:hAnsi="Calibri Light" w:cs="Calibri Light"/>
          <w:color w:val="000000" w:themeColor="text1"/>
          <w:sz w:val="22"/>
          <w:szCs w:val="22"/>
          <w:lang w:val="en-AU"/>
        </w:rPr>
        <w:t>However, expectations should be realistic about what is feasible in this regard, given existing capacity constraints facing the agencies involved, the costs of coordination and differing organisational objectives and incentives.</w:t>
      </w:r>
      <w:r w:rsidR="008573F5">
        <w:rPr>
          <w:rFonts w:ascii="Calibri Light" w:hAnsi="Calibri Light" w:cs="Calibri Light"/>
          <w:color w:val="000000" w:themeColor="text1"/>
          <w:sz w:val="22"/>
          <w:szCs w:val="22"/>
          <w:lang w:val="en-AU"/>
        </w:rPr>
        <w:t xml:space="preserve"> </w:t>
      </w:r>
      <w:r w:rsidR="00137FCE" w:rsidRPr="00434973">
        <w:rPr>
          <w:rFonts w:ascii="Calibri Light" w:hAnsi="Calibri Light" w:cs="Calibri Light"/>
          <w:color w:val="000000" w:themeColor="text1"/>
          <w:sz w:val="22"/>
          <w:szCs w:val="22"/>
          <w:lang w:val="en-AU"/>
        </w:rPr>
        <w:t xml:space="preserve">Nevertheless, a more structured exchange of information, organised and promoted by DFAT, would be valuable in its own right and would be the starting point to identify </w:t>
      </w:r>
      <w:r w:rsidR="00051E21" w:rsidRPr="00434973">
        <w:rPr>
          <w:rFonts w:ascii="Calibri Light" w:hAnsi="Calibri Light" w:cs="Calibri Light"/>
          <w:color w:val="000000" w:themeColor="text1"/>
          <w:sz w:val="22"/>
          <w:szCs w:val="22"/>
          <w:lang w:val="en-AU"/>
        </w:rPr>
        <w:t xml:space="preserve">potential </w:t>
      </w:r>
      <w:r w:rsidR="00137FCE" w:rsidRPr="00434973">
        <w:rPr>
          <w:rFonts w:ascii="Calibri Light" w:hAnsi="Calibri Light" w:cs="Calibri Light"/>
          <w:color w:val="000000" w:themeColor="text1"/>
          <w:sz w:val="22"/>
          <w:szCs w:val="22"/>
          <w:lang w:val="en-AU"/>
        </w:rPr>
        <w:t>areas of shared interest.</w:t>
      </w:r>
    </w:p>
    <w:p w14:paraId="41C1665B" w14:textId="1492E5CB" w:rsidR="00137FCE" w:rsidRPr="00434973"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As part of the review’s brief, DFAT also asked the team to consider AIPJ2’s linkages with other DFAT programs and whether the division of responsibilities – in particular, with respect to civil society partnerships – between the different initiatives was appropriate.</w:t>
      </w:r>
      <w:r w:rsidR="00A16179">
        <w:rPr>
          <w:rFonts w:ascii="Calibri Light" w:hAnsi="Calibri Light" w:cs="Calibri Light"/>
          <w:color w:val="000000" w:themeColor="text1"/>
          <w:sz w:val="22"/>
          <w:szCs w:val="22"/>
          <w:lang w:val="en-AU"/>
        </w:rPr>
        <w:t xml:space="preserve"> </w:t>
      </w:r>
    </w:p>
    <w:p w14:paraId="33808F05" w14:textId="77777777" w:rsidR="00137FCE" w:rsidRPr="00434973"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With both MAMPU and PEDULI</w:t>
      </w:r>
      <w:r w:rsidRPr="00434973">
        <w:rPr>
          <w:rStyle w:val="FootnoteReference"/>
          <w:rFonts w:ascii="Calibri Light" w:hAnsi="Calibri Light" w:cs="Calibri Light"/>
          <w:color w:val="000000" w:themeColor="text1"/>
          <w:sz w:val="22"/>
          <w:szCs w:val="22"/>
          <w:lang w:val="en-AU"/>
        </w:rPr>
        <w:footnoteReference w:id="9"/>
      </w:r>
      <w:r w:rsidRPr="00434973">
        <w:rPr>
          <w:rFonts w:ascii="Calibri Light" w:hAnsi="Calibri Light" w:cs="Calibri Light"/>
          <w:color w:val="000000" w:themeColor="text1"/>
          <w:sz w:val="22"/>
          <w:szCs w:val="22"/>
          <w:lang w:val="en-AU"/>
        </w:rPr>
        <w:t xml:space="preserve">, we found active examples of positive collaboration: </w:t>
      </w:r>
    </w:p>
    <w:p w14:paraId="65FB841D" w14:textId="59BCDE78" w:rsidR="00137FCE" w:rsidRPr="00434973" w:rsidRDefault="00137FCE"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MAMPU and AIPJ2 are working with Bappenas to support the National Strategy on child marriage – the former work</w:t>
      </w:r>
      <w:r w:rsidR="00051E21" w:rsidRPr="00434973">
        <w:rPr>
          <w:rFonts w:ascii="Calibri Light" w:hAnsi="Calibri Light" w:cs="Calibri Light"/>
          <w:color w:val="000000" w:themeColor="text1"/>
          <w:sz w:val="22"/>
          <w:szCs w:val="22"/>
          <w:lang w:val="en-AU"/>
        </w:rPr>
        <w:t>ing with a wider range of civil society organisations</w:t>
      </w:r>
      <w:r w:rsidRPr="00434973">
        <w:rPr>
          <w:rFonts w:ascii="Calibri Light" w:hAnsi="Calibri Light" w:cs="Calibri Light"/>
          <w:color w:val="000000" w:themeColor="text1"/>
          <w:sz w:val="22"/>
          <w:szCs w:val="22"/>
          <w:lang w:val="en-AU"/>
        </w:rPr>
        <w:t xml:space="preserve"> at the community level</w:t>
      </w:r>
      <w:r w:rsidR="00051E21" w:rsidRPr="00434973">
        <w:rPr>
          <w:rFonts w:ascii="Calibri Light" w:hAnsi="Calibri Light" w:cs="Calibri Light"/>
          <w:color w:val="000000" w:themeColor="text1"/>
          <w:sz w:val="22"/>
          <w:szCs w:val="22"/>
          <w:lang w:val="en-AU"/>
        </w:rPr>
        <w:t xml:space="preserve"> on social drivers</w:t>
      </w:r>
      <w:r w:rsidRPr="00434973">
        <w:rPr>
          <w:rFonts w:ascii="Calibri Light" w:hAnsi="Calibri Light" w:cs="Calibri Light"/>
          <w:color w:val="000000" w:themeColor="text1"/>
          <w:sz w:val="22"/>
          <w:szCs w:val="22"/>
          <w:lang w:val="en-AU"/>
        </w:rPr>
        <w:t xml:space="preserve">, </w:t>
      </w:r>
      <w:r w:rsidR="00051E21" w:rsidRPr="00434973">
        <w:rPr>
          <w:rFonts w:ascii="Calibri Light" w:hAnsi="Calibri Light" w:cs="Calibri Light"/>
          <w:color w:val="000000" w:themeColor="text1"/>
          <w:sz w:val="22"/>
          <w:szCs w:val="22"/>
          <w:lang w:val="en-AU"/>
        </w:rPr>
        <w:t xml:space="preserve">and </w:t>
      </w:r>
      <w:r w:rsidRPr="00434973">
        <w:rPr>
          <w:rFonts w:ascii="Calibri Light" w:hAnsi="Calibri Light" w:cs="Calibri Light"/>
          <w:color w:val="000000" w:themeColor="text1"/>
          <w:sz w:val="22"/>
          <w:szCs w:val="22"/>
          <w:lang w:val="en-AU"/>
        </w:rPr>
        <w:t>AIPJ2 work</w:t>
      </w:r>
      <w:r w:rsidR="00A64D4C" w:rsidRPr="00434973">
        <w:rPr>
          <w:rFonts w:ascii="Calibri Light" w:hAnsi="Calibri Light" w:cs="Calibri Light"/>
          <w:color w:val="000000" w:themeColor="text1"/>
          <w:sz w:val="22"/>
          <w:szCs w:val="22"/>
          <w:lang w:val="en-AU"/>
        </w:rPr>
        <w:t>ing</w:t>
      </w:r>
      <w:r w:rsidRPr="00434973">
        <w:rPr>
          <w:rFonts w:ascii="Calibri Light" w:hAnsi="Calibri Light" w:cs="Calibri Light"/>
          <w:color w:val="000000" w:themeColor="text1"/>
          <w:sz w:val="22"/>
          <w:szCs w:val="22"/>
          <w:lang w:val="en-AU"/>
        </w:rPr>
        <w:t xml:space="preserve"> with the courts</w:t>
      </w:r>
      <w:r w:rsidR="00051E21" w:rsidRPr="00434973">
        <w:rPr>
          <w:rFonts w:ascii="Calibri Light" w:hAnsi="Calibri Light" w:cs="Calibri Light"/>
          <w:color w:val="000000" w:themeColor="text1"/>
          <w:sz w:val="22"/>
          <w:szCs w:val="22"/>
          <w:lang w:val="en-AU"/>
        </w:rPr>
        <w:t xml:space="preserve"> and civil society organisations on legal and normative drivers</w:t>
      </w:r>
      <w:r w:rsidRPr="00434973">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 xml:space="preserve">MAMPU is also engaging with AIPJ2 on implementation of PERMA 3 (treatment of women in conflict with the law) from its particular </w:t>
      </w:r>
      <w:r w:rsidR="00051E21" w:rsidRPr="00434973">
        <w:rPr>
          <w:rFonts w:ascii="Calibri Light" w:hAnsi="Calibri Light" w:cs="Calibri Light"/>
          <w:color w:val="000000" w:themeColor="text1"/>
          <w:sz w:val="22"/>
          <w:szCs w:val="22"/>
          <w:lang w:val="en-AU"/>
        </w:rPr>
        <w:t>focus on</w:t>
      </w:r>
      <w:r w:rsidRPr="00434973">
        <w:rPr>
          <w:rFonts w:ascii="Calibri Light" w:hAnsi="Calibri Light" w:cs="Calibri Light"/>
          <w:color w:val="000000" w:themeColor="text1"/>
          <w:sz w:val="22"/>
          <w:szCs w:val="22"/>
          <w:lang w:val="en-AU"/>
        </w:rPr>
        <w:t xml:space="preserve"> violence against women.</w:t>
      </w:r>
    </w:p>
    <w:p w14:paraId="7D082971" w14:textId="0F478CB3" w:rsidR="00137FCE" w:rsidRPr="00434973" w:rsidRDefault="00137FCE"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PEDULI and AIPJ2 collaborate using their respective networks to advance disability inclusion issues at a sub-national level and on children’s rights in correctional facilities.</w:t>
      </w:r>
      <w:r w:rsidR="00A16179">
        <w:rPr>
          <w:rFonts w:ascii="Calibri Light" w:hAnsi="Calibri Light" w:cs="Calibri Light"/>
          <w:color w:val="000000" w:themeColor="text1"/>
          <w:sz w:val="22"/>
          <w:szCs w:val="22"/>
          <w:lang w:val="en-AU"/>
        </w:rPr>
        <w:t xml:space="preserve"> </w:t>
      </w:r>
    </w:p>
    <w:p w14:paraId="3D2ADD3F" w14:textId="00ECBA66" w:rsidR="00137FCE" w:rsidRPr="00434973"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However, the occurrence of positive examples appears dependent to an important degree on the collaborative personalities of the individuals involved.</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A formal mechanism does not really exist to promote collaboration across DFAT programs and help overcome the normal obstacles – such as differing governance arrangements between programs, limited incentives in contracts combined with natural competition between different contractors.</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Relatively recently, the Australian Embassy convened a Team Leaders’ meeting, which was attended by senior Embassy staff and which seems to have enabled quite useful, strategic discussions.</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 xml:space="preserve">This initiative could usefully be formalised into a routine event. </w:t>
      </w:r>
    </w:p>
    <w:p w14:paraId="307683D8" w14:textId="6829C063" w:rsidR="00137FCE" w:rsidRPr="00434973"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434973">
        <w:rPr>
          <w:rFonts w:ascii="Calibri Light" w:hAnsi="Calibri Light" w:cs="Calibri Light"/>
          <w:color w:val="000000" w:themeColor="text1"/>
          <w:sz w:val="22"/>
          <w:szCs w:val="22"/>
          <w:lang w:val="en-AU"/>
        </w:rPr>
        <w:t>It is a more difficult question to judge whether the division of responsibilities between programs is optimal</w:t>
      </w:r>
      <w:r w:rsidR="00A64D4C" w:rsidRPr="00434973">
        <w:rPr>
          <w:rFonts w:ascii="Calibri Light" w:hAnsi="Calibri Light" w:cs="Calibri Light"/>
          <w:color w:val="000000" w:themeColor="text1"/>
          <w:sz w:val="22"/>
          <w:szCs w:val="22"/>
          <w:lang w:val="en-AU"/>
        </w:rPr>
        <w:t>,</w:t>
      </w:r>
      <w:r w:rsidRPr="00434973">
        <w:rPr>
          <w:rFonts w:ascii="Calibri Light" w:hAnsi="Calibri Light" w:cs="Calibri Light"/>
          <w:color w:val="000000" w:themeColor="text1"/>
          <w:sz w:val="22"/>
          <w:szCs w:val="22"/>
          <w:lang w:val="en-AU"/>
        </w:rPr>
        <w:t xml:space="preserve"> from </w:t>
      </w:r>
      <w:r w:rsidR="00A64D4C" w:rsidRPr="00434973">
        <w:rPr>
          <w:rFonts w:ascii="Calibri Light" w:hAnsi="Calibri Light" w:cs="Calibri Light"/>
          <w:color w:val="000000" w:themeColor="text1"/>
          <w:sz w:val="22"/>
          <w:szCs w:val="22"/>
          <w:lang w:val="en-AU"/>
        </w:rPr>
        <w:t xml:space="preserve">a </w:t>
      </w:r>
      <w:r w:rsidRPr="00434973">
        <w:rPr>
          <w:rFonts w:ascii="Calibri Light" w:hAnsi="Calibri Light" w:cs="Calibri Light"/>
          <w:color w:val="000000" w:themeColor="text1"/>
          <w:sz w:val="22"/>
          <w:szCs w:val="22"/>
          <w:lang w:val="en-AU"/>
        </w:rPr>
        <w:t>vantage point of just AIPJ2.</w:t>
      </w:r>
      <w:r w:rsidR="008573F5">
        <w:rPr>
          <w:rFonts w:ascii="Calibri Light" w:hAnsi="Calibri Light" w:cs="Calibri Light"/>
          <w:color w:val="000000" w:themeColor="text1"/>
          <w:sz w:val="22"/>
          <w:szCs w:val="22"/>
          <w:lang w:val="en-AU"/>
        </w:rPr>
        <w:t xml:space="preserve"> </w:t>
      </w:r>
      <w:r w:rsidR="001C2CD0">
        <w:rPr>
          <w:rFonts w:ascii="Calibri Light" w:hAnsi="Calibri Light" w:cs="Calibri Light"/>
          <w:color w:val="000000" w:themeColor="text1"/>
          <w:sz w:val="22"/>
          <w:szCs w:val="22"/>
          <w:lang w:val="en-AU"/>
        </w:rPr>
        <w:t>T</w:t>
      </w:r>
      <w:r w:rsidRPr="00434973">
        <w:rPr>
          <w:rFonts w:ascii="Calibri Light" w:hAnsi="Calibri Light" w:cs="Calibri Light"/>
          <w:color w:val="000000" w:themeColor="text1"/>
          <w:sz w:val="22"/>
          <w:szCs w:val="22"/>
          <w:lang w:val="en-AU"/>
        </w:rPr>
        <w:t>he review did not find evidence of obvious duplication or overlap – the examples discussed appear</w:t>
      </w:r>
      <w:r w:rsidR="00F310F9" w:rsidRPr="00434973">
        <w:rPr>
          <w:rFonts w:ascii="Calibri Light" w:hAnsi="Calibri Light" w:cs="Calibri Light"/>
          <w:color w:val="000000" w:themeColor="text1"/>
          <w:sz w:val="22"/>
          <w:szCs w:val="22"/>
          <w:lang w:val="en-AU"/>
        </w:rPr>
        <w:t xml:space="preserve"> to be</w:t>
      </w:r>
      <w:r w:rsidRPr="00434973">
        <w:rPr>
          <w:rFonts w:ascii="Calibri Light" w:hAnsi="Calibri Light" w:cs="Calibri Light"/>
          <w:color w:val="000000" w:themeColor="text1"/>
          <w:sz w:val="22"/>
          <w:szCs w:val="22"/>
          <w:lang w:val="en-AU"/>
        </w:rPr>
        <w:t xml:space="preserve"> more cases of each program applying their comparative advantage to address a common issue.</w:t>
      </w:r>
      <w:r w:rsidR="00EF1E16" w:rsidRPr="00434973">
        <w:rPr>
          <w:rFonts w:ascii="Calibri Light" w:hAnsi="Calibri Light" w:cs="Calibri Light"/>
          <w:color w:val="000000" w:themeColor="text1"/>
          <w:sz w:val="22"/>
          <w:szCs w:val="22"/>
          <w:lang w:val="en-AU"/>
        </w:rPr>
        <w:t xml:space="preserve"> This is particularly important when grappling with complex social problems with multiple drivers – such as child marriage. In this case, having the Australian aid program investing in addressing this problem through multiple strategies (including from the legal vantage point, as well as from broader socio-economic drivers) makes a lot of sense.</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 xml:space="preserve">However, whether the comparative advantages </w:t>
      </w:r>
      <w:r w:rsidR="00EF1E16" w:rsidRPr="00434973">
        <w:rPr>
          <w:rFonts w:ascii="Calibri Light" w:hAnsi="Calibri Light" w:cs="Calibri Light"/>
          <w:color w:val="000000" w:themeColor="text1"/>
          <w:sz w:val="22"/>
          <w:szCs w:val="22"/>
          <w:lang w:val="en-AU"/>
        </w:rPr>
        <w:t xml:space="preserve">of multiple programs working on </w:t>
      </w:r>
      <w:r w:rsidR="00F45649" w:rsidRPr="00434973">
        <w:rPr>
          <w:rFonts w:ascii="Calibri Light" w:hAnsi="Calibri Light" w:cs="Calibri Light"/>
          <w:color w:val="000000" w:themeColor="text1"/>
          <w:sz w:val="22"/>
          <w:szCs w:val="22"/>
          <w:lang w:val="en-AU"/>
        </w:rPr>
        <w:t>shared</w:t>
      </w:r>
      <w:r w:rsidR="00EF1E16" w:rsidRPr="00434973">
        <w:rPr>
          <w:rFonts w:ascii="Calibri Light" w:hAnsi="Calibri Light" w:cs="Calibri Light"/>
          <w:color w:val="000000" w:themeColor="text1"/>
          <w:sz w:val="22"/>
          <w:szCs w:val="22"/>
          <w:lang w:val="en-AU"/>
        </w:rPr>
        <w:t xml:space="preserve"> issues </w:t>
      </w:r>
      <w:r w:rsidRPr="00434973">
        <w:rPr>
          <w:rFonts w:ascii="Calibri Light" w:hAnsi="Calibri Light" w:cs="Calibri Light"/>
          <w:color w:val="000000" w:themeColor="text1"/>
          <w:sz w:val="22"/>
          <w:szCs w:val="22"/>
          <w:lang w:val="en-AU"/>
        </w:rPr>
        <w:t xml:space="preserve">are being fully exploited – a critical question in a shrinking overall aid program – is </w:t>
      </w:r>
      <w:r w:rsidR="00EF1E16" w:rsidRPr="00434973">
        <w:rPr>
          <w:rFonts w:ascii="Calibri Light" w:hAnsi="Calibri Light" w:cs="Calibri Light"/>
          <w:color w:val="000000" w:themeColor="text1"/>
          <w:sz w:val="22"/>
          <w:szCs w:val="22"/>
          <w:lang w:val="en-AU"/>
        </w:rPr>
        <w:t xml:space="preserve">less </w:t>
      </w:r>
      <w:r w:rsidRPr="00434973">
        <w:rPr>
          <w:rFonts w:ascii="Calibri Light" w:hAnsi="Calibri Light" w:cs="Calibri Light"/>
          <w:color w:val="000000" w:themeColor="text1"/>
          <w:sz w:val="22"/>
          <w:szCs w:val="22"/>
          <w:lang w:val="en-AU"/>
        </w:rPr>
        <w:t>clear.</w:t>
      </w:r>
      <w:r w:rsidR="008573F5">
        <w:rPr>
          <w:rFonts w:ascii="Calibri Light" w:hAnsi="Calibri Light" w:cs="Calibri Light"/>
          <w:color w:val="000000" w:themeColor="text1"/>
          <w:sz w:val="22"/>
          <w:szCs w:val="22"/>
          <w:lang w:val="en-AU"/>
        </w:rPr>
        <w:t xml:space="preserve"> </w:t>
      </w:r>
      <w:r w:rsidRPr="00434973">
        <w:rPr>
          <w:rFonts w:ascii="Calibri Light" w:hAnsi="Calibri Light" w:cs="Calibri Light"/>
          <w:color w:val="000000" w:themeColor="text1"/>
          <w:sz w:val="22"/>
          <w:szCs w:val="22"/>
          <w:lang w:val="en-AU"/>
        </w:rPr>
        <w:t>Certainly, the types of processes that would typically be required to ensure this were the case – such as, cross-program strategic planning exercises, subject-matter working groups – are not in place.</w:t>
      </w:r>
    </w:p>
    <w:p w14:paraId="288A9336" w14:textId="4821489D" w:rsidR="005D554B" w:rsidRDefault="005D554B"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Pr>
          <w:rFonts w:asciiTheme="majorHAnsi" w:hAnsiTheme="majorHAnsi" w:cstheme="majorHAnsi"/>
          <w:b/>
          <w:bCs/>
          <w:color w:val="000000" w:themeColor="text1"/>
          <w:sz w:val="26"/>
          <w:szCs w:val="26"/>
          <w:lang w:val="en-AU"/>
        </w:rPr>
        <w:t>Integration of gender</w:t>
      </w:r>
    </w:p>
    <w:p w14:paraId="3CF65E50" w14:textId="77777777" w:rsidR="00E02CB1" w:rsidRPr="00E02CB1" w:rsidRDefault="00E02CB1" w:rsidP="00E02CB1">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AIPJ2 treats justice for women and girls as a priority alongside other key thematic areas (such as prison and court reform); a significant share of expenditure is devoted to it, through a range of specific activities focused on the gendered concerns of women and girls</w:t>
      </w:r>
      <w:r w:rsidRPr="00E02CB1">
        <w:rPr>
          <w:rFonts w:ascii="Calibri Light" w:hAnsi="Calibri Light" w:cs="Calibri Light"/>
          <w:color w:val="000000" w:themeColor="text1"/>
          <w:sz w:val="22"/>
          <w:szCs w:val="22"/>
          <w:lang w:val="en-AU"/>
        </w:rPr>
        <w:footnoteReference w:id="10"/>
      </w:r>
      <w:r w:rsidRPr="00E02CB1">
        <w:rPr>
          <w:rFonts w:ascii="Calibri Light" w:hAnsi="Calibri Light" w:cs="Calibri Light"/>
          <w:color w:val="000000" w:themeColor="text1"/>
          <w:sz w:val="22"/>
          <w:szCs w:val="22"/>
          <w:lang w:val="en-AU"/>
        </w:rPr>
        <w:t>. Most obviously, this relates to work under Pillar 1 on women in contact with the law, and early marriage. Other gender-related work that AIPJ2 has worked on includes:</w:t>
      </w:r>
    </w:p>
    <w:p w14:paraId="528CF914" w14:textId="77777777" w:rsidR="00E02CB1" w:rsidRPr="00E02CB1" w:rsidRDefault="00E02CB1" w:rsidP="00E02CB1">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the ‘I am a Woman Against Corruption’ (SPAK) campaign under Pillar 1;</w:t>
      </w:r>
    </w:p>
    <w:p w14:paraId="053C6230" w14:textId="77777777" w:rsidR="00E02CB1" w:rsidRPr="00E02CB1" w:rsidRDefault="00E02CB1" w:rsidP="00E02CB1">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Support to Australian agencies to integrate a stronger gender perspective under Pillar 2 (although the extent of adoption in programming to date is not clear);</w:t>
      </w:r>
    </w:p>
    <w:p w14:paraId="788F90D1" w14:textId="77777777" w:rsidR="00E02CB1" w:rsidRPr="00E02CB1" w:rsidRDefault="00E02CB1" w:rsidP="00E02CB1">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Research on women and juvenile violent extremist offenders under Pillar 3, and advocacy with government to better meet the rehabilitation and reintegration needs of women;</w:t>
      </w:r>
    </w:p>
    <w:p w14:paraId="2584D08C" w14:textId="2E35BECA" w:rsidR="00E02CB1" w:rsidRPr="00E02CB1" w:rsidRDefault="00E02CB1" w:rsidP="00E02CB1">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 xml:space="preserve">Funding for the Wahid Foundation who helped BNPT incorporate a gender perspective in the National Action Plan for preventing violent extremism and other AIPJ2 partners who supported the Ministry of Women’s Empowerment and Child Protection’s contribute to the Plan and develop a provincial action plan on women and child protection in social conflict, being piloted in 17 provinces (also under Pillar 3).  </w:t>
      </w:r>
    </w:p>
    <w:p w14:paraId="73414680" w14:textId="77777777" w:rsidR="00E02CB1" w:rsidRPr="00E02CB1" w:rsidRDefault="00E02CB1" w:rsidP="00E02CB1">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 xml:space="preserve">AIPJ2 has also sought to mainstream gender across its activities, with all partners required to report on and monitor their efforts to mainstream gender in regular reporting and in the quarterly reflection sessions. As noted in the political economy analysis commissioned by AIPJ2, this approach of combining gender mainstreaming with a standalone gender component represents what is thought to be ‘best practice’ internationally.   There remains, however, room for improvement in the way that gender is mainstreamed. Despite efforts to date, staff and partners do not readily talk about the gendered dimensions of their work outside of a specific ‘gender’ activity.   </w:t>
      </w:r>
    </w:p>
    <w:p w14:paraId="2A3A8CD2" w14:textId="77777777" w:rsidR="00E02CB1" w:rsidRDefault="00E02CB1" w:rsidP="00E02CB1">
      <w:pPr>
        <w:jc w:val="both"/>
      </w:pPr>
    </w:p>
    <w:p w14:paraId="5F89A940" w14:textId="7D1475F9" w:rsidR="00E02CB1" w:rsidRPr="00E02CB1" w:rsidRDefault="00E02CB1" w:rsidP="00E02CB1">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 xml:space="preserve">One way to strengthen this might be to use </w:t>
      </w:r>
      <w:r>
        <w:rPr>
          <w:rFonts w:ascii="Calibri Light" w:hAnsi="Calibri Light" w:cs="Calibri Light"/>
          <w:color w:val="000000" w:themeColor="text1"/>
          <w:sz w:val="22"/>
          <w:szCs w:val="22"/>
          <w:lang w:val="en-AU"/>
        </w:rPr>
        <w:t xml:space="preserve">those civil </w:t>
      </w:r>
      <w:r w:rsidRPr="00E02CB1">
        <w:rPr>
          <w:rFonts w:ascii="Calibri Light" w:hAnsi="Calibri Light" w:cs="Calibri Light"/>
          <w:color w:val="000000" w:themeColor="text1"/>
          <w:sz w:val="22"/>
          <w:szCs w:val="22"/>
          <w:lang w:val="en-AU"/>
        </w:rPr>
        <w:t xml:space="preserve">society partners who have a strong gender focus to advise other partners or Australian agencies on </w:t>
      </w:r>
      <w:r>
        <w:rPr>
          <w:rFonts w:ascii="Calibri Light" w:hAnsi="Calibri Light" w:cs="Calibri Light"/>
          <w:color w:val="000000" w:themeColor="text1"/>
          <w:sz w:val="22"/>
          <w:szCs w:val="22"/>
          <w:lang w:val="en-AU"/>
        </w:rPr>
        <w:t xml:space="preserve">the adoption of </w:t>
      </w:r>
      <w:r w:rsidRPr="00E02CB1">
        <w:rPr>
          <w:rFonts w:ascii="Calibri Light" w:hAnsi="Calibri Light" w:cs="Calibri Light"/>
          <w:color w:val="000000" w:themeColor="text1"/>
          <w:sz w:val="22"/>
          <w:szCs w:val="22"/>
          <w:lang w:val="en-AU"/>
        </w:rPr>
        <w:t xml:space="preserve">a gender perspective. Given that AIPJ2 has already made efforts to ensure that partners are incentivised to incorporate a gender perspective, more direct suggestions and </w:t>
      </w:r>
      <w:r>
        <w:rPr>
          <w:rFonts w:ascii="Calibri Light" w:hAnsi="Calibri Light" w:cs="Calibri Light"/>
          <w:color w:val="000000" w:themeColor="text1"/>
          <w:sz w:val="22"/>
          <w:szCs w:val="22"/>
          <w:lang w:val="en-AU"/>
        </w:rPr>
        <w:t xml:space="preserve">help </w:t>
      </w:r>
      <w:r w:rsidRPr="00E02CB1">
        <w:rPr>
          <w:rFonts w:ascii="Calibri Light" w:hAnsi="Calibri Light" w:cs="Calibri Light"/>
          <w:color w:val="000000" w:themeColor="text1"/>
          <w:sz w:val="22"/>
          <w:szCs w:val="22"/>
          <w:lang w:val="en-AU"/>
        </w:rPr>
        <w:t xml:space="preserve">in defining that perspective might be welcome. There may also be opportunities for professional development for Indonesian government or civil society partners to undertake training, mentoring or other support to build understanding and strategies to integrate a gender perspective. This would align closely with the influencing strategies noted in AIPJ2’s GEDSI strategy. </w:t>
      </w:r>
    </w:p>
    <w:p w14:paraId="3FEB885A" w14:textId="1619A29F" w:rsidR="005D554B" w:rsidRPr="00E02CB1" w:rsidRDefault="00E02CB1" w:rsidP="00E02CB1">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E02CB1">
        <w:rPr>
          <w:rFonts w:ascii="Calibri Light" w:hAnsi="Calibri Light" w:cs="Calibri Light"/>
          <w:color w:val="000000" w:themeColor="text1"/>
          <w:sz w:val="22"/>
          <w:szCs w:val="22"/>
          <w:lang w:val="en-AU"/>
        </w:rPr>
        <w:t xml:space="preserve">Given that the current political climate in Indonesia has led to a resurgence of gender as a ‘battleground’ for different ideological views, there are important opportunities for AIPJ2 to bring this to the fore – albeit in non-confrontational, sensitive ways.  Any such work to integrate stronger gender dimensions to existing work should aim to ensure that it does not fall back on gendered stereotypes of women as primarily mothers, carers, wives, etc. Rather, it should promote the more diverse and dynamic roles that women can play, thus also challenging gender norms (including, as detainees, violent extremists, heads of household, law enforcement or judicial professionals, and so on). </w:t>
      </w:r>
    </w:p>
    <w:p w14:paraId="4DACB3A9" w14:textId="22155C81" w:rsidR="00137FCE" w:rsidRPr="002428B8" w:rsidRDefault="00137FCE"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2428B8">
        <w:rPr>
          <w:rFonts w:asciiTheme="majorHAnsi" w:hAnsiTheme="majorHAnsi" w:cstheme="majorHAnsi"/>
          <w:b/>
          <w:bCs/>
          <w:color w:val="000000" w:themeColor="text1"/>
          <w:sz w:val="26"/>
          <w:szCs w:val="26"/>
          <w:lang w:val="en-AU"/>
        </w:rPr>
        <w:t>Governance arrangements</w:t>
      </w:r>
    </w:p>
    <w:p w14:paraId="75752B17" w14:textId="24C68995" w:rsidR="00137FCE" w:rsidRPr="0073399D"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Multi-sector facilities typically face challenges in establishing effective governance arrangements given their spread of interests.</w:t>
      </w:r>
      <w:r w:rsidR="008573F5">
        <w:rPr>
          <w:rFonts w:ascii="Calibri Light" w:hAnsi="Calibri Light" w:cs="Calibri Light"/>
          <w:color w:val="000000" w:themeColor="text1"/>
          <w:sz w:val="22"/>
          <w:szCs w:val="22"/>
          <w:lang w:val="en-AU"/>
        </w:rPr>
        <w:t xml:space="preserve"> </w:t>
      </w:r>
      <w:r w:rsidRPr="0073399D">
        <w:rPr>
          <w:rFonts w:ascii="Calibri Light" w:hAnsi="Calibri Light" w:cs="Calibri Light"/>
          <w:color w:val="000000" w:themeColor="text1"/>
          <w:sz w:val="22"/>
          <w:szCs w:val="22"/>
          <w:lang w:val="en-AU"/>
        </w:rPr>
        <w:t>AIPJ2 is no different in that it relates to different parts of the Indonesian machinery of government, complicating governance arrangements with the main counterpart body</w:t>
      </w:r>
      <w:r w:rsidR="005473BA">
        <w:rPr>
          <w:rFonts w:ascii="Calibri Light" w:hAnsi="Calibri Light" w:cs="Calibri Light"/>
          <w:color w:val="000000" w:themeColor="text1"/>
          <w:sz w:val="22"/>
          <w:szCs w:val="22"/>
          <w:lang w:val="en-AU"/>
        </w:rPr>
        <w:t>,</w:t>
      </w:r>
      <w:r w:rsidRPr="0073399D">
        <w:rPr>
          <w:rFonts w:ascii="Calibri Light" w:hAnsi="Calibri Light" w:cs="Calibri Light"/>
          <w:color w:val="000000" w:themeColor="text1"/>
          <w:sz w:val="22"/>
          <w:szCs w:val="22"/>
          <w:lang w:val="en-AU"/>
        </w:rPr>
        <w:t xml:space="preserve"> Bappenas.</w:t>
      </w:r>
    </w:p>
    <w:p w14:paraId="2B030340" w14:textId="6F98D704" w:rsidR="00137FCE" w:rsidRPr="0073399D"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Overall, the review team found current governance arrangements broadly effective</w:t>
      </w:r>
      <w:r w:rsidR="00F45649" w:rsidRPr="0073399D">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00EF1E16" w:rsidRPr="0073399D">
        <w:rPr>
          <w:rFonts w:ascii="Calibri Light" w:hAnsi="Calibri Light" w:cs="Calibri Light"/>
          <w:color w:val="000000" w:themeColor="text1"/>
          <w:sz w:val="22"/>
          <w:szCs w:val="22"/>
          <w:lang w:val="en-AU"/>
        </w:rPr>
        <w:t xml:space="preserve">Government partners were largely complimentary about AIPJ2 and felt they had good relationships with the program. Nonetheless, </w:t>
      </w:r>
      <w:r w:rsidRPr="0073399D">
        <w:rPr>
          <w:rFonts w:ascii="Calibri Light" w:hAnsi="Calibri Light" w:cs="Calibri Light"/>
          <w:color w:val="000000" w:themeColor="text1"/>
          <w:sz w:val="22"/>
          <w:szCs w:val="22"/>
          <w:lang w:val="en-AU"/>
        </w:rPr>
        <w:t>some attention is required:</w:t>
      </w:r>
    </w:p>
    <w:p w14:paraId="2DA06553" w14:textId="77777777" w:rsidR="00137FCE" w:rsidRPr="0073399D" w:rsidRDefault="00137FCE"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Bappenas raised some questions about the utility of AIPJ2’s Partnership Board meeting and expressed interest in more discussion about the substance of AIPJ2’s work, as well as in engaging with civil society partners in that process; civil society partners themselves have expressed interest in participating in AIPJ2 governance meetings.</w:t>
      </w:r>
    </w:p>
    <w:p w14:paraId="7D5BE808" w14:textId="557DB601" w:rsidR="00137FCE" w:rsidRPr="0073399D" w:rsidRDefault="00137FCE"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Bappenas has also requested more information about AIPJ2’s work – in particular about pillar 2 activities – and for that to be available in a more timely manner.</w:t>
      </w:r>
    </w:p>
    <w:p w14:paraId="49E174AA" w14:textId="233FD8B3" w:rsidR="00137FCE" w:rsidRPr="0073399D"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Addressing Bappenas’ concerns is not straightforward.</w:t>
      </w:r>
      <w:r w:rsidR="008573F5">
        <w:rPr>
          <w:rFonts w:ascii="Calibri Light" w:hAnsi="Calibri Light" w:cs="Calibri Light"/>
          <w:color w:val="000000" w:themeColor="text1"/>
          <w:sz w:val="22"/>
          <w:szCs w:val="22"/>
          <w:lang w:val="en-AU"/>
        </w:rPr>
        <w:t xml:space="preserve"> </w:t>
      </w:r>
      <w:r w:rsidRPr="0073399D">
        <w:rPr>
          <w:rFonts w:ascii="Calibri Light" w:hAnsi="Calibri Light" w:cs="Calibri Light"/>
          <w:color w:val="000000" w:themeColor="text1"/>
          <w:sz w:val="22"/>
          <w:szCs w:val="22"/>
          <w:lang w:val="en-AU"/>
        </w:rPr>
        <w:t>Experience elsewhere</w:t>
      </w:r>
      <w:r w:rsidR="00434973">
        <w:rPr>
          <w:rStyle w:val="FootnoteReference"/>
          <w:rFonts w:ascii="Calibri Light" w:hAnsi="Calibri Light" w:cs="Calibri Light"/>
          <w:color w:val="000000" w:themeColor="text1"/>
          <w:sz w:val="22"/>
          <w:szCs w:val="22"/>
          <w:lang w:val="en-AU"/>
        </w:rPr>
        <w:footnoteReference w:id="11"/>
      </w:r>
      <w:r w:rsidRPr="0073399D">
        <w:rPr>
          <w:rFonts w:ascii="Calibri Light" w:hAnsi="Calibri Light" w:cs="Calibri Light"/>
          <w:color w:val="000000" w:themeColor="text1"/>
          <w:sz w:val="22"/>
          <w:szCs w:val="22"/>
          <w:lang w:val="en-AU"/>
        </w:rPr>
        <w:t xml:space="preserve"> suggests facility governance mechanisms should be as streamlined as possible and can quickly become unwieldly and ineffective as decision-making fora when they involve too many participants.</w:t>
      </w:r>
      <w:r w:rsidR="008573F5">
        <w:rPr>
          <w:rFonts w:ascii="Calibri Light" w:hAnsi="Calibri Light" w:cs="Calibri Light"/>
          <w:color w:val="000000" w:themeColor="text1"/>
          <w:sz w:val="22"/>
          <w:szCs w:val="22"/>
          <w:lang w:val="en-AU"/>
        </w:rPr>
        <w:t xml:space="preserve"> </w:t>
      </w:r>
      <w:r w:rsidR="00B34E8D" w:rsidRPr="0073399D">
        <w:rPr>
          <w:rFonts w:ascii="Calibri Light" w:hAnsi="Calibri Light" w:cs="Calibri Light"/>
          <w:color w:val="000000" w:themeColor="text1"/>
          <w:sz w:val="22"/>
          <w:szCs w:val="22"/>
          <w:lang w:val="en-AU"/>
        </w:rPr>
        <w:t xml:space="preserve">Solutions to </w:t>
      </w:r>
      <w:r w:rsidRPr="0073399D">
        <w:rPr>
          <w:rFonts w:ascii="Calibri Light" w:hAnsi="Calibri Light" w:cs="Calibri Light"/>
          <w:color w:val="000000" w:themeColor="text1"/>
          <w:sz w:val="22"/>
          <w:szCs w:val="22"/>
          <w:lang w:val="en-AU"/>
        </w:rPr>
        <w:t xml:space="preserve">this problem </w:t>
      </w:r>
      <w:r w:rsidR="00B34E8D" w:rsidRPr="0073399D">
        <w:rPr>
          <w:rFonts w:ascii="Calibri Light" w:hAnsi="Calibri Light" w:cs="Calibri Light"/>
          <w:color w:val="000000" w:themeColor="text1"/>
          <w:sz w:val="22"/>
          <w:szCs w:val="22"/>
          <w:lang w:val="en-AU"/>
        </w:rPr>
        <w:t xml:space="preserve">have </w:t>
      </w:r>
      <w:r w:rsidRPr="0073399D">
        <w:rPr>
          <w:rFonts w:ascii="Calibri Light" w:hAnsi="Calibri Light" w:cs="Calibri Light"/>
          <w:color w:val="000000" w:themeColor="text1"/>
          <w:sz w:val="22"/>
          <w:szCs w:val="22"/>
          <w:lang w:val="en-AU"/>
        </w:rPr>
        <w:t>involved the establishment of subsidiary technical or sectoral committees that meet separately, in advance of the main governance meetings.</w:t>
      </w:r>
    </w:p>
    <w:p w14:paraId="69457E0A" w14:textId="63692038" w:rsidR="00137FCE" w:rsidRPr="0073399D"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73399D">
        <w:rPr>
          <w:rFonts w:ascii="Calibri Light" w:hAnsi="Calibri Light" w:cs="Calibri Light"/>
          <w:color w:val="000000" w:themeColor="text1"/>
          <w:sz w:val="22"/>
          <w:szCs w:val="22"/>
          <w:lang w:val="en-AU"/>
        </w:rPr>
        <w:t>Similarly, Bappenas’ request for more information requires a considered response: information about strategies and progress/results is likely to be more useful and effective in addressing the substance of Bappenas’ request, rather than more detailed description of activities.</w:t>
      </w:r>
      <w:r w:rsidR="00A16179">
        <w:rPr>
          <w:rFonts w:ascii="Calibri Light" w:hAnsi="Calibri Light" w:cs="Calibri Light"/>
          <w:color w:val="000000" w:themeColor="text1"/>
          <w:sz w:val="22"/>
          <w:szCs w:val="22"/>
          <w:lang w:val="en-AU"/>
        </w:rPr>
        <w:t xml:space="preserve"> </w:t>
      </w:r>
    </w:p>
    <w:p w14:paraId="2A012F22" w14:textId="77777777" w:rsidR="00137FCE" w:rsidRPr="002428B8" w:rsidRDefault="00137FCE"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2428B8">
        <w:rPr>
          <w:rFonts w:asciiTheme="majorHAnsi" w:hAnsiTheme="majorHAnsi" w:cstheme="majorHAnsi"/>
          <w:b/>
          <w:bCs/>
          <w:color w:val="000000" w:themeColor="text1"/>
          <w:sz w:val="26"/>
          <w:szCs w:val="26"/>
          <w:lang w:val="en-AU"/>
        </w:rPr>
        <w:t>Clear facility narrative/communications</w:t>
      </w:r>
    </w:p>
    <w:p w14:paraId="0A79FB9A" w14:textId="5305F256" w:rsidR="00137FCE" w:rsidRPr="00DD5EB6"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 xml:space="preserve"> A further concern associated with facilities is that they can prioritise ‘responsiveness’ over ‘adaptiveness’ and become spread thinly across a number of different activities.</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 xml:space="preserve">Implementing the range of activities then demands increased management attention, limiting the scope for more strategic consideration at the facility level. </w:t>
      </w:r>
    </w:p>
    <w:p w14:paraId="04B60B08" w14:textId="5CDD6CEA" w:rsidR="00137FCE" w:rsidRPr="00DD5EB6"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The review team found some evidence of this risk in AIPJ2.</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 xml:space="preserve">Certainly, AIPJ2 currently supports a lot of activities – even </w:t>
      </w:r>
      <w:r w:rsidR="005F7F58">
        <w:rPr>
          <w:rFonts w:ascii="Calibri Light" w:hAnsi="Calibri Light" w:cs="Calibri Light"/>
          <w:color w:val="000000" w:themeColor="text1"/>
          <w:sz w:val="22"/>
          <w:szCs w:val="22"/>
          <w:lang w:val="en-AU"/>
        </w:rPr>
        <w:t>AIPJ2’s</w:t>
      </w:r>
      <w:r w:rsidRPr="00DD5EB6">
        <w:rPr>
          <w:rFonts w:ascii="Calibri Light" w:hAnsi="Calibri Light" w:cs="Calibri Light"/>
          <w:color w:val="000000" w:themeColor="text1"/>
          <w:sz w:val="22"/>
          <w:szCs w:val="22"/>
          <w:lang w:val="en-AU"/>
        </w:rPr>
        <w:t xml:space="preserve"> ‘priority’ areas of policy engagement in law and justice number around twelve, which is quite large for a relatively small investment.</w:t>
      </w:r>
      <w:r w:rsidR="008573F5">
        <w:rPr>
          <w:rFonts w:ascii="Calibri Light" w:hAnsi="Calibri Light" w:cs="Calibri Light"/>
          <w:color w:val="000000" w:themeColor="text1"/>
          <w:sz w:val="22"/>
          <w:szCs w:val="22"/>
          <w:lang w:val="en-AU"/>
        </w:rPr>
        <w:t xml:space="preserve"> </w:t>
      </w:r>
      <w:r w:rsidR="005F7F58">
        <w:rPr>
          <w:rFonts w:ascii="Calibri Light" w:hAnsi="Calibri Light" w:cs="Calibri Light"/>
          <w:sz w:val="21"/>
          <w:szCs w:val="21"/>
        </w:rPr>
        <w:t xml:space="preserve">AIPJ2 will apply tests of relevance (to both governments’ priorities) as well as feasibility when reviewing new opportunities.  But as noted above, the under-developed nature of AIPJ2 strategies mean in practice they exercise only general influence over choices and little over on-going review.  This limitation, </w:t>
      </w:r>
      <w:r w:rsidRPr="00DD5EB6">
        <w:rPr>
          <w:rFonts w:ascii="Calibri Light" w:hAnsi="Calibri Light" w:cs="Calibri Light"/>
          <w:color w:val="000000" w:themeColor="text1"/>
          <w:sz w:val="22"/>
          <w:szCs w:val="22"/>
          <w:lang w:val="en-AU"/>
        </w:rPr>
        <w:t xml:space="preserve">the </w:t>
      </w:r>
      <w:r w:rsidR="00F310F9" w:rsidRPr="005F7F58">
        <w:rPr>
          <w:rFonts w:ascii="Calibri Light" w:hAnsi="Calibri Light" w:cs="Calibri Light"/>
          <w:i/>
          <w:iCs/>
          <w:color w:val="000000" w:themeColor="text1"/>
          <w:sz w:val="22"/>
          <w:szCs w:val="22"/>
          <w:lang w:val="en-AU"/>
        </w:rPr>
        <w:t>ad hoc</w:t>
      </w:r>
      <w:r w:rsidR="00F310F9" w:rsidRPr="00DD5EB6">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 xml:space="preserve">integration across activities and the </w:t>
      </w:r>
      <w:r w:rsidR="00F310F9" w:rsidRPr="00DD5EB6">
        <w:rPr>
          <w:rFonts w:ascii="Calibri Light" w:hAnsi="Calibri Light" w:cs="Calibri Light"/>
          <w:color w:val="000000" w:themeColor="text1"/>
          <w:sz w:val="22"/>
          <w:szCs w:val="22"/>
          <w:lang w:val="en-AU"/>
        </w:rPr>
        <w:t xml:space="preserve">activity-focused </w:t>
      </w:r>
      <w:r w:rsidRPr="00DD5EB6">
        <w:rPr>
          <w:rFonts w:ascii="Calibri Light" w:hAnsi="Calibri Light" w:cs="Calibri Light"/>
          <w:color w:val="000000" w:themeColor="text1"/>
          <w:sz w:val="22"/>
          <w:szCs w:val="22"/>
          <w:lang w:val="en-AU"/>
        </w:rPr>
        <w:t>approach to performance reporting add to this</w:t>
      </w:r>
      <w:r w:rsidR="00417EF3" w:rsidRPr="00DD5EB6">
        <w:rPr>
          <w:rFonts w:ascii="Calibri Light" w:hAnsi="Calibri Light" w:cs="Calibri Light"/>
          <w:color w:val="000000" w:themeColor="text1"/>
          <w:sz w:val="22"/>
          <w:szCs w:val="22"/>
          <w:lang w:val="en-AU"/>
        </w:rPr>
        <w:t xml:space="preserve"> risk</w:t>
      </w:r>
      <w:r w:rsidRPr="00DD5EB6">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However, AIPJ2 itself is aware of the dangers.</w:t>
      </w:r>
    </w:p>
    <w:p w14:paraId="56D1DB57" w14:textId="63D4B9F6" w:rsidR="00137FCE" w:rsidRPr="00DD5EB6"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 xml:space="preserve"> Nevertheless, AIPJ2 faces a challenge in drawing its various engagements together to communicate a clear and compelling narrative (or small number of narratives) to support its mission.</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As one DFAT staff member explained to the review team – AIPJ2 is generally very well-thought of in Canberra but people do</w:t>
      </w:r>
      <w:r w:rsidR="005473BA">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n</w:t>
      </w:r>
      <w:r w:rsidR="005473BA">
        <w:rPr>
          <w:rFonts w:ascii="Calibri Light" w:hAnsi="Calibri Light" w:cs="Calibri Light"/>
          <w:color w:val="000000" w:themeColor="text1"/>
          <w:sz w:val="22"/>
          <w:szCs w:val="22"/>
          <w:lang w:val="en-AU"/>
        </w:rPr>
        <w:t>o</w:t>
      </w:r>
      <w:r w:rsidRPr="00DD5EB6">
        <w:rPr>
          <w:rFonts w:ascii="Calibri Light" w:hAnsi="Calibri Light" w:cs="Calibri Light"/>
          <w:color w:val="000000" w:themeColor="text1"/>
          <w:sz w:val="22"/>
          <w:szCs w:val="22"/>
          <w:lang w:val="en-AU"/>
        </w:rPr>
        <w:t>t understand it.</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This is a risk to AIPJ2.</w:t>
      </w:r>
      <w:r w:rsidR="00C52710">
        <w:rPr>
          <w:rFonts w:ascii="Calibri Light" w:hAnsi="Calibri Light" w:cs="Calibri Light"/>
          <w:color w:val="000000" w:themeColor="text1"/>
          <w:sz w:val="22"/>
          <w:szCs w:val="22"/>
          <w:lang w:val="en-AU"/>
        </w:rPr>
        <w:t xml:space="preserve">  The mid-term review was asked to consider the concept of ‘democratic resilience’ in this respect (</w:t>
      </w:r>
      <w:r w:rsidR="00A34F17">
        <w:rPr>
          <w:rFonts w:ascii="Calibri Light" w:hAnsi="Calibri Light" w:cs="Calibri Light"/>
          <w:color w:val="000000" w:themeColor="text1"/>
          <w:sz w:val="22"/>
          <w:szCs w:val="22"/>
          <w:lang w:val="en-AU"/>
        </w:rPr>
        <w:t>key review question 1) – an emerging priority for DFAT.  However, the concept is still being defined in substantive terms and so at present offers no immediate solution.</w:t>
      </w:r>
      <w:r w:rsidR="00A34F17">
        <w:rPr>
          <w:rStyle w:val="FootnoteReference"/>
          <w:rFonts w:ascii="Calibri Light" w:hAnsi="Calibri Light" w:cs="Calibri Light"/>
          <w:color w:val="000000" w:themeColor="text1"/>
          <w:sz w:val="22"/>
          <w:szCs w:val="22"/>
          <w:lang w:val="en-AU"/>
        </w:rPr>
        <w:footnoteReference w:id="12"/>
      </w:r>
    </w:p>
    <w:p w14:paraId="7C518774" w14:textId="3FF94CEE" w:rsidR="00C77964" w:rsidRDefault="00137FCE"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AIPJ2 can be conceptualised – and hence communicated – in (at least) two possible ways</w:t>
      </w:r>
      <w:r w:rsidR="00C77964">
        <w:rPr>
          <w:rFonts w:ascii="Calibri Light" w:hAnsi="Calibri Light" w:cs="Calibri Light"/>
          <w:color w:val="000000" w:themeColor="text1"/>
          <w:sz w:val="22"/>
          <w:szCs w:val="22"/>
          <w:lang w:val="en-AU"/>
        </w:rPr>
        <w:t>:</w:t>
      </w:r>
    </w:p>
    <w:p w14:paraId="68098B12" w14:textId="7E79BF5B" w:rsidR="004C011C" w:rsidRDefault="004C011C"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 xml:space="preserve">The first views the </w:t>
      </w:r>
      <w:r>
        <w:rPr>
          <w:rFonts w:ascii="Calibri Light" w:hAnsi="Calibri Light" w:cs="Calibri Light"/>
          <w:color w:val="000000" w:themeColor="text1"/>
          <w:sz w:val="22"/>
          <w:szCs w:val="22"/>
          <w:lang w:val="en-AU"/>
        </w:rPr>
        <w:t>spread</w:t>
      </w:r>
      <w:r w:rsidRPr="00DD5EB6">
        <w:rPr>
          <w:rFonts w:ascii="Calibri Light" w:hAnsi="Calibri Light" w:cs="Calibri Light"/>
          <w:color w:val="000000" w:themeColor="text1"/>
          <w:sz w:val="22"/>
          <w:szCs w:val="22"/>
          <w:lang w:val="en-AU"/>
        </w:rPr>
        <w:t xml:space="preserve"> of AIPJ2 activities as a portfolio – where a range of issues that differ in their </w:t>
      </w:r>
      <w:r w:rsidR="00226822">
        <w:rPr>
          <w:rFonts w:ascii="Calibri Light" w:hAnsi="Calibri Light" w:cs="Calibri Light"/>
          <w:color w:val="000000" w:themeColor="text1"/>
          <w:sz w:val="22"/>
          <w:szCs w:val="22"/>
          <w:lang w:val="en-AU"/>
        </w:rPr>
        <w:t>prospects</w:t>
      </w:r>
      <w:r w:rsidRPr="00DD5EB6">
        <w:rPr>
          <w:rFonts w:ascii="Calibri Light" w:hAnsi="Calibri Light" w:cs="Calibri Light"/>
          <w:color w:val="000000" w:themeColor="text1"/>
          <w:sz w:val="22"/>
          <w:szCs w:val="22"/>
          <w:lang w:val="en-AU"/>
        </w:rPr>
        <w:t xml:space="preserve"> and impact</w:t>
      </w:r>
      <w:r w:rsidRPr="004C011C">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are selected for support, with a view to maximising the overall expected value of the investment.</w:t>
      </w:r>
      <w:r w:rsidR="008573F5">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 xml:space="preserve">This </w:t>
      </w:r>
      <w:r w:rsidRPr="00DD5EB6">
        <w:rPr>
          <w:rFonts w:ascii="Calibri Light" w:hAnsi="Calibri Light" w:cs="Calibri Light"/>
          <w:color w:val="000000" w:themeColor="text1"/>
          <w:sz w:val="22"/>
          <w:szCs w:val="22"/>
          <w:lang w:val="en-AU"/>
        </w:rPr>
        <w:t>approach</w:t>
      </w:r>
      <w:r>
        <w:rPr>
          <w:rFonts w:ascii="Calibri Light" w:hAnsi="Calibri Light" w:cs="Calibri Light"/>
          <w:color w:val="000000" w:themeColor="text1"/>
          <w:sz w:val="22"/>
          <w:szCs w:val="22"/>
          <w:lang w:val="en-AU"/>
        </w:rPr>
        <w:t xml:space="preserve"> n</w:t>
      </w:r>
      <w:r w:rsidRPr="00DD5EB6">
        <w:rPr>
          <w:rFonts w:ascii="Calibri Light" w:hAnsi="Calibri Light" w:cs="Calibri Light"/>
          <w:color w:val="000000" w:themeColor="text1"/>
          <w:sz w:val="22"/>
          <w:szCs w:val="22"/>
          <w:lang w:val="en-AU"/>
        </w:rPr>
        <w:t>eeds more explicit discussion of AIPJ2’s management of risk and reward and where it anticipates the ‘pay-offs’ amongst the diverse activities</w:t>
      </w:r>
    </w:p>
    <w:p w14:paraId="02CC7CF4" w14:textId="1728BA55" w:rsidR="004C011C" w:rsidRDefault="004C011C" w:rsidP="006B32D6">
      <w:pPr>
        <w:pStyle w:val="ListParagraph"/>
        <w:numPr>
          <w:ilvl w:val="0"/>
          <w:numId w:val="5"/>
        </w:numPr>
        <w:tabs>
          <w:tab w:val="left" w:pos="709"/>
        </w:tabs>
        <w:spacing w:line="274" w:lineRule="auto"/>
        <w:ind w:left="426"/>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An alternative is </w:t>
      </w:r>
      <w:r w:rsidRPr="00DD5EB6">
        <w:rPr>
          <w:rFonts w:ascii="Calibri Light" w:hAnsi="Calibri Light" w:cs="Calibri Light"/>
          <w:color w:val="000000" w:themeColor="text1"/>
          <w:sz w:val="22"/>
          <w:szCs w:val="22"/>
          <w:lang w:val="en-AU"/>
        </w:rPr>
        <w:t>to acknowledge that AIPJ2</w:t>
      </w:r>
      <w:r w:rsidR="00ED3154">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ha</w:t>
      </w:r>
      <w:r w:rsidR="00ED3154">
        <w:rPr>
          <w:rFonts w:ascii="Calibri Light" w:hAnsi="Calibri Light" w:cs="Calibri Light"/>
          <w:color w:val="000000" w:themeColor="text1"/>
          <w:sz w:val="22"/>
          <w:szCs w:val="22"/>
          <w:lang w:val="en-AU"/>
        </w:rPr>
        <w:t>s</w:t>
      </w:r>
      <w:r w:rsidRPr="00DD5EB6">
        <w:rPr>
          <w:rFonts w:ascii="Calibri Light" w:hAnsi="Calibri Light" w:cs="Calibri Light"/>
          <w:color w:val="000000" w:themeColor="text1"/>
          <w:sz w:val="22"/>
          <w:szCs w:val="22"/>
          <w:lang w:val="en-AU"/>
        </w:rPr>
        <w:t xml:space="preserve"> a number of strategic ‘themes’ (albeit loosely defined) but which have been pursued opportunistically and supported (at times, indirectly) by various points of engagement</w:t>
      </w:r>
      <w:r w:rsidR="005D781A">
        <w:rPr>
          <w:rFonts w:ascii="Calibri Light" w:hAnsi="Calibri Light" w:cs="Calibri Light"/>
          <w:color w:val="000000" w:themeColor="text1"/>
          <w:sz w:val="22"/>
          <w:szCs w:val="22"/>
          <w:lang w:val="en-AU"/>
        </w:rPr>
        <w:t xml:space="preserve">. This </w:t>
      </w:r>
      <w:r w:rsidR="00ED3154">
        <w:rPr>
          <w:rFonts w:ascii="Calibri Light" w:hAnsi="Calibri Light" w:cs="Calibri Light"/>
          <w:color w:val="000000" w:themeColor="text1"/>
          <w:sz w:val="22"/>
          <w:szCs w:val="22"/>
          <w:lang w:val="en-AU"/>
        </w:rPr>
        <w:t>needs</w:t>
      </w:r>
      <w:r w:rsidR="005D781A">
        <w:rPr>
          <w:rFonts w:ascii="Calibri Light" w:hAnsi="Calibri Light" w:cs="Calibri Light"/>
          <w:color w:val="000000" w:themeColor="text1"/>
          <w:sz w:val="22"/>
          <w:szCs w:val="22"/>
          <w:lang w:val="en-AU"/>
        </w:rPr>
        <w:t xml:space="preserve"> </w:t>
      </w:r>
      <w:r w:rsidR="005D781A" w:rsidRPr="00DD5EB6">
        <w:rPr>
          <w:rFonts w:ascii="Calibri Light" w:hAnsi="Calibri Light" w:cs="Calibri Light"/>
          <w:color w:val="000000" w:themeColor="text1"/>
          <w:sz w:val="22"/>
          <w:szCs w:val="22"/>
          <w:lang w:val="en-AU"/>
        </w:rPr>
        <w:t xml:space="preserve">clearer definition of </w:t>
      </w:r>
      <w:r w:rsidR="005D781A">
        <w:rPr>
          <w:rFonts w:ascii="Calibri Light" w:hAnsi="Calibri Light" w:cs="Calibri Light"/>
          <w:color w:val="000000" w:themeColor="text1"/>
          <w:sz w:val="22"/>
          <w:szCs w:val="22"/>
          <w:lang w:val="en-AU"/>
        </w:rPr>
        <w:t>AIPJ2’s</w:t>
      </w:r>
      <w:r w:rsidR="005D781A" w:rsidRPr="00DD5EB6">
        <w:rPr>
          <w:rFonts w:ascii="Calibri Light" w:hAnsi="Calibri Light" w:cs="Calibri Light"/>
          <w:color w:val="000000" w:themeColor="text1"/>
          <w:sz w:val="22"/>
          <w:szCs w:val="22"/>
          <w:lang w:val="en-AU"/>
        </w:rPr>
        <w:t xml:space="preserve"> strategic priorities (made possible by the learning to date) and </w:t>
      </w:r>
      <w:r w:rsidR="00ED3154">
        <w:rPr>
          <w:rFonts w:ascii="Calibri Light" w:hAnsi="Calibri Light" w:cs="Calibri Light"/>
          <w:color w:val="000000" w:themeColor="text1"/>
          <w:sz w:val="22"/>
          <w:szCs w:val="22"/>
          <w:lang w:val="en-AU"/>
        </w:rPr>
        <w:t xml:space="preserve">explanation </w:t>
      </w:r>
      <w:r w:rsidR="005D781A" w:rsidRPr="00DD5EB6">
        <w:rPr>
          <w:rFonts w:ascii="Calibri Light" w:hAnsi="Calibri Light" w:cs="Calibri Light"/>
          <w:color w:val="000000" w:themeColor="text1"/>
          <w:sz w:val="22"/>
          <w:szCs w:val="22"/>
          <w:lang w:val="en-AU"/>
        </w:rPr>
        <w:t>why certain issues are being focused on.</w:t>
      </w:r>
      <w:r w:rsidR="008573F5">
        <w:rPr>
          <w:rFonts w:ascii="Calibri Light" w:hAnsi="Calibri Light" w:cs="Calibri Light"/>
          <w:color w:val="000000" w:themeColor="text1"/>
          <w:sz w:val="22"/>
          <w:szCs w:val="22"/>
          <w:lang w:val="en-AU"/>
        </w:rPr>
        <w:t xml:space="preserve"> </w:t>
      </w:r>
      <w:r w:rsidR="005D781A" w:rsidRPr="00DD5EB6">
        <w:rPr>
          <w:rFonts w:ascii="Calibri Light" w:hAnsi="Calibri Light" w:cs="Calibri Light"/>
          <w:color w:val="000000" w:themeColor="text1"/>
          <w:sz w:val="22"/>
          <w:szCs w:val="22"/>
          <w:lang w:val="en-AU"/>
        </w:rPr>
        <w:t xml:space="preserve">It also requires an associated shift from activity-based reporting, structured around </w:t>
      </w:r>
      <w:r w:rsidR="005D781A">
        <w:rPr>
          <w:rFonts w:ascii="Calibri Light" w:hAnsi="Calibri Light" w:cs="Calibri Light"/>
          <w:color w:val="000000" w:themeColor="text1"/>
          <w:sz w:val="22"/>
          <w:szCs w:val="22"/>
          <w:lang w:val="en-AU"/>
        </w:rPr>
        <w:t xml:space="preserve">individual </w:t>
      </w:r>
      <w:r w:rsidR="005D781A" w:rsidRPr="00DD5EB6">
        <w:rPr>
          <w:rFonts w:ascii="Calibri Light" w:hAnsi="Calibri Light" w:cs="Calibri Light"/>
          <w:color w:val="000000" w:themeColor="text1"/>
          <w:sz w:val="22"/>
          <w:szCs w:val="22"/>
          <w:lang w:val="en-AU"/>
        </w:rPr>
        <w:t>policies and plans, to more problem-</w:t>
      </w:r>
      <w:r w:rsidR="005D781A">
        <w:rPr>
          <w:rFonts w:ascii="Calibri Light" w:hAnsi="Calibri Light" w:cs="Calibri Light"/>
          <w:color w:val="000000" w:themeColor="text1"/>
          <w:sz w:val="22"/>
          <w:szCs w:val="22"/>
          <w:lang w:val="en-AU"/>
        </w:rPr>
        <w:t xml:space="preserve">orientated reporting </w:t>
      </w:r>
      <w:r w:rsidR="005D781A" w:rsidRPr="00DD5EB6">
        <w:rPr>
          <w:rFonts w:ascii="Calibri Light" w:hAnsi="Calibri Light" w:cs="Calibri Light"/>
          <w:color w:val="000000" w:themeColor="text1"/>
          <w:sz w:val="22"/>
          <w:szCs w:val="22"/>
          <w:lang w:val="en-AU"/>
        </w:rPr>
        <w:t xml:space="preserve">based on its strategic priorities. </w:t>
      </w:r>
      <w:r w:rsidR="00A16179">
        <w:rPr>
          <w:rFonts w:ascii="Calibri Light" w:hAnsi="Calibri Light" w:cs="Calibri Light"/>
          <w:color w:val="000000" w:themeColor="text1"/>
          <w:sz w:val="22"/>
          <w:szCs w:val="22"/>
          <w:lang w:val="en-AU"/>
        </w:rPr>
        <w:t xml:space="preserve"> </w:t>
      </w:r>
    </w:p>
    <w:p w14:paraId="27353778" w14:textId="223C6ED3" w:rsidR="005D781A" w:rsidRDefault="005D781A"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For the review team</w:t>
      </w:r>
      <w:r w:rsidRPr="00DD5EB6">
        <w:rPr>
          <w:rFonts w:ascii="Calibri Light" w:hAnsi="Calibri Light" w:cs="Calibri Light"/>
          <w:color w:val="000000" w:themeColor="text1"/>
          <w:sz w:val="22"/>
          <w:szCs w:val="22"/>
          <w:lang w:val="en-AU"/>
        </w:rPr>
        <w:t xml:space="preserve">, the second of the two options appears a better fit with AIPJ2’s </w:t>
      </w:r>
      <w:r w:rsidR="00ED3154">
        <w:rPr>
          <w:rFonts w:ascii="Calibri Light" w:hAnsi="Calibri Light" w:cs="Calibri Light"/>
          <w:color w:val="000000" w:themeColor="text1"/>
          <w:sz w:val="22"/>
          <w:szCs w:val="22"/>
          <w:lang w:val="en-AU"/>
        </w:rPr>
        <w:t xml:space="preserve">actual </w:t>
      </w:r>
      <w:r w:rsidRPr="00DD5EB6">
        <w:rPr>
          <w:rFonts w:ascii="Calibri Light" w:hAnsi="Calibri Light" w:cs="Calibri Light"/>
          <w:color w:val="000000" w:themeColor="text1"/>
          <w:sz w:val="22"/>
          <w:szCs w:val="22"/>
          <w:lang w:val="en-AU"/>
        </w:rPr>
        <w:t>approach.</w:t>
      </w:r>
      <w:r w:rsidR="008573F5">
        <w:rPr>
          <w:rFonts w:ascii="Calibri Light" w:hAnsi="Calibri Light" w:cs="Calibri Light"/>
          <w:color w:val="000000" w:themeColor="text1"/>
          <w:sz w:val="22"/>
          <w:szCs w:val="22"/>
          <w:lang w:val="en-AU"/>
        </w:rPr>
        <w:t xml:space="preserve"> </w:t>
      </w:r>
      <w:r w:rsidR="000615B4">
        <w:rPr>
          <w:rFonts w:ascii="Calibri Light" w:hAnsi="Calibri Light" w:cs="Calibri Light"/>
          <w:color w:val="000000" w:themeColor="text1"/>
          <w:sz w:val="22"/>
          <w:szCs w:val="22"/>
          <w:lang w:val="en-AU"/>
        </w:rPr>
        <w:t>Greater focus on a set of priority problems</w:t>
      </w:r>
      <w:r w:rsidRPr="00DD5EB6">
        <w:rPr>
          <w:rFonts w:ascii="Calibri Light" w:hAnsi="Calibri Light" w:cs="Calibri Light"/>
          <w:color w:val="000000" w:themeColor="text1"/>
          <w:sz w:val="22"/>
          <w:szCs w:val="22"/>
          <w:lang w:val="en-AU"/>
        </w:rPr>
        <w:t xml:space="preserve"> would not necessarily result in an immediate reduction in the range of activities supported, but it should facilitate a clearer distinction in AIPJ2’s reporting/communications between the engagements considered ‘main game’ and those currently considered subsidiary.</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 xml:space="preserve">Over time, this </w:t>
      </w:r>
      <w:r>
        <w:rPr>
          <w:rFonts w:ascii="Calibri Light" w:hAnsi="Calibri Light" w:cs="Calibri Light"/>
          <w:color w:val="000000" w:themeColor="text1"/>
          <w:sz w:val="22"/>
          <w:szCs w:val="22"/>
          <w:lang w:val="en-AU"/>
        </w:rPr>
        <w:t>sh</w:t>
      </w:r>
      <w:r w:rsidRPr="00DD5EB6">
        <w:rPr>
          <w:rFonts w:ascii="Calibri Light" w:hAnsi="Calibri Light" w:cs="Calibri Light"/>
          <w:color w:val="000000" w:themeColor="text1"/>
          <w:sz w:val="22"/>
          <w:szCs w:val="22"/>
          <w:lang w:val="en-AU"/>
        </w:rPr>
        <w:t xml:space="preserve">ould also provide the basis to direct greater focus </w:t>
      </w:r>
      <w:r w:rsidR="000615B4">
        <w:rPr>
          <w:rFonts w:ascii="Calibri Light" w:hAnsi="Calibri Light" w:cs="Calibri Light"/>
          <w:color w:val="000000" w:themeColor="text1"/>
          <w:sz w:val="22"/>
          <w:szCs w:val="22"/>
          <w:lang w:val="en-AU"/>
        </w:rPr>
        <w:t>in</w:t>
      </w:r>
      <w:r w:rsidR="000615B4" w:rsidRPr="00DD5EB6">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 xml:space="preserve">the </w:t>
      </w:r>
      <w:r w:rsidR="000615B4">
        <w:rPr>
          <w:rFonts w:ascii="Calibri Light" w:hAnsi="Calibri Light" w:cs="Calibri Light"/>
          <w:color w:val="000000" w:themeColor="text1"/>
          <w:sz w:val="22"/>
          <w:szCs w:val="22"/>
          <w:lang w:val="en-AU"/>
        </w:rPr>
        <w:t>activities undertaken</w:t>
      </w:r>
      <w:r w:rsidRPr="00DD5EB6">
        <w:rPr>
          <w:rFonts w:ascii="Calibri Light" w:hAnsi="Calibri Light" w:cs="Calibri Light"/>
          <w:color w:val="000000" w:themeColor="text1"/>
          <w:sz w:val="22"/>
          <w:szCs w:val="22"/>
          <w:lang w:val="en-AU"/>
        </w:rPr>
        <w:t>.</w:t>
      </w:r>
      <w:r w:rsidR="00A16179">
        <w:rPr>
          <w:rFonts w:ascii="Calibri Light" w:hAnsi="Calibri Light" w:cs="Calibri Light"/>
          <w:color w:val="000000" w:themeColor="text1"/>
          <w:sz w:val="22"/>
          <w:szCs w:val="22"/>
          <w:lang w:val="en-AU"/>
        </w:rPr>
        <w:t xml:space="preserve"> </w:t>
      </w:r>
    </w:p>
    <w:p w14:paraId="4C3D9378" w14:textId="3C275978" w:rsidR="00137FCE" w:rsidRDefault="005D781A"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DD5EB6">
        <w:rPr>
          <w:rFonts w:ascii="Calibri Light" w:hAnsi="Calibri Light" w:cs="Calibri Light"/>
          <w:color w:val="000000" w:themeColor="text1"/>
          <w:sz w:val="22"/>
          <w:szCs w:val="22"/>
          <w:lang w:val="en-AU"/>
        </w:rPr>
        <w:t xml:space="preserve">However, </w:t>
      </w:r>
      <w:r>
        <w:rPr>
          <w:rFonts w:ascii="Calibri Light" w:hAnsi="Calibri Light" w:cs="Calibri Light"/>
          <w:color w:val="000000" w:themeColor="text1"/>
          <w:sz w:val="22"/>
          <w:szCs w:val="22"/>
          <w:lang w:val="en-AU"/>
        </w:rPr>
        <w:t>ultimately this is for</w:t>
      </w:r>
      <w:r w:rsidRPr="00DD5EB6">
        <w:rPr>
          <w:rFonts w:ascii="Calibri Light" w:hAnsi="Calibri Light" w:cs="Calibri Light"/>
          <w:color w:val="000000" w:themeColor="text1"/>
          <w:sz w:val="22"/>
          <w:szCs w:val="22"/>
          <w:lang w:val="en-AU"/>
        </w:rPr>
        <w:t xml:space="preserve"> AIPJ2 to decide.</w:t>
      </w:r>
      <w:r w:rsidR="008573F5">
        <w:rPr>
          <w:rFonts w:ascii="Calibri Light" w:hAnsi="Calibri Light" w:cs="Calibri Light"/>
          <w:color w:val="000000" w:themeColor="text1"/>
          <w:sz w:val="22"/>
          <w:szCs w:val="22"/>
          <w:lang w:val="en-AU"/>
        </w:rPr>
        <w:t xml:space="preserve"> </w:t>
      </w:r>
      <w:r w:rsidRPr="00DD5EB6">
        <w:rPr>
          <w:rFonts w:ascii="Calibri Light" w:hAnsi="Calibri Light" w:cs="Calibri Light"/>
          <w:color w:val="000000" w:themeColor="text1"/>
          <w:sz w:val="22"/>
          <w:szCs w:val="22"/>
          <w:lang w:val="en-AU"/>
        </w:rPr>
        <w:t>Regardless of the choice, AIPJ2 then needs to align its communication strategy with that narrative.</w:t>
      </w:r>
      <w:r w:rsidR="008573F5">
        <w:rPr>
          <w:rFonts w:ascii="Calibri Light" w:hAnsi="Calibri Light" w:cs="Calibri Light"/>
          <w:color w:val="000000" w:themeColor="text1"/>
          <w:sz w:val="22"/>
          <w:szCs w:val="22"/>
          <w:lang w:val="en-AU"/>
        </w:rPr>
        <w:t xml:space="preserve"> </w:t>
      </w:r>
      <w:r w:rsidR="00ED3154">
        <w:rPr>
          <w:rFonts w:ascii="Calibri Light" w:hAnsi="Calibri Light" w:cs="Calibri Light"/>
          <w:color w:val="000000" w:themeColor="text1"/>
          <w:sz w:val="22"/>
          <w:szCs w:val="22"/>
          <w:lang w:val="en-AU"/>
        </w:rPr>
        <w:t>In doing so, i</w:t>
      </w:r>
      <w:r w:rsidRPr="00DD5EB6">
        <w:rPr>
          <w:rFonts w:ascii="Calibri Light" w:hAnsi="Calibri Light" w:cs="Calibri Light"/>
          <w:color w:val="000000" w:themeColor="text1"/>
          <w:sz w:val="22"/>
          <w:szCs w:val="22"/>
          <w:lang w:val="en-AU"/>
        </w:rPr>
        <w:t>t is important to ensure that the framing gives AIPJ2 a clearer narrative while not straitjacketing the program in such a way that it could no longer be responsive to emerging opportunities and changes in the context – as this is clearly a program strength</w:t>
      </w:r>
      <w:r>
        <w:rPr>
          <w:rFonts w:ascii="Calibri Light" w:hAnsi="Calibri Light" w:cs="Calibri Light"/>
          <w:color w:val="000000" w:themeColor="text1"/>
          <w:sz w:val="22"/>
          <w:szCs w:val="22"/>
          <w:lang w:val="en-AU"/>
        </w:rPr>
        <w:t>.</w:t>
      </w:r>
    </w:p>
    <w:p w14:paraId="4CA016A7" w14:textId="0B204D6A" w:rsidR="00BA1299" w:rsidRDefault="00BA1299" w:rsidP="00BA1299">
      <w:pPr>
        <w:tabs>
          <w:tab w:val="left" w:pos="567"/>
          <w:tab w:val="left" w:pos="3969"/>
        </w:tabs>
        <w:spacing w:line="274" w:lineRule="auto"/>
        <w:rPr>
          <w:rFonts w:ascii="Calibri Light" w:hAnsi="Calibri Light" w:cs="Calibri Light"/>
          <w:color w:val="000000" w:themeColor="text1"/>
          <w:sz w:val="22"/>
          <w:szCs w:val="22"/>
          <w:lang w:val="en-AU"/>
        </w:rPr>
      </w:pPr>
    </w:p>
    <w:p w14:paraId="30FD7338" w14:textId="77777777" w:rsidR="00E253F5" w:rsidRPr="00F45790" w:rsidRDefault="00E253F5" w:rsidP="006B32D6">
      <w:pPr>
        <w:pStyle w:val="ListParagraph"/>
        <w:numPr>
          <w:ilvl w:val="0"/>
          <w:numId w:val="3"/>
        </w:numPr>
        <w:spacing w:before="240" w:after="240"/>
        <w:ind w:left="567" w:hanging="567"/>
        <w:contextualSpacing w:val="0"/>
        <w:rPr>
          <w:rFonts w:asciiTheme="majorHAnsi" w:hAnsiTheme="majorHAnsi" w:cstheme="majorHAnsi"/>
          <w:b/>
          <w:bCs/>
          <w:color w:val="00B0F0"/>
          <w:sz w:val="32"/>
          <w:szCs w:val="32"/>
          <w:lang w:val="en-AU"/>
        </w:rPr>
      </w:pPr>
      <w:r w:rsidRPr="00F45790">
        <w:rPr>
          <w:rFonts w:asciiTheme="majorHAnsi" w:hAnsiTheme="majorHAnsi" w:cstheme="majorHAnsi"/>
          <w:b/>
          <w:bCs/>
          <w:color w:val="00B0F0"/>
          <w:sz w:val="32"/>
          <w:szCs w:val="32"/>
          <w:lang w:val="en-AU"/>
        </w:rPr>
        <w:t>Value for money</w:t>
      </w:r>
    </w:p>
    <w:p w14:paraId="0639E5F1" w14:textId="77777777" w:rsidR="00E253F5" w:rsidRPr="002428B8" w:rsidRDefault="00E253F5"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2428B8">
        <w:rPr>
          <w:rFonts w:asciiTheme="majorHAnsi" w:hAnsiTheme="majorHAnsi" w:cstheme="majorHAnsi"/>
          <w:b/>
          <w:bCs/>
          <w:color w:val="000000" w:themeColor="text1"/>
          <w:sz w:val="26"/>
          <w:szCs w:val="26"/>
          <w:lang w:val="en-AU"/>
        </w:rPr>
        <w:t>Is AIPJ2 achieving value for money?</w:t>
      </w:r>
    </w:p>
    <w:p w14:paraId="763703AC" w14:textId="6B6EC9DE" w:rsidR="00E253F5" w:rsidRPr="00F45790" w:rsidRDefault="00E253F5"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color w:val="000000" w:themeColor="text1"/>
          <w:sz w:val="22"/>
          <w:szCs w:val="22"/>
          <w:lang w:val="en-AU"/>
        </w:rPr>
      </w:pPr>
      <w:r w:rsidRPr="00F45790">
        <w:rPr>
          <w:rFonts w:ascii="Calibri Light" w:hAnsi="Calibri Light" w:cs="Calibri Light"/>
          <w:color w:val="000000" w:themeColor="text1"/>
          <w:sz w:val="22"/>
          <w:szCs w:val="22"/>
          <w:lang w:val="en-AU"/>
        </w:rPr>
        <w:t xml:space="preserve">This is an important issue for DFAT management though </w:t>
      </w:r>
      <w:r w:rsidR="00B439C2">
        <w:rPr>
          <w:rFonts w:ascii="Calibri Light" w:hAnsi="Calibri Light" w:cs="Calibri Light"/>
          <w:color w:val="000000" w:themeColor="text1"/>
          <w:sz w:val="22"/>
          <w:szCs w:val="22"/>
          <w:lang w:val="en-AU"/>
        </w:rPr>
        <w:t>time</w:t>
      </w:r>
      <w:r w:rsidR="00770268">
        <w:rPr>
          <w:rFonts w:ascii="Calibri Light" w:hAnsi="Calibri Light" w:cs="Calibri Light"/>
          <w:color w:val="000000" w:themeColor="text1"/>
          <w:sz w:val="22"/>
          <w:szCs w:val="22"/>
          <w:lang w:val="en-AU"/>
        </w:rPr>
        <w:t xml:space="preserve">, </w:t>
      </w:r>
      <w:r w:rsidR="00B439C2">
        <w:rPr>
          <w:rFonts w:ascii="Calibri Light" w:hAnsi="Calibri Light" w:cs="Calibri Light"/>
          <w:color w:val="000000" w:themeColor="text1"/>
          <w:sz w:val="22"/>
          <w:szCs w:val="22"/>
          <w:lang w:val="en-AU"/>
        </w:rPr>
        <w:t xml:space="preserve">resources </w:t>
      </w:r>
      <w:r w:rsidR="00770268">
        <w:rPr>
          <w:rFonts w:ascii="Calibri Light" w:hAnsi="Calibri Light" w:cs="Calibri Light"/>
          <w:color w:val="000000" w:themeColor="text1"/>
          <w:sz w:val="22"/>
          <w:szCs w:val="22"/>
          <w:lang w:val="en-AU"/>
        </w:rPr>
        <w:t xml:space="preserve">and areas of interest </w:t>
      </w:r>
      <w:r w:rsidR="00B439C2">
        <w:rPr>
          <w:rFonts w:ascii="Calibri Light" w:hAnsi="Calibri Light" w:cs="Calibri Light"/>
          <w:color w:val="000000" w:themeColor="text1"/>
          <w:sz w:val="22"/>
          <w:szCs w:val="22"/>
          <w:lang w:val="en-AU"/>
        </w:rPr>
        <w:t>for</w:t>
      </w:r>
      <w:r w:rsidRPr="00F45790">
        <w:rPr>
          <w:rFonts w:ascii="Calibri Light" w:hAnsi="Calibri Light" w:cs="Calibri Light"/>
          <w:color w:val="000000" w:themeColor="text1"/>
          <w:sz w:val="22"/>
          <w:szCs w:val="22"/>
          <w:lang w:val="en-AU"/>
        </w:rPr>
        <w:t xml:space="preserve"> the mid-term review </w:t>
      </w:r>
      <w:r w:rsidR="00770268">
        <w:rPr>
          <w:rFonts w:ascii="Calibri Light" w:hAnsi="Calibri Light" w:cs="Calibri Light"/>
          <w:color w:val="000000" w:themeColor="text1"/>
          <w:sz w:val="22"/>
          <w:szCs w:val="22"/>
          <w:lang w:val="en-AU"/>
        </w:rPr>
        <w:t xml:space="preserve">limited the extent of analysis possible, </w:t>
      </w:r>
      <w:r w:rsidRPr="00F45790">
        <w:rPr>
          <w:rFonts w:ascii="Calibri Light" w:hAnsi="Calibri Light" w:cs="Calibri Light"/>
          <w:color w:val="000000" w:themeColor="text1"/>
          <w:sz w:val="22"/>
          <w:szCs w:val="22"/>
          <w:lang w:val="en-AU"/>
        </w:rPr>
        <w:t>preclud</w:t>
      </w:r>
      <w:r w:rsidR="00770268">
        <w:rPr>
          <w:rFonts w:ascii="Calibri Light" w:hAnsi="Calibri Light" w:cs="Calibri Light"/>
          <w:color w:val="000000" w:themeColor="text1"/>
          <w:sz w:val="22"/>
          <w:szCs w:val="22"/>
          <w:lang w:val="en-AU"/>
        </w:rPr>
        <w:t>ing</w:t>
      </w:r>
      <w:r w:rsidRPr="00F45790">
        <w:rPr>
          <w:rFonts w:ascii="Calibri Light" w:hAnsi="Calibri Light" w:cs="Calibri Light"/>
          <w:color w:val="000000" w:themeColor="text1"/>
          <w:sz w:val="22"/>
          <w:szCs w:val="22"/>
          <w:lang w:val="en-AU"/>
        </w:rPr>
        <w:t xml:space="preserve"> a formal </w:t>
      </w:r>
      <w:r w:rsidR="003205AC">
        <w:rPr>
          <w:rFonts w:ascii="Calibri Light" w:hAnsi="Calibri Light" w:cs="Calibri Light"/>
          <w:color w:val="000000" w:themeColor="text1"/>
          <w:sz w:val="22"/>
          <w:szCs w:val="22"/>
          <w:lang w:val="en-AU"/>
        </w:rPr>
        <w:t xml:space="preserve">‘4 E’s’ </w:t>
      </w:r>
      <w:r w:rsidRPr="00F45790">
        <w:rPr>
          <w:rFonts w:ascii="Calibri Light" w:hAnsi="Calibri Light" w:cs="Calibri Light"/>
          <w:color w:val="000000" w:themeColor="text1"/>
          <w:sz w:val="22"/>
          <w:szCs w:val="22"/>
          <w:lang w:val="en-AU"/>
        </w:rPr>
        <w:t xml:space="preserve">VFM </w:t>
      </w:r>
      <w:r w:rsidR="003205AC">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assessment.</w:t>
      </w:r>
      <w:r w:rsidR="008573F5">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Nevertheless, on the basis of the in-country consultations and document review, the review offers the following observations:</w:t>
      </w:r>
    </w:p>
    <w:p w14:paraId="3794D55F" w14:textId="77777777" w:rsidR="00E253F5" w:rsidRPr="00F45790" w:rsidRDefault="00E253F5"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AIPJ2 is relatively small investment – AUD $40 million spread over five years – operating at scale through state institutions and civil society.</w:t>
      </w:r>
    </w:p>
    <w:p w14:paraId="63CA68F6" w14:textId="77E9628C" w:rsidR="00E253F5" w:rsidRPr="00F45790" w:rsidRDefault="00E253F5"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A number of the reforms being promoted by AIPJ2 have financial impacts which make them more amenable to conventional cost-benefit analysis, such as: help to develop Indonesia’s electronic corrections database infrastructure (SDP), which has an annual operations and maintenance budget of over AUD $100 million;</w:t>
      </w:r>
      <w:r w:rsidR="008573F5">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support to improvements in e-Courts and commercial dispute resolution, which impacts directly on the cost of legal claims in Indonesia (including cost</w:t>
      </w:r>
      <w:r w:rsidR="00F44640" w:rsidRPr="00F45790">
        <w:rPr>
          <w:rFonts w:ascii="Calibri Light" w:hAnsi="Calibri Light" w:cs="Calibri Light"/>
          <w:color w:val="000000" w:themeColor="text1"/>
          <w:sz w:val="22"/>
          <w:szCs w:val="22"/>
          <w:lang w:val="en-AU"/>
        </w:rPr>
        <w:t>s</w:t>
      </w:r>
      <w:r w:rsidRPr="00F45790">
        <w:rPr>
          <w:rFonts w:ascii="Calibri Light" w:hAnsi="Calibri Light" w:cs="Calibri Light"/>
          <w:color w:val="000000" w:themeColor="text1"/>
          <w:sz w:val="22"/>
          <w:szCs w:val="22"/>
          <w:lang w:val="en-AU"/>
        </w:rPr>
        <w:t xml:space="preserve"> of corruption).</w:t>
      </w:r>
    </w:p>
    <w:p w14:paraId="6729A232" w14:textId="79703A7A" w:rsidR="00E253F5" w:rsidRPr="00F45790" w:rsidRDefault="00E253F5"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While care is required not to overestimate the value ‘leveraged’ by AIPJ2</w:t>
      </w:r>
      <w:r w:rsidRPr="00F45790">
        <w:rPr>
          <w:rStyle w:val="FootnoteReference"/>
          <w:rFonts w:ascii="Calibri Light" w:hAnsi="Calibri Light" w:cs="Calibri Light"/>
          <w:color w:val="000000" w:themeColor="text1"/>
          <w:sz w:val="22"/>
          <w:szCs w:val="22"/>
          <w:lang w:val="en-AU"/>
        </w:rPr>
        <w:footnoteReference w:id="13"/>
      </w:r>
      <w:r w:rsidRPr="00F45790">
        <w:rPr>
          <w:rFonts w:ascii="Calibri Light" w:hAnsi="Calibri Light" w:cs="Calibri Light"/>
          <w:color w:val="000000" w:themeColor="text1"/>
          <w:sz w:val="22"/>
          <w:szCs w:val="22"/>
          <w:lang w:val="en-AU"/>
        </w:rPr>
        <w:t>, the review team considers</w:t>
      </w:r>
      <w:r w:rsidR="00D85C2C">
        <w:rPr>
          <w:rFonts w:ascii="Calibri Light" w:hAnsi="Calibri Light" w:cs="Calibri Light"/>
          <w:color w:val="000000" w:themeColor="text1"/>
          <w:sz w:val="22"/>
          <w:szCs w:val="22"/>
          <w:lang w:val="en-AU"/>
        </w:rPr>
        <w:t xml:space="preserve"> given the above points, </w:t>
      </w:r>
      <w:r w:rsidRPr="00F45790">
        <w:rPr>
          <w:rFonts w:ascii="Calibri Light" w:hAnsi="Calibri Light" w:cs="Calibri Light"/>
          <w:color w:val="000000" w:themeColor="text1"/>
          <w:sz w:val="22"/>
          <w:szCs w:val="22"/>
          <w:lang w:val="en-AU"/>
        </w:rPr>
        <w:t xml:space="preserve"> it highly likely that AIPJ2 will generate a sufficient rate of return to justify DFAT’s investment by the end of phase, if indeed not before.</w:t>
      </w:r>
    </w:p>
    <w:p w14:paraId="43404988" w14:textId="237794C3" w:rsidR="00E253F5" w:rsidRPr="00F45790" w:rsidRDefault="00E253F5"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However, AIPJ2 resources are limited, as are funds for the aid program in Indonesia.</w:t>
      </w:r>
      <w:r w:rsidR="008573F5">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They, therefore, have a high opportunity cost, given the range of alternative</w:t>
      </w:r>
      <w:r w:rsidR="00DD5EB6">
        <w:rPr>
          <w:rFonts w:ascii="Calibri Light" w:hAnsi="Calibri Light" w:cs="Calibri Light"/>
          <w:color w:val="000000" w:themeColor="text1"/>
          <w:sz w:val="22"/>
          <w:szCs w:val="22"/>
          <w:lang w:val="en-AU"/>
        </w:rPr>
        <w:t xml:space="preserve"> possible</w:t>
      </w:r>
      <w:r w:rsidRPr="00F45790">
        <w:rPr>
          <w:rFonts w:ascii="Calibri Light" w:hAnsi="Calibri Light" w:cs="Calibri Light"/>
          <w:color w:val="000000" w:themeColor="text1"/>
          <w:sz w:val="22"/>
          <w:szCs w:val="22"/>
          <w:lang w:val="en-AU"/>
        </w:rPr>
        <w:t xml:space="preserve"> investments </w:t>
      </w:r>
      <w:r w:rsidR="00DD5EB6">
        <w:rPr>
          <w:rFonts w:ascii="Calibri Light" w:hAnsi="Calibri Light" w:cs="Calibri Light"/>
          <w:color w:val="000000" w:themeColor="text1"/>
          <w:sz w:val="22"/>
          <w:szCs w:val="22"/>
          <w:lang w:val="en-AU"/>
        </w:rPr>
        <w:t>for</w:t>
      </w:r>
      <w:r w:rsidR="00DD5EB6" w:rsidRPr="00F45790">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AIPJ2 (and DFAT in Indonesia more generally).</w:t>
      </w:r>
      <w:r w:rsidR="008573F5">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For that reason, it is valid to question whether resources are being managed to maximise value for money.</w:t>
      </w:r>
      <w:r w:rsidR="00A16179">
        <w:rPr>
          <w:rFonts w:ascii="Calibri Light" w:hAnsi="Calibri Light" w:cs="Calibri Light"/>
          <w:color w:val="000000" w:themeColor="text1"/>
          <w:sz w:val="22"/>
          <w:szCs w:val="22"/>
          <w:lang w:val="en-AU"/>
        </w:rPr>
        <w:t xml:space="preserve"> </w:t>
      </w:r>
    </w:p>
    <w:p w14:paraId="1451B96E" w14:textId="3D92B3FD" w:rsidR="00E253F5" w:rsidRPr="00F45790" w:rsidRDefault="00E253F5"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 xml:space="preserve">To date, security strengthening and transnational crime prevention (including prevention of violent extremism) – pillars 2 and 3 – have received </w:t>
      </w:r>
      <w:r w:rsidR="00DD5EB6">
        <w:rPr>
          <w:rFonts w:ascii="Calibri Light" w:hAnsi="Calibri Light" w:cs="Calibri Light"/>
          <w:color w:val="000000" w:themeColor="text1"/>
          <w:sz w:val="22"/>
          <w:szCs w:val="22"/>
          <w:lang w:val="en-AU"/>
        </w:rPr>
        <w:t>the greater share of</w:t>
      </w:r>
      <w:r w:rsidRPr="00F45790">
        <w:rPr>
          <w:rFonts w:ascii="Calibri Light" w:hAnsi="Calibri Light" w:cs="Calibri Light"/>
          <w:color w:val="000000" w:themeColor="text1"/>
          <w:sz w:val="22"/>
          <w:szCs w:val="22"/>
          <w:lang w:val="en-AU"/>
        </w:rPr>
        <w:t xml:space="preserve"> resources: </w:t>
      </w:r>
      <w:r w:rsidR="007471DE">
        <w:rPr>
          <w:rFonts w:ascii="Calibri Light" w:hAnsi="Calibri Light" w:cs="Calibri Light"/>
          <w:color w:val="000000" w:themeColor="text1"/>
          <w:sz w:val="22"/>
          <w:szCs w:val="22"/>
          <w:lang w:val="en-AU"/>
        </w:rPr>
        <w:t>over</w:t>
      </w:r>
      <w:r w:rsidRPr="00F45790">
        <w:rPr>
          <w:rFonts w:ascii="Calibri Light" w:hAnsi="Calibri Light" w:cs="Calibri Light"/>
          <w:color w:val="000000" w:themeColor="text1"/>
          <w:sz w:val="22"/>
          <w:szCs w:val="22"/>
          <w:lang w:val="en-AU"/>
        </w:rPr>
        <w:t xml:space="preserve"> 40% more </w:t>
      </w:r>
      <w:r w:rsidR="007471DE">
        <w:rPr>
          <w:rFonts w:ascii="Calibri Light" w:hAnsi="Calibri Light" w:cs="Calibri Light"/>
          <w:color w:val="000000" w:themeColor="text1"/>
          <w:sz w:val="22"/>
          <w:szCs w:val="22"/>
          <w:lang w:val="en-AU"/>
        </w:rPr>
        <w:t>programmatic e</w:t>
      </w:r>
      <w:r w:rsidRPr="00F45790">
        <w:rPr>
          <w:rFonts w:ascii="Calibri Light" w:hAnsi="Calibri Light" w:cs="Calibri Light"/>
          <w:color w:val="000000" w:themeColor="text1"/>
          <w:sz w:val="22"/>
          <w:szCs w:val="22"/>
          <w:lang w:val="en-AU"/>
        </w:rPr>
        <w:t xml:space="preserve">xpenditure </w:t>
      </w:r>
      <w:r w:rsidR="007471DE">
        <w:rPr>
          <w:rFonts w:ascii="Calibri Light" w:hAnsi="Calibri Light" w:cs="Calibri Light"/>
          <w:color w:val="000000" w:themeColor="text1"/>
          <w:sz w:val="22"/>
          <w:szCs w:val="22"/>
          <w:lang w:val="en-AU"/>
        </w:rPr>
        <w:t xml:space="preserve">than </w:t>
      </w:r>
      <w:r w:rsidRPr="00F45790">
        <w:rPr>
          <w:rFonts w:ascii="Calibri Light" w:hAnsi="Calibri Light" w:cs="Calibri Light"/>
          <w:color w:val="000000" w:themeColor="text1"/>
          <w:sz w:val="22"/>
          <w:szCs w:val="22"/>
          <w:lang w:val="en-AU"/>
        </w:rPr>
        <w:t>on law and justice work (pillars 1 and 4).</w:t>
      </w:r>
      <w:r w:rsidR="008573F5">
        <w:rPr>
          <w:rFonts w:ascii="Calibri Light" w:hAnsi="Calibri Light" w:cs="Calibri Light"/>
          <w:color w:val="000000" w:themeColor="text1"/>
          <w:sz w:val="22"/>
          <w:szCs w:val="22"/>
          <w:lang w:val="en-AU"/>
        </w:rPr>
        <w:t xml:space="preserve"> </w:t>
      </w:r>
      <w:r w:rsidRPr="00F45790">
        <w:rPr>
          <w:rFonts w:ascii="Calibri Light" w:hAnsi="Calibri Light" w:cs="Calibri Light"/>
          <w:color w:val="000000" w:themeColor="text1"/>
          <w:sz w:val="22"/>
          <w:szCs w:val="22"/>
          <w:lang w:val="en-AU"/>
        </w:rPr>
        <w:t>However, the value of work under pillars 2 and 3 is least assessed/understood.</w:t>
      </w:r>
      <w:r w:rsidR="00A16179">
        <w:rPr>
          <w:rFonts w:ascii="Calibri Light" w:hAnsi="Calibri Light" w:cs="Calibri Light"/>
          <w:color w:val="000000" w:themeColor="text1"/>
          <w:sz w:val="22"/>
          <w:szCs w:val="22"/>
          <w:lang w:val="en-AU"/>
        </w:rPr>
        <w:t xml:space="preserve"> </w:t>
      </w:r>
    </w:p>
    <w:p w14:paraId="3A349C4E" w14:textId="64284F1E" w:rsidR="00A74D8A" w:rsidRDefault="00746254"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The</w:t>
      </w:r>
      <w:r w:rsidR="00E253F5" w:rsidRPr="00F45790">
        <w:rPr>
          <w:rFonts w:ascii="Calibri Light" w:hAnsi="Calibri Light" w:cs="Calibri Light"/>
          <w:color w:val="000000" w:themeColor="text1"/>
          <w:sz w:val="22"/>
          <w:szCs w:val="22"/>
          <w:lang w:val="en-AU"/>
        </w:rPr>
        <w:t xml:space="preserve"> greater allocation </w:t>
      </w:r>
      <w:r w:rsidRPr="00F45790">
        <w:rPr>
          <w:rFonts w:ascii="Calibri Light" w:hAnsi="Calibri Light" w:cs="Calibri Light"/>
          <w:color w:val="000000" w:themeColor="text1"/>
          <w:sz w:val="22"/>
          <w:szCs w:val="22"/>
          <w:lang w:val="en-AU"/>
        </w:rPr>
        <w:t xml:space="preserve">of funds </w:t>
      </w:r>
      <w:r w:rsidR="00E253F5" w:rsidRPr="00F45790">
        <w:rPr>
          <w:rFonts w:ascii="Calibri Light" w:hAnsi="Calibri Light" w:cs="Calibri Light"/>
          <w:color w:val="000000" w:themeColor="text1"/>
          <w:sz w:val="22"/>
          <w:szCs w:val="22"/>
          <w:lang w:val="en-AU"/>
        </w:rPr>
        <w:t>to security-related work is somewhat of a reversal of the intention at the design stage</w:t>
      </w:r>
      <w:r w:rsidR="00A74D8A">
        <w:rPr>
          <w:rFonts w:ascii="Calibri Light" w:hAnsi="Calibri Light" w:cs="Calibri Light"/>
          <w:color w:val="000000" w:themeColor="text1"/>
          <w:sz w:val="22"/>
          <w:szCs w:val="22"/>
          <w:lang w:val="en-AU"/>
        </w:rPr>
        <w:t xml:space="preserve">, while the development returns in both these areas compared to law and justice are potentially more uncertain: </w:t>
      </w:r>
      <w:r w:rsidR="00A74D8A" w:rsidRPr="00F45790">
        <w:rPr>
          <w:rFonts w:ascii="Calibri Light" w:hAnsi="Calibri Light" w:cs="Calibri Light"/>
          <w:color w:val="000000" w:themeColor="text1"/>
          <w:sz w:val="22"/>
          <w:szCs w:val="22"/>
          <w:lang w:val="en-AU"/>
        </w:rPr>
        <w:t xml:space="preserve">demonstrating the value of preventive work is challenging, as is assessing the value of </w:t>
      </w:r>
      <w:r w:rsidR="00A74D8A">
        <w:rPr>
          <w:rFonts w:ascii="Calibri Light" w:hAnsi="Calibri Light" w:cs="Calibri Light"/>
          <w:color w:val="000000" w:themeColor="text1"/>
          <w:sz w:val="22"/>
          <w:szCs w:val="22"/>
          <w:lang w:val="en-AU"/>
        </w:rPr>
        <w:t xml:space="preserve">organisational </w:t>
      </w:r>
      <w:r w:rsidR="00A74D8A" w:rsidRPr="00F45790">
        <w:rPr>
          <w:rFonts w:ascii="Calibri Light" w:hAnsi="Calibri Light" w:cs="Calibri Light"/>
          <w:color w:val="000000" w:themeColor="text1"/>
          <w:sz w:val="22"/>
          <w:szCs w:val="22"/>
          <w:lang w:val="en-AU"/>
        </w:rPr>
        <w:t xml:space="preserve">capacity and relationship building </w:t>
      </w:r>
      <w:r w:rsidR="00A74D8A">
        <w:rPr>
          <w:rFonts w:ascii="Calibri Light" w:hAnsi="Calibri Light" w:cs="Calibri Light"/>
          <w:color w:val="000000" w:themeColor="text1"/>
          <w:sz w:val="22"/>
          <w:szCs w:val="22"/>
          <w:lang w:val="en-AU"/>
        </w:rPr>
        <w:t xml:space="preserve">activities;  furthermore, international experience in both suggests success in either is by no means guaranteed. </w:t>
      </w:r>
    </w:p>
    <w:p w14:paraId="16E9E34E" w14:textId="2F4CFDDB" w:rsidR="00A74D8A" w:rsidRDefault="00A74D8A"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If </w:t>
      </w:r>
      <w:r w:rsidR="00F332B0">
        <w:rPr>
          <w:rFonts w:ascii="Calibri Light" w:hAnsi="Calibri Light" w:cs="Calibri Light"/>
          <w:color w:val="000000" w:themeColor="text1"/>
          <w:sz w:val="22"/>
          <w:szCs w:val="22"/>
          <w:lang w:val="en-AU"/>
        </w:rPr>
        <w:t xml:space="preserve">this shift reflects a change in </w:t>
      </w:r>
      <w:r>
        <w:rPr>
          <w:rFonts w:ascii="Calibri Light" w:hAnsi="Calibri Light" w:cs="Calibri Light"/>
          <w:color w:val="000000" w:themeColor="text1"/>
          <w:sz w:val="22"/>
          <w:szCs w:val="22"/>
          <w:lang w:val="en-AU"/>
        </w:rPr>
        <w:t>policy priorities</w:t>
      </w:r>
      <w:r w:rsidR="00F332B0">
        <w:rPr>
          <w:rFonts w:ascii="Calibri Light" w:hAnsi="Calibri Light" w:cs="Calibri Light"/>
          <w:color w:val="000000" w:themeColor="text1"/>
          <w:sz w:val="22"/>
          <w:szCs w:val="22"/>
          <w:lang w:val="en-AU"/>
        </w:rPr>
        <w:t xml:space="preserve">, then value for money considerations will change too.  However, for an ostensibly justice program, such a shift should be explicitly acknowledged.  </w:t>
      </w:r>
    </w:p>
    <w:p w14:paraId="1BEC5D4A" w14:textId="2AE49C28" w:rsidR="00E253F5" w:rsidRPr="00F45790" w:rsidRDefault="00F332B0"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At the very least, from a value for money perspective, it</w:t>
      </w:r>
      <w:r w:rsidR="00E253F5" w:rsidRPr="00F45790">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underlines</w:t>
      </w:r>
      <w:r w:rsidR="00E253F5" w:rsidRPr="00F45790">
        <w:rPr>
          <w:rFonts w:ascii="Calibri Light" w:hAnsi="Calibri Light" w:cs="Calibri Light"/>
          <w:color w:val="000000" w:themeColor="text1"/>
          <w:sz w:val="22"/>
          <w:szCs w:val="22"/>
          <w:lang w:val="en-AU"/>
        </w:rPr>
        <w:t xml:space="preserve"> the importance of extracting as much value from </w:t>
      </w:r>
      <w:r>
        <w:rPr>
          <w:rFonts w:ascii="Calibri Light" w:hAnsi="Calibri Light" w:cs="Calibri Light"/>
          <w:color w:val="000000" w:themeColor="text1"/>
          <w:sz w:val="22"/>
          <w:szCs w:val="22"/>
          <w:lang w:val="en-AU"/>
        </w:rPr>
        <w:t>higher investment areas</w:t>
      </w:r>
      <w:r w:rsidR="00E253F5" w:rsidRPr="00F45790">
        <w:rPr>
          <w:rFonts w:ascii="Calibri Light" w:hAnsi="Calibri Light" w:cs="Calibri Light"/>
          <w:color w:val="000000" w:themeColor="text1"/>
          <w:sz w:val="22"/>
          <w:szCs w:val="22"/>
          <w:lang w:val="en-AU"/>
        </w:rPr>
        <w:t xml:space="preserve"> as possible.</w:t>
      </w:r>
      <w:r w:rsidR="008573F5">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T</w:t>
      </w:r>
      <w:r w:rsidR="00E253F5" w:rsidRPr="00F45790">
        <w:rPr>
          <w:rFonts w:ascii="Calibri Light" w:hAnsi="Calibri Light" w:cs="Calibri Light"/>
          <w:color w:val="000000" w:themeColor="text1"/>
          <w:sz w:val="22"/>
          <w:szCs w:val="22"/>
          <w:lang w:val="en-AU"/>
        </w:rPr>
        <w:t xml:space="preserve">his implies the need for better information sharing between AIPJ2’s work areas (including </w:t>
      </w:r>
      <w:r w:rsidR="00DD5EB6">
        <w:rPr>
          <w:rFonts w:ascii="Calibri Light" w:hAnsi="Calibri Light" w:cs="Calibri Light"/>
          <w:color w:val="000000" w:themeColor="text1"/>
          <w:sz w:val="22"/>
          <w:szCs w:val="22"/>
          <w:lang w:val="en-AU"/>
        </w:rPr>
        <w:t xml:space="preserve">between pillars and between </w:t>
      </w:r>
      <w:r w:rsidR="00E253F5" w:rsidRPr="00F45790">
        <w:rPr>
          <w:rFonts w:ascii="Calibri Light" w:hAnsi="Calibri Light" w:cs="Calibri Light"/>
          <w:color w:val="000000" w:themeColor="text1"/>
          <w:sz w:val="22"/>
          <w:szCs w:val="22"/>
          <w:lang w:val="en-AU"/>
        </w:rPr>
        <w:t>Australian Government agencies).</w:t>
      </w:r>
      <w:r>
        <w:rPr>
          <w:rFonts w:ascii="Calibri Light" w:hAnsi="Calibri Light" w:cs="Calibri Light"/>
          <w:color w:val="000000" w:themeColor="text1"/>
          <w:sz w:val="22"/>
          <w:szCs w:val="22"/>
          <w:lang w:val="en-AU"/>
        </w:rPr>
        <w:t xml:space="preserve"> </w:t>
      </w:r>
      <w:r w:rsidR="00E253F5" w:rsidRPr="00F45790">
        <w:rPr>
          <w:rFonts w:ascii="Calibri Light" w:hAnsi="Calibri Light" w:cs="Calibri Light"/>
          <w:color w:val="000000" w:themeColor="text1"/>
          <w:sz w:val="22"/>
          <w:szCs w:val="22"/>
          <w:lang w:val="en-AU"/>
        </w:rPr>
        <w:t>At the mid-point of the phase, these arrangements should have been more established by now.</w:t>
      </w:r>
      <w:r w:rsidR="00A16179">
        <w:rPr>
          <w:rFonts w:ascii="Calibri Light" w:hAnsi="Calibri Light" w:cs="Calibri Light"/>
          <w:color w:val="000000" w:themeColor="text1"/>
          <w:sz w:val="22"/>
          <w:szCs w:val="22"/>
          <w:lang w:val="en-AU"/>
        </w:rPr>
        <w:t xml:space="preserve"> </w:t>
      </w:r>
    </w:p>
    <w:p w14:paraId="55C3B261" w14:textId="1E15056F" w:rsidR="00E253F5" w:rsidRPr="00F45790" w:rsidRDefault="00E253F5"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F45790">
        <w:rPr>
          <w:rFonts w:ascii="Calibri Light" w:hAnsi="Calibri Light" w:cs="Calibri Light"/>
          <w:color w:val="000000" w:themeColor="text1"/>
          <w:sz w:val="22"/>
          <w:szCs w:val="22"/>
          <w:lang w:val="en-AU"/>
        </w:rPr>
        <w:t>The mid-point also provides the opportunity to review within-pillar funding decisions taken at the outset of the phase.</w:t>
      </w:r>
      <w:r w:rsidR="00A16179">
        <w:rPr>
          <w:rFonts w:ascii="Calibri Light" w:hAnsi="Calibri Light" w:cs="Calibri Light"/>
          <w:color w:val="000000" w:themeColor="text1"/>
          <w:sz w:val="22"/>
          <w:szCs w:val="22"/>
          <w:lang w:val="en-AU"/>
        </w:rPr>
        <w:t xml:space="preserve"> </w:t>
      </w:r>
    </w:p>
    <w:p w14:paraId="4F9F0C8D" w14:textId="277E30D8" w:rsidR="00E253F5" w:rsidRPr="002C641E" w:rsidRDefault="00234193" w:rsidP="006B32D6">
      <w:pPr>
        <w:pStyle w:val="ListParagraph"/>
        <w:numPr>
          <w:ilvl w:val="0"/>
          <w:numId w:val="8"/>
        </w:numPr>
        <w:tabs>
          <w:tab w:val="left" w:pos="709"/>
        </w:tabs>
        <w:spacing w:before="240" w:line="274" w:lineRule="auto"/>
        <w:ind w:left="709" w:hanging="425"/>
        <w:contextualSpacing w:val="0"/>
        <w:rPr>
          <w:rFonts w:ascii="Calibri Light" w:hAnsi="Calibri Light" w:cs="Calibri Light"/>
          <w:color w:val="000000" w:themeColor="text1"/>
          <w:sz w:val="22"/>
          <w:szCs w:val="22"/>
          <w:lang w:val="en-AU"/>
        </w:rPr>
      </w:pPr>
      <w:r w:rsidRPr="002C641E">
        <w:rPr>
          <w:rFonts w:ascii="Calibri Light" w:hAnsi="Calibri Light" w:cs="Calibri Light"/>
          <w:noProof/>
          <w:color w:val="000000" w:themeColor="text1"/>
          <w:sz w:val="22"/>
          <w:szCs w:val="22"/>
          <w:lang w:val="en-AU" w:eastAsia="en-AU"/>
        </w:rPr>
        <mc:AlternateContent>
          <mc:Choice Requires="wpg">
            <w:drawing>
              <wp:anchor distT="0" distB="0" distL="114300" distR="114300" simplePos="0" relativeHeight="251663360" behindDoc="0" locked="0" layoutInCell="1" allowOverlap="1" wp14:anchorId="02630C5F" wp14:editId="5725212D">
                <wp:simplePos x="0" y="0"/>
                <wp:positionH relativeFrom="column">
                  <wp:posOffset>246380</wp:posOffset>
                </wp:positionH>
                <wp:positionV relativeFrom="paragraph">
                  <wp:posOffset>986790</wp:posOffset>
                </wp:positionV>
                <wp:extent cx="5040630" cy="2884805"/>
                <wp:effectExtent l="0" t="0" r="1270" b="10795"/>
                <wp:wrapSquare wrapText="bothSides"/>
                <wp:docPr id="4" name="Group 4"/>
                <wp:cNvGraphicFramePr/>
                <a:graphic xmlns:a="http://schemas.openxmlformats.org/drawingml/2006/main">
                  <a:graphicData uri="http://schemas.microsoft.com/office/word/2010/wordprocessingGroup">
                    <wpg:wgp>
                      <wpg:cNvGrpSpPr/>
                      <wpg:grpSpPr>
                        <a:xfrm>
                          <a:off x="0" y="0"/>
                          <a:ext cx="5040630" cy="2884805"/>
                          <a:chOff x="0" y="0"/>
                          <a:chExt cx="6350000" cy="3880016"/>
                        </a:xfrm>
                      </wpg:grpSpPr>
                      <wpg:grpSp>
                        <wpg:cNvPr id="5" name="Group 59"/>
                        <wpg:cNvGrpSpPr/>
                        <wpg:grpSpPr>
                          <a:xfrm>
                            <a:off x="0" y="95416"/>
                            <a:ext cx="6350000" cy="3784600"/>
                            <a:chOff x="0" y="0"/>
                            <a:chExt cx="5393458" cy="4352637"/>
                          </a:xfrm>
                        </wpg:grpSpPr>
                        <wpg:graphicFrame>
                          <wpg:cNvPr id="6" name="Chart 6"/>
                          <wpg:cNvFrPr/>
                          <wpg:xfrm>
                            <a:off x="0" y="0"/>
                            <a:ext cx="3211366" cy="4352637"/>
                          </wpg:xfrm>
                          <a:graphic>
                            <a:graphicData uri="http://schemas.microsoft.com/office/drawing/2014/chartex">
                              <cx:chart xmlns:cx="http://schemas.microsoft.com/office/drawing/2014/chartex" xmlns:r="http://schemas.openxmlformats.org/officeDocument/2006/relationships" r:id="rId24"/>
                            </a:graphicData>
                          </a:graphic>
                        </wpg:graphicFrame>
                        <wpg:graphicFrame>
                          <wpg:cNvPr id="7" name="Chart 7"/>
                          <wpg:cNvFrPr/>
                          <wpg:xfrm>
                            <a:off x="3199822" y="34638"/>
                            <a:ext cx="2193636" cy="4202545"/>
                          </wpg:xfrm>
                          <a:graphic>
                            <a:graphicData uri="http://schemas.microsoft.com/office/drawing/2014/chartex">
                              <cx:chart xmlns:cx="http://schemas.microsoft.com/office/drawing/2014/chartex" xmlns:r="http://schemas.openxmlformats.org/officeDocument/2006/relationships" r:id="rId25"/>
                            </a:graphicData>
                          </a:graphic>
                        </wpg:graphicFrame>
                      </wpg:grpSp>
                      <wps:wsp>
                        <wps:cNvPr id="8" name="Text Box 8"/>
                        <wps:cNvSpPr txBox="1"/>
                        <wps:spPr>
                          <a:xfrm>
                            <a:off x="3188473" y="0"/>
                            <a:ext cx="1097280" cy="182880"/>
                          </a:xfrm>
                          <a:prstGeom prst="rect">
                            <a:avLst/>
                          </a:prstGeom>
                          <a:solidFill>
                            <a:schemeClr val="lt1"/>
                          </a:solidFill>
                          <a:ln w="6350">
                            <a:noFill/>
                          </a:ln>
                        </wps:spPr>
                        <wps:txbx>
                          <w:txbxContent>
                            <w:p w14:paraId="21BB3896" w14:textId="25D633E0" w:rsidR="00172B2A" w:rsidRPr="00193A65" w:rsidRDefault="00172B2A" w:rsidP="00E253F5">
                              <w:pPr>
                                <w:spacing w:before="0" w:after="0" w:line="240" w:lineRule="auto"/>
                                <w:rPr>
                                  <w:rFonts w:ascii="Calibri Light" w:hAnsi="Calibri Light" w:cs="Calibri Light"/>
                                  <w:b/>
                                  <w:bCs/>
                                  <w:sz w:val="21"/>
                                  <w:szCs w:val="21"/>
                                </w:rPr>
                              </w:pPr>
                              <w:r>
                                <w:rPr>
                                  <w:rFonts w:ascii="Calibri Light" w:hAnsi="Calibri Light" w:cs="Calibri Light"/>
                                  <w:b/>
                                  <w:bCs/>
                                  <w:sz w:val="21"/>
                                  <w:szCs w:val="21"/>
                                </w:rPr>
                                <w:t>Figure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630C5F" id="Group 4" o:spid="_x0000_s1030" style="position:absolute;left:0;text-align:left;margin-left:19.4pt;margin-top:77.7pt;width:396.9pt;height:227.15pt;z-index:251663360;mso-width-relative:margin;mso-height-relative:margin" coordsize="63500,38800" o:gfxdata="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">
                <v:group id="Group 59" o:spid="_x0000_s1031" style="position:absolute;top:954;width:63500;height:37846" coordsize="53934,4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32" type="#_x0000_t75" style="position:absolute;top:-60;width:32156;height:43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">
                    <v:imagedata r:id="rId26" o:title=""/>
                    <o:lock v:ext="edit" aspectratio="f"/>
                  </v:shape>
                  <v:shape id="Chart 7" o:spid="_x0000_s1033" type="#_x0000_t75" style="position:absolute;left:31961;top:317;width:22046;height:42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">
                    <v:imagedata r:id="rId27" o:title=""/>
                    <o:lock v:ext="edit" aspectratio="f"/>
                  </v:shape>
                </v:group>
                <v:shape id="Text Box 8" o:spid="_x0000_s1034" type="#_x0000_t202" style="position:absolute;left:31884;width:1097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21BB3896" w14:textId="25D633E0" w:rsidR="00172B2A" w:rsidRPr="00193A65" w:rsidRDefault="00172B2A" w:rsidP="00E253F5">
                        <w:pPr>
                          <w:spacing w:before="0" w:after="0" w:line="240" w:lineRule="auto"/>
                          <w:rPr>
                            <w:rFonts w:ascii="Calibri Light" w:hAnsi="Calibri Light" w:cs="Calibri Light"/>
                            <w:b/>
                            <w:bCs/>
                            <w:sz w:val="21"/>
                            <w:szCs w:val="21"/>
                          </w:rPr>
                        </w:pPr>
                        <w:r>
                          <w:rPr>
                            <w:rFonts w:ascii="Calibri Light" w:hAnsi="Calibri Light" w:cs="Calibri Light"/>
                            <w:b/>
                            <w:bCs/>
                            <w:sz w:val="21"/>
                            <w:szCs w:val="21"/>
                          </w:rPr>
                          <w:t>Figure 3:</w:t>
                        </w:r>
                      </w:p>
                    </w:txbxContent>
                  </v:textbox>
                </v:shape>
                <w10:wrap type="square"/>
              </v:group>
            </w:pict>
          </mc:Fallback>
        </mc:AlternateContent>
      </w:r>
      <w:r w:rsidR="00E253F5" w:rsidRPr="002C641E">
        <w:rPr>
          <w:rFonts w:ascii="Calibri Light" w:hAnsi="Calibri Light" w:cs="Calibri Light"/>
          <w:color w:val="000000" w:themeColor="text1"/>
          <w:sz w:val="22"/>
          <w:szCs w:val="22"/>
          <w:lang w:val="en-AU"/>
        </w:rPr>
        <w:t>Under its law and justice work (pillars 1 and 4), AIPJ2 provides grants for some twelve civil society organisations and nine partners under its work aimed at preventing violent extremism (pillar 3).</w:t>
      </w:r>
      <w:r w:rsidR="008573F5">
        <w:rPr>
          <w:rFonts w:ascii="Calibri Light" w:hAnsi="Calibri Light" w:cs="Calibri Light"/>
          <w:color w:val="000000" w:themeColor="text1"/>
          <w:sz w:val="22"/>
          <w:szCs w:val="22"/>
          <w:lang w:val="en-AU"/>
        </w:rPr>
        <w:t xml:space="preserve"> </w:t>
      </w:r>
      <w:r w:rsidR="00E253F5" w:rsidRPr="002C641E">
        <w:rPr>
          <w:rFonts w:ascii="Calibri Light" w:hAnsi="Calibri Light" w:cs="Calibri Light"/>
          <w:color w:val="000000" w:themeColor="text1"/>
          <w:sz w:val="22"/>
          <w:szCs w:val="22"/>
          <w:lang w:val="en-AU"/>
        </w:rPr>
        <w:t>Around two-thirds of the funding is received by two or three partners in each case, with the rest accounted for by a relatively large number of small grants</w:t>
      </w:r>
      <w:r w:rsidR="00795AE8" w:rsidRPr="002C641E">
        <w:rPr>
          <w:rFonts w:ascii="Calibri Light" w:hAnsi="Calibri Light" w:cs="Calibri Light"/>
          <w:color w:val="000000" w:themeColor="text1"/>
          <w:sz w:val="22"/>
          <w:szCs w:val="22"/>
          <w:lang w:val="en-AU"/>
        </w:rPr>
        <w:t xml:space="preserve"> </w:t>
      </w:r>
      <w:r w:rsidR="00E253F5" w:rsidRPr="002C641E">
        <w:rPr>
          <w:rFonts w:ascii="Calibri Light" w:hAnsi="Calibri Light" w:cs="Calibri Light"/>
          <w:color w:val="000000" w:themeColor="text1"/>
          <w:sz w:val="22"/>
          <w:szCs w:val="22"/>
          <w:lang w:val="en-AU"/>
        </w:rPr>
        <w:t xml:space="preserve">(figure </w:t>
      </w:r>
      <w:r w:rsidR="002C641E">
        <w:rPr>
          <w:rFonts w:ascii="Calibri Light" w:hAnsi="Calibri Light" w:cs="Calibri Light"/>
          <w:color w:val="000000" w:themeColor="text1"/>
          <w:sz w:val="22"/>
          <w:szCs w:val="22"/>
          <w:lang w:val="en-AU"/>
        </w:rPr>
        <w:t>3</w:t>
      </w:r>
      <w:r w:rsidR="00E253F5" w:rsidRPr="002C641E">
        <w:rPr>
          <w:rFonts w:ascii="Calibri Light" w:hAnsi="Calibri Light" w:cs="Calibri Light"/>
          <w:color w:val="000000" w:themeColor="text1"/>
          <w:sz w:val="22"/>
          <w:szCs w:val="22"/>
          <w:lang w:val="en-AU"/>
        </w:rPr>
        <w:t>).</w:t>
      </w:r>
      <w:r w:rsidR="00A16179">
        <w:rPr>
          <w:rFonts w:ascii="Calibri Light" w:hAnsi="Calibri Light" w:cs="Calibri Light"/>
          <w:color w:val="000000" w:themeColor="text1"/>
          <w:sz w:val="22"/>
          <w:szCs w:val="22"/>
          <w:lang w:val="en-AU"/>
        </w:rPr>
        <w:t xml:space="preserve"> </w:t>
      </w:r>
    </w:p>
    <w:p w14:paraId="685CB057" w14:textId="73B4D9C6" w:rsidR="00E253F5" w:rsidRPr="002C641E" w:rsidRDefault="00E253F5"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lang w:val="en-AU"/>
        </w:rPr>
      </w:pPr>
      <w:r w:rsidRPr="002C641E">
        <w:rPr>
          <w:rFonts w:ascii="Calibri Light" w:hAnsi="Calibri Light" w:cs="Calibri Light"/>
          <w:color w:val="000000" w:themeColor="text1"/>
          <w:sz w:val="22"/>
          <w:szCs w:val="22"/>
          <w:lang w:val="en-AU"/>
        </w:rPr>
        <w:t xml:space="preserve">Small quantities of funding to </w:t>
      </w:r>
      <w:r w:rsidR="0040436C" w:rsidRPr="002C641E">
        <w:rPr>
          <w:rFonts w:ascii="Calibri Light" w:hAnsi="Calibri Light" w:cs="Calibri Light"/>
          <w:color w:val="000000" w:themeColor="text1"/>
          <w:sz w:val="22"/>
          <w:szCs w:val="22"/>
          <w:lang w:val="en-AU"/>
        </w:rPr>
        <w:t xml:space="preserve">multiple </w:t>
      </w:r>
      <w:r w:rsidRPr="002C641E">
        <w:rPr>
          <w:rFonts w:ascii="Calibri Light" w:hAnsi="Calibri Light" w:cs="Calibri Light"/>
          <w:color w:val="000000" w:themeColor="text1"/>
          <w:sz w:val="22"/>
          <w:szCs w:val="22"/>
          <w:lang w:val="en-AU"/>
        </w:rPr>
        <w:t>key partners can be quite strategic but it does increase the demands on management.</w:t>
      </w:r>
      <w:r w:rsidR="008573F5">
        <w:rPr>
          <w:rFonts w:ascii="Calibri Light" w:hAnsi="Calibri Light" w:cs="Calibri Light"/>
          <w:color w:val="000000" w:themeColor="text1"/>
          <w:sz w:val="22"/>
          <w:szCs w:val="22"/>
          <w:lang w:val="en-AU"/>
        </w:rPr>
        <w:t xml:space="preserve"> </w:t>
      </w:r>
      <w:r w:rsidRPr="002C641E">
        <w:rPr>
          <w:rFonts w:ascii="Calibri Light" w:hAnsi="Calibri Light" w:cs="Calibri Light"/>
          <w:color w:val="000000" w:themeColor="text1"/>
          <w:sz w:val="22"/>
          <w:szCs w:val="22"/>
          <w:lang w:val="en-AU"/>
        </w:rPr>
        <w:t xml:space="preserve">It also increases the importance of </w:t>
      </w:r>
      <w:r w:rsidR="0040436C" w:rsidRPr="002C641E">
        <w:rPr>
          <w:rFonts w:ascii="Calibri Light" w:hAnsi="Calibri Light" w:cs="Calibri Light"/>
          <w:color w:val="000000" w:themeColor="text1"/>
          <w:sz w:val="22"/>
          <w:szCs w:val="22"/>
          <w:lang w:val="en-AU"/>
        </w:rPr>
        <w:t xml:space="preserve">clear strategies – albeit subject to </w:t>
      </w:r>
      <w:r w:rsidR="002F6DBF" w:rsidRPr="002C641E">
        <w:rPr>
          <w:rFonts w:ascii="Calibri Light" w:hAnsi="Calibri Light" w:cs="Calibri Light"/>
          <w:color w:val="000000" w:themeColor="text1"/>
          <w:sz w:val="22"/>
          <w:szCs w:val="22"/>
          <w:lang w:val="en-AU"/>
        </w:rPr>
        <w:t xml:space="preserve">review and </w:t>
      </w:r>
      <w:r w:rsidR="0040436C" w:rsidRPr="002C641E">
        <w:rPr>
          <w:rFonts w:ascii="Calibri Light" w:hAnsi="Calibri Light" w:cs="Calibri Light"/>
          <w:color w:val="000000" w:themeColor="text1"/>
          <w:sz w:val="22"/>
          <w:szCs w:val="22"/>
          <w:lang w:val="en-AU"/>
        </w:rPr>
        <w:t xml:space="preserve">adaptation – </w:t>
      </w:r>
      <w:r w:rsidR="002F6DBF" w:rsidRPr="002C641E">
        <w:rPr>
          <w:rFonts w:ascii="Calibri Light" w:hAnsi="Calibri Light" w:cs="Calibri Light"/>
          <w:color w:val="000000" w:themeColor="text1"/>
          <w:sz w:val="22"/>
          <w:szCs w:val="22"/>
          <w:lang w:val="en-AU"/>
        </w:rPr>
        <w:t>that</w:t>
      </w:r>
      <w:r w:rsidR="0040436C" w:rsidRPr="002C641E">
        <w:rPr>
          <w:rFonts w:ascii="Calibri Light" w:hAnsi="Calibri Light" w:cs="Calibri Light"/>
          <w:color w:val="000000" w:themeColor="text1"/>
          <w:sz w:val="22"/>
          <w:szCs w:val="22"/>
          <w:lang w:val="en-AU"/>
        </w:rPr>
        <w:t xml:space="preserve"> </w:t>
      </w:r>
      <w:r w:rsidR="002F6DBF" w:rsidRPr="002C641E">
        <w:rPr>
          <w:rFonts w:ascii="Calibri Light" w:hAnsi="Calibri Light" w:cs="Calibri Light"/>
          <w:color w:val="000000" w:themeColor="text1"/>
          <w:sz w:val="22"/>
          <w:szCs w:val="22"/>
          <w:lang w:val="en-AU"/>
        </w:rPr>
        <w:t>help</w:t>
      </w:r>
      <w:r w:rsidR="0040436C" w:rsidRPr="002C641E">
        <w:rPr>
          <w:rFonts w:ascii="Calibri Light" w:hAnsi="Calibri Light" w:cs="Calibri Light"/>
          <w:color w:val="000000" w:themeColor="text1"/>
          <w:sz w:val="22"/>
          <w:szCs w:val="22"/>
          <w:lang w:val="en-AU"/>
        </w:rPr>
        <w:t xml:space="preserve"> </w:t>
      </w:r>
      <w:r w:rsidRPr="002C641E">
        <w:rPr>
          <w:rFonts w:ascii="Calibri Light" w:hAnsi="Calibri Light" w:cs="Calibri Light"/>
          <w:color w:val="000000" w:themeColor="text1"/>
          <w:sz w:val="22"/>
          <w:szCs w:val="22"/>
          <w:lang w:val="en-AU"/>
        </w:rPr>
        <w:t xml:space="preserve">AIPJ2 </w:t>
      </w:r>
      <w:r w:rsidR="002F6DBF" w:rsidRPr="002C641E">
        <w:rPr>
          <w:rFonts w:ascii="Calibri Light" w:hAnsi="Calibri Light" w:cs="Calibri Light"/>
          <w:color w:val="000000" w:themeColor="text1"/>
          <w:sz w:val="22"/>
          <w:szCs w:val="22"/>
          <w:lang w:val="en-AU"/>
        </w:rPr>
        <w:t xml:space="preserve">to </w:t>
      </w:r>
      <w:r w:rsidRPr="002C641E">
        <w:rPr>
          <w:rFonts w:ascii="Calibri Light" w:hAnsi="Calibri Light" w:cs="Calibri Light"/>
          <w:color w:val="000000" w:themeColor="text1"/>
          <w:sz w:val="22"/>
          <w:szCs w:val="22"/>
          <w:lang w:val="en-AU"/>
        </w:rPr>
        <w:t>realise the strategic value of multiple partners</w:t>
      </w:r>
      <w:r w:rsidR="002F6DBF" w:rsidRPr="002C641E">
        <w:rPr>
          <w:rFonts w:ascii="Calibri Light" w:hAnsi="Calibri Light" w:cs="Calibri Light"/>
          <w:color w:val="000000" w:themeColor="text1"/>
          <w:sz w:val="22"/>
          <w:szCs w:val="22"/>
          <w:lang w:val="en-AU"/>
        </w:rPr>
        <w:t xml:space="preserve"> and manage the risk that assistance become dispersed or ‘bitty’</w:t>
      </w:r>
      <w:r w:rsidRPr="002C641E">
        <w:rPr>
          <w:rFonts w:ascii="Calibri Light" w:hAnsi="Calibri Light" w:cs="Calibri Light"/>
          <w:color w:val="000000" w:themeColor="text1"/>
          <w:sz w:val="22"/>
          <w:szCs w:val="22"/>
          <w:lang w:val="en-AU"/>
        </w:rPr>
        <w:t>.</w:t>
      </w:r>
      <w:r w:rsidR="008573F5">
        <w:rPr>
          <w:rFonts w:ascii="Calibri Light" w:hAnsi="Calibri Light" w:cs="Calibri Light"/>
          <w:color w:val="000000" w:themeColor="text1"/>
          <w:sz w:val="22"/>
          <w:szCs w:val="22"/>
          <w:lang w:val="en-AU"/>
        </w:rPr>
        <w:t xml:space="preserve"> </w:t>
      </w:r>
      <w:r w:rsidRPr="002C641E">
        <w:rPr>
          <w:rFonts w:ascii="Calibri Light" w:hAnsi="Calibri Light" w:cs="Calibri Light"/>
          <w:color w:val="000000" w:themeColor="text1"/>
          <w:sz w:val="22"/>
          <w:szCs w:val="22"/>
          <w:lang w:val="en-AU"/>
        </w:rPr>
        <w:t xml:space="preserve">As noted earlier, AIPJ2 </w:t>
      </w:r>
      <w:r w:rsidR="00746254" w:rsidRPr="002C641E">
        <w:rPr>
          <w:rFonts w:ascii="Calibri Light" w:hAnsi="Calibri Light" w:cs="Calibri Light"/>
          <w:color w:val="000000" w:themeColor="text1"/>
          <w:sz w:val="22"/>
          <w:szCs w:val="22"/>
          <w:lang w:val="en-AU"/>
        </w:rPr>
        <w:t xml:space="preserve">has not </w:t>
      </w:r>
      <w:r w:rsidR="002F6DBF" w:rsidRPr="002C641E">
        <w:rPr>
          <w:rFonts w:ascii="Calibri Light" w:hAnsi="Calibri Light" w:cs="Calibri Light"/>
          <w:color w:val="000000" w:themeColor="text1"/>
          <w:sz w:val="22"/>
          <w:szCs w:val="22"/>
          <w:lang w:val="en-AU"/>
        </w:rPr>
        <w:t>generally prioritised formal elaboration of strategies</w:t>
      </w:r>
      <w:r w:rsidR="00746254" w:rsidRPr="002C641E">
        <w:rPr>
          <w:rFonts w:ascii="Calibri Light" w:hAnsi="Calibri Light" w:cs="Calibri Light"/>
          <w:color w:val="000000" w:themeColor="text1"/>
          <w:sz w:val="22"/>
          <w:szCs w:val="22"/>
          <w:lang w:val="en-AU"/>
        </w:rPr>
        <w:t xml:space="preserve"> </w:t>
      </w:r>
      <w:r w:rsidRPr="002C641E">
        <w:rPr>
          <w:rFonts w:ascii="Calibri Light" w:hAnsi="Calibri Light" w:cs="Calibri Light"/>
          <w:color w:val="000000" w:themeColor="text1"/>
          <w:sz w:val="22"/>
          <w:szCs w:val="22"/>
          <w:lang w:val="en-AU"/>
        </w:rPr>
        <w:t>to date.</w:t>
      </w:r>
    </w:p>
    <w:p w14:paraId="60DECF70" w14:textId="34024F4B" w:rsidR="00CE4351" w:rsidRPr="00CE4351" w:rsidRDefault="007D5582"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CE4351">
        <w:rPr>
          <w:rFonts w:ascii="Calibri Light" w:hAnsi="Calibri Light" w:cs="Calibri Light"/>
          <w:color w:val="000000" w:themeColor="text1"/>
          <w:sz w:val="22"/>
          <w:szCs w:val="22"/>
          <w:lang w:val="en-AU"/>
        </w:rPr>
        <w:t>In the case of activities of Australian Government agencies funded under Pillar 2, there have been cases of underspend during the first half of AIPJ2.</w:t>
      </w:r>
      <w:r w:rsidR="008573F5">
        <w:rPr>
          <w:rFonts w:ascii="Calibri Light" w:hAnsi="Calibri Light" w:cs="Calibri Light"/>
          <w:color w:val="000000" w:themeColor="text1"/>
          <w:sz w:val="22"/>
          <w:szCs w:val="22"/>
          <w:lang w:val="en-AU"/>
        </w:rPr>
        <w:t xml:space="preserve"> </w:t>
      </w:r>
      <w:r w:rsidRPr="00CE4351">
        <w:rPr>
          <w:rFonts w:ascii="Calibri Light" w:hAnsi="Calibri Light" w:cs="Calibri Light"/>
          <w:color w:val="000000" w:themeColor="text1"/>
          <w:sz w:val="22"/>
          <w:szCs w:val="22"/>
          <w:lang w:val="en-AU"/>
        </w:rPr>
        <w:t>These have been managed through either reduced future allocations or negotiated reallocations to new activities.</w:t>
      </w:r>
      <w:r w:rsidR="008573F5">
        <w:rPr>
          <w:rFonts w:ascii="Calibri Light" w:hAnsi="Calibri Light" w:cs="Calibri Light"/>
          <w:color w:val="000000" w:themeColor="text1"/>
          <w:sz w:val="22"/>
          <w:szCs w:val="22"/>
          <w:lang w:val="en-AU"/>
        </w:rPr>
        <w:t xml:space="preserve"> </w:t>
      </w:r>
      <w:r w:rsidRPr="00CE4351">
        <w:rPr>
          <w:rFonts w:ascii="Calibri Light" w:hAnsi="Calibri Light" w:cs="Calibri Light"/>
          <w:color w:val="000000" w:themeColor="text1"/>
          <w:sz w:val="22"/>
          <w:szCs w:val="22"/>
          <w:lang w:val="en-AU"/>
        </w:rPr>
        <w:t xml:space="preserve">The extent to which such </w:t>
      </w:r>
      <w:r w:rsidR="00CE4351" w:rsidRPr="00CE4351">
        <w:rPr>
          <w:rFonts w:ascii="Calibri Light" w:hAnsi="Calibri Light" w:cs="Calibri Light"/>
          <w:color w:val="000000" w:themeColor="text1"/>
          <w:sz w:val="22"/>
          <w:szCs w:val="22"/>
          <w:lang w:val="en-AU"/>
        </w:rPr>
        <w:t>underspends can be reallocated to wider AIPJ2 activities (in other pillars or to other Australian Government agencies under pillar 2) is not clear.</w:t>
      </w:r>
      <w:r w:rsidR="00A16179">
        <w:rPr>
          <w:rFonts w:ascii="Calibri Light" w:hAnsi="Calibri Light" w:cs="Calibri Light"/>
          <w:color w:val="000000" w:themeColor="text1"/>
          <w:sz w:val="22"/>
          <w:szCs w:val="22"/>
          <w:lang w:val="en-AU"/>
        </w:rPr>
        <w:t xml:space="preserve"> </w:t>
      </w:r>
    </w:p>
    <w:p w14:paraId="69868033" w14:textId="656310A0" w:rsidR="00E253F5" w:rsidRPr="00942893" w:rsidRDefault="00CE4351" w:rsidP="00275B5D">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CE4351">
        <w:rPr>
          <w:rFonts w:ascii="Calibri Light" w:hAnsi="Calibri Light" w:cs="Calibri Light"/>
          <w:color w:val="000000" w:themeColor="text1"/>
          <w:sz w:val="22"/>
          <w:szCs w:val="22"/>
          <w:lang w:val="en-AU"/>
        </w:rPr>
        <w:t xml:space="preserve"> </w:t>
      </w:r>
      <w:r w:rsidR="00E253F5" w:rsidRPr="00CE4351">
        <w:rPr>
          <w:rFonts w:ascii="Calibri Light" w:hAnsi="Calibri Light" w:cs="Calibri Light"/>
          <w:color w:val="000000" w:themeColor="text1"/>
          <w:sz w:val="22"/>
          <w:szCs w:val="22"/>
          <w:lang w:val="en-AU"/>
        </w:rPr>
        <w:t xml:space="preserve">In practice, AIPJ2 is typically made aware during the year of any large, likely variations from planned expenditure. </w:t>
      </w:r>
      <w:r w:rsidRPr="00CE4351">
        <w:rPr>
          <w:rFonts w:ascii="Calibri Light" w:hAnsi="Calibri Light" w:cs="Calibri Light"/>
          <w:color w:val="000000" w:themeColor="text1"/>
          <w:sz w:val="22"/>
          <w:szCs w:val="22"/>
          <w:lang w:val="en-AU"/>
        </w:rPr>
        <w:t>However</w:t>
      </w:r>
      <w:r w:rsidR="004B2DEF">
        <w:rPr>
          <w:rFonts w:ascii="Calibri Light" w:hAnsi="Calibri Light" w:cs="Calibri Light"/>
          <w:color w:val="000000" w:themeColor="text1"/>
          <w:sz w:val="22"/>
          <w:szCs w:val="22"/>
          <w:lang w:val="en-AU"/>
        </w:rPr>
        <w:t>,</w:t>
      </w:r>
      <w:r w:rsidRPr="00CE4351">
        <w:rPr>
          <w:rFonts w:ascii="Calibri Light" w:hAnsi="Calibri Light" w:cs="Calibri Light"/>
          <w:color w:val="000000" w:themeColor="text1"/>
          <w:sz w:val="22"/>
          <w:szCs w:val="22"/>
          <w:lang w:val="en-AU"/>
        </w:rPr>
        <w:t xml:space="preserve"> the mechanism for doing so is not standardised and depends on arrangements specified in the different Tasking Notes agree with DFAT.</w:t>
      </w:r>
      <w:r w:rsidR="008573F5">
        <w:rPr>
          <w:rFonts w:ascii="Calibri Light" w:hAnsi="Calibri Light" w:cs="Calibri Light"/>
          <w:color w:val="000000" w:themeColor="text1"/>
          <w:sz w:val="22"/>
          <w:szCs w:val="22"/>
          <w:lang w:val="en-AU"/>
        </w:rPr>
        <w:t xml:space="preserve"> </w:t>
      </w:r>
      <w:r w:rsidRPr="00CE4351">
        <w:rPr>
          <w:rFonts w:ascii="Calibri Light" w:hAnsi="Calibri Light" w:cs="Calibri Light"/>
          <w:color w:val="000000" w:themeColor="text1"/>
          <w:sz w:val="22"/>
          <w:szCs w:val="22"/>
          <w:lang w:val="en-AU"/>
        </w:rPr>
        <w:t>The review team understands that steps have been discussed to standardise the approach and include six-monthly financial reports form pillar 2 partners (with progress reports) to strengthen tracking of expenditure under Pillar 2.</w:t>
      </w:r>
      <w:r w:rsidR="00A16179">
        <w:rPr>
          <w:rFonts w:ascii="Calibri Light" w:hAnsi="Calibri Light" w:cs="Calibri Light"/>
          <w:color w:val="000000" w:themeColor="text1"/>
          <w:sz w:val="22"/>
          <w:szCs w:val="22"/>
          <w:lang w:val="en-AU"/>
        </w:rPr>
        <w:t xml:space="preserve"> </w:t>
      </w:r>
    </w:p>
    <w:p w14:paraId="275DAA89" w14:textId="77777777" w:rsidR="00004061" w:rsidRPr="00CE4351" w:rsidRDefault="00004061" w:rsidP="006B32D6">
      <w:pPr>
        <w:pStyle w:val="ListParagraph"/>
        <w:numPr>
          <w:ilvl w:val="0"/>
          <w:numId w:val="3"/>
        </w:numPr>
        <w:spacing w:before="240" w:after="240"/>
        <w:ind w:left="567" w:hanging="567"/>
        <w:contextualSpacing w:val="0"/>
        <w:rPr>
          <w:rFonts w:asciiTheme="majorHAnsi" w:hAnsiTheme="majorHAnsi" w:cstheme="majorHAnsi"/>
          <w:b/>
          <w:bCs/>
          <w:color w:val="00B0F0"/>
          <w:sz w:val="32"/>
          <w:szCs w:val="32"/>
          <w:lang w:val="en-AU"/>
        </w:rPr>
      </w:pPr>
      <w:r w:rsidRPr="00CE4351">
        <w:rPr>
          <w:rFonts w:asciiTheme="majorHAnsi" w:hAnsiTheme="majorHAnsi" w:cstheme="majorHAnsi"/>
          <w:b/>
          <w:bCs/>
          <w:color w:val="00B0F0"/>
          <w:sz w:val="32"/>
          <w:szCs w:val="32"/>
          <w:lang w:val="en-AU"/>
        </w:rPr>
        <w:t>Positioning for the remainder of AIPJ2</w:t>
      </w:r>
    </w:p>
    <w:p w14:paraId="7AF23E59" w14:textId="31CBF680" w:rsidR="005A4EF4" w:rsidRPr="00A444C9" w:rsidRDefault="005A4EF4"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A444C9">
        <w:rPr>
          <w:rFonts w:asciiTheme="majorHAnsi" w:hAnsiTheme="majorHAnsi" w:cstheme="majorHAnsi"/>
          <w:b/>
          <w:bCs/>
          <w:color w:val="000000" w:themeColor="text1"/>
          <w:sz w:val="26"/>
          <w:szCs w:val="26"/>
          <w:lang w:val="en-AU"/>
        </w:rPr>
        <w:t>Introduction</w:t>
      </w:r>
    </w:p>
    <w:p w14:paraId="78BC5EC5" w14:textId="2177874C" w:rsidR="005A4EF4" w:rsidRPr="00CE4351" w:rsidRDefault="005A4EF4"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color w:val="000000" w:themeColor="text1"/>
          <w:sz w:val="28"/>
          <w:szCs w:val="28"/>
          <w:lang w:val="en-AU"/>
        </w:rPr>
      </w:pPr>
      <w:r w:rsidRPr="00CE4351">
        <w:rPr>
          <w:rFonts w:ascii="Calibri Light" w:hAnsi="Calibri Light" w:cs="Calibri Light"/>
          <w:color w:val="000000" w:themeColor="text1"/>
          <w:sz w:val="22"/>
          <w:szCs w:val="22"/>
          <w:lang w:val="en-AU"/>
        </w:rPr>
        <w:t xml:space="preserve">This section of the report responds to a series of DFAT questions about </w:t>
      </w:r>
      <w:r w:rsidR="00B94DCC" w:rsidRPr="00CE4351">
        <w:rPr>
          <w:rFonts w:ascii="Calibri Light" w:hAnsi="Calibri Light" w:cs="Calibri Light"/>
          <w:color w:val="000000" w:themeColor="text1"/>
          <w:sz w:val="22"/>
          <w:szCs w:val="22"/>
          <w:lang w:val="en-AU"/>
        </w:rPr>
        <w:t xml:space="preserve">AIPJ2’s </w:t>
      </w:r>
      <w:r w:rsidR="00354090" w:rsidRPr="00CE4351">
        <w:rPr>
          <w:rFonts w:ascii="Calibri Light" w:hAnsi="Calibri Light" w:cs="Calibri Light"/>
          <w:color w:val="000000" w:themeColor="text1"/>
          <w:sz w:val="22"/>
          <w:szCs w:val="22"/>
          <w:lang w:val="en-AU"/>
        </w:rPr>
        <w:t>direction</w:t>
      </w:r>
      <w:r w:rsidRPr="00CE4351">
        <w:rPr>
          <w:rFonts w:ascii="Calibri Light" w:hAnsi="Calibri Light" w:cs="Calibri Light"/>
          <w:color w:val="000000" w:themeColor="text1"/>
          <w:sz w:val="22"/>
          <w:szCs w:val="22"/>
          <w:lang w:val="en-AU"/>
        </w:rPr>
        <w:t xml:space="preserve"> </w:t>
      </w:r>
      <w:r w:rsidR="00354090" w:rsidRPr="00CE4351">
        <w:rPr>
          <w:rFonts w:ascii="Calibri Light" w:hAnsi="Calibri Light" w:cs="Calibri Light"/>
          <w:color w:val="000000" w:themeColor="text1"/>
          <w:sz w:val="22"/>
          <w:szCs w:val="22"/>
          <w:lang w:val="en-AU"/>
        </w:rPr>
        <w:t>for</w:t>
      </w:r>
      <w:r w:rsidRPr="00CE4351">
        <w:rPr>
          <w:rFonts w:ascii="Calibri Light" w:hAnsi="Calibri Light" w:cs="Calibri Light"/>
          <w:color w:val="000000" w:themeColor="text1"/>
          <w:sz w:val="22"/>
          <w:szCs w:val="22"/>
          <w:lang w:val="en-AU"/>
        </w:rPr>
        <w:t xml:space="preserve"> remainder of the phase.</w:t>
      </w:r>
      <w:r w:rsidR="008573F5">
        <w:rPr>
          <w:rFonts w:ascii="Calibri Light" w:hAnsi="Calibri Light" w:cs="Calibri Light"/>
          <w:color w:val="000000" w:themeColor="text1"/>
          <w:sz w:val="22"/>
          <w:szCs w:val="22"/>
          <w:lang w:val="en-AU"/>
        </w:rPr>
        <w:t xml:space="preserve"> </w:t>
      </w:r>
      <w:r w:rsidRPr="00CE4351">
        <w:rPr>
          <w:rFonts w:ascii="Calibri Light" w:hAnsi="Calibri Light" w:cs="Calibri Light"/>
          <w:color w:val="000000" w:themeColor="text1"/>
          <w:sz w:val="22"/>
          <w:szCs w:val="22"/>
          <w:lang w:val="en-AU"/>
        </w:rPr>
        <w:t xml:space="preserve">AIPJ2 is contracted to run until April 2022, with the option to extend the contract for up to </w:t>
      </w:r>
      <w:r w:rsidR="00B94DCC" w:rsidRPr="00CE4351">
        <w:rPr>
          <w:rFonts w:ascii="Calibri Light" w:hAnsi="Calibri Light" w:cs="Calibri Light"/>
          <w:color w:val="000000" w:themeColor="text1"/>
          <w:sz w:val="22"/>
          <w:szCs w:val="22"/>
          <w:lang w:val="en-AU"/>
        </w:rPr>
        <w:t xml:space="preserve">a further </w:t>
      </w:r>
      <w:r w:rsidRPr="00CE4351">
        <w:rPr>
          <w:rFonts w:ascii="Calibri Light" w:hAnsi="Calibri Light" w:cs="Calibri Light"/>
          <w:color w:val="000000" w:themeColor="text1"/>
          <w:sz w:val="22"/>
          <w:szCs w:val="22"/>
          <w:lang w:val="en-AU"/>
        </w:rPr>
        <w:t>five years</w:t>
      </w:r>
      <w:r w:rsidR="00B94DCC" w:rsidRPr="00CE4351">
        <w:rPr>
          <w:rFonts w:ascii="Calibri Light" w:hAnsi="Calibri Light" w:cs="Calibri Light"/>
          <w:color w:val="000000" w:themeColor="text1"/>
          <w:sz w:val="22"/>
          <w:szCs w:val="22"/>
          <w:lang w:val="en-AU"/>
        </w:rPr>
        <w:t xml:space="preserve">, </w:t>
      </w:r>
      <w:r w:rsidRPr="00CE4351">
        <w:rPr>
          <w:rFonts w:ascii="Calibri Light" w:hAnsi="Calibri Light" w:cs="Calibri Light"/>
          <w:color w:val="000000" w:themeColor="text1"/>
          <w:sz w:val="22"/>
          <w:szCs w:val="22"/>
          <w:lang w:val="en-AU"/>
        </w:rPr>
        <w:t>subject to DFAT approval.</w:t>
      </w:r>
      <w:r w:rsidR="008573F5">
        <w:rPr>
          <w:rFonts w:ascii="Calibri Light" w:hAnsi="Calibri Light" w:cs="Calibri Light"/>
          <w:color w:val="000000" w:themeColor="text1"/>
          <w:sz w:val="22"/>
          <w:szCs w:val="22"/>
          <w:lang w:val="en-AU"/>
        </w:rPr>
        <w:t xml:space="preserve"> </w:t>
      </w:r>
      <w:r w:rsidR="00B94DCC" w:rsidRPr="00CE4351">
        <w:rPr>
          <w:rFonts w:ascii="Calibri Light" w:hAnsi="Calibri Light" w:cs="Calibri Light"/>
          <w:color w:val="000000" w:themeColor="text1"/>
          <w:sz w:val="22"/>
          <w:szCs w:val="22"/>
          <w:lang w:val="en-AU"/>
        </w:rPr>
        <w:t xml:space="preserve">For that reason, decisions made now about AIPJ2’s direction for the remainder of the phase have the potential to lay foundations for Australian assistance </w:t>
      </w:r>
      <w:r w:rsidR="00354090" w:rsidRPr="00CE4351">
        <w:rPr>
          <w:rFonts w:ascii="Calibri Light" w:hAnsi="Calibri Light" w:cs="Calibri Light"/>
          <w:color w:val="000000" w:themeColor="text1"/>
          <w:sz w:val="22"/>
          <w:szCs w:val="22"/>
          <w:lang w:val="en-AU"/>
        </w:rPr>
        <w:t xml:space="preserve">well </w:t>
      </w:r>
      <w:r w:rsidR="00B94DCC" w:rsidRPr="00CE4351">
        <w:rPr>
          <w:rFonts w:ascii="Calibri Light" w:hAnsi="Calibri Light" w:cs="Calibri Light"/>
          <w:color w:val="000000" w:themeColor="text1"/>
          <w:sz w:val="22"/>
          <w:szCs w:val="22"/>
          <w:lang w:val="en-AU"/>
        </w:rPr>
        <w:t xml:space="preserve">beyond 2022. </w:t>
      </w:r>
    </w:p>
    <w:p w14:paraId="258BD10D" w14:textId="174B8FE7" w:rsidR="00354090" w:rsidRPr="00FD116C" w:rsidRDefault="00FD116C" w:rsidP="006B32D6">
      <w:pPr>
        <w:pStyle w:val="ListParagraph"/>
        <w:numPr>
          <w:ilvl w:val="2"/>
          <w:numId w:val="3"/>
        </w:numPr>
        <w:tabs>
          <w:tab w:val="left" w:pos="567"/>
          <w:tab w:val="left" w:pos="3969"/>
        </w:tabs>
        <w:spacing w:line="274" w:lineRule="auto"/>
        <w:contextualSpacing w:val="0"/>
        <w:rPr>
          <w:rFonts w:ascii="Franklin Gothic Book" w:hAnsi="Franklin Gothic Book"/>
          <w:i/>
          <w:iCs/>
          <w:color w:val="000000"/>
          <w:sz w:val="21"/>
          <w:szCs w:val="21"/>
          <w:lang w:val="en-AU"/>
        </w:rPr>
      </w:pPr>
      <w:r w:rsidRPr="00FD116C">
        <w:rPr>
          <w:rFonts w:ascii="Calibri Light" w:hAnsi="Calibri Light" w:cs="Calibri Light"/>
          <w:color w:val="000000" w:themeColor="text1"/>
          <w:sz w:val="22"/>
          <w:szCs w:val="22"/>
        </w:rPr>
        <w:t xml:space="preserve">AIPJ2 is a largely effective investment operating in a sensitive and challenging sphere of public policy in </w:t>
      </w:r>
      <w:r w:rsidRPr="0045197C">
        <w:rPr>
          <w:rFonts w:ascii="Calibri Light" w:hAnsi="Calibri Light" w:cs="Calibri Light"/>
          <w:color w:val="000000" w:themeColor="text1"/>
          <w:sz w:val="22"/>
          <w:szCs w:val="22"/>
          <w:lang w:val="en-AU"/>
        </w:rPr>
        <w:t>Indonesia</w:t>
      </w:r>
      <w:r w:rsidRPr="00FD116C">
        <w:rPr>
          <w:rFonts w:ascii="Calibri Light" w:hAnsi="Calibri Light" w:cs="Calibri Light"/>
          <w:color w:val="000000" w:themeColor="text1"/>
          <w:sz w:val="22"/>
          <w:szCs w:val="22"/>
        </w:rPr>
        <w:t>. The review team does not advocate a significant change in direction. Rather, the discussion here is about rebalancing the emphasis or priority given to some components, given the challenges of achieving results, where value currently appears to be derived and likely emerging priorities.</w:t>
      </w:r>
      <w:r w:rsidR="002E7077" w:rsidRPr="00FD116C">
        <w:rPr>
          <w:rFonts w:ascii="Franklin Gothic Book" w:hAnsi="Franklin Gothic Book"/>
          <w:i/>
          <w:iCs/>
          <w:color w:val="000000"/>
          <w:sz w:val="21"/>
          <w:szCs w:val="21"/>
          <w:lang w:val="en-AU"/>
        </w:rPr>
        <w:t xml:space="preserve"> </w:t>
      </w:r>
    </w:p>
    <w:p w14:paraId="4F6404BD" w14:textId="50797A35" w:rsidR="00004061" w:rsidRPr="00FD116C" w:rsidRDefault="003B209E"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FD116C">
        <w:rPr>
          <w:rFonts w:asciiTheme="majorHAnsi" w:hAnsiTheme="majorHAnsi" w:cstheme="majorHAnsi"/>
          <w:b/>
          <w:bCs/>
          <w:color w:val="000000" w:themeColor="text1"/>
          <w:sz w:val="26"/>
          <w:szCs w:val="26"/>
          <w:lang w:val="en-AU"/>
        </w:rPr>
        <w:t>Is AIPJ2 r</w:t>
      </w:r>
      <w:r w:rsidR="002E7077" w:rsidRPr="00FD116C">
        <w:rPr>
          <w:rFonts w:asciiTheme="majorHAnsi" w:hAnsiTheme="majorHAnsi" w:cstheme="majorHAnsi"/>
          <w:b/>
          <w:bCs/>
          <w:color w:val="000000" w:themeColor="text1"/>
          <w:sz w:val="26"/>
          <w:szCs w:val="26"/>
          <w:lang w:val="en-AU"/>
        </w:rPr>
        <w:t>elevan</w:t>
      </w:r>
      <w:r w:rsidRPr="00FD116C">
        <w:rPr>
          <w:rFonts w:asciiTheme="majorHAnsi" w:hAnsiTheme="majorHAnsi" w:cstheme="majorHAnsi"/>
          <w:b/>
          <w:bCs/>
          <w:color w:val="000000" w:themeColor="text1"/>
          <w:sz w:val="26"/>
          <w:szCs w:val="26"/>
          <w:lang w:val="en-AU"/>
        </w:rPr>
        <w:t>t</w:t>
      </w:r>
      <w:r w:rsidR="002E7077" w:rsidRPr="00FD116C">
        <w:rPr>
          <w:rFonts w:asciiTheme="majorHAnsi" w:hAnsiTheme="majorHAnsi" w:cstheme="majorHAnsi"/>
          <w:b/>
          <w:bCs/>
          <w:color w:val="000000" w:themeColor="text1"/>
          <w:sz w:val="26"/>
          <w:szCs w:val="26"/>
          <w:lang w:val="en-AU"/>
        </w:rPr>
        <w:t xml:space="preserve"> to </w:t>
      </w:r>
      <w:r w:rsidRPr="00FD116C">
        <w:rPr>
          <w:rFonts w:asciiTheme="majorHAnsi" w:hAnsiTheme="majorHAnsi" w:cstheme="majorHAnsi"/>
          <w:b/>
          <w:bCs/>
          <w:color w:val="000000" w:themeColor="text1"/>
          <w:sz w:val="26"/>
          <w:szCs w:val="26"/>
          <w:lang w:val="en-AU"/>
        </w:rPr>
        <w:t>new</w:t>
      </w:r>
      <w:r w:rsidR="00004061" w:rsidRPr="00FD116C">
        <w:rPr>
          <w:rFonts w:asciiTheme="majorHAnsi" w:hAnsiTheme="majorHAnsi" w:cstheme="majorHAnsi"/>
          <w:b/>
          <w:bCs/>
          <w:color w:val="000000" w:themeColor="text1"/>
          <w:sz w:val="26"/>
          <w:szCs w:val="26"/>
          <w:lang w:val="en-AU"/>
        </w:rPr>
        <w:t xml:space="preserve"> policy priorities</w:t>
      </w:r>
      <w:r w:rsidRPr="00FD116C">
        <w:rPr>
          <w:rFonts w:asciiTheme="majorHAnsi" w:hAnsiTheme="majorHAnsi" w:cstheme="majorHAnsi"/>
          <w:b/>
          <w:bCs/>
          <w:color w:val="000000" w:themeColor="text1"/>
          <w:sz w:val="26"/>
          <w:szCs w:val="26"/>
          <w:lang w:val="en-AU"/>
        </w:rPr>
        <w:t>?</w:t>
      </w:r>
      <w:r w:rsidR="00004061" w:rsidRPr="00FD116C">
        <w:rPr>
          <w:rFonts w:asciiTheme="majorHAnsi" w:hAnsiTheme="majorHAnsi" w:cstheme="majorHAnsi"/>
          <w:b/>
          <w:bCs/>
          <w:color w:val="000000" w:themeColor="text1"/>
          <w:sz w:val="26"/>
          <w:szCs w:val="26"/>
          <w:lang w:val="en-AU"/>
        </w:rPr>
        <w:t xml:space="preserve"> </w:t>
      </w:r>
    </w:p>
    <w:p w14:paraId="4B169EA0" w14:textId="1DDCD3EB" w:rsidR="00004061" w:rsidRPr="00B20787" w:rsidRDefault="00004061"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lang w:val="en-AU"/>
        </w:rPr>
      </w:pPr>
      <w:r w:rsidRPr="00FD116C">
        <w:rPr>
          <w:rFonts w:ascii="Calibri Light" w:hAnsi="Calibri Light" w:cs="Calibri Light"/>
          <w:noProof/>
          <w:color w:val="000000" w:themeColor="text1"/>
          <w:sz w:val="22"/>
          <w:szCs w:val="22"/>
          <w:lang w:val="en-AU" w:eastAsia="en-AU"/>
        </w:rPr>
        <mc:AlternateContent>
          <mc:Choice Requires="wps">
            <w:drawing>
              <wp:anchor distT="0" distB="0" distL="114300" distR="114300" simplePos="0" relativeHeight="251665408" behindDoc="0" locked="0" layoutInCell="1" allowOverlap="1" wp14:anchorId="4FA46C7D" wp14:editId="5878C4D3">
                <wp:simplePos x="0" y="0"/>
                <wp:positionH relativeFrom="column">
                  <wp:posOffset>71120</wp:posOffset>
                </wp:positionH>
                <wp:positionV relativeFrom="paragraph">
                  <wp:posOffset>845820</wp:posOffset>
                </wp:positionV>
                <wp:extent cx="5835650" cy="2154555"/>
                <wp:effectExtent l="0" t="0" r="19050" b="17145"/>
                <wp:wrapSquare wrapText="bothSides"/>
                <wp:docPr id="9" name="Text Box 9"/>
                <wp:cNvGraphicFramePr/>
                <a:graphic xmlns:a="http://schemas.openxmlformats.org/drawingml/2006/main">
                  <a:graphicData uri="http://schemas.microsoft.com/office/word/2010/wordprocessingShape">
                    <wps:wsp>
                      <wps:cNvSpPr txBox="1"/>
                      <wps:spPr>
                        <a:xfrm>
                          <a:off x="0" y="0"/>
                          <a:ext cx="5835650" cy="2154555"/>
                        </a:xfrm>
                        <a:prstGeom prst="rect">
                          <a:avLst/>
                        </a:prstGeom>
                        <a:solidFill>
                          <a:schemeClr val="bg2"/>
                        </a:solidFill>
                        <a:ln w="6350">
                          <a:solidFill>
                            <a:prstClr val="black"/>
                          </a:solidFill>
                        </a:ln>
                      </wps:spPr>
                      <wps:txbx>
                        <w:txbxContent>
                          <w:p w14:paraId="2AE29C64" w14:textId="6B5AB811" w:rsidR="00172B2A" w:rsidRDefault="00172B2A" w:rsidP="00004061">
                            <w:pPr>
                              <w:rPr>
                                <w:rFonts w:ascii="Calibri Light" w:hAnsi="Calibri Light" w:cs="Calibri Light"/>
                                <w:b/>
                                <w:bCs/>
                                <w:sz w:val="21"/>
                                <w:szCs w:val="21"/>
                              </w:rPr>
                            </w:pPr>
                            <w:r w:rsidRPr="00700600">
                              <w:rPr>
                                <w:rFonts w:ascii="Calibri Light" w:hAnsi="Calibri Light" w:cs="Calibri Light"/>
                                <w:b/>
                                <w:bCs/>
                                <w:sz w:val="21"/>
                                <w:szCs w:val="21"/>
                              </w:rPr>
                              <w:t xml:space="preserve">Box </w:t>
                            </w:r>
                            <w:r>
                              <w:rPr>
                                <w:rFonts w:ascii="Calibri Light" w:hAnsi="Calibri Light" w:cs="Calibri Light"/>
                                <w:b/>
                                <w:bCs/>
                                <w:sz w:val="21"/>
                                <w:szCs w:val="21"/>
                              </w:rPr>
                              <w:t>7</w:t>
                            </w:r>
                            <w:r w:rsidRPr="00700600">
                              <w:rPr>
                                <w:rFonts w:ascii="Calibri Light" w:hAnsi="Calibri Light" w:cs="Calibri Light"/>
                                <w:b/>
                                <w:bCs/>
                                <w:sz w:val="21"/>
                                <w:szCs w:val="21"/>
                              </w:rPr>
                              <w:t xml:space="preserve">: </w:t>
                            </w:r>
                            <w:r>
                              <w:rPr>
                                <w:rFonts w:ascii="Calibri Light" w:hAnsi="Calibri Light" w:cs="Calibri Light"/>
                                <w:b/>
                                <w:bCs/>
                                <w:sz w:val="21"/>
                                <w:szCs w:val="21"/>
                              </w:rPr>
                              <w:t>Expected</w:t>
                            </w:r>
                            <w:r w:rsidRPr="00700600">
                              <w:rPr>
                                <w:rFonts w:ascii="Calibri Light" w:hAnsi="Calibri Light" w:cs="Calibri Light"/>
                                <w:b/>
                                <w:bCs/>
                                <w:sz w:val="21"/>
                                <w:szCs w:val="21"/>
                              </w:rPr>
                              <w:t xml:space="preserve"> Indonesian and Australian government priorities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46"/>
                            </w:tblGrid>
                            <w:tr w:rsidR="00172B2A" w14:paraId="09FCBC24" w14:textId="77777777" w:rsidTr="002B58AE">
                              <w:tc>
                                <w:tcPr>
                                  <w:tcW w:w="4536" w:type="dxa"/>
                                </w:tcPr>
                                <w:p w14:paraId="52968490" w14:textId="51EB87A3" w:rsidR="00172B2A" w:rsidRPr="002B58AE" w:rsidRDefault="00172B2A">
                                  <w:pPr>
                                    <w:rPr>
                                      <w:rFonts w:ascii="Calibri Light" w:hAnsi="Calibri Light" w:cs="Calibri Light"/>
                                      <w:b/>
                                      <w:bCs/>
                                      <w:sz w:val="18"/>
                                      <w:szCs w:val="18"/>
                                    </w:rPr>
                                  </w:pPr>
                                  <w:r w:rsidRPr="002B58AE">
                                    <w:rPr>
                                      <w:rFonts w:ascii="Calibri Light" w:hAnsi="Calibri Light" w:cs="Calibri Light"/>
                                      <w:b/>
                                      <w:bCs/>
                                      <w:sz w:val="18"/>
                                      <w:szCs w:val="18"/>
                                    </w:rPr>
                                    <w:t>Indonesian Government priorities in the justice sector</w:t>
                                  </w:r>
                                </w:p>
                              </w:tc>
                              <w:tc>
                                <w:tcPr>
                                  <w:tcW w:w="3946" w:type="dxa"/>
                                </w:tcPr>
                                <w:p w14:paraId="73687927" w14:textId="663FDCF2" w:rsidR="00172B2A" w:rsidRPr="002B58AE" w:rsidRDefault="00172B2A">
                                  <w:pPr>
                                    <w:rPr>
                                      <w:rFonts w:ascii="Calibri Light" w:hAnsi="Calibri Light" w:cs="Calibri Light"/>
                                      <w:b/>
                                      <w:bCs/>
                                      <w:sz w:val="18"/>
                                      <w:szCs w:val="18"/>
                                    </w:rPr>
                                  </w:pPr>
                                  <w:r w:rsidRPr="002B58AE">
                                    <w:rPr>
                                      <w:rFonts w:ascii="Calibri Light" w:hAnsi="Calibri Light" w:cs="Calibri Light"/>
                                      <w:b/>
                                      <w:bCs/>
                                      <w:sz w:val="18"/>
                                      <w:szCs w:val="18"/>
                                    </w:rPr>
                                    <w:t>Australian Government priorities in Indonesia</w:t>
                                  </w:r>
                                </w:p>
                              </w:tc>
                            </w:tr>
                            <w:tr w:rsidR="00172B2A" w14:paraId="3992D1B6" w14:textId="77777777" w:rsidTr="002B58AE">
                              <w:tc>
                                <w:tcPr>
                                  <w:tcW w:w="4536" w:type="dxa"/>
                                </w:tcPr>
                                <w:p w14:paraId="3FCA6501" w14:textId="77777777" w:rsidR="00172B2A" w:rsidRPr="002B58AE" w:rsidRDefault="00172B2A" w:rsidP="00995053">
                                  <w:pPr>
                                    <w:spacing w:before="40" w:after="60"/>
                                    <w:rPr>
                                      <w:rFonts w:ascii="Calibri Light" w:hAnsi="Calibri Light" w:cs="Calibri Light"/>
                                      <w:sz w:val="17"/>
                                      <w:szCs w:val="17"/>
                                    </w:rPr>
                                  </w:pPr>
                                  <w:r w:rsidRPr="002B58AE">
                                    <w:rPr>
                                      <w:rFonts w:ascii="Calibri Light" w:hAnsi="Calibri Light" w:cs="Calibri Light"/>
                                      <w:color w:val="000000" w:themeColor="text1"/>
                                      <w:sz w:val="17"/>
                                      <w:szCs w:val="17"/>
                                    </w:rPr>
                                    <w:t>Corrections reform and tackling overcrowding through inclusion of restorative justice;</w:t>
                                  </w:r>
                                </w:p>
                              </w:tc>
                              <w:tc>
                                <w:tcPr>
                                  <w:tcW w:w="3946" w:type="dxa"/>
                                </w:tcPr>
                                <w:p w14:paraId="5291AC7B" w14:textId="531F959E"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Open and accountable governance based on the rule of law</w:t>
                                  </w:r>
                                  <w:r>
                                    <w:rPr>
                                      <w:rFonts w:ascii="Calibri Light" w:hAnsi="Calibri Light" w:cs="Calibri Light"/>
                                      <w:color w:val="000000" w:themeColor="text1"/>
                                      <w:sz w:val="17"/>
                                      <w:szCs w:val="17"/>
                                    </w:rPr>
                                    <w:t xml:space="preserve"> (and emerging concept of democratic resilience)</w:t>
                                  </w:r>
                                  <w:r w:rsidRPr="002B58AE">
                                    <w:rPr>
                                      <w:rFonts w:ascii="Calibri Light" w:hAnsi="Calibri Light" w:cs="Calibri Light"/>
                                      <w:color w:val="000000" w:themeColor="text1"/>
                                      <w:sz w:val="17"/>
                                      <w:szCs w:val="17"/>
                                    </w:rPr>
                                    <w:t xml:space="preserve"> </w:t>
                                  </w:r>
                                </w:p>
                              </w:tc>
                            </w:tr>
                            <w:tr w:rsidR="00172B2A" w14:paraId="47BC7793" w14:textId="77777777" w:rsidTr="002B58AE">
                              <w:tc>
                                <w:tcPr>
                                  <w:tcW w:w="4536" w:type="dxa"/>
                                </w:tcPr>
                                <w:p w14:paraId="55A8B504" w14:textId="47CF9513"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Efficient and fair operation of the integrated criminal justice system</w:t>
                                  </w:r>
                                </w:p>
                              </w:tc>
                              <w:tc>
                                <w:tcPr>
                                  <w:tcW w:w="3946" w:type="dxa"/>
                                </w:tcPr>
                                <w:p w14:paraId="44353198" w14:textId="602CF52A"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Economic and private sector development</w:t>
                                  </w:r>
                                </w:p>
                              </w:tc>
                            </w:tr>
                            <w:tr w:rsidR="00172B2A" w14:paraId="267CE5E8" w14:textId="77777777" w:rsidTr="002B58AE">
                              <w:tc>
                                <w:tcPr>
                                  <w:tcW w:w="4536" w:type="dxa"/>
                                </w:tcPr>
                                <w:p w14:paraId="50840397" w14:textId="40C7B487"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 xml:space="preserve">Focus on anti-corruption, including judicial corruption; </w:t>
                                  </w:r>
                                </w:p>
                              </w:tc>
                              <w:tc>
                                <w:tcPr>
                                  <w:tcW w:w="3946" w:type="dxa"/>
                                </w:tcPr>
                                <w:p w14:paraId="738A94D7" w14:textId="13199049"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 xml:space="preserve">Combatting serious criminal threats and transnational crime </w:t>
                                  </w:r>
                                </w:p>
                              </w:tc>
                            </w:tr>
                            <w:tr w:rsidR="00172B2A" w14:paraId="0AB73485" w14:textId="77777777" w:rsidTr="002B58AE">
                              <w:tc>
                                <w:tcPr>
                                  <w:tcW w:w="4536" w:type="dxa"/>
                                </w:tcPr>
                                <w:p w14:paraId="208CBB0B" w14:textId="48657270"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Improvement of the civil justice system (including commercial courts);</w:t>
                                  </w:r>
                                </w:p>
                              </w:tc>
                              <w:tc>
                                <w:tcPr>
                                  <w:tcW w:w="3946" w:type="dxa"/>
                                </w:tcPr>
                                <w:p w14:paraId="51F04C98" w14:textId="4856E991"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Building capacity to counter terrorism and violent extremism</w:t>
                                  </w:r>
                                </w:p>
                              </w:tc>
                            </w:tr>
                            <w:tr w:rsidR="00172B2A" w14:paraId="373E48E1" w14:textId="77777777" w:rsidTr="002B58AE">
                              <w:tc>
                                <w:tcPr>
                                  <w:tcW w:w="4536" w:type="dxa"/>
                                </w:tcPr>
                                <w:p w14:paraId="316688DE" w14:textId="7DBBB486"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A focus on human rights</w:t>
                                  </w:r>
                                </w:p>
                              </w:tc>
                              <w:tc>
                                <w:tcPr>
                                  <w:tcW w:w="3946" w:type="dxa"/>
                                </w:tcPr>
                                <w:p w14:paraId="459D691E" w14:textId="1A82FBEB"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Human rights</w:t>
                                  </w:r>
                                  <w:r>
                                    <w:rPr>
                                      <w:rFonts w:ascii="Calibri Light" w:hAnsi="Calibri Light" w:cs="Calibri Light"/>
                                      <w:color w:val="000000" w:themeColor="text1"/>
                                      <w:sz w:val="17"/>
                                      <w:szCs w:val="17"/>
                                    </w:rPr>
                                    <w:t>, g</w:t>
                                  </w:r>
                                  <w:r w:rsidRPr="002B58AE">
                                    <w:rPr>
                                      <w:rFonts w:ascii="Calibri Light" w:hAnsi="Calibri Light" w:cs="Calibri Light"/>
                                      <w:color w:val="000000" w:themeColor="text1"/>
                                      <w:sz w:val="17"/>
                                      <w:szCs w:val="17"/>
                                    </w:rPr>
                                    <w:t>ender equality and social inclusion</w:t>
                                  </w:r>
                                </w:p>
                                <w:p w14:paraId="42D66DC7" w14:textId="505BFC10"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Democratic resilience</w:t>
                                  </w:r>
                                </w:p>
                              </w:tc>
                            </w:tr>
                          </w:tbl>
                          <w:p w14:paraId="78A85DD9" w14:textId="77777777" w:rsidR="00172B2A" w:rsidRPr="00700600" w:rsidRDefault="00172B2A" w:rsidP="002B58AE">
                            <w:pPr>
                              <w:rPr>
                                <w:rFonts w:ascii="Calibri Light" w:hAnsi="Calibri Light" w:cs="Calibri Light"/>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46C7D" id="_x0000_t202" coordsize="21600,21600" o:spt="202" path="m,l,21600r21600,l21600,xe">
                <v:stroke joinstyle="miter"/>
                <v:path gradientshapeok="t" o:connecttype="rect"/>
              </v:shapetype>
              <v:shape id="Text Box 9" o:spid="_x0000_s1035" type="#_x0000_t202" style="position:absolute;left:0;text-align:left;margin-left:5.6pt;margin-top:66.6pt;width:459.5pt;height:16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" fillcolor="#e7e6e6 [3214]" strokeweight=".5pt">
                <v:textbox>
                  <w:txbxContent>
                    <w:p w14:paraId="2AE29C64" w14:textId="6B5AB811" w:rsidR="00172B2A" w:rsidRDefault="00172B2A" w:rsidP="00004061">
                      <w:pPr>
                        <w:rPr>
                          <w:rFonts w:ascii="Calibri Light" w:hAnsi="Calibri Light" w:cs="Calibri Light"/>
                          <w:b/>
                          <w:bCs/>
                          <w:sz w:val="21"/>
                          <w:szCs w:val="21"/>
                        </w:rPr>
                      </w:pPr>
                      <w:r w:rsidRPr="00700600">
                        <w:rPr>
                          <w:rFonts w:ascii="Calibri Light" w:hAnsi="Calibri Light" w:cs="Calibri Light"/>
                          <w:b/>
                          <w:bCs/>
                          <w:sz w:val="21"/>
                          <w:szCs w:val="21"/>
                        </w:rPr>
                        <w:t xml:space="preserve">Box </w:t>
                      </w:r>
                      <w:r>
                        <w:rPr>
                          <w:rFonts w:ascii="Calibri Light" w:hAnsi="Calibri Light" w:cs="Calibri Light"/>
                          <w:b/>
                          <w:bCs/>
                          <w:sz w:val="21"/>
                          <w:szCs w:val="21"/>
                        </w:rPr>
                        <w:t>7</w:t>
                      </w:r>
                      <w:r w:rsidRPr="00700600">
                        <w:rPr>
                          <w:rFonts w:ascii="Calibri Light" w:hAnsi="Calibri Light" w:cs="Calibri Light"/>
                          <w:b/>
                          <w:bCs/>
                          <w:sz w:val="21"/>
                          <w:szCs w:val="21"/>
                        </w:rPr>
                        <w:t xml:space="preserve">: </w:t>
                      </w:r>
                      <w:r>
                        <w:rPr>
                          <w:rFonts w:ascii="Calibri Light" w:hAnsi="Calibri Light" w:cs="Calibri Light"/>
                          <w:b/>
                          <w:bCs/>
                          <w:sz w:val="21"/>
                          <w:szCs w:val="21"/>
                        </w:rPr>
                        <w:t>Expected</w:t>
                      </w:r>
                      <w:r w:rsidRPr="00700600">
                        <w:rPr>
                          <w:rFonts w:ascii="Calibri Light" w:hAnsi="Calibri Light" w:cs="Calibri Light"/>
                          <w:b/>
                          <w:bCs/>
                          <w:sz w:val="21"/>
                          <w:szCs w:val="21"/>
                        </w:rPr>
                        <w:t xml:space="preserve"> Indonesian and Australian government priorities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46"/>
                      </w:tblGrid>
                      <w:tr w:rsidR="00172B2A" w14:paraId="09FCBC24" w14:textId="77777777" w:rsidTr="002B58AE">
                        <w:tc>
                          <w:tcPr>
                            <w:tcW w:w="4536" w:type="dxa"/>
                          </w:tcPr>
                          <w:p w14:paraId="52968490" w14:textId="51EB87A3" w:rsidR="00172B2A" w:rsidRPr="002B58AE" w:rsidRDefault="00172B2A">
                            <w:pPr>
                              <w:rPr>
                                <w:rFonts w:ascii="Calibri Light" w:hAnsi="Calibri Light" w:cs="Calibri Light"/>
                                <w:b/>
                                <w:bCs/>
                                <w:sz w:val="18"/>
                                <w:szCs w:val="18"/>
                              </w:rPr>
                            </w:pPr>
                            <w:r w:rsidRPr="002B58AE">
                              <w:rPr>
                                <w:rFonts w:ascii="Calibri Light" w:hAnsi="Calibri Light" w:cs="Calibri Light"/>
                                <w:b/>
                                <w:bCs/>
                                <w:sz w:val="18"/>
                                <w:szCs w:val="18"/>
                              </w:rPr>
                              <w:t>Indonesian Government priorities in the justice sector</w:t>
                            </w:r>
                          </w:p>
                        </w:tc>
                        <w:tc>
                          <w:tcPr>
                            <w:tcW w:w="3946" w:type="dxa"/>
                          </w:tcPr>
                          <w:p w14:paraId="73687927" w14:textId="663FDCF2" w:rsidR="00172B2A" w:rsidRPr="002B58AE" w:rsidRDefault="00172B2A">
                            <w:pPr>
                              <w:rPr>
                                <w:rFonts w:ascii="Calibri Light" w:hAnsi="Calibri Light" w:cs="Calibri Light"/>
                                <w:b/>
                                <w:bCs/>
                                <w:sz w:val="18"/>
                                <w:szCs w:val="18"/>
                              </w:rPr>
                            </w:pPr>
                            <w:r w:rsidRPr="002B58AE">
                              <w:rPr>
                                <w:rFonts w:ascii="Calibri Light" w:hAnsi="Calibri Light" w:cs="Calibri Light"/>
                                <w:b/>
                                <w:bCs/>
                                <w:sz w:val="18"/>
                                <w:szCs w:val="18"/>
                              </w:rPr>
                              <w:t>Australian Government priorities in Indonesia</w:t>
                            </w:r>
                          </w:p>
                        </w:tc>
                      </w:tr>
                      <w:tr w:rsidR="00172B2A" w14:paraId="3992D1B6" w14:textId="77777777" w:rsidTr="002B58AE">
                        <w:tc>
                          <w:tcPr>
                            <w:tcW w:w="4536" w:type="dxa"/>
                          </w:tcPr>
                          <w:p w14:paraId="3FCA6501" w14:textId="77777777" w:rsidR="00172B2A" w:rsidRPr="002B58AE" w:rsidRDefault="00172B2A" w:rsidP="00995053">
                            <w:pPr>
                              <w:spacing w:before="40" w:after="60"/>
                              <w:rPr>
                                <w:rFonts w:ascii="Calibri Light" w:hAnsi="Calibri Light" w:cs="Calibri Light"/>
                                <w:sz w:val="17"/>
                                <w:szCs w:val="17"/>
                              </w:rPr>
                            </w:pPr>
                            <w:r w:rsidRPr="002B58AE">
                              <w:rPr>
                                <w:rFonts w:ascii="Calibri Light" w:hAnsi="Calibri Light" w:cs="Calibri Light"/>
                                <w:color w:val="000000" w:themeColor="text1"/>
                                <w:sz w:val="17"/>
                                <w:szCs w:val="17"/>
                              </w:rPr>
                              <w:t>Corrections reform and tackling overcrowding through inclusion of restorative justice;</w:t>
                            </w:r>
                          </w:p>
                        </w:tc>
                        <w:tc>
                          <w:tcPr>
                            <w:tcW w:w="3946" w:type="dxa"/>
                          </w:tcPr>
                          <w:p w14:paraId="5291AC7B" w14:textId="531F959E"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Open and accountable governance based on the rule of law</w:t>
                            </w:r>
                            <w:r>
                              <w:rPr>
                                <w:rFonts w:ascii="Calibri Light" w:hAnsi="Calibri Light" w:cs="Calibri Light"/>
                                <w:color w:val="000000" w:themeColor="text1"/>
                                <w:sz w:val="17"/>
                                <w:szCs w:val="17"/>
                              </w:rPr>
                              <w:t xml:space="preserve"> (and emerging concept of democratic resilience)</w:t>
                            </w:r>
                            <w:r w:rsidRPr="002B58AE">
                              <w:rPr>
                                <w:rFonts w:ascii="Calibri Light" w:hAnsi="Calibri Light" w:cs="Calibri Light"/>
                                <w:color w:val="000000" w:themeColor="text1"/>
                                <w:sz w:val="17"/>
                                <w:szCs w:val="17"/>
                              </w:rPr>
                              <w:t xml:space="preserve"> </w:t>
                            </w:r>
                          </w:p>
                        </w:tc>
                      </w:tr>
                      <w:tr w:rsidR="00172B2A" w14:paraId="47BC7793" w14:textId="77777777" w:rsidTr="002B58AE">
                        <w:tc>
                          <w:tcPr>
                            <w:tcW w:w="4536" w:type="dxa"/>
                          </w:tcPr>
                          <w:p w14:paraId="55A8B504" w14:textId="47CF9513"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Efficient and fair operation of the integrated criminal justice system</w:t>
                            </w:r>
                          </w:p>
                        </w:tc>
                        <w:tc>
                          <w:tcPr>
                            <w:tcW w:w="3946" w:type="dxa"/>
                          </w:tcPr>
                          <w:p w14:paraId="44353198" w14:textId="602CF52A" w:rsidR="00172B2A" w:rsidRPr="002B58AE" w:rsidRDefault="00172B2A" w:rsidP="00995053">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Economic and private sector development</w:t>
                            </w:r>
                          </w:p>
                        </w:tc>
                      </w:tr>
                      <w:tr w:rsidR="00172B2A" w14:paraId="267CE5E8" w14:textId="77777777" w:rsidTr="002B58AE">
                        <w:tc>
                          <w:tcPr>
                            <w:tcW w:w="4536" w:type="dxa"/>
                          </w:tcPr>
                          <w:p w14:paraId="50840397" w14:textId="40C7B487"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 xml:space="preserve">Focus on anti-corruption, including judicial corruption; </w:t>
                            </w:r>
                          </w:p>
                        </w:tc>
                        <w:tc>
                          <w:tcPr>
                            <w:tcW w:w="3946" w:type="dxa"/>
                          </w:tcPr>
                          <w:p w14:paraId="738A94D7" w14:textId="13199049"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 xml:space="preserve">Combatting serious criminal threats and transnational crime </w:t>
                            </w:r>
                          </w:p>
                        </w:tc>
                      </w:tr>
                      <w:tr w:rsidR="00172B2A" w14:paraId="0AB73485" w14:textId="77777777" w:rsidTr="002B58AE">
                        <w:tc>
                          <w:tcPr>
                            <w:tcW w:w="4536" w:type="dxa"/>
                          </w:tcPr>
                          <w:p w14:paraId="208CBB0B" w14:textId="48657270"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Improvement of the civil justice system (including commercial courts);</w:t>
                            </w:r>
                          </w:p>
                        </w:tc>
                        <w:tc>
                          <w:tcPr>
                            <w:tcW w:w="3946" w:type="dxa"/>
                          </w:tcPr>
                          <w:p w14:paraId="51F04C98" w14:textId="4856E991"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Building capacity to counter terrorism and violent extremism</w:t>
                            </w:r>
                          </w:p>
                        </w:tc>
                      </w:tr>
                      <w:tr w:rsidR="00172B2A" w14:paraId="373E48E1" w14:textId="77777777" w:rsidTr="002B58AE">
                        <w:tc>
                          <w:tcPr>
                            <w:tcW w:w="4536" w:type="dxa"/>
                          </w:tcPr>
                          <w:p w14:paraId="316688DE" w14:textId="7DBBB486" w:rsidR="00172B2A" w:rsidRPr="002B58AE" w:rsidRDefault="00172B2A" w:rsidP="002B58AE">
                            <w:pPr>
                              <w:tabs>
                                <w:tab w:val="left" w:pos="709"/>
                              </w:tabs>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A focus on human rights</w:t>
                            </w:r>
                          </w:p>
                        </w:tc>
                        <w:tc>
                          <w:tcPr>
                            <w:tcW w:w="3946" w:type="dxa"/>
                          </w:tcPr>
                          <w:p w14:paraId="459D691E" w14:textId="1A82FBEB"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Human rights</w:t>
                            </w:r>
                            <w:r>
                              <w:rPr>
                                <w:rFonts w:ascii="Calibri Light" w:hAnsi="Calibri Light" w:cs="Calibri Light"/>
                                <w:color w:val="000000" w:themeColor="text1"/>
                                <w:sz w:val="17"/>
                                <w:szCs w:val="17"/>
                              </w:rPr>
                              <w:t>, g</w:t>
                            </w:r>
                            <w:r w:rsidRPr="002B58AE">
                              <w:rPr>
                                <w:rFonts w:ascii="Calibri Light" w:hAnsi="Calibri Light" w:cs="Calibri Light"/>
                                <w:color w:val="000000" w:themeColor="text1"/>
                                <w:sz w:val="17"/>
                                <w:szCs w:val="17"/>
                              </w:rPr>
                              <w:t>ender equality and social inclusion</w:t>
                            </w:r>
                          </w:p>
                          <w:p w14:paraId="42D66DC7" w14:textId="505BFC10" w:rsidR="00172B2A" w:rsidRPr="002B58AE" w:rsidRDefault="00172B2A" w:rsidP="002B58AE">
                            <w:pPr>
                              <w:spacing w:before="40" w:after="60"/>
                              <w:rPr>
                                <w:rFonts w:ascii="Calibri Light" w:hAnsi="Calibri Light" w:cs="Calibri Light"/>
                                <w:color w:val="000000" w:themeColor="text1"/>
                                <w:sz w:val="17"/>
                                <w:szCs w:val="17"/>
                              </w:rPr>
                            </w:pPr>
                            <w:r w:rsidRPr="002B58AE">
                              <w:rPr>
                                <w:rFonts w:ascii="Calibri Light" w:hAnsi="Calibri Light" w:cs="Calibri Light"/>
                                <w:color w:val="000000" w:themeColor="text1"/>
                                <w:sz w:val="17"/>
                                <w:szCs w:val="17"/>
                              </w:rPr>
                              <w:t>Democratic resilience</w:t>
                            </w:r>
                          </w:p>
                        </w:tc>
                      </w:tr>
                    </w:tbl>
                    <w:p w14:paraId="78A85DD9" w14:textId="77777777" w:rsidR="00172B2A" w:rsidRPr="00700600" w:rsidRDefault="00172B2A" w:rsidP="002B58AE">
                      <w:pPr>
                        <w:rPr>
                          <w:rFonts w:ascii="Calibri Light" w:hAnsi="Calibri Light" w:cs="Calibri Light"/>
                          <w:b/>
                          <w:bCs/>
                          <w:sz w:val="21"/>
                          <w:szCs w:val="21"/>
                        </w:rPr>
                      </w:pPr>
                    </w:p>
                  </w:txbxContent>
                </v:textbox>
                <w10:wrap type="square"/>
              </v:shape>
            </w:pict>
          </mc:Fallback>
        </mc:AlternateContent>
      </w:r>
      <w:r w:rsidR="00FD116C">
        <w:rPr>
          <w:rFonts w:ascii="Calibri Light" w:hAnsi="Calibri Light" w:cs="Calibri Light"/>
          <w:color w:val="000000" w:themeColor="text1"/>
          <w:sz w:val="22"/>
          <w:szCs w:val="22"/>
          <w:lang w:val="en-AU"/>
        </w:rPr>
        <w:t xml:space="preserve">Following recent national elections in both Australia and Indonesia, the current governments will likely </w:t>
      </w:r>
      <w:r w:rsidR="00AB343F">
        <w:rPr>
          <w:rFonts w:ascii="Calibri Light" w:hAnsi="Calibri Light" w:cs="Calibri Light"/>
          <w:color w:val="000000" w:themeColor="text1"/>
          <w:sz w:val="22"/>
          <w:szCs w:val="22"/>
          <w:lang w:val="en-AU"/>
        </w:rPr>
        <w:t xml:space="preserve">be </w:t>
      </w:r>
      <w:r w:rsidR="00FD116C">
        <w:rPr>
          <w:rFonts w:ascii="Calibri Light" w:hAnsi="Calibri Light" w:cs="Calibri Light"/>
          <w:color w:val="000000" w:themeColor="text1"/>
          <w:sz w:val="22"/>
          <w:szCs w:val="22"/>
          <w:lang w:val="en-AU"/>
        </w:rPr>
        <w:t xml:space="preserve">in power </w:t>
      </w:r>
      <w:r w:rsidRPr="00FD116C">
        <w:rPr>
          <w:rFonts w:ascii="Calibri Light" w:hAnsi="Calibri Light" w:cs="Calibri Light"/>
          <w:color w:val="000000" w:themeColor="text1"/>
          <w:sz w:val="22"/>
          <w:szCs w:val="22"/>
          <w:lang w:val="en-AU"/>
        </w:rPr>
        <w:t xml:space="preserve">for the </w:t>
      </w:r>
      <w:r w:rsidR="002B58AE" w:rsidRPr="00FD116C">
        <w:rPr>
          <w:rFonts w:ascii="Calibri Light" w:hAnsi="Calibri Light" w:cs="Calibri Light"/>
          <w:color w:val="000000" w:themeColor="text1"/>
          <w:sz w:val="22"/>
          <w:szCs w:val="22"/>
          <w:lang w:val="en-AU"/>
        </w:rPr>
        <w:t xml:space="preserve">remainder </w:t>
      </w:r>
      <w:r w:rsidRPr="00FD116C">
        <w:rPr>
          <w:rFonts w:ascii="Calibri Light" w:hAnsi="Calibri Light" w:cs="Calibri Light"/>
          <w:color w:val="000000" w:themeColor="text1"/>
          <w:sz w:val="22"/>
          <w:szCs w:val="22"/>
          <w:lang w:val="en-AU"/>
        </w:rPr>
        <w:t xml:space="preserve">of </w:t>
      </w:r>
      <w:r w:rsidR="00AB343F">
        <w:rPr>
          <w:rFonts w:ascii="Calibri Light" w:hAnsi="Calibri Light" w:cs="Calibri Light"/>
          <w:color w:val="000000" w:themeColor="text1"/>
          <w:sz w:val="22"/>
          <w:szCs w:val="22"/>
          <w:lang w:val="en-AU"/>
        </w:rPr>
        <w:t>AIPJ2’s</w:t>
      </w:r>
      <w:r w:rsidR="00AB343F" w:rsidRPr="00FD116C">
        <w:rPr>
          <w:rFonts w:ascii="Calibri Light" w:hAnsi="Calibri Light" w:cs="Calibri Light"/>
          <w:color w:val="000000" w:themeColor="text1"/>
          <w:sz w:val="22"/>
          <w:szCs w:val="22"/>
          <w:lang w:val="en-AU"/>
        </w:rPr>
        <w:t xml:space="preserve"> </w:t>
      </w:r>
      <w:r w:rsidR="00FD116C">
        <w:rPr>
          <w:rFonts w:ascii="Calibri Light" w:hAnsi="Calibri Light" w:cs="Calibri Light"/>
          <w:color w:val="000000" w:themeColor="text1"/>
          <w:sz w:val="22"/>
          <w:szCs w:val="22"/>
          <w:lang w:val="en-AU"/>
        </w:rPr>
        <w:t xml:space="preserve">current </w:t>
      </w:r>
      <w:r w:rsidRPr="00FD116C">
        <w:rPr>
          <w:rFonts w:ascii="Calibri Light" w:hAnsi="Calibri Light" w:cs="Calibri Light"/>
          <w:color w:val="000000" w:themeColor="text1"/>
          <w:sz w:val="22"/>
          <w:szCs w:val="22"/>
          <w:lang w:val="en-AU"/>
        </w:rPr>
        <w:t>phase.</w:t>
      </w:r>
      <w:r w:rsidR="008573F5">
        <w:rPr>
          <w:rFonts w:ascii="Calibri Light" w:hAnsi="Calibri Light" w:cs="Calibri Light"/>
          <w:color w:val="000000" w:themeColor="text1"/>
          <w:sz w:val="22"/>
          <w:szCs w:val="22"/>
          <w:lang w:val="en-AU"/>
        </w:rPr>
        <w:t xml:space="preserve"> </w:t>
      </w:r>
      <w:r w:rsidR="00242588" w:rsidRPr="00FD116C">
        <w:rPr>
          <w:rFonts w:ascii="Calibri Light" w:hAnsi="Calibri Light" w:cs="Calibri Light"/>
          <w:color w:val="000000" w:themeColor="text1"/>
          <w:sz w:val="22"/>
          <w:szCs w:val="22"/>
          <w:lang w:val="en-AU"/>
        </w:rPr>
        <w:t>O</w:t>
      </w:r>
      <w:r w:rsidRPr="00FD116C">
        <w:rPr>
          <w:rFonts w:ascii="Calibri Light" w:hAnsi="Calibri Light" w:cs="Calibri Light"/>
          <w:color w:val="000000" w:themeColor="text1"/>
          <w:sz w:val="22"/>
          <w:szCs w:val="22"/>
          <w:lang w:val="en-AU"/>
        </w:rPr>
        <w:t xml:space="preserve">n the basis of information currently </w:t>
      </w:r>
      <w:r w:rsidRPr="00B20787">
        <w:rPr>
          <w:rFonts w:ascii="Calibri Light" w:hAnsi="Calibri Light" w:cs="Calibri Light"/>
          <w:color w:val="000000" w:themeColor="text1"/>
          <w:sz w:val="22"/>
          <w:szCs w:val="22"/>
          <w:lang w:val="en-AU"/>
        </w:rPr>
        <w:t xml:space="preserve">available, it seems AIPJ2 will have little challenge demonstrating its broad relevance to the </w:t>
      </w:r>
      <w:r w:rsidR="00757592">
        <w:rPr>
          <w:rFonts w:ascii="Calibri Light" w:hAnsi="Calibri Light" w:cs="Calibri Light"/>
          <w:color w:val="000000" w:themeColor="text1"/>
          <w:sz w:val="22"/>
          <w:szCs w:val="22"/>
          <w:lang w:val="en-AU"/>
        </w:rPr>
        <w:t>expected</w:t>
      </w:r>
      <w:r w:rsidR="00757592" w:rsidRPr="00B20787">
        <w:rPr>
          <w:rFonts w:ascii="Calibri Light" w:hAnsi="Calibri Light" w:cs="Calibri Light"/>
          <w:color w:val="000000" w:themeColor="text1"/>
          <w:sz w:val="22"/>
          <w:szCs w:val="22"/>
          <w:lang w:val="en-AU"/>
        </w:rPr>
        <w:t xml:space="preserve"> </w:t>
      </w:r>
      <w:r w:rsidRPr="00B20787">
        <w:rPr>
          <w:rFonts w:ascii="Calibri Light" w:hAnsi="Calibri Light" w:cs="Calibri Light"/>
          <w:color w:val="000000" w:themeColor="text1"/>
          <w:sz w:val="22"/>
          <w:szCs w:val="22"/>
          <w:lang w:val="en-AU"/>
        </w:rPr>
        <w:t xml:space="preserve">priorities of both governments (Box </w:t>
      </w:r>
      <w:r w:rsidR="002B58AE" w:rsidRPr="00B20787">
        <w:rPr>
          <w:rFonts w:ascii="Calibri Light" w:hAnsi="Calibri Light" w:cs="Calibri Light"/>
          <w:color w:val="000000" w:themeColor="text1"/>
          <w:sz w:val="22"/>
          <w:szCs w:val="22"/>
          <w:lang w:val="en-AU"/>
        </w:rPr>
        <w:t>7</w:t>
      </w:r>
      <w:r w:rsidRPr="00B20787">
        <w:rPr>
          <w:rFonts w:ascii="Calibri Light" w:hAnsi="Calibri Light" w:cs="Calibri Light"/>
          <w:color w:val="000000" w:themeColor="text1"/>
          <w:sz w:val="22"/>
          <w:szCs w:val="22"/>
          <w:lang w:val="en-AU"/>
        </w:rPr>
        <w:t>).</w:t>
      </w:r>
      <w:r w:rsidR="00A16179">
        <w:rPr>
          <w:rFonts w:ascii="Calibri Light" w:hAnsi="Calibri Light" w:cs="Calibri Light"/>
          <w:color w:val="000000" w:themeColor="text1"/>
          <w:sz w:val="22"/>
          <w:szCs w:val="22"/>
          <w:lang w:val="en-AU"/>
        </w:rPr>
        <w:t xml:space="preserve"> </w:t>
      </w:r>
    </w:p>
    <w:p w14:paraId="3DD04368" w14:textId="77777777" w:rsidR="00004061" w:rsidRPr="00B20787" w:rsidRDefault="00004061" w:rsidP="00004061">
      <w:pPr>
        <w:tabs>
          <w:tab w:val="left" w:pos="567"/>
        </w:tabs>
        <w:spacing w:line="271" w:lineRule="auto"/>
        <w:jc w:val="both"/>
        <w:rPr>
          <w:rFonts w:asciiTheme="majorHAnsi" w:hAnsiTheme="majorHAnsi" w:cstheme="majorHAnsi"/>
          <w:b/>
          <w:bCs/>
          <w:color w:val="000000" w:themeColor="text1"/>
          <w:sz w:val="10"/>
          <w:szCs w:val="10"/>
          <w:lang w:val="en-AU"/>
        </w:rPr>
      </w:pPr>
    </w:p>
    <w:p w14:paraId="1BBD9017" w14:textId="76EAA82A" w:rsidR="00FD116C" w:rsidRPr="00B20787" w:rsidRDefault="00D4012F"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sidRPr="00B20787">
        <w:rPr>
          <w:rFonts w:ascii="Calibri Light" w:hAnsi="Calibri Light" w:cs="Calibri Light"/>
          <w:color w:val="000000" w:themeColor="text1"/>
          <w:sz w:val="22"/>
          <w:szCs w:val="22"/>
          <w:lang w:val="en-AU"/>
        </w:rPr>
        <w:t>While</w:t>
      </w:r>
      <w:r w:rsidRPr="00B20787">
        <w:rPr>
          <w:rFonts w:asciiTheme="majorHAnsi" w:hAnsiTheme="majorHAnsi" w:cstheme="majorHAnsi"/>
          <w:color w:val="000000" w:themeColor="text1"/>
          <w:sz w:val="22"/>
          <w:szCs w:val="22"/>
          <w:lang w:val="en-AU"/>
        </w:rPr>
        <w:t xml:space="preserve"> AIPJ2 is well placed to speak to both Australian and Indonesian priorities, a more demanding test is whether the</w:t>
      </w:r>
      <w:r w:rsidR="005331CC" w:rsidRPr="00B20787">
        <w:rPr>
          <w:rFonts w:asciiTheme="majorHAnsi" w:hAnsiTheme="majorHAnsi" w:cstheme="majorHAnsi"/>
          <w:color w:val="000000" w:themeColor="text1"/>
          <w:sz w:val="22"/>
          <w:szCs w:val="22"/>
          <w:lang w:val="en-AU"/>
        </w:rPr>
        <w:t xml:space="preserve"> Partnership</w:t>
      </w:r>
      <w:r w:rsidRPr="00B20787">
        <w:rPr>
          <w:rFonts w:asciiTheme="majorHAnsi" w:hAnsiTheme="majorHAnsi" w:cstheme="majorHAnsi"/>
          <w:color w:val="000000" w:themeColor="text1"/>
          <w:sz w:val="22"/>
          <w:szCs w:val="22"/>
          <w:lang w:val="en-AU"/>
        </w:rPr>
        <w:t xml:space="preserve"> </w:t>
      </w:r>
      <w:r w:rsidR="00DF1D48" w:rsidRPr="00B20787">
        <w:rPr>
          <w:rFonts w:asciiTheme="majorHAnsi" w:hAnsiTheme="majorHAnsi" w:cstheme="majorHAnsi"/>
          <w:color w:val="000000" w:themeColor="text1"/>
          <w:sz w:val="22"/>
          <w:szCs w:val="22"/>
          <w:lang w:val="en-AU"/>
        </w:rPr>
        <w:t xml:space="preserve">can, given existing </w:t>
      </w:r>
      <w:r w:rsidR="00F9771C" w:rsidRPr="00B20787">
        <w:rPr>
          <w:rFonts w:asciiTheme="majorHAnsi" w:hAnsiTheme="majorHAnsi" w:cstheme="majorHAnsi"/>
          <w:color w:val="000000" w:themeColor="text1"/>
          <w:sz w:val="22"/>
          <w:szCs w:val="22"/>
          <w:lang w:val="en-AU"/>
        </w:rPr>
        <w:t>activities and distribution of resources,</w:t>
      </w:r>
      <w:r w:rsidR="003221BA">
        <w:rPr>
          <w:rFonts w:asciiTheme="majorHAnsi" w:hAnsiTheme="majorHAnsi" w:cstheme="majorHAnsi"/>
          <w:color w:val="000000" w:themeColor="text1"/>
          <w:sz w:val="22"/>
          <w:szCs w:val="22"/>
          <w:lang w:val="en-AU"/>
        </w:rPr>
        <w:t xml:space="preserve"> </w:t>
      </w:r>
      <w:r w:rsidR="00DF1D48" w:rsidRPr="00B20787">
        <w:rPr>
          <w:rFonts w:asciiTheme="majorHAnsi" w:hAnsiTheme="majorHAnsi" w:cstheme="majorHAnsi"/>
          <w:color w:val="000000" w:themeColor="text1"/>
          <w:sz w:val="22"/>
          <w:szCs w:val="22"/>
          <w:lang w:val="en-AU"/>
        </w:rPr>
        <w:t>maximise the value of</w:t>
      </w:r>
      <w:r w:rsidR="00F9771C" w:rsidRPr="00B20787">
        <w:rPr>
          <w:rFonts w:asciiTheme="majorHAnsi" w:hAnsiTheme="majorHAnsi" w:cstheme="majorHAnsi"/>
          <w:color w:val="000000" w:themeColor="text1"/>
          <w:sz w:val="22"/>
          <w:szCs w:val="22"/>
          <w:lang w:val="en-AU"/>
        </w:rPr>
        <w:t xml:space="preserve"> emerging</w:t>
      </w:r>
      <w:r w:rsidR="003221BA">
        <w:rPr>
          <w:rFonts w:asciiTheme="majorHAnsi" w:hAnsiTheme="majorHAnsi" w:cstheme="majorHAnsi"/>
          <w:color w:val="000000" w:themeColor="text1"/>
          <w:sz w:val="22"/>
          <w:szCs w:val="22"/>
          <w:lang w:val="en-AU"/>
        </w:rPr>
        <w:t xml:space="preserve"> </w:t>
      </w:r>
      <w:r w:rsidRPr="00B20787">
        <w:rPr>
          <w:rFonts w:asciiTheme="majorHAnsi" w:hAnsiTheme="majorHAnsi" w:cstheme="majorHAnsi"/>
          <w:color w:val="000000" w:themeColor="text1"/>
          <w:sz w:val="22"/>
          <w:szCs w:val="22"/>
          <w:lang w:val="en-AU"/>
        </w:rPr>
        <w:t>opportunities</w:t>
      </w:r>
      <w:r w:rsidR="00FD116C" w:rsidRPr="00B20787">
        <w:rPr>
          <w:rFonts w:asciiTheme="majorHAnsi" w:hAnsiTheme="majorHAnsi" w:cstheme="majorHAnsi"/>
          <w:color w:val="000000" w:themeColor="text1"/>
          <w:sz w:val="22"/>
          <w:szCs w:val="22"/>
          <w:lang w:val="en-AU"/>
        </w:rPr>
        <w:t xml:space="preserve"> </w:t>
      </w:r>
      <w:r w:rsidR="00FD116C" w:rsidRPr="00B20787">
        <w:rPr>
          <w:rFonts w:asciiTheme="majorHAnsi" w:hAnsiTheme="majorHAnsi" w:cstheme="majorHAnsi"/>
          <w:color w:val="000000" w:themeColor="text1"/>
          <w:sz w:val="22"/>
          <w:szCs w:val="22"/>
        </w:rPr>
        <w:t>and priorities in the justice space.</w:t>
      </w:r>
      <w:r w:rsidR="008573F5">
        <w:rPr>
          <w:rFonts w:asciiTheme="majorHAnsi" w:hAnsiTheme="majorHAnsi" w:cstheme="majorHAnsi"/>
          <w:color w:val="000000" w:themeColor="text1"/>
          <w:sz w:val="22"/>
          <w:szCs w:val="22"/>
          <w:lang w:val="en-AU"/>
        </w:rPr>
        <w:t xml:space="preserve"> </w:t>
      </w:r>
      <w:r w:rsidR="00B20787" w:rsidRPr="00B20787">
        <w:rPr>
          <w:rFonts w:asciiTheme="majorHAnsi" w:hAnsiTheme="majorHAnsi" w:cstheme="majorHAnsi"/>
          <w:color w:val="000000" w:themeColor="text1"/>
          <w:sz w:val="22"/>
          <w:szCs w:val="22"/>
        </w:rPr>
        <w:t>Using those priorities strategically demonstrates that the Partnership thinks and works politically to find ways of best delivering the outcomes it seeks.</w:t>
      </w:r>
    </w:p>
    <w:p w14:paraId="48674E62" w14:textId="7BF28967" w:rsidR="00F9771C" w:rsidRPr="00B20787" w:rsidRDefault="00D4012F"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sidRPr="00B20787">
        <w:rPr>
          <w:rFonts w:asciiTheme="majorHAnsi" w:hAnsiTheme="majorHAnsi" w:cstheme="majorHAnsi"/>
          <w:color w:val="000000" w:themeColor="text1"/>
          <w:sz w:val="22"/>
          <w:szCs w:val="22"/>
          <w:lang w:val="en-AU"/>
        </w:rPr>
        <w:t>One</w:t>
      </w:r>
      <w:r w:rsidR="00B20787" w:rsidRPr="00B20787">
        <w:rPr>
          <w:rFonts w:asciiTheme="majorHAnsi" w:hAnsiTheme="majorHAnsi" w:cstheme="majorHAnsi"/>
          <w:color w:val="000000" w:themeColor="text1"/>
          <w:sz w:val="22"/>
          <w:szCs w:val="22"/>
          <w:lang w:val="en-AU"/>
        </w:rPr>
        <w:t xml:space="preserve"> </w:t>
      </w:r>
      <w:r w:rsidR="00B20787" w:rsidRPr="00B20787">
        <w:rPr>
          <w:rFonts w:asciiTheme="majorHAnsi" w:hAnsiTheme="majorHAnsi" w:cstheme="majorHAnsi"/>
          <w:color w:val="000000" w:themeColor="text1"/>
          <w:sz w:val="22"/>
          <w:szCs w:val="22"/>
        </w:rPr>
        <w:t>Indonesian Government priority</w:t>
      </w:r>
      <w:r w:rsidRPr="00B20787">
        <w:rPr>
          <w:rFonts w:asciiTheme="majorHAnsi" w:hAnsiTheme="majorHAnsi" w:cstheme="majorHAnsi"/>
          <w:color w:val="000000" w:themeColor="text1"/>
          <w:sz w:val="22"/>
          <w:szCs w:val="22"/>
          <w:lang w:val="en-AU"/>
        </w:rPr>
        <w:t xml:space="preserve"> in particular</w:t>
      </w:r>
      <w:r w:rsidR="00DF1D48" w:rsidRPr="00B20787">
        <w:rPr>
          <w:rFonts w:asciiTheme="majorHAnsi" w:hAnsiTheme="majorHAnsi" w:cstheme="majorHAnsi"/>
          <w:color w:val="000000" w:themeColor="text1"/>
          <w:sz w:val="22"/>
          <w:szCs w:val="22"/>
          <w:lang w:val="en-AU"/>
        </w:rPr>
        <w:t>,</w:t>
      </w:r>
      <w:r w:rsidR="005331CC" w:rsidRPr="00B20787">
        <w:rPr>
          <w:rFonts w:asciiTheme="majorHAnsi" w:hAnsiTheme="majorHAnsi" w:cstheme="majorHAnsi"/>
          <w:color w:val="000000" w:themeColor="text1"/>
          <w:sz w:val="22"/>
          <w:szCs w:val="22"/>
          <w:lang w:val="en-AU"/>
        </w:rPr>
        <w:t xml:space="preserve"> the emphasis on</w:t>
      </w:r>
      <w:r w:rsidR="003221BA">
        <w:rPr>
          <w:rFonts w:asciiTheme="majorHAnsi" w:hAnsiTheme="majorHAnsi" w:cstheme="majorHAnsi"/>
          <w:color w:val="000000" w:themeColor="text1"/>
          <w:sz w:val="22"/>
          <w:szCs w:val="22"/>
          <w:lang w:val="en-AU"/>
        </w:rPr>
        <w:t xml:space="preserve"> </w:t>
      </w:r>
      <w:r w:rsidRPr="00B20787">
        <w:rPr>
          <w:rFonts w:asciiTheme="majorHAnsi" w:hAnsiTheme="majorHAnsi" w:cstheme="majorHAnsi"/>
          <w:b/>
          <w:bCs/>
          <w:color w:val="000000" w:themeColor="text1"/>
          <w:sz w:val="22"/>
          <w:szCs w:val="22"/>
          <w:lang w:val="en-AU"/>
        </w:rPr>
        <w:t xml:space="preserve">reform of the </w:t>
      </w:r>
      <w:r w:rsidR="003221BA" w:rsidRPr="00B20787">
        <w:rPr>
          <w:rFonts w:asciiTheme="majorHAnsi" w:hAnsiTheme="majorHAnsi" w:cstheme="majorHAnsi"/>
          <w:b/>
          <w:bCs/>
          <w:color w:val="000000" w:themeColor="text1"/>
          <w:sz w:val="22"/>
          <w:szCs w:val="22"/>
          <w:lang w:val="en-AU"/>
        </w:rPr>
        <w:t xml:space="preserve">integrated </w:t>
      </w:r>
      <w:r w:rsidRPr="00B20787">
        <w:rPr>
          <w:rFonts w:asciiTheme="majorHAnsi" w:hAnsiTheme="majorHAnsi" w:cstheme="majorHAnsi"/>
          <w:b/>
          <w:bCs/>
          <w:color w:val="000000" w:themeColor="text1"/>
          <w:sz w:val="22"/>
          <w:szCs w:val="22"/>
          <w:lang w:val="en-AU"/>
        </w:rPr>
        <w:t>criminal justice system</w:t>
      </w:r>
      <w:r w:rsidRPr="00B20787">
        <w:rPr>
          <w:rFonts w:asciiTheme="majorHAnsi" w:hAnsiTheme="majorHAnsi" w:cstheme="majorHAnsi"/>
          <w:color w:val="000000" w:themeColor="text1"/>
          <w:sz w:val="22"/>
          <w:szCs w:val="22"/>
          <w:lang w:val="en-AU"/>
        </w:rPr>
        <w:t xml:space="preserve"> and</w:t>
      </w:r>
      <w:r w:rsidR="00DF1D48" w:rsidRPr="00B20787">
        <w:rPr>
          <w:rFonts w:asciiTheme="majorHAnsi" w:hAnsiTheme="majorHAnsi" w:cstheme="majorHAnsi"/>
          <w:color w:val="000000" w:themeColor="text1"/>
          <w:sz w:val="22"/>
          <w:szCs w:val="22"/>
          <w:lang w:val="en-AU"/>
        </w:rPr>
        <w:t xml:space="preserve"> </w:t>
      </w:r>
      <w:r w:rsidRPr="00B20787">
        <w:rPr>
          <w:rFonts w:asciiTheme="majorHAnsi" w:hAnsiTheme="majorHAnsi" w:cstheme="majorHAnsi"/>
          <w:color w:val="000000" w:themeColor="text1"/>
          <w:sz w:val="22"/>
          <w:szCs w:val="22"/>
          <w:lang w:val="en-AU"/>
        </w:rPr>
        <w:t xml:space="preserve">associated </w:t>
      </w:r>
      <w:r w:rsidR="00F9771C" w:rsidRPr="00B20787">
        <w:rPr>
          <w:rFonts w:asciiTheme="majorHAnsi" w:hAnsiTheme="majorHAnsi" w:cstheme="majorHAnsi"/>
          <w:color w:val="000000" w:themeColor="text1"/>
          <w:sz w:val="22"/>
          <w:szCs w:val="22"/>
          <w:lang w:val="en-AU"/>
        </w:rPr>
        <w:t>attention</w:t>
      </w:r>
      <w:r w:rsidR="00DF1D48" w:rsidRPr="00B20787">
        <w:rPr>
          <w:rFonts w:asciiTheme="majorHAnsi" w:hAnsiTheme="majorHAnsi" w:cstheme="majorHAnsi"/>
          <w:color w:val="000000" w:themeColor="text1"/>
          <w:sz w:val="22"/>
          <w:szCs w:val="22"/>
          <w:lang w:val="en-AU"/>
        </w:rPr>
        <w:t xml:space="preserve"> to </w:t>
      </w:r>
      <w:r w:rsidRPr="00B20787">
        <w:rPr>
          <w:rFonts w:asciiTheme="majorHAnsi" w:hAnsiTheme="majorHAnsi" w:cstheme="majorHAnsi"/>
          <w:b/>
          <w:bCs/>
          <w:color w:val="000000" w:themeColor="text1"/>
          <w:sz w:val="22"/>
          <w:szCs w:val="22"/>
          <w:lang w:val="en-AU"/>
        </w:rPr>
        <w:t>restorative justice</w:t>
      </w:r>
      <w:r w:rsidR="00DF1D48" w:rsidRPr="00B20787">
        <w:rPr>
          <w:rFonts w:asciiTheme="majorHAnsi" w:hAnsiTheme="majorHAnsi" w:cstheme="majorHAnsi"/>
          <w:color w:val="000000" w:themeColor="text1"/>
          <w:sz w:val="22"/>
          <w:szCs w:val="22"/>
          <w:lang w:val="en-AU"/>
        </w:rPr>
        <w:t xml:space="preserve">, strikes the review team as </w:t>
      </w:r>
      <w:r w:rsidR="00263023" w:rsidRPr="00B20787">
        <w:rPr>
          <w:rFonts w:asciiTheme="majorHAnsi" w:hAnsiTheme="majorHAnsi" w:cstheme="majorHAnsi"/>
          <w:color w:val="000000" w:themeColor="text1"/>
          <w:sz w:val="22"/>
          <w:szCs w:val="22"/>
          <w:lang w:val="en-AU"/>
        </w:rPr>
        <w:t xml:space="preserve">a </w:t>
      </w:r>
      <w:r w:rsidR="00F9771C" w:rsidRPr="00B20787">
        <w:rPr>
          <w:rFonts w:asciiTheme="majorHAnsi" w:hAnsiTheme="majorHAnsi" w:cstheme="majorHAnsi"/>
          <w:color w:val="000000" w:themeColor="text1"/>
          <w:sz w:val="22"/>
          <w:szCs w:val="22"/>
          <w:lang w:val="en-AU"/>
        </w:rPr>
        <w:t xml:space="preserve">potentially </w:t>
      </w:r>
      <w:r w:rsidR="005331CC" w:rsidRPr="00B20787">
        <w:rPr>
          <w:rFonts w:asciiTheme="majorHAnsi" w:hAnsiTheme="majorHAnsi" w:cstheme="majorHAnsi"/>
          <w:color w:val="000000" w:themeColor="text1"/>
          <w:sz w:val="22"/>
          <w:szCs w:val="22"/>
          <w:lang w:val="en-AU"/>
        </w:rPr>
        <w:t>high-profile</w:t>
      </w:r>
      <w:r w:rsidR="00263023" w:rsidRPr="00B20787">
        <w:rPr>
          <w:rFonts w:asciiTheme="majorHAnsi" w:hAnsiTheme="majorHAnsi" w:cstheme="majorHAnsi"/>
          <w:color w:val="000000" w:themeColor="text1"/>
          <w:sz w:val="22"/>
          <w:szCs w:val="22"/>
          <w:lang w:val="en-AU"/>
        </w:rPr>
        <w:t xml:space="preserve"> and </w:t>
      </w:r>
      <w:r w:rsidR="00381C5E" w:rsidRPr="00B20787">
        <w:rPr>
          <w:rFonts w:asciiTheme="majorHAnsi" w:hAnsiTheme="majorHAnsi" w:cstheme="majorHAnsi"/>
          <w:color w:val="000000" w:themeColor="text1"/>
          <w:sz w:val="22"/>
          <w:szCs w:val="22"/>
          <w:lang w:val="en-AU"/>
        </w:rPr>
        <w:t>relevant</w:t>
      </w:r>
      <w:r w:rsidR="00F9771C" w:rsidRPr="00B20787">
        <w:rPr>
          <w:rFonts w:asciiTheme="majorHAnsi" w:hAnsiTheme="majorHAnsi" w:cstheme="majorHAnsi"/>
          <w:color w:val="000000" w:themeColor="text1"/>
          <w:sz w:val="22"/>
          <w:szCs w:val="22"/>
          <w:lang w:val="en-AU"/>
        </w:rPr>
        <w:t xml:space="preserve"> development</w:t>
      </w:r>
      <w:r w:rsidR="00DF1D48" w:rsidRPr="00B20787">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00B20787" w:rsidRPr="00B20787">
        <w:rPr>
          <w:rFonts w:asciiTheme="majorHAnsi" w:hAnsiTheme="majorHAnsi" w:cstheme="majorHAnsi"/>
          <w:color w:val="000000" w:themeColor="text1"/>
          <w:sz w:val="22"/>
          <w:szCs w:val="22"/>
        </w:rPr>
        <w:t>AIPJ2 could provide important support in this area building on its successful work to date, should this agenda continue to be a key platform.</w:t>
      </w:r>
      <w:r w:rsidR="008573F5">
        <w:rPr>
          <w:rFonts w:asciiTheme="majorHAnsi" w:hAnsiTheme="majorHAnsi" w:cstheme="majorHAnsi"/>
          <w:color w:val="000000" w:themeColor="text1"/>
          <w:sz w:val="22"/>
          <w:szCs w:val="22"/>
        </w:rPr>
        <w:t xml:space="preserve"> </w:t>
      </w:r>
      <w:r w:rsidR="00DF1D48" w:rsidRPr="00B20787">
        <w:rPr>
          <w:rFonts w:asciiTheme="majorHAnsi" w:hAnsiTheme="majorHAnsi" w:cstheme="majorHAnsi"/>
          <w:color w:val="000000" w:themeColor="text1"/>
          <w:sz w:val="22"/>
          <w:szCs w:val="22"/>
          <w:lang w:val="en-AU"/>
        </w:rPr>
        <w:t xml:space="preserve">AIPJ2 currently </w:t>
      </w:r>
      <w:r w:rsidR="00F9771C" w:rsidRPr="00B20787">
        <w:rPr>
          <w:rFonts w:asciiTheme="majorHAnsi" w:hAnsiTheme="majorHAnsi" w:cstheme="majorHAnsi"/>
          <w:color w:val="000000" w:themeColor="text1"/>
          <w:sz w:val="22"/>
          <w:szCs w:val="22"/>
          <w:lang w:val="en-AU"/>
        </w:rPr>
        <w:t xml:space="preserve">has </w:t>
      </w:r>
      <w:r w:rsidR="00263023" w:rsidRPr="00B20787">
        <w:rPr>
          <w:rFonts w:asciiTheme="majorHAnsi" w:hAnsiTheme="majorHAnsi" w:cstheme="majorHAnsi"/>
          <w:color w:val="000000" w:themeColor="text1"/>
          <w:sz w:val="22"/>
          <w:szCs w:val="22"/>
          <w:lang w:val="en-AU"/>
        </w:rPr>
        <w:t xml:space="preserve">a number of separate but </w:t>
      </w:r>
      <w:r w:rsidR="00381C5E" w:rsidRPr="00B20787">
        <w:rPr>
          <w:rFonts w:asciiTheme="majorHAnsi" w:hAnsiTheme="majorHAnsi" w:cstheme="majorHAnsi"/>
          <w:color w:val="000000" w:themeColor="text1"/>
          <w:sz w:val="22"/>
          <w:szCs w:val="22"/>
          <w:lang w:val="en-AU"/>
        </w:rPr>
        <w:t>related</w:t>
      </w:r>
      <w:r w:rsidR="00747204">
        <w:rPr>
          <w:rFonts w:asciiTheme="majorHAnsi" w:hAnsiTheme="majorHAnsi" w:cstheme="majorHAnsi"/>
          <w:color w:val="000000" w:themeColor="text1"/>
          <w:sz w:val="22"/>
          <w:szCs w:val="22"/>
          <w:lang w:val="en-AU"/>
        </w:rPr>
        <w:t xml:space="preserve"> </w:t>
      </w:r>
      <w:r w:rsidR="00F9771C" w:rsidRPr="00B20787">
        <w:rPr>
          <w:rFonts w:asciiTheme="majorHAnsi" w:hAnsiTheme="majorHAnsi" w:cstheme="majorHAnsi"/>
          <w:color w:val="000000" w:themeColor="text1"/>
          <w:sz w:val="22"/>
          <w:szCs w:val="22"/>
          <w:lang w:val="en-AU"/>
        </w:rPr>
        <w:t>activities</w:t>
      </w:r>
      <w:r w:rsidR="00381C5E" w:rsidRPr="00B20787">
        <w:rPr>
          <w:rFonts w:asciiTheme="majorHAnsi" w:hAnsiTheme="majorHAnsi" w:cstheme="majorHAnsi"/>
          <w:color w:val="000000" w:themeColor="text1"/>
          <w:sz w:val="22"/>
          <w:szCs w:val="22"/>
          <w:lang w:val="en-AU"/>
        </w:rPr>
        <w:t xml:space="preserve"> of relevance</w:t>
      </w:r>
      <w:r w:rsidR="00F9771C" w:rsidRPr="00B20787">
        <w:rPr>
          <w:rFonts w:asciiTheme="majorHAnsi" w:hAnsiTheme="majorHAnsi" w:cstheme="majorHAnsi"/>
          <w:color w:val="000000" w:themeColor="text1"/>
          <w:sz w:val="22"/>
          <w:szCs w:val="22"/>
          <w:lang w:val="en-AU"/>
        </w:rPr>
        <w:t xml:space="preserve"> </w:t>
      </w:r>
      <w:r w:rsidR="005331CC" w:rsidRPr="00B20787">
        <w:rPr>
          <w:rFonts w:asciiTheme="majorHAnsi" w:hAnsiTheme="majorHAnsi" w:cstheme="majorHAnsi"/>
          <w:color w:val="000000" w:themeColor="text1"/>
          <w:sz w:val="22"/>
          <w:szCs w:val="22"/>
          <w:lang w:val="en-AU"/>
        </w:rPr>
        <w:t xml:space="preserve">across its pillars and </w:t>
      </w:r>
      <w:r w:rsidR="00381C5E" w:rsidRPr="00B20787">
        <w:rPr>
          <w:rFonts w:asciiTheme="majorHAnsi" w:hAnsiTheme="majorHAnsi" w:cstheme="majorHAnsi"/>
          <w:color w:val="000000" w:themeColor="text1"/>
          <w:sz w:val="22"/>
          <w:szCs w:val="22"/>
          <w:lang w:val="en-AU"/>
        </w:rPr>
        <w:t>the good relationships it has established with civil society and state bodies provide a range of useful entry points.</w:t>
      </w:r>
      <w:r w:rsidR="00A16179">
        <w:rPr>
          <w:rFonts w:asciiTheme="majorHAnsi" w:hAnsiTheme="majorHAnsi" w:cstheme="majorHAnsi"/>
          <w:color w:val="000000" w:themeColor="text1"/>
          <w:sz w:val="22"/>
          <w:szCs w:val="22"/>
          <w:lang w:val="en-AU"/>
        </w:rPr>
        <w:t xml:space="preserve"> </w:t>
      </w:r>
    </w:p>
    <w:p w14:paraId="51652842" w14:textId="6F0FBCFA" w:rsidR="003B209E" w:rsidRPr="0045197C" w:rsidRDefault="003221BA"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color w:val="000000" w:themeColor="text1"/>
          <w:sz w:val="28"/>
          <w:szCs w:val="28"/>
          <w:lang w:val="en-AU"/>
        </w:rPr>
      </w:pPr>
      <w:r>
        <w:rPr>
          <w:rFonts w:asciiTheme="majorHAnsi" w:hAnsiTheme="majorHAnsi" w:cstheme="majorHAnsi"/>
          <w:color w:val="000000" w:themeColor="text1"/>
          <w:sz w:val="22"/>
          <w:szCs w:val="22"/>
          <w:lang w:val="en-AU"/>
        </w:rPr>
        <w:t>Engaging</w:t>
      </w:r>
      <w:r w:rsidR="00F9771C" w:rsidRPr="00B20787">
        <w:rPr>
          <w:rFonts w:asciiTheme="majorHAnsi" w:hAnsiTheme="majorHAnsi" w:cstheme="majorHAnsi"/>
          <w:color w:val="000000" w:themeColor="text1"/>
          <w:sz w:val="22"/>
          <w:szCs w:val="22"/>
          <w:lang w:val="en-AU"/>
        </w:rPr>
        <w:t xml:space="preserve"> </w:t>
      </w:r>
      <w:r w:rsidR="005331CC" w:rsidRPr="00B20787">
        <w:rPr>
          <w:rFonts w:asciiTheme="majorHAnsi" w:hAnsiTheme="majorHAnsi" w:cstheme="majorHAnsi"/>
          <w:color w:val="000000" w:themeColor="text1"/>
          <w:sz w:val="22"/>
          <w:szCs w:val="22"/>
          <w:lang w:val="en-AU"/>
        </w:rPr>
        <w:t xml:space="preserve">proactively </w:t>
      </w:r>
      <w:r w:rsidR="00F9771C" w:rsidRPr="00B20787">
        <w:rPr>
          <w:rFonts w:asciiTheme="majorHAnsi" w:hAnsiTheme="majorHAnsi" w:cstheme="majorHAnsi"/>
          <w:color w:val="000000" w:themeColor="text1"/>
          <w:sz w:val="22"/>
          <w:szCs w:val="22"/>
          <w:lang w:val="en-AU"/>
        </w:rPr>
        <w:t xml:space="preserve">with this reform agenda </w:t>
      </w:r>
      <w:r w:rsidR="003B209E" w:rsidRPr="00B20787">
        <w:rPr>
          <w:rFonts w:asciiTheme="majorHAnsi" w:hAnsiTheme="majorHAnsi" w:cstheme="majorHAnsi"/>
          <w:color w:val="000000" w:themeColor="text1"/>
          <w:sz w:val="22"/>
          <w:szCs w:val="22"/>
          <w:lang w:val="en-AU"/>
        </w:rPr>
        <w:t>would</w:t>
      </w:r>
      <w:r w:rsidR="00F9771C" w:rsidRPr="00B20787">
        <w:rPr>
          <w:rFonts w:asciiTheme="majorHAnsi" w:hAnsiTheme="majorHAnsi" w:cstheme="majorHAnsi"/>
          <w:color w:val="000000" w:themeColor="text1"/>
          <w:sz w:val="22"/>
          <w:szCs w:val="22"/>
          <w:lang w:val="en-AU"/>
        </w:rPr>
        <w:t xml:space="preserve"> require a more coherent</w:t>
      </w:r>
      <w:r w:rsidR="00B20787" w:rsidRPr="00B20787">
        <w:rPr>
          <w:rFonts w:asciiTheme="majorHAnsi" w:hAnsiTheme="majorHAnsi" w:cstheme="majorHAnsi"/>
          <w:color w:val="000000" w:themeColor="text1"/>
          <w:sz w:val="22"/>
          <w:szCs w:val="22"/>
          <w:lang w:val="en-AU"/>
        </w:rPr>
        <w:t xml:space="preserve"> and </w:t>
      </w:r>
      <w:r w:rsidR="00F9771C" w:rsidRPr="00B20787">
        <w:rPr>
          <w:rFonts w:asciiTheme="majorHAnsi" w:hAnsiTheme="majorHAnsi" w:cstheme="majorHAnsi"/>
          <w:color w:val="000000" w:themeColor="text1"/>
          <w:sz w:val="22"/>
          <w:szCs w:val="22"/>
          <w:lang w:val="en-AU"/>
        </w:rPr>
        <w:t xml:space="preserve">holistic approach, drawing together </w:t>
      </w:r>
      <w:r w:rsidR="005331CC" w:rsidRPr="00B20787">
        <w:rPr>
          <w:rFonts w:asciiTheme="majorHAnsi" w:hAnsiTheme="majorHAnsi" w:cstheme="majorHAnsi"/>
          <w:color w:val="000000" w:themeColor="text1"/>
          <w:sz w:val="22"/>
          <w:szCs w:val="22"/>
          <w:lang w:val="en-AU"/>
        </w:rPr>
        <w:t>existing</w:t>
      </w:r>
      <w:r w:rsidR="002E26A3" w:rsidRPr="00B20787">
        <w:rPr>
          <w:rFonts w:asciiTheme="majorHAnsi" w:hAnsiTheme="majorHAnsi" w:cstheme="majorHAnsi"/>
          <w:color w:val="000000" w:themeColor="text1"/>
          <w:sz w:val="22"/>
          <w:szCs w:val="22"/>
          <w:lang w:val="en-AU"/>
        </w:rPr>
        <w:t xml:space="preserve"> activities and introducing some new ones</w:t>
      </w:r>
      <w:r w:rsidR="00B20787" w:rsidRPr="00B20787">
        <w:rPr>
          <w:rFonts w:asciiTheme="majorHAnsi" w:hAnsiTheme="majorHAnsi" w:cstheme="majorHAnsi"/>
          <w:color w:val="000000" w:themeColor="text1"/>
          <w:sz w:val="22"/>
          <w:szCs w:val="22"/>
          <w:lang w:val="en-AU"/>
        </w:rPr>
        <w:t xml:space="preserve"> </w:t>
      </w:r>
      <w:r w:rsidR="00B20787" w:rsidRPr="00B20787">
        <w:rPr>
          <w:rFonts w:asciiTheme="majorHAnsi" w:hAnsiTheme="majorHAnsi" w:cstheme="majorHAnsi"/>
          <w:color w:val="000000" w:themeColor="text1"/>
          <w:sz w:val="22"/>
          <w:szCs w:val="22"/>
        </w:rPr>
        <w:t>across the criminal justice chain so that they connect as a number of clearly interrelated components. It would also require</w:t>
      </w:r>
      <w:r w:rsidR="002E26A3" w:rsidRPr="00B20787">
        <w:rPr>
          <w:rFonts w:asciiTheme="majorHAnsi" w:hAnsiTheme="majorHAnsi" w:cstheme="majorHAnsi"/>
          <w:color w:val="000000" w:themeColor="text1"/>
          <w:sz w:val="22"/>
          <w:szCs w:val="22"/>
          <w:lang w:val="en-AU"/>
        </w:rPr>
        <w:t xml:space="preserve"> establishing </w:t>
      </w:r>
      <w:r w:rsidR="00B20787" w:rsidRPr="00B20787">
        <w:rPr>
          <w:rFonts w:asciiTheme="majorHAnsi" w:hAnsiTheme="majorHAnsi" w:cstheme="majorHAnsi"/>
          <w:color w:val="000000" w:themeColor="text1"/>
          <w:sz w:val="22"/>
          <w:szCs w:val="22"/>
        </w:rPr>
        <w:t xml:space="preserve">some </w:t>
      </w:r>
      <w:r w:rsidR="002E26A3" w:rsidRPr="00B20787">
        <w:rPr>
          <w:rFonts w:asciiTheme="majorHAnsi" w:hAnsiTheme="majorHAnsi" w:cstheme="majorHAnsi"/>
          <w:color w:val="000000" w:themeColor="text1"/>
          <w:sz w:val="22"/>
          <w:szCs w:val="22"/>
          <w:lang w:val="en-AU"/>
        </w:rPr>
        <w:t xml:space="preserve">new relationships </w:t>
      </w:r>
      <w:r w:rsidR="003B209E" w:rsidRPr="00B20787">
        <w:rPr>
          <w:rFonts w:asciiTheme="majorHAnsi" w:hAnsiTheme="majorHAnsi" w:cstheme="majorHAnsi"/>
          <w:color w:val="000000" w:themeColor="text1"/>
          <w:sz w:val="22"/>
          <w:szCs w:val="22"/>
          <w:lang w:val="en-AU"/>
        </w:rPr>
        <w:t>–</w:t>
      </w:r>
      <w:r w:rsidR="002E26A3" w:rsidRPr="00B20787">
        <w:rPr>
          <w:rFonts w:asciiTheme="majorHAnsi" w:hAnsiTheme="majorHAnsi" w:cstheme="majorHAnsi"/>
          <w:color w:val="000000" w:themeColor="text1"/>
          <w:sz w:val="22"/>
          <w:szCs w:val="22"/>
          <w:lang w:val="en-AU"/>
        </w:rPr>
        <w:t xml:space="preserve"> for example, with the </w:t>
      </w:r>
      <w:r w:rsidR="00B20787" w:rsidRPr="00B20787">
        <w:rPr>
          <w:rFonts w:asciiTheme="majorHAnsi" w:hAnsiTheme="majorHAnsi" w:cstheme="majorHAnsi"/>
          <w:color w:val="000000" w:themeColor="text1"/>
          <w:sz w:val="22"/>
          <w:szCs w:val="22"/>
        </w:rPr>
        <w:t xml:space="preserve">Indonesian National Police, Attorney General’s Office and the </w:t>
      </w:r>
      <w:r w:rsidR="002E26A3" w:rsidRPr="00B20787">
        <w:rPr>
          <w:rFonts w:asciiTheme="majorHAnsi" w:hAnsiTheme="majorHAnsi" w:cstheme="majorHAnsi"/>
          <w:color w:val="000000" w:themeColor="text1"/>
          <w:sz w:val="22"/>
          <w:szCs w:val="22"/>
          <w:lang w:val="en-AU"/>
        </w:rPr>
        <w:t xml:space="preserve">new body proposed to lead on coordination of all legal and regulatory reforms and whose </w:t>
      </w:r>
      <w:r w:rsidR="005331CC" w:rsidRPr="00B20787">
        <w:rPr>
          <w:rFonts w:asciiTheme="majorHAnsi" w:hAnsiTheme="majorHAnsi" w:cstheme="majorHAnsi"/>
          <w:color w:val="000000" w:themeColor="text1"/>
          <w:sz w:val="22"/>
          <w:szCs w:val="22"/>
          <w:lang w:val="en-AU"/>
        </w:rPr>
        <w:t>initial</w:t>
      </w:r>
      <w:r w:rsidR="002E26A3" w:rsidRPr="00B20787">
        <w:rPr>
          <w:rFonts w:asciiTheme="majorHAnsi" w:hAnsiTheme="majorHAnsi" w:cstheme="majorHAnsi"/>
          <w:color w:val="000000" w:themeColor="text1"/>
          <w:sz w:val="22"/>
          <w:szCs w:val="22"/>
          <w:lang w:val="en-AU"/>
        </w:rPr>
        <w:t xml:space="preserve"> priorities </w:t>
      </w:r>
      <w:r w:rsidR="005331CC" w:rsidRPr="00B20787">
        <w:rPr>
          <w:rFonts w:asciiTheme="majorHAnsi" w:hAnsiTheme="majorHAnsi" w:cstheme="majorHAnsi"/>
          <w:color w:val="000000" w:themeColor="text1"/>
          <w:sz w:val="22"/>
          <w:szCs w:val="22"/>
          <w:lang w:val="en-AU"/>
        </w:rPr>
        <w:t>are</w:t>
      </w:r>
      <w:r w:rsidR="002E26A3" w:rsidRPr="00B20787">
        <w:rPr>
          <w:rFonts w:asciiTheme="majorHAnsi" w:hAnsiTheme="majorHAnsi" w:cstheme="majorHAnsi"/>
          <w:color w:val="000000" w:themeColor="text1"/>
          <w:sz w:val="22"/>
          <w:szCs w:val="22"/>
          <w:lang w:val="en-AU"/>
        </w:rPr>
        <w:t xml:space="preserve"> expected to include the criminal justice system.</w:t>
      </w:r>
      <w:r w:rsidR="008573F5">
        <w:rPr>
          <w:rFonts w:asciiTheme="majorHAnsi" w:hAnsiTheme="majorHAnsi" w:cstheme="majorHAnsi"/>
          <w:color w:val="000000" w:themeColor="text1"/>
          <w:sz w:val="22"/>
          <w:szCs w:val="22"/>
          <w:lang w:val="en-AU"/>
        </w:rPr>
        <w:t xml:space="preserve"> </w:t>
      </w:r>
      <w:r w:rsidR="002E26A3" w:rsidRPr="00B20787">
        <w:rPr>
          <w:rFonts w:asciiTheme="majorHAnsi" w:hAnsiTheme="majorHAnsi" w:cstheme="majorHAnsi"/>
          <w:color w:val="000000" w:themeColor="text1"/>
          <w:sz w:val="22"/>
          <w:szCs w:val="22"/>
          <w:lang w:val="en-AU"/>
        </w:rPr>
        <w:t>In addition, this will</w:t>
      </w:r>
      <w:r w:rsidR="005331CC" w:rsidRPr="00B20787">
        <w:rPr>
          <w:rFonts w:asciiTheme="majorHAnsi" w:hAnsiTheme="majorHAnsi" w:cstheme="majorHAnsi"/>
          <w:color w:val="000000" w:themeColor="text1"/>
          <w:sz w:val="22"/>
          <w:szCs w:val="22"/>
          <w:lang w:val="en-AU"/>
        </w:rPr>
        <w:t xml:space="preserve"> also</w:t>
      </w:r>
      <w:r w:rsidR="002E26A3" w:rsidRPr="00B20787">
        <w:rPr>
          <w:rFonts w:asciiTheme="majorHAnsi" w:hAnsiTheme="majorHAnsi" w:cstheme="majorHAnsi"/>
          <w:color w:val="000000" w:themeColor="text1"/>
          <w:sz w:val="22"/>
          <w:szCs w:val="22"/>
          <w:lang w:val="en-AU"/>
        </w:rPr>
        <w:t xml:space="preserve"> likely require </w:t>
      </w:r>
      <w:r w:rsidR="00F9771C" w:rsidRPr="00B20787">
        <w:rPr>
          <w:rFonts w:asciiTheme="majorHAnsi" w:hAnsiTheme="majorHAnsi" w:cstheme="majorHAnsi"/>
          <w:color w:val="000000" w:themeColor="text1"/>
          <w:sz w:val="22"/>
          <w:szCs w:val="22"/>
          <w:lang w:val="en-AU"/>
        </w:rPr>
        <w:t>some upscaling of resources devoted to the work</w:t>
      </w:r>
      <w:r w:rsidR="002E26A3" w:rsidRPr="00B20787">
        <w:rPr>
          <w:rFonts w:asciiTheme="majorHAnsi" w:hAnsiTheme="majorHAnsi" w:cstheme="majorHAnsi"/>
          <w:color w:val="000000" w:themeColor="text1"/>
          <w:sz w:val="22"/>
          <w:szCs w:val="22"/>
          <w:lang w:val="en-AU"/>
        </w:rPr>
        <w:t>.</w:t>
      </w:r>
      <w:r w:rsidR="008573F5">
        <w:rPr>
          <w:rFonts w:asciiTheme="majorHAnsi" w:hAnsiTheme="majorHAnsi" w:cstheme="majorHAnsi"/>
          <w:color w:val="000000" w:themeColor="text1"/>
          <w:sz w:val="22"/>
          <w:szCs w:val="22"/>
          <w:lang w:val="en-AU"/>
        </w:rPr>
        <w:t xml:space="preserve"> </w:t>
      </w:r>
      <w:r w:rsidR="00381C5E" w:rsidRPr="00B20787">
        <w:rPr>
          <w:rFonts w:asciiTheme="majorHAnsi" w:hAnsiTheme="majorHAnsi" w:cstheme="majorHAnsi"/>
          <w:color w:val="000000" w:themeColor="text1"/>
          <w:sz w:val="22"/>
          <w:szCs w:val="22"/>
          <w:lang w:val="en-AU"/>
        </w:rPr>
        <w:t>AIPJ2’s s</w:t>
      </w:r>
      <w:r w:rsidR="002E26A3" w:rsidRPr="00B20787">
        <w:rPr>
          <w:rFonts w:asciiTheme="majorHAnsi" w:hAnsiTheme="majorHAnsi" w:cstheme="majorHAnsi"/>
          <w:color w:val="000000" w:themeColor="text1"/>
          <w:sz w:val="22"/>
          <w:szCs w:val="22"/>
          <w:lang w:val="en-AU"/>
        </w:rPr>
        <w:t xml:space="preserve">cope to do that is discussed </w:t>
      </w:r>
      <w:r w:rsidR="00381C5E" w:rsidRPr="00B20787">
        <w:rPr>
          <w:rFonts w:asciiTheme="majorHAnsi" w:hAnsiTheme="majorHAnsi" w:cstheme="majorHAnsi"/>
          <w:color w:val="000000" w:themeColor="text1"/>
          <w:sz w:val="22"/>
          <w:szCs w:val="22"/>
          <w:lang w:val="en-AU"/>
        </w:rPr>
        <w:t xml:space="preserve">further </w:t>
      </w:r>
      <w:r w:rsidR="005331CC" w:rsidRPr="00B20787">
        <w:rPr>
          <w:rFonts w:asciiTheme="majorHAnsi" w:hAnsiTheme="majorHAnsi" w:cstheme="majorHAnsi"/>
          <w:color w:val="000000" w:themeColor="text1"/>
          <w:sz w:val="22"/>
          <w:szCs w:val="22"/>
          <w:lang w:val="en-AU"/>
        </w:rPr>
        <w:t>below.</w:t>
      </w:r>
    </w:p>
    <w:p w14:paraId="0A385262" w14:textId="0A75F9C6" w:rsidR="003B209E" w:rsidRPr="0045197C" w:rsidRDefault="003B209E"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45197C">
        <w:rPr>
          <w:rFonts w:asciiTheme="majorHAnsi" w:hAnsiTheme="majorHAnsi" w:cstheme="majorHAnsi"/>
          <w:b/>
          <w:bCs/>
          <w:color w:val="000000" w:themeColor="text1"/>
          <w:sz w:val="26"/>
          <w:szCs w:val="26"/>
          <w:lang w:val="en-AU"/>
        </w:rPr>
        <w:t>Is AIPJ2 spread too thinly?</w:t>
      </w:r>
    </w:p>
    <w:p w14:paraId="72FE77F1" w14:textId="6E5F70EC" w:rsidR="004C77A9" w:rsidRPr="0045197C" w:rsidRDefault="003B209E"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lang w:val="en-AU"/>
        </w:rPr>
      </w:pPr>
      <w:r w:rsidRPr="0045197C">
        <w:rPr>
          <w:rFonts w:asciiTheme="majorHAnsi" w:hAnsiTheme="majorHAnsi" w:cstheme="majorHAnsi"/>
          <w:color w:val="000000" w:themeColor="text1"/>
          <w:sz w:val="22"/>
          <w:szCs w:val="22"/>
          <w:lang w:val="en-AU"/>
        </w:rPr>
        <w:t>For a relatively small investment, AIPJ2</w:t>
      </w:r>
      <w:r w:rsidR="001F371B" w:rsidRPr="0045197C">
        <w:rPr>
          <w:rFonts w:asciiTheme="majorHAnsi" w:hAnsiTheme="majorHAnsi" w:cstheme="majorHAnsi"/>
          <w:color w:val="000000" w:themeColor="text1"/>
          <w:sz w:val="22"/>
          <w:szCs w:val="22"/>
          <w:lang w:val="en-AU"/>
        </w:rPr>
        <w:t xml:space="preserve">’s </w:t>
      </w:r>
      <w:r w:rsidRPr="0045197C">
        <w:rPr>
          <w:rFonts w:asciiTheme="majorHAnsi" w:hAnsiTheme="majorHAnsi" w:cstheme="majorHAnsi"/>
          <w:color w:val="000000" w:themeColor="text1"/>
          <w:sz w:val="22"/>
          <w:szCs w:val="22"/>
          <w:lang w:val="en-AU"/>
        </w:rPr>
        <w:t xml:space="preserve">support </w:t>
      </w:r>
      <w:r w:rsidR="001F371B" w:rsidRPr="0045197C">
        <w:rPr>
          <w:rFonts w:asciiTheme="majorHAnsi" w:hAnsiTheme="majorHAnsi" w:cstheme="majorHAnsi"/>
          <w:color w:val="000000" w:themeColor="text1"/>
          <w:sz w:val="22"/>
          <w:szCs w:val="22"/>
          <w:lang w:val="en-AU"/>
        </w:rPr>
        <w:t xml:space="preserve">is directed to </w:t>
      </w:r>
      <w:r w:rsidRPr="0045197C">
        <w:rPr>
          <w:rFonts w:asciiTheme="majorHAnsi" w:hAnsiTheme="majorHAnsi" w:cstheme="majorHAnsi"/>
          <w:color w:val="000000" w:themeColor="text1"/>
          <w:sz w:val="22"/>
          <w:szCs w:val="22"/>
          <w:lang w:val="en-AU"/>
        </w:rPr>
        <w:t xml:space="preserve">wide range </w:t>
      </w:r>
      <w:r w:rsidR="004C77A9" w:rsidRPr="0045197C">
        <w:rPr>
          <w:rFonts w:asciiTheme="majorHAnsi" w:hAnsiTheme="majorHAnsi" w:cstheme="majorHAnsi"/>
          <w:color w:val="000000" w:themeColor="text1"/>
          <w:sz w:val="22"/>
          <w:szCs w:val="22"/>
          <w:lang w:val="en-AU"/>
        </w:rPr>
        <w:t xml:space="preserve">of </w:t>
      </w:r>
      <w:r w:rsidR="001F371B" w:rsidRPr="0045197C">
        <w:rPr>
          <w:rFonts w:asciiTheme="majorHAnsi" w:hAnsiTheme="majorHAnsi" w:cstheme="majorHAnsi"/>
          <w:color w:val="000000" w:themeColor="text1"/>
          <w:sz w:val="22"/>
          <w:szCs w:val="22"/>
          <w:lang w:val="en-AU"/>
        </w:rPr>
        <w:t xml:space="preserve">topics (figure </w:t>
      </w:r>
      <w:r w:rsidR="00B20787">
        <w:rPr>
          <w:rFonts w:asciiTheme="majorHAnsi" w:hAnsiTheme="majorHAnsi" w:cstheme="majorHAnsi"/>
          <w:color w:val="000000" w:themeColor="text1"/>
          <w:sz w:val="22"/>
          <w:szCs w:val="22"/>
          <w:lang w:val="en-AU"/>
        </w:rPr>
        <w:t>4</w:t>
      </w:r>
      <w:r w:rsidR="001F371B" w:rsidRPr="0045197C">
        <w:rPr>
          <w:rFonts w:asciiTheme="majorHAnsi" w:hAnsiTheme="majorHAnsi" w:cstheme="majorHAnsi"/>
          <w:color w:val="000000" w:themeColor="text1"/>
          <w:sz w:val="22"/>
          <w:szCs w:val="22"/>
          <w:lang w:val="en-AU"/>
        </w:rPr>
        <w:t>)</w:t>
      </w:r>
      <w:r w:rsidR="000D4ECB">
        <w:rPr>
          <w:rFonts w:asciiTheme="majorHAnsi" w:hAnsiTheme="majorHAnsi" w:cstheme="majorHAnsi"/>
          <w:color w:val="000000" w:themeColor="text1"/>
          <w:sz w:val="22"/>
          <w:szCs w:val="22"/>
          <w:lang w:val="en-AU"/>
        </w:rPr>
        <w:t xml:space="preserve">, </w:t>
      </w:r>
      <w:r w:rsidR="00193845">
        <w:rPr>
          <w:rFonts w:asciiTheme="majorHAnsi" w:hAnsiTheme="majorHAnsi" w:cstheme="majorHAnsi"/>
          <w:color w:val="000000" w:themeColor="text1"/>
          <w:sz w:val="22"/>
          <w:szCs w:val="22"/>
          <w:lang w:val="en-AU"/>
        </w:rPr>
        <w:t xml:space="preserve">some extending </w:t>
      </w:r>
      <w:r w:rsidR="00B20787">
        <w:rPr>
          <w:rFonts w:ascii="Calibri Light" w:hAnsi="Calibri Light" w:cs="Calibri Light"/>
          <w:sz w:val="22"/>
          <w:szCs w:val="22"/>
        </w:rPr>
        <w:t xml:space="preserve">beyond </w:t>
      </w:r>
      <w:r w:rsidR="00193845">
        <w:rPr>
          <w:rFonts w:ascii="Calibri Light" w:hAnsi="Calibri Light" w:cs="Calibri Light"/>
          <w:sz w:val="22"/>
          <w:szCs w:val="22"/>
        </w:rPr>
        <w:t>the</w:t>
      </w:r>
      <w:r w:rsidR="00B20787">
        <w:rPr>
          <w:rFonts w:ascii="Calibri Light" w:hAnsi="Calibri Light" w:cs="Calibri Light"/>
          <w:sz w:val="22"/>
          <w:szCs w:val="22"/>
        </w:rPr>
        <w:t xml:space="preserve"> conventional focus of a ‘justice program.’ This </w:t>
      </w:r>
      <w:r w:rsidR="00193845">
        <w:rPr>
          <w:rFonts w:ascii="Calibri Light" w:hAnsi="Calibri Light" w:cs="Calibri Light"/>
          <w:sz w:val="22"/>
          <w:szCs w:val="22"/>
        </w:rPr>
        <w:t xml:space="preserve">range </w:t>
      </w:r>
      <w:r w:rsidR="00B20787">
        <w:rPr>
          <w:rFonts w:ascii="Calibri Light" w:hAnsi="Calibri Light" w:cs="Calibri Light"/>
          <w:sz w:val="22"/>
          <w:szCs w:val="22"/>
        </w:rPr>
        <w:t>includes bilateral security cooperation and prevention of transnational crime and violent extremism, as well as a host of important law and justice issues pertinent in Indonesia. This spread has been partly by design and partly by circumstance, with DFAT requesting the Facility to take on new areas of programming given its flexibility.</w:t>
      </w:r>
      <w:r w:rsidR="00A16179">
        <w:rPr>
          <w:rFonts w:ascii="Calibri Light" w:hAnsi="Calibri Light" w:cs="Calibri Light"/>
          <w:sz w:val="22"/>
          <w:szCs w:val="22"/>
        </w:rPr>
        <w:t xml:space="preserve"> </w:t>
      </w:r>
    </w:p>
    <w:p w14:paraId="4DFA2448" w14:textId="5CE993F6" w:rsidR="001F371B" w:rsidRPr="0045197C" w:rsidRDefault="001F371B" w:rsidP="0045197C">
      <w:pPr>
        <w:pStyle w:val="ListParagraph"/>
        <w:tabs>
          <w:tab w:val="left" w:pos="567"/>
        </w:tabs>
        <w:spacing w:line="274" w:lineRule="auto"/>
        <w:ind w:left="567"/>
        <w:contextualSpacing w:val="0"/>
        <w:jc w:val="both"/>
        <w:rPr>
          <w:rFonts w:asciiTheme="majorHAnsi" w:hAnsiTheme="majorHAnsi" w:cstheme="majorHAnsi"/>
          <w:b/>
          <w:bCs/>
          <w:i/>
          <w:iCs/>
          <w:color w:val="000000" w:themeColor="text1"/>
          <w:sz w:val="21"/>
          <w:szCs w:val="21"/>
          <w:lang w:val="en-AU"/>
        </w:rPr>
      </w:pPr>
      <w:r w:rsidRPr="0045197C">
        <w:rPr>
          <w:rFonts w:asciiTheme="majorHAnsi" w:hAnsiTheme="majorHAnsi" w:cstheme="majorHAnsi"/>
          <w:color w:val="000000" w:themeColor="text1"/>
          <w:sz w:val="21"/>
          <w:szCs w:val="21"/>
          <w:lang w:val="en-AU"/>
        </w:rPr>
        <w:t xml:space="preserve">Figure </w:t>
      </w:r>
      <w:r w:rsidR="00B20787">
        <w:rPr>
          <w:rFonts w:asciiTheme="majorHAnsi" w:hAnsiTheme="majorHAnsi" w:cstheme="majorHAnsi"/>
          <w:color w:val="000000" w:themeColor="text1"/>
          <w:sz w:val="21"/>
          <w:szCs w:val="21"/>
          <w:lang w:val="en-AU"/>
        </w:rPr>
        <w:t>4</w:t>
      </w:r>
      <w:r w:rsidRPr="0045197C">
        <w:rPr>
          <w:rFonts w:asciiTheme="majorHAnsi" w:hAnsiTheme="majorHAnsi" w:cstheme="majorHAnsi"/>
          <w:color w:val="000000" w:themeColor="text1"/>
          <w:sz w:val="21"/>
          <w:szCs w:val="21"/>
          <w:lang w:val="en-AU"/>
        </w:rPr>
        <w:t>:</w:t>
      </w:r>
      <w:r w:rsidRPr="0045197C">
        <w:rPr>
          <w:rFonts w:asciiTheme="majorHAnsi" w:hAnsiTheme="majorHAnsi" w:cstheme="majorHAnsi"/>
          <w:b/>
          <w:bCs/>
          <w:color w:val="000000" w:themeColor="text1"/>
          <w:sz w:val="21"/>
          <w:szCs w:val="21"/>
          <w:lang w:val="en-AU"/>
        </w:rPr>
        <w:t xml:space="preserve"> AIPJ2 issue coverage</w:t>
      </w:r>
    </w:p>
    <w:p w14:paraId="465E66B9" w14:textId="7A3244A3" w:rsidR="004C77A9" w:rsidRPr="0045197C" w:rsidRDefault="001F371B" w:rsidP="0099741D">
      <w:pPr>
        <w:pStyle w:val="ListParagraph"/>
        <w:tabs>
          <w:tab w:val="left" w:pos="567"/>
        </w:tabs>
        <w:spacing w:line="274" w:lineRule="auto"/>
        <w:ind w:left="0"/>
        <w:contextualSpacing w:val="0"/>
        <w:jc w:val="both"/>
        <w:rPr>
          <w:rFonts w:asciiTheme="majorHAnsi" w:hAnsiTheme="majorHAnsi" w:cstheme="majorHAnsi"/>
          <w:i/>
          <w:iCs/>
          <w:color w:val="000000" w:themeColor="text1"/>
          <w:sz w:val="22"/>
          <w:szCs w:val="22"/>
          <w:lang w:val="en-AU"/>
        </w:rPr>
      </w:pPr>
      <w:r w:rsidRPr="0045197C">
        <w:rPr>
          <w:noProof/>
          <w:lang w:val="en-AU" w:eastAsia="en-AU"/>
        </w:rPr>
        <w:drawing>
          <wp:inline distT="0" distB="0" distL="0" distR="0" wp14:anchorId="75801FFE" wp14:editId="4F583A00">
            <wp:extent cx="4468633" cy="3315335"/>
            <wp:effectExtent l="0" t="38100" r="8255" b="1841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4C77A9" w:rsidRPr="0045197C">
        <w:rPr>
          <w:rFonts w:asciiTheme="majorHAnsi" w:hAnsiTheme="majorHAnsi" w:cstheme="majorHAnsi"/>
          <w:color w:val="000000" w:themeColor="text1"/>
          <w:sz w:val="22"/>
          <w:szCs w:val="22"/>
          <w:lang w:val="en-AU"/>
        </w:rPr>
        <w:t xml:space="preserve">  </w:t>
      </w:r>
    </w:p>
    <w:p w14:paraId="4DEC1CEC" w14:textId="6E6E8500" w:rsidR="0025724E" w:rsidRPr="0045197C" w:rsidRDefault="00A16179"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Pr>
          <w:rFonts w:asciiTheme="majorHAnsi" w:hAnsiTheme="majorHAnsi" w:cstheme="majorHAnsi"/>
          <w:color w:val="000000" w:themeColor="text1"/>
          <w:sz w:val="22"/>
          <w:szCs w:val="22"/>
          <w:lang w:val="en-AU"/>
        </w:rPr>
        <w:t xml:space="preserve"> </w:t>
      </w:r>
      <w:r w:rsidR="000D4ECB">
        <w:rPr>
          <w:rFonts w:ascii="Calibri Light" w:hAnsi="Calibri Light" w:cs="Calibri Light"/>
          <w:sz w:val="22"/>
          <w:szCs w:val="22"/>
        </w:rPr>
        <w:t>This set up has been a strategic way to test areas for reform in the first half of AIPJ2.</w:t>
      </w:r>
      <w:r>
        <w:rPr>
          <w:rFonts w:ascii="Calibri Light" w:hAnsi="Calibri Light" w:cs="Calibri Light"/>
          <w:sz w:val="22"/>
          <w:szCs w:val="22"/>
        </w:rPr>
        <w:t xml:space="preserve"> </w:t>
      </w:r>
      <w:r w:rsidR="000D4ECB" w:rsidRPr="007C4038">
        <w:rPr>
          <w:rFonts w:asciiTheme="majorHAnsi" w:hAnsiTheme="majorHAnsi" w:cstheme="majorHAnsi"/>
          <w:color w:val="000000" w:themeColor="text1"/>
          <w:sz w:val="22"/>
          <w:szCs w:val="22"/>
        </w:rPr>
        <w:t xml:space="preserve">However, the </w:t>
      </w:r>
      <w:r w:rsidR="000D4ECB">
        <w:rPr>
          <w:rFonts w:asciiTheme="majorHAnsi" w:hAnsiTheme="majorHAnsi" w:cstheme="majorHAnsi"/>
          <w:color w:val="000000" w:themeColor="text1"/>
          <w:sz w:val="22"/>
          <w:szCs w:val="22"/>
        </w:rPr>
        <w:t>review</w:t>
      </w:r>
      <w:r w:rsidR="000D4ECB" w:rsidRPr="007C4038">
        <w:rPr>
          <w:rFonts w:asciiTheme="majorHAnsi" w:hAnsiTheme="majorHAnsi" w:cstheme="majorHAnsi"/>
          <w:color w:val="000000" w:themeColor="text1"/>
          <w:sz w:val="22"/>
          <w:szCs w:val="22"/>
        </w:rPr>
        <w:t xml:space="preserve"> team’s concern is </w:t>
      </w:r>
      <w:r w:rsidR="00757592">
        <w:rPr>
          <w:rFonts w:asciiTheme="majorHAnsi" w:hAnsiTheme="majorHAnsi" w:cstheme="majorHAnsi"/>
          <w:color w:val="000000" w:themeColor="text1"/>
          <w:sz w:val="22"/>
          <w:szCs w:val="22"/>
        </w:rPr>
        <w:t xml:space="preserve">how AIPJ2 can </w:t>
      </w:r>
      <w:r w:rsidR="00193845">
        <w:rPr>
          <w:rFonts w:asciiTheme="majorHAnsi" w:hAnsiTheme="majorHAnsi" w:cstheme="majorHAnsi"/>
          <w:color w:val="000000" w:themeColor="text1"/>
          <w:sz w:val="22"/>
          <w:szCs w:val="22"/>
        </w:rPr>
        <w:t xml:space="preserve">now </w:t>
      </w:r>
      <w:r w:rsidR="00757592">
        <w:rPr>
          <w:rFonts w:asciiTheme="majorHAnsi" w:hAnsiTheme="majorHAnsi" w:cstheme="majorHAnsi"/>
          <w:color w:val="000000" w:themeColor="text1"/>
          <w:sz w:val="22"/>
          <w:szCs w:val="22"/>
        </w:rPr>
        <w:t>capitalise</w:t>
      </w:r>
      <w:r w:rsidR="00757592">
        <w:rPr>
          <w:rFonts w:ascii="Calibri Light" w:hAnsi="Calibri Light" w:cs="Calibri Light"/>
          <w:sz w:val="22"/>
          <w:szCs w:val="22"/>
        </w:rPr>
        <w:t xml:space="preserve"> </w:t>
      </w:r>
      <w:r w:rsidR="000D4ECB">
        <w:rPr>
          <w:rFonts w:ascii="Calibri Light" w:hAnsi="Calibri Light" w:cs="Calibri Light"/>
          <w:sz w:val="22"/>
          <w:szCs w:val="22"/>
        </w:rPr>
        <w:t xml:space="preserve">on </w:t>
      </w:r>
      <w:r w:rsidR="00193845">
        <w:rPr>
          <w:rFonts w:ascii="Calibri Light" w:hAnsi="Calibri Light" w:cs="Calibri Light"/>
          <w:sz w:val="22"/>
          <w:szCs w:val="22"/>
        </w:rPr>
        <w:t xml:space="preserve">this scoping and </w:t>
      </w:r>
      <w:r w:rsidR="00757592">
        <w:rPr>
          <w:rFonts w:ascii="Calibri Light" w:hAnsi="Calibri Light" w:cs="Calibri Light"/>
          <w:sz w:val="22"/>
          <w:szCs w:val="22"/>
        </w:rPr>
        <w:t xml:space="preserve">its </w:t>
      </w:r>
      <w:r w:rsidR="000D4ECB">
        <w:rPr>
          <w:rFonts w:ascii="Calibri Light" w:hAnsi="Calibri Light" w:cs="Calibri Light"/>
          <w:sz w:val="22"/>
          <w:szCs w:val="22"/>
        </w:rPr>
        <w:t xml:space="preserve">successes to date to </w:t>
      </w:r>
      <w:r w:rsidR="00757592">
        <w:rPr>
          <w:rFonts w:ascii="Calibri Light" w:hAnsi="Calibri Light" w:cs="Calibri Light"/>
          <w:sz w:val="22"/>
          <w:szCs w:val="22"/>
        </w:rPr>
        <w:t xml:space="preserve">support </w:t>
      </w:r>
      <w:r w:rsidR="000D4ECB">
        <w:rPr>
          <w:rFonts w:ascii="Calibri Light" w:hAnsi="Calibri Light" w:cs="Calibri Light"/>
          <w:sz w:val="22"/>
          <w:szCs w:val="22"/>
        </w:rPr>
        <w:t xml:space="preserve">tangible results beyond </w:t>
      </w:r>
      <w:r w:rsidR="00757592">
        <w:rPr>
          <w:rFonts w:ascii="Calibri Light" w:hAnsi="Calibri Light" w:cs="Calibri Light"/>
          <w:sz w:val="22"/>
          <w:szCs w:val="22"/>
        </w:rPr>
        <w:t xml:space="preserve">a change in </w:t>
      </w:r>
      <w:r w:rsidR="000D4ECB" w:rsidRPr="0045197C">
        <w:rPr>
          <w:rFonts w:asciiTheme="majorHAnsi" w:hAnsiTheme="majorHAnsi" w:cstheme="majorHAnsi"/>
          <w:color w:val="000000" w:themeColor="text1"/>
          <w:sz w:val="22"/>
          <w:szCs w:val="22"/>
          <w:lang w:val="en-AU"/>
        </w:rPr>
        <w:t>policy</w:t>
      </w:r>
      <w:r w:rsidR="00757592">
        <w:rPr>
          <w:rFonts w:asciiTheme="majorHAnsi" w:hAnsiTheme="majorHAnsi" w:cstheme="majorHAnsi"/>
          <w:color w:val="000000" w:themeColor="text1"/>
          <w:sz w:val="22"/>
          <w:szCs w:val="22"/>
          <w:lang w:val="en-AU"/>
        </w:rPr>
        <w:t xml:space="preserve"> or the law</w:t>
      </w:r>
      <w:r w:rsidR="00757592">
        <w:rPr>
          <w:rFonts w:ascii="Calibri Light" w:hAnsi="Calibri Light" w:cs="Calibri Light"/>
          <w:sz w:val="22"/>
          <w:szCs w:val="22"/>
        </w:rPr>
        <w:t>.</w:t>
      </w:r>
      <w:r>
        <w:rPr>
          <w:rFonts w:ascii="Calibri Light" w:hAnsi="Calibri Light" w:cs="Calibri Light"/>
          <w:sz w:val="22"/>
          <w:szCs w:val="22"/>
        </w:rPr>
        <w:t xml:space="preserve"> </w:t>
      </w:r>
      <w:r w:rsidR="00757592">
        <w:rPr>
          <w:rFonts w:ascii="Calibri Light" w:hAnsi="Calibri Light" w:cs="Calibri Light"/>
          <w:sz w:val="22"/>
          <w:szCs w:val="22"/>
        </w:rPr>
        <w:t xml:space="preserve">This </w:t>
      </w:r>
      <w:r w:rsidR="000D4ECB">
        <w:rPr>
          <w:rFonts w:ascii="Calibri Light" w:hAnsi="Calibri Light" w:cs="Calibri Light"/>
          <w:sz w:val="22"/>
          <w:szCs w:val="22"/>
        </w:rPr>
        <w:t xml:space="preserve">will </w:t>
      </w:r>
      <w:r w:rsidR="00757592">
        <w:rPr>
          <w:rFonts w:ascii="Calibri Light" w:hAnsi="Calibri Light" w:cs="Calibri Light"/>
          <w:sz w:val="22"/>
          <w:szCs w:val="22"/>
        </w:rPr>
        <w:t xml:space="preserve">most likely </w:t>
      </w:r>
      <w:r w:rsidR="000D4ECB">
        <w:rPr>
          <w:rFonts w:ascii="Calibri Light" w:hAnsi="Calibri Light" w:cs="Calibri Light"/>
          <w:sz w:val="22"/>
          <w:szCs w:val="22"/>
        </w:rPr>
        <w:t xml:space="preserve">require </w:t>
      </w:r>
      <w:r w:rsidR="00757592">
        <w:rPr>
          <w:rFonts w:ascii="Calibri Light" w:hAnsi="Calibri Light" w:cs="Calibri Light"/>
          <w:sz w:val="22"/>
          <w:szCs w:val="22"/>
        </w:rPr>
        <w:t xml:space="preserve">greater </w:t>
      </w:r>
      <w:r w:rsidR="000D4ECB">
        <w:rPr>
          <w:rFonts w:ascii="Calibri Light" w:hAnsi="Calibri Light" w:cs="Calibri Light"/>
          <w:sz w:val="22"/>
          <w:szCs w:val="22"/>
        </w:rPr>
        <w:t>focus</w:t>
      </w:r>
      <w:r w:rsidR="00C7374E">
        <w:rPr>
          <w:rFonts w:ascii="Calibri Light" w:hAnsi="Calibri Light" w:cs="Calibri Light"/>
          <w:sz w:val="22"/>
          <w:szCs w:val="22"/>
        </w:rPr>
        <w:t xml:space="preserve"> </w:t>
      </w:r>
      <w:r w:rsidR="000D4ECB">
        <w:rPr>
          <w:rFonts w:ascii="Calibri Light" w:hAnsi="Calibri Light" w:cs="Calibri Light"/>
          <w:sz w:val="22"/>
          <w:szCs w:val="22"/>
        </w:rPr>
        <w:t xml:space="preserve">on </w:t>
      </w:r>
      <w:r w:rsidR="00CC1B75">
        <w:rPr>
          <w:rFonts w:ascii="Calibri Light" w:hAnsi="Calibri Light" w:cs="Calibri Light"/>
          <w:sz w:val="22"/>
          <w:szCs w:val="22"/>
        </w:rPr>
        <w:t xml:space="preserve">a more limited number of </w:t>
      </w:r>
      <w:r w:rsidR="00C7374E">
        <w:rPr>
          <w:rFonts w:ascii="Calibri Light" w:hAnsi="Calibri Light" w:cs="Calibri Light"/>
          <w:sz w:val="22"/>
          <w:szCs w:val="22"/>
        </w:rPr>
        <w:t>ar</w:t>
      </w:r>
      <w:r w:rsidR="000D4ECB">
        <w:rPr>
          <w:rFonts w:ascii="Calibri Light" w:hAnsi="Calibri Light" w:cs="Calibri Light"/>
          <w:sz w:val="22"/>
          <w:szCs w:val="22"/>
        </w:rPr>
        <w:t xml:space="preserve">eas where the Partnership </w:t>
      </w:r>
      <w:r w:rsidR="00CC1B75">
        <w:rPr>
          <w:rFonts w:ascii="Calibri Light" w:hAnsi="Calibri Light" w:cs="Calibri Light"/>
          <w:sz w:val="22"/>
          <w:szCs w:val="22"/>
        </w:rPr>
        <w:t xml:space="preserve">feels it can most effectively </w:t>
      </w:r>
      <w:r w:rsidR="000D4ECB">
        <w:rPr>
          <w:rFonts w:ascii="Calibri Light" w:hAnsi="Calibri Light" w:cs="Calibri Light"/>
          <w:sz w:val="22"/>
          <w:szCs w:val="22"/>
        </w:rPr>
        <w:t>carry through its policy level work to support meaningful implementation.</w:t>
      </w:r>
      <w:r w:rsidR="00C7374E">
        <w:rPr>
          <w:rFonts w:ascii="Calibri Light" w:hAnsi="Calibri Light" w:cs="Calibri Light"/>
          <w:sz w:val="22"/>
          <w:szCs w:val="22"/>
        </w:rPr>
        <w:t xml:space="preserve"> </w:t>
      </w:r>
      <w:r w:rsidR="0025724E">
        <w:rPr>
          <w:rFonts w:ascii="Calibri Light" w:hAnsi="Calibri Light" w:cs="Calibri Light"/>
          <w:sz w:val="22"/>
          <w:szCs w:val="22"/>
        </w:rPr>
        <w:t xml:space="preserve">Given this would require resources, it </w:t>
      </w:r>
      <w:r w:rsidR="00CC1B75">
        <w:rPr>
          <w:rFonts w:ascii="Calibri Light" w:hAnsi="Calibri Light" w:cs="Calibri Light"/>
          <w:sz w:val="22"/>
          <w:szCs w:val="22"/>
        </w:rPr>
        <w:t xml:space="preserve">also means </w:t>
      </w:r>
      <w:r w:rsidR="0025724E">
        <w:rPr>
          <w:rFonts w:ascii="Calibri Light" w:hAnsi="Calibri Light" w:cs="Calibri Light"/>
          <w:sz w:val="22"/>
          <w:szCs w:val="22"/>
        </w:rPr>
        <w:t xml:space="preserve">either some additional resources for AIPJ2 – which it </w:t>
      </w:r>
      <w:r w:rsidR="0025724E">
        <w:rPr>
          <w:rFonts w:ascii="Calibri Light" w:hAnsi="Calibri Light" w:cs="Calibri Light"/>
          <w:color w:val="000000" w:themeColor="text1"/>
          <w:sz w:val="22"/>
          <w:szCs w:val="22"/>
        </w:rPr>
        <w:t>almost certainly could effectively utilise – or reallocation from within AIPJ2.</w:t>
      </w:r>
      <w:r>
        <w:rPr>
          <w:rFonts w:ascii="Calibri Light" w:hAnsi="Calibri Light" w:cs="Calibri Light"/>
          <w:color w:val="000000" w:themeColor="text1"/>
          <w:sz w:val="22"/>
          <w:szCs w:val="22"/>
        </w:rPr>
        <w:t xml:space="preserve"> </w:t>
      </w:r>
    </w:p>
    <w:p w14:paraId="221ABB25" w14:textId="1C562E9D" w:rsidR="000D4ECB" w:rsidRPr="003A1674" w:rsidRDefault="000D4ECB"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Calibri Light" w:hAnsi="Calibri Light" w:cs="Calibri Light"/>
          <w:sz w:val="22"/>
          <w:szCs w:val="22"/>
        </w:rPr>
        <w:t xml:space="preserve">A smaller </w:t>
      </w:r>
      <w:r w:rsidRPr="007C4038">
        <w:rPr>
          <w:rFonts w:asciiTheme="majorHAnsi" w:hAnsiTheme="majorHAnsi" w:cstheme="majorHAnsi"/>
          <w:color w:val="000000" w:themeColor="text1"/>
          <w:sz w:val="22"/>
          <w:szCs w:val="22"/>
        </w:rPr>
        <w:t xml:space="preserve">range of programming </w:t>
      </w:r>
      <w:r w:rsidR="0025724E">
        <w:rPr>
          <w:rFonts w:asciiTheme="majorHAnsi" w:hAnsiTheme="majorHAnsi" w:cstheme="majorHAnsi"/>
          <w:color w:val="000000" w:themeColor="text1"/>
          <w:sz w:val="22"/>
          <w:szCs w:val="22"/>
        </w:rPr>
        <w:t>w</w:t>
      </w:r>
      <w:r w:rsidRPr="007C4038">
        <w:rPr>
          <w:rFonts w:asciiTheme="majorHAnsi" w:hAnsiTheme="majorHAnsi" w:cstheme="majorHAnsi"/>
          <w:color w:val="000000" w:themeColor="text1"/>
          <w:sz w:val="22"/>
          <w:szCs w:val="22"/>
        </w:rPr>
        <w:t xml:space="preserve">ould also improve AIPJ2’s capacity to operate adaptively and flexibly. </w:t>
      </w:r>
      <w:r w:rsidRPr="0045197C">
        <w:rPr>
          <w:rFonts w:asciiTheme="majorHAnsi" w:hAnsiTheme="majorHAnsi" w:cstheme="majorHAnsi"/>
          <w:color w:val="000000" w:themeColor="text1"/>
          <w:sz w:val="22"/>
          <w:szCs w:val="22"/>
        </w:rPr>
        <w:t xml:space="preserve">A wide </w:t>
      </w:r>
      <w:r w:rsidRPr="0045197C">
        <w:rPr>
          <w:rFonts w:asciiTheme="majorHAnsi" w:hAnsiTheme="majorHAnsi" w:cstheme="majorHAnsi"/>
          <w:color w:val="000000" w:themeColor="text1"/>
          <w:sz w:val="22"/>
          <w:szCs w:val="22"/>
          <w:lang w:val="en-AU"/>
        </w:rPr>
        <w:t>range</w:t>
      </w:r>
      <w:r w:rsidRPr="0045197C">
        <w:rPr>
          <w:rFonts w:asciiTheme="majorHAnsi" w:hAnsiTheme="majorHAnsi" w:cstheme="majorHAnsi"/>
          <w:color w:val="000000" w:themeColor="text1"/>
          <w:sz w:val="22"/>
          <w:szCs w:val="22"/>
        </w:rPr>
        <w:t xml:space="preserve"> of engagements necessarily increases the challenge involved in strategi</w:t>
      </w:r>
      <w:r w:rsidR="00085D01">
        <w:rPr>
          <w:rFonts w:asciiTheme="majorHAnsi" w:hAnsiTheme="majorHAnsi" w:cstheme="majorHAnsi"/>
          <w:color w:val="000000" w:themeColor="text1"/>
          <w:sz w:val="22"/>
          <w:szCs w:val="22"/>
        </w:rPr>
        <w:t>s</w:t>
      </w:r>
      <w:r w:rsidRPr="0045197C">
        <w:rPr>
          <w:rFonts w:asciiTheme="majorHAnsi" w:hAnsiTheme="majorHAnsi" w:cstheme="majorHAnsi"/>
          <w:color w:val="000000" w:themeColor="text1"/>
          <w:sz w:val="22"/>
          <w:szCs w:val="22"/>
        </w:rPr>
        <w:t xml:space="preserve">ing and </w:t>
      </w:r>
      <w:r w:rsidRPr="003A1674">
        <w:rPr>
          <w:rFonts w:asciiTheme="majorHAnsi" w:hAnsiTheme="majorHAnsi" w:cstheme="majorHAnsi"/>
          <w:color w:val="000000" w:themeColor="text1"/>
          <w:sz w:val="22"/>
          <w:szCs w:val="22"/>
        </w:rPr>
        <w:t xml:space="preserve">assessing </w:t>
      </w:r>
      <w:r w:rsidR="00BD55A5" w:rsidRPr="003A1674">
        <w:rPr>
          <w:rFonts w:asciiTheme="majorHAnsi" w:hAnsiTheme="majorHAnsi" w:cstheme="majorHAnsi"/>
          <w:color w:val="000000" w:themeColor="text1"/>
          <w:sz w:val="22"/>
          <w:szCs w:val="22"/>
        </w:rPr>
        <w:t>–</w:t>
      </w:r>
      <w:r w:rsidRPr="003A1674">
        <w:rPr>
          <w:rFonts w:asciiTheme="majorHAnsi" w:hAnsiTheme="majorHAnsi" w:cstheme="majorHAnsi"/>
          <w:color w:val="000000" w:themeColor="text1"/>
          <w:sz w:val="22"/>
          <w:szCs w:val="22"/>
        </w:rPr>
        <w:t xml:space="preserve"> considered important for adaptive programs in complex contexts </w:t>
      </w:r>
      <w:r w:rsidR="00BD55A5" w:rsidRPr="003A1674">
        <w:rPr>
          <w:rFonts w:asciiTheme="majorHAnsi" w:hAnsiTheme="majorHAnsi" w:cstheme="majorHAnsi"/>
          <w:color w:val="000000" w:themeColor="text1"/>
          <w:sz w:val="22"/>
          <w:szCs w:val="22"/>
        </w:rPr>
        <w:t>–</w:t>
      </w:r>
      <w:r w:rsidRPr="003A1674">
        <w:rPr>
          <w:rFonts w:asciiTheme="majorHAnsi" w:hAnsiTheme="majorHAnsi" w:cstheme="majorHAnsi"/>
          <w:color w:val="000000" w:themeColor="text1"/>
          <w:sz w:val="22"/>
          <w:szCs w:val="22"/>
        </w:rPr>
        <w:t xml:space="preserve"> while simultaneously reducing the AIPJ2’s capacity to undertake this.</w:t>
      </w:r>
      <w:r w:rsidR="00A16179" w:rsidRPr="003A1674">
        <w:rPr>
          <w:rFonts w:asciiTheme="majorHAnsi" w:hAnsiTheme="majorHAnsi" w:cstheme="majorHAnsi"/>
          <w:color w:val="000000" w:themeColor="text1"/>
          <w:sz w:val="22"/>
          <w:szCs w:val="22"/>
        </w:rPr>
        <w:t xml:space="preserve"> </w:t>
      </w:r>
      <w:r w:rsidRPr="003A1674">
        <w:rPr>
          <w:rFonts w:asciiTheme="majorHAnsi" w:hAnsiTheme="majorHAnsi" w:cstheme="majorHAnsi"/>
          <w:color w:val="000000" w:themeColor="text1"/>
          <w:sz w:val="22"/>
          <w:szCs w:val="22"/>
        </w:rPr>
        <w:t>With a limited budget, it also necessarily reduces the headroom to intensify the depth of engagement when opportunity presents itself or when deemed necessary to build on policy change and secure substantive improvement in practices.</w:t>
      </w:r>
      <w:r w:rsidR="00A16179" w:rsidRPr="003A1674">
        <w:rPr>
          <w:rFonts w:asciiTheme="majorHAnsi" w:hAnsiTheme="majorHAnsi" w:cstheme="majorHAnsi"/>
          <w:color w:val="000000" w:themeColor="text1"/>
          <w:sz w:val="22"/>
          <w:szCs w:val="22"/>
        </w:rPr>
        <w:t xml:space="preserve"> </w:t>
      </w:r>
      <w:r w:rsidR="00C7374E" w:rsidRPr="003A1674">
        <w:rPr>
          <w:rFonts w:asciiTheme="majorHAnsi" w:hAnsiTheme="majorHAnsi" w:cstheme="majorHAnsi"/>
          <w:color w:val="000000" w:themeColor="text1"/>
          <w:sz w:val="22"/>
          <w:szCs w:val="22"/>
        </w:rPr>
        <w:t xml:space="preserve">And, as discussed above, it also creates challenges for effectively communicating the </w:t>
      </w:r>
      <w:r w:rsidR="00355A4D" w:rsidRPr="003A1674">
        <w:rPr>
          <w:rFonts w:asciiTheme="majorHAnsi" w:hAnsiTheme="majorHAnsi" w:cstheme="majorHAnsi"/>
          <w:color w:val="000000" w:themeColor="text1"/>
          <w:sz w:val="22"/>
          <w:szCs w:val="22"/>
        </w:rPr>
        <w:t>Partnership</w:t>
      </w:r>
      <w:r w:rsidR="00C7374E" w:rsidRPr="003A1674">
        <w:rPr>
          <w:rFonts w:asciiTheme="majorHAnsi" w:hAnsiTheme="majorHAnsi" w:cstheme="majorHAnsi"/>
          <w:color w:val="000000" w:themeColor="text1"/>
          <w:sz w:val="22"/>
          <w:szCs w:val="22"/>
        </w:rPr>
        <w:t>.</w:t>
      </w:r>
    </w:p>
    <w:p w14:paraId="0F4C3589" w14:textId="11230FBA" w:rsidR="00C7374E" w:rsidRPr="003A1674" w:rsidRDefault="00355A4D"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i/>
          <w:iCs/>
          <w:color w:val="000000" w:themeColor="text1"/>
          <w:sz w:val="22"/>
          <w:szCs w:val="22"/>
          <w:lang w:val="en-AU"/>
        </w:rPr>
      </w:pPr>
      <w:r w:rsidRPr="003A1674">
        <w:rPr>
          <w:rFonts w:ascii="Calibri Light" w:hAnsi="Calibri Light" w:cs="Calibri Light"/>
          <w:sz w:val="22"/>
          <w:szCs w:val="22"/>
        </w:rPr>
        <w:t xml:space="preserve">That being said, while identifying a narrower set of priorities to follow through </w:t>
      </w:r>
      <w:r w:rsidR="0025724E" w:rsidRPr="003A1674">
        <w:rPr>
          <w:rFonts w:ascii="Calibri Light" w:hAnsi="Calibri Light" w:cs="Calibri Light"/>
          <w:sz w:val="22"/>
          <w:szCs w:val="22"/>
        </w:rPr>
        <w:t xml:space="preserve">on </w:t>
      </w:r>
      <w:r w:rsidRPr="003A1674">
        <w:rPr>
          <w:rFonts w:ascii="Calibri Light" w:hAnsi="Calibri Light" w:cs="Calibri Light"/>
          <w:sz w:val="22"/>
          <w:szCs w:val="22"/>
        </w:rPr>
        <w:t>is likely</w:t>
      </w:r>
      <w:r w:rsidR="0025724E" w:rsidRPr="003A1674">
        <w:rPr>
          <w:rFonts w:ascii="Calibri Light" w:hAnsi="Calibri Light" w:cs="Calibri Light"/>
          <w:sz w:val="22"/>
          <w:szCs w:val="22"/>
        </w:rPr>
        <w:t xml:space="preserve"> to be an important</w:t>
      </w:r>
      <w:r w:rsidRPr="003A1674">
        <w:rPr>
          <w:rFonts w:ascii="Calibri Light" w:hAnsi="Calibri Light" w:cs="Calibri Light"/>
          <w:sz w:val="22"/>
          <w:szCs w:val="22"/>
        </w:rPr>
        <w:t xml:space="preserve"> </w:t>
      </w:r>
      <w:r w:rsidR="0025724E" w:rsidRPr="003A1674">
        <w:rPr>
          <w:rFonts w:ascii="Calibri Light" w:hAnsi="Calibri Light" w:cs="Calibri Light"/>
          <w:sz w:val="22"/>
          <w:szCs w:val="22"/>
        </w:rPr>
        <w:t xml:space="preserve">part of </w:t>
      </w:r>
      <w:r w:rsidRPr="003A1674">
        <w:rPr>
          <w:rFonts w:ascii="Calibri Light" w:hAnsi="Calibri Light" w:cs="Calibri Light"/>
          <w:sz w:val="22"/>
          <w:szCs w:val="22"/>
        </w:rPr>
        <w:t xml:space="preserve">maximising results, AIPJ2 </w:t>
      </w:r>
      <w:r w:rsidR="0025724E" w:rsidRPr="003A1674">
        <w:rPr>
          <w:rFonts w:ascii="Calibri Light" w:hAnsi="Calibri Light" w:cs="Calibri Light"/>
          <w:sz w:val="22"/>
          <w:szCs w:val="22"/>
        </w:rPr>
        <w:t xml:space="preserve">also needs to </w:t>
      </w:r>
      <w:r w:rsidRPr="003A1674">
        <w:rPr>
          <w:rFonts w:ascii="Calibri Light" w:hAnsi="Calibri Light" w:cs="Calibri Light"/>
          <w:sz w:val="22"/>
          <w:szCs w:val="22"/>
        </w:rPr>
        <w:t>retain sufficient flexibility (and resources) to be able to be responsive to unforeseen opportunities</w:t>
      </w:r>
      <w:r w:rsidR="00BD55A5" w:rsidRPr="003A1674">
        <w:rPr>
          <w:rFonts w:ascii="Calibri Light" w:hAnsi="Calibri Light" w:cs="Calibri Light"/>
          <w:sz w:val="22"/>
          <w:szCs w:val="22"/>
        </w:rPr>
        <w:t xml:space="preserve"> that may emerge</w:t>
      </w:r>
      <w:r w:rsidRPr="003A1674">
        <w:rPr>
          <w:rFonts w:ascii="Calibri Light" w:hAnsi="Calibri Light" w:cs="Calibri Light"/>
          <w:sz w:val="22"/>
          <w:szCs w:val="22"/>
        </w:rPr>
        <w:t xml:space="preserve">. For instance, plans to broaden engagement on women in contact with the law to the </w:t>
      </w:r>
      <w:r w:rsidR="003A1674" w:rsidRPr="003A1674">
        <w:rPr>
          <w:rFonts w:ascii="Calibri Light" w:hAnsi="Calibri Light" w:cs="Calibri Light"/>
          <w:sz w:val="22"/>
          <w:szCs w:val="22"/>
        </w:rPr>
        <w:t>Indonesia National Police</w:t>
      </w:r>
      <w:r w:rsidRPr="003A1674">
        <w:rPr>
          <w:rFonts w:ascii="Calibri Light" w:hAnsi="Calibri Light" w:cs="Calibri Light"/>
          <w:sz w:val="22"/>
          <w:szCs w:val="22"/>
        </w:rPr>
        <w:t xml:space="preserve"> and Attorney General’s Office are welcome – they not only fit neatly with </w:t>
      </w:r>
      <w:r w:rsidR="0025724E" w:rsidRPr="003A1674">
        <w:rPr>
          <w:rFonts w:ascii="Calibri Light" w:hAnsi="Calibri Light" w:cs="Calibri Light"/>
          <w:sz w:val="22"/>
          <w:szCs w:val="22"/>
        </w:rPr>
        <w:t xml:space="preserve">the Indonesian Government’s </w:t>
      </w:r>
      <w:r w:rsidRPr="003A1674">
        <w:rPr>
          <w:rFonts w:ascii="Calibri Light" w:hAnsi="Calibri Light" w:cs="Calibri Light"/>
          <w:sz w:val="22"/>
          <w:szCs w:val="22"/>
        </w:rPr>
        <w:t>priorit</w:t>
      </w:r>
      <w:r w:rsidR="0025724E" w:rsidRPr="003A1674">
        <w:rPr>
          <w:rFonts w:ascii="Calibri Light" w:hAnsi="Calibri Light" w:cs="Calibri Light"/>
          <w:sz w:val="22"/>
          <w:szCs w:val="22"/>
        </w:rPr>
        <w:t>y</w:t>
      </w:r>
      <w:r w:rsidRPr="003A1674">
        <w:rPr>
          <w:rFonts w:ascii="Calibri Light" w:hAnsi="Calibri Light" w:cs="Calibri Light"/>
          <w:sz w:val="22"/>
          <w:szCs w:val="22"/>
        </w:rPr>
        <w:t xml:space="preserve"> of the integrated criminal justice system but also pave the way to delivering more meaningful impact for women than working on just the courts in isolation.</w:t>
      </w:r>
    </w:p>
    <w:p w14:paraId="11C5CA4C" w14:textId="0A658EE3" w:rsidR="0071098B" w:rsidRPr="003A1674" w:rsidRDefault="0025724E" w:rsidP="003A1674">
      <w:pPr>
        <w:pStyle w:val="ListParagraph"/>
        <w:numPr>
          <w:ilvl w:val="2"/>
          <w:numId w:val="3"/>
        </w:numPr>
        <w:tabs>
          <w:tab w:val="left" w:pos="567"/>
          <w:tab w:val="left" w:pos="3969"/>
        </w:tabs>
        <w:spacing w:line="274" w:lineRule="auto"/>
        <w:contextualSpacing w:val="0"/>
        <w:rPr>
          <w:rFonts w:asciiTheme="majorHAnsi" w:hAnsiTheme="majorHAnsi" w:cstheme="majorHAnsi"/>
          <w:b/>
          <w:bCs/>
          <w:i/>
          <w:iCs/>
          <w:color w:val="000000" w:themeColor="text1"/>
          <w:sz w:val="22"/>
          <w:szCs w:val="22"/>
          <w:lang w:val="en-AU"/>
        </w:rPr>
      </w:pPr>
      <w:r w:rsidRPr="003A1674">
        <w:rPr>
          <w:rFonts w:asciiTheme="majorHAnsi" w:hAnsiTheme="majorHAnsi" w:cstheme="majorHAnsi"/>
          <w:color w:val="000000" w:themeColor="text1"/>
          <w:sz w:val="22"/>
          <w:szCs w:val="22"/>
          <w:lang w:val="en-AU"/>
        </w:rPr>
        <w:t>The conundrum could be addressed to some extent</w:t>
      </w:r>
      <w:r w:rsidR="007956CC" w:rsidRPr="003A1674">
        <w:rPr>
          <w:rFonts w:asciiTheme="majorHAnsi" w:hAnsiTheme="majorHAnsi" w:cstheme="majorHAnsi"/>
          <w:color w:val="000000" w:themeColor="text1"/>
          <w:sz w:val="22"/>
          <w:szCs w:val="22"/>
          <w:lang w:val="en-AU"/>
        </w:rPr>
        <w:t xml:space="preserve"> </w:t>
      </w:r>
      <w:r w:rsidRPr="003A1674">
        <w:rPr>
          <w:rFonts w:asciiTheme="majorHAnsi" w:hAnsiTheme="majorHAnsi" w:cstheme="majorHAnsi"/>
          <w:color w:val="000000" w:themeColor="text1"/>
          <w:sz w:val="22"/>
          <w:szCs w:val="22"/>
          <w:lang w:val="en-AU"/>
        </w:rPr>
        <w:t>by a more problem-oriented approach.</w:t>
      </w:r>
      <w:r w:rsidR="00A16179" w:rsidRPr="003A1674">
        <w:rPr>
          <w:rFonts w:asciiTheme="majorHAnsi" w:hAnsiTheme="majorHAnsi" w:cstheme="majorHAnsi"/>
          <w:color w:val="000000" w:themeColor="text1"/>
          <w:sz w:val="22"/>
          <w:szCs w:val="22"/>
          <w:lang w:val="en-AU"/>
        </w:rPr>
        <w:t xml:space="preserve"> </w:t>
      </w:r>
      <w:r w:rsidRPr="003A1674">
        <w:rPr>
          <w:rFonts w:asciiTheme="majorHAnsi" w:hAnsiTheme="majorHAnsi" w:cstheme="majorHAnsi"/>
          <w:color w:val="000000" w:themeColor="text1"/>
          <w:sz w:val="22"/>
          <w:szCs w:val="22"/>
          <w:lang w:val="en-AU"/>
        </w:rPr>
        <w:t xml:space="preserve">The problem of </w:t>
      </w:r>
      <w:r w:rsidRPr="003A1674">
        <w:rPr>
          <w:rFonts w:ascii="Calibri Light" w:hAnsi="Calibri Light" w:cs="Calibri Light"/>
          <w:sz w:val="22"/>
          <w:szCs w:val="22"/>
        </w:rPr>
        <w:t>prison</w:t>
      </w:r>
      <w:r w:rsidRPr="003A1674">
        <w:rPr>
          <w:rFonts w:asciiTheme="majorHAnsi" w:hAnsiTheme="majorHAnsi" w:cstheme="majorHAnsi"/>
          <w:color w:val="000000" w:themeColor="text1"/>
          <w:sz w:val="22"/>
          <w:szCs w:val="22"/>
          <w:lang w:val="en-AU"/>
        </w:rPr>
        <w:t xml:space="preserve"> overcrowding, for example, could provide the overarching focus and rationale for a number of AIPJ2 activities </w:t>
      </w:r>
      <w:r w:rsidR="00BD55A5" w:rsidRPr="003A1674">
        <w:rPr>
          <w:rFonts w:asciiTheme="majorHAnsi" w:hAnsiTheme="majorHAnsi" w:cstheme="majorHAnsi"/>
          <w:color w:val="000000" w:themeColor="text1"/>
          <w:sz w:val="22"/>
          <w:szCs w:val="22"/>
          <w:lang w:val="en-AU"/>
        </w:rPr>
        <w:t>that cut across the</w:t>
      </w:r>
      <w:r w:rsidRPr="003A1674">
        <w:rPr>
          <w:rFonts w:asciiTheme="majorHAnsi" w:hAnsiTheme="majorHAnsi" w:cstheme="majorHAnsi"/>
          <w:color w:val="000000" w:themeColor="text1"/>
          <w:sz w:val="22"/>
          <w:szCs w:val="22"/>
          <w:lang w:val="en-AU"/>
        </w:rPr>
        <w:t xml:space="preserve"> pillars</w:t>
      </w:r>
      <w:r w:rsidR="003A1674" w:rsidRPr="003A1674">
        <w:rPr>
          <w:rFonts w:asciiTheme="majorHAnsi" w:hAnsiTheme="majorHAnsi" w:cstheme="majorHAnsi"/>
          <w:color w:val="000000" w:themeColor="text1"/>
          <w:sz w:val="22"/>
          <w:szCs w:val="22"/>
          <w:lang w:val="en-AU"/>
        </w:rPr>
        <w:t>: such as work on community-based corrections (pillar 3), restorative justice (pillar 1), police and immigration/border detentions (pillar 2) and the development of the corrections detainee/inmate database (pillar 4)</w:t>
      </w:r>
      <w:r w:rsidRPr="003A1674">
        <w:rPr>
          <w:rFonts w:asciiTheme="majorHAnsi" w:hAnsiTheme="majorHAnsi" w:cstheme="majorHAnsi"/>
          <w:color w:val="000000" w:themeColor="text1"/>
          <w:sz w:val="22"/>
          <w:szCs w:val="22"/>
          <w:lang w:val="en-AU"/>
        </w:rPr>
        <w:t>.  However, to be more than just superficial packaging, the problem issue would have to exercise some strategic and operational grip:</w:t>
      </w:r>
      <w:r w:rsidR="00A16179" w:rsidRPr="003A1674">
        <w:rPr>
          <w:rFonts w:asciiTheme="majorHAnsi" w:hAnsiTheme="majorHAnsi" w:cstheme="majorHAnsi"/>
          <w:color w:val="000000" w:themeColor="text1"/>
          <w:sz w:val="22"/>
          <w:szCs w:val="22"/>
          <w:lang w:val="en-AU"/>
        </w:rPr>
        <w:t xml:space="preserve"> </w:t>
      </w:r>
      <w:r w:rsidRPr="003A1674">
        <w:rPr>
          <w:rFonts w:asciiTheme="majorHAnsi" w:hAnsiTheme="majorHAnsi" w:cstheme="majorHAnsi"/>
          <w:color w:val="000000" w:themeColor="text1"/>
          <w:sz w:val="22"/>
          <w:szCs w:val="22"/>
          <w:lang w:val="en-AU"/>
        </w:rPr>
        <w:t xml:space="preserve"> i.e.</w:t>
      </w:r>
      <w:r w:rsidR="00BD55A5" w:rsidRPr="003A1674">
        <w:rPr>
          <w:rFonts w:asciiTheme="majorHAnsi" w:hAnsiTheme="majorHAnsi" w:cstheme="majorHAnsi"/>
          <w:color w:val="000000" w:themeColor="text1"/>
          <w:sz w:val="22"/>
          <w:szCs w:val="22"/>
          <w:lang w:val="en-AU"/>
        </w:rPr>
        <w:t xml:space="preserve"> the problems articulated would need to</w:t>
      </w:r>
      <w:r w:rsidRPr="003A1674">
        <w:rPr>
          <w:rFonts w:asciiTheme="majorHAnsi" w:hAnsiTheme="majorHAnsi" w:cstheme="majorHAnsi"/>
          <w:color w:val="000000" w:themeColor="text1"/>
          <w:sz w:val="22"/>
          <w:szCs w:val="22"/>
          <w:lang w:val="en-AU"/>
        </w:rPr>
        <w:t xml:space="preserve"> shape the nature of work undertaken by each relevant activity; promote a coherence of approach between relevant activities; and assist in identifying ‘outlier’ activities that would be candidates for reducing </w:t>
      </w:r>
      <w:r w:rsidR="00BD55A5" w:rsidRPr="003A1674">
        <w:rPr>
          <w:rFonts w:asciiTheme="majorHAnsi" w:hAnsiTheme="majorHAnsi" w:cstheme="majorHAnsi"/>
          <w:color w:val="000000" w:themeColor="text1"/>
          <w:sz w:val="22"/>
          <w:szCs w:val="22"/>
          <w:lang w:val="en-AU"/>
        </w:rPr>
        <w:t xml:space="preserve">or </w:t>
      </w:r>
      <w:r w:rsidRPr="003A1674">
        <w:rPr>
          <w:rFonts w:asciiTheme="majorHAnsi" w:hAnsiTheme="majorHAnsi" w:cstheme="majorHAnsi"/>
          <w:color w:val="000000" w:themeColor="text1"/>
          <w:sz w:val="22"/>
          <w:szCs w:val="22"/>
          <w:lang w:val="en-AU"/>
        </w:rPr>
        <w:t>ending support.</w:t>
      </w:r>
    </w:p>
    <w:p w14:paraId="33E26E51" w14:textId="5AC77E18" w:rsidR="007C49D2" w:rsidRPr="0045197C" w:rsidRDefault="007C49D2"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45197C">
        <w:rPr>
          <w:rFonts w:asciiTheme="majorHAnsi" w:hAnsiTheme="majorHAnsi" w:cstheme="majorHAnsi"/>
          <w:b/>
          <w:bCs/>
          <w:color w:val="000000" w:themeColor="text1"/>
          <w:sz w:val="26"/>
          <w:szCs w:val="26"/>
          <w:lang w:val="en-AU"/>
        </w:rPr>
        <w:t>Is the balance between the pillars right?</w:t>
      </w:r>
    </w:p>
    <w:p w14:paraId="4C359359" w14:textId="7858C2AC" w:rsidR="009F63F9" w:rsidRPr="0045197C" w:rsidRDefault="0085000D"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Pr>
          <w:rFonts w:asciiTheme="majorHAnsi" w:hAnsiTheme="majorHAnsi" w:cstheme="majorHAnsi"/>
          <w:color w:val="000000" w:themeColor="text1"/>
          <w:sz w:val="22"/>
          <w:szCs w:val="22"/>
          <w:lang w:val="en-AU"/>
        </w:rPr>
        <w:t xml:space="preserve">A </w:t>
      </w:r>
      <w:r w:rsidR="0026058F" w:rsidRPr="0045197C">
        <w:rPr>
          <w:rFonts w:ascii="Calibri Light" w:hAnsi="Calibri Light" w:cs="Calibri Light"/>
          <w:sz w:val="22"/>
          <w:szCs w:val="22"/>
        </w:rPr>
        <w:t>definitive</w:t>
      </w:r>
      <w:r w:rsidR="0026058F" w:rsidRPr="0045197C">
        <w:rPr>
          <w:rFonts w:asciiTheme="majorHAnsi" w:hAnsiTheme="majorHAnsi" w:cstheme="majorHAnsi"/>
          <w:i/>
          <w:iCs/>
          <w:color w:val="000000" w:themeColor="text1"/>
          <w:sz w:val="22"/>
          <w:szCs w:val="22"/>
          <w:lang w:val="en-AU"/>
        </w:rPr>
        <w:t xml:space="preserve"> </w:t>
      </w:r>
      <w:r w:rsidR="002D6B9B" w:rsidRPr="0045197C">
        <w:rPr>
          <w:rFonts w:asciiTheme="majorHAnsi" w:hAnsiTheme="majorHAnsi" w:cstheme="majorHAnsi"/>
          <w:color w:val="000000" w:themeColor="text1"/>
          <w:sz w:val="22"/>
          <w:szCs w:val="22"/>
          <w:lang w:val="en-AU"/>
        </w:rPr>
        <w:t>answer to</w:t>
      </w:r>
      <w:r w:rsidRPr="0045197C">
        <w:rPr>
          <w:rFonts w:asciiTheme="majorHAnsi" w:hAnsiTheme="majorHAnsi" w:cstheme="majorHAnsi"/>
          <w:color w:val="000000" w:themeColor="text1"/>
          <w:sz w:val="22"/>
          <w:szCs w:val="22"/>
          <w:lang w:val="en-AU"/>
        </w:rPr>
        <w:t xml:space="preserve"> </w:t>
      </w:r>
      <w:r w:rsidR="0026058F" w:rsidRPr="0045197C">
        <w:rPr>
          <w:rFonts w:asciiTheme="majorHAnsi" w:hAnsiTheme="majorHAnsi" w:cstheme="majorHAnsi"/>
          <w:color w:val="000000" w:themeColor="text1"/>
          <w:sz w:val="22"/>
          <w:szCs w:val="22"/>
          <w:lang w:val="en-AU"/>
        </w:rPr>
        <w:t xml:space="preserve">this </w:t>
      </w:r>
      <w:r w:rsidR="003E0B7A" w:rsidRPr="0045197C">
        <w:rPr>
          <w:rFonts w:asciiTheme="majorHAnsi" w:hAnsiTheme="majorHAnsi" w:cstheme="majorHAnsi"/>
          <w:color w:val="000000" w:themeColor="text1"/>
          <w:sz w:val="22"/>
          <w:szCs w:val="22"/>
          <w:lang w:val="en-AU"/>
        </w:rPr>
        <w:t xml:space="preserve">question </w:t>
      </w:r>
      <w:r w:rsidRPr="0045197C">
        <w:rPr>
          <w:rFonts w:asciiTheme="majorHAnsi" w:hAnsiTheme="majorHAnsi" w:cstheme="majorHAnsi"/>
          <w:color w:val="000000" w:themeColor="text1"/>
          <w:sz w:val="22"/>
          <w:szCs w:val="22"/>
          <w:lang w:val="en-AU"/>
        </w:rPr>
        <w:t>is not possible.</w:t>
      </w:r>
      <w:r w:rsidR="00A16179">
        <w:rPr>
          <w:rFonts w:asciiTheme="majorHAnsi" w:hAnsiTheme="majorHAnsi" w:cstheme="majorHAnsi"/>
          <w:color w:val="000000" w:themeColor="text1"/>
          <w:sz w:val="22"/>
          <w:szCs w:val="22"/>
          <w:lang w:val="en-AU"/>
        </w:rPr>
        <w:t xml:space="preserve"> </w:t>
      </w:r>
      <w:r w:rsidRPr="0045197C">
        <w:rPr>
          <w:rFonts w:asciiTheme="majorHAnsi" w:hAnsiTheme="majorHAnsi" w:cstheme="majorHAnsi"/>
          <w:color w:val="000000" w:themeColor="text1"/>
          <w:sz w:val="22"/>
          <w:szCs w:val="22"/>
          <w:lang w:val="en-AU"/>
        </w:rPr>
        <w:t>The review team did not encounter any major areas of work that were clearly ineffective on the evidence available.</w:t>
      </w:r>
      <w:r w:rsidR="00A16179">
        <w:rPr>
          <w:rFonts w:asciiTheme="majorHAnsi" w:hAnsiTheme="majorHAnsi" w:cstheme="majorHAnsi"/>
          <w:color w:val="000000" w:themeColor="text1"/>
          <w:sz w:val="22"/>
          <w:szCs w:val="22"/>
          <w:lang w:val="en-AU"/>
        </w:rPr>
        <w:t xml:space="preserve"> </w:t>
      </w:r>
      <w:r w:rsidRPr="0045197C">
        <w:rPr>
          <w:rFonts w:asciiTheme="majorHAnsi" w:hAnsiTheme="majorHAnsi" w:cstheme="majorHAnsi"/>
          <w:color w:val="000000" w:themeColor="text1"/>
          <w:sz w:val="22"/>
          <w:szCs w:val="22"/>
          <w:lang w:val="en-AU"/>
        </w:rPr>
        <w:t xml:space="preserve">Nevertheless, the </w:t>
      </w:r>
      <w:r w:rsidR="00BD55A5">
        <w:rPr>
          <w:rFonts w:asciiTheme="majorHAnsi" w:hAnsiTheme="majorHAnsi" w:cstheme="majorHAnsi"/>
          <w:color w:val="000000" w:themeColor="text1"/>
          <w:sz w:val="22"/>
          <w:szCs w:val="22"/>
          <w:lang w:val="en-AU"/>
        </w:rPr>
        <w:t xml:space="preserve">review </w:t>
      </w:r>
      <w:r w:rsidRPr="0045197C">
        <w:rPr>
          <w:rFonts w:asciiTheme="majorHAnsi" w:hAnsiTheme="majorHAnsi" w:cstheme="majorHAnsi"/>
          <w:color w:val="000000" w:themeColor="text1"/>
          <w:sz w:val="22"/>
          <w:szCs w:val="22"/>
          <w:lang w:val="en-AU"/>
        </w:rPr>
        <w:t xml:space="preserve">team </w:t>
      </w:r>
      <w:r w:rsidR="00BD55A5">
        <w:rPr>
          <w:rFonts w:asciiTheme="majorHAnsi" w:hAnsiTheme="majorHAnsi" w:cstheme="majorHAnsi"/>
          <w:color w:val="000000" w:themeColor="text1"/>
          <w:sz w:val="22"/>
          <w:szCs w:val="22"/>
          <w:lang w:val="en-AU"/>
        </w:rPr>
        <w:t>see a</w:t>
      </w:r>
      <w:r w:rsidRPr="0045197C">
        <w:rPr>
          <w:rFonts w:asciiTheme="majorHAnsi" w:hAnsiTheme="majorHAnsi" w:cstheme="majorHAnsi"/>
          <w:color w:val="000000" w:themeColor="text1"/>
          <w:sz w:val="22"/>
          <w:szCs w:val="22"/>
          <w:lang w:val="en-AU"/>
        </w:rPr>
        <w:t xml:space="preserve"> case for </w:t>
      </w:r>
      <w:r w:rsidR="003E0B7A" w:rsidRPr="0045197C">
        <w:rPr>
          <w:rFonts w:asciiTheme="majorHAnsi" w:hAnsiTheme="majorHAnsi" w:cstheme="majorHAnsi"/>
          <w:color w:val="000000" w:themeColor="text1"/>
          <w:sz w:val="22"/>
          <w:szCs w:val="22"/>
          <w:lang w:val="en-AU"/>
        </w:rPr>
        <w:t xml:space="preserve">rebalancing of </w:t>
      </w:r>
      <w:r w:rsidRPr="0045197C">
        <w:rPr>
          <w:rFonts w:asciiTheme="majorHAnsi" w:hAnsiTheme="majorHAnsi" w:cstheme="majorHAnsi"/>
          <w:color w:val="000000" w:themeColor="text1"/>
          <w:sz w:val="22"/>
          <w:szCs w:val="22"/>
          <w:lang w:val="en-AU"/>
        </w:rPr>
        <w:t xml:space="preserve">the </w:t>
      </w:r>
      <w:r w:rsidR="003E0B7A" w:rsidRPr="0045197C">
        <w:rPr>
          <w:rFonts w:asciiTheme="majorHAnsi" w:hAnsiTheme="majorHAnsi" w:cstheme="majorHAnsi"/>
          <w:color w:val="000000" w:themeColor="text1"/>
          <w:sz w:val="22"/>
          <w:szCs w:val="22"/>
          <w:lang w:val="en-AU"/>
        </w:rPr>
        <w:t>resource</w:t>
      </w:r>
      <w:r w:rsidRPr="0045197C">
        <w:rPr>
          <w:rFonts w:asciiTheme="majorHAnsi" w:hAnsiTheme="majorHAnsi" w:cstheme="majorHAnsi"/>
          <w:color w:val="000000" w:themeColor="text1"/>
          <w:sz w:val="22"/>
          <w:szCs w:val="22"/>
          <w:lang w:val="en-AU"/>
        </w:rPr>
        <w:t>s</w:t>
      </w:r>
      <w:r w:rsidR="003E0B7A" w:rsidRPr="0045197C">
        <w:rPr>
          <w:rFonts w:asciiTheme="majorHAnsi" w:hAnsiTheme="majorHAnsi" w:cstheme="majorHAnsi"/>
          <w:color w:val="000000" w:themeColor="text1"/>
          <w:sz w:val="22"/>
          <w:szCs w:val="22"/>
          <w:lang w:val="en-AU"/>
        </w:rPr>
        <w:t xml:space="preserve"> allocat</w:t>
      </w:r>
      <w:r w:rsidRPr="0045197C">
        <w:rPr>
          <w:rFonts w:asciiTheme="majorHAnsi" w:hAnsiTheme="majorHAnsi" w:cstheme="majorHAnsi"/>
          <w:color w:val="000000" w:themeColor="text1"/>
          <w:sz w:val="22"/>
          <w:szCs w:val="22"/>
          <w:lang w:val="en-AU"/>
        </w:rPr>
        <w:t xml:space="preserve">ed to </w:t>
      </w:r>
      <w:r w:rsidR="003E0B7A" w:rsidRPr="0045197C">
        <w:rPr>
          <w:rFonts w:asciiTheme="majorHAnsi" w:hAnsiTheme="majorHAnsi" w:cstheme="majorHAnsi"/>
          <w:color w:val="000000" w:themeColor="text1"/>
          <w:sz w:val="22"/>
          <w:szCs w:val="22"/>
          <w:lang w:val="en-AU"/>
        </w:rPr>
        <w:t xml:space="preserve">pillars 2 and 3 </w:t>
      </w:r>
      <w:r w:rsidRPr="0045197C">
        <w:rPr>
          <w:rFonts w:asciiTheme="majorHAnsi" w:hAnsiTheme="majorHAnsi" w:cstheme="majorHAnsi"/>
          <w:color w:val="000000" w:themeColor="text1"/>
          <w:sz w:val="22"/>
          <w:szCs w:val="22"/>
          <w:lang w:val="en-AU"/>
        </w:rPr>
        <w:t xml:space="preserve">on the one </w:t>
      </w:r>
      <w:r w:rsidR="0045197C">
        <w:rPr>
          <w:rFonts w:asciiTheme="majorHAnsi" w:hAnsiTheme="majorHAnsi" w:cstheme="majorHAnsi"/>
          <w:color w:val="000000" w:themeColor="text1"/>
          <w:sz w:val="22"/>
          <w:szCs w:val="22"/>
          <w:lang w:val="en-AU"/>
        </w:rPr>
        <w:t>hand, and</w:t>
      </w:r>
      <w:r w:rsidR="003E0B7A" w:rsidRPr="0045197C">
        <w:rPr>
          <w:rFonts w:asciiTheme="majorHAnsi" w:hAnsiTheme="majorHAnsi" w:cstheme="majorHAnsi"/>
          <w:color w:val="000000" w:themeColor="text1"/>
          <w:sz w:val="22"/>
          <w:szCs w:val="22"/>
          <w:lang w:val="en-AU"/>
        </w:rPr>
        <w:t>pillars 1 and 4</w:t>
      </w:r>
      <w:r w:rsidRPr="0045197C">
        <w:rPr>
          <w:rFonts w:asciiTheme="majorHAnsi" w:hAnsiTheme="majorHAnsi" w:cstheme="majorHAnsi"/>
          <w:color w:val="000000" w:themeColor="text1"/>
          <w:sz w:val="22"/>
          <w:szCs w:val="22"/>
          <w:lang w:val="en-AU"/>
        </w:rPr>
        <w:t xml:space="preserve"> on the other</w:t>
      </w:r>
      <w:r w:rsidR="009F63F9" w:rsidRPr="0045197C">
        <w:rPr>
          <w:rFonts w:asciiTheme="majorHAnsi" w:hAnsiTheme="majorHAnsi" w:cstheme="majorHAnsi"/>
          <w:color w:val="000000" w:themeColor="text1"/>
          <w:sz w:val="22"/>
          <w:szCs w:val="22"/>
          <w:lang w:val="en-AU"/>
        </w:rPr>
        <w:t xml:space="preserve">: </w:t>
      </w:r>
    </w:p>
    <w:p w14:paraId="7D356A68" w14:textId="447ED126" w:rsidR="00176B2D" w:rsidRPr="00176B2D" w:rsidRDefault="00176B2D" w:rsidP="006B32D6">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sidRPr="00176B2D">
        <w:rPr>
          <w:rFonts w:asciiTheme="majorHAnsi" w:hAnsiTheme="majorHAnsi" w:cstheme="majorHAnsi"/>
          <w:color w:val="000000" w:themeColor="text1"/>
          <w:sz w:val="22"/>
          <w:szCs w:val="22"/>
          <w:lang w:val="en-AU"/>
        </w:rPr>
        <w:t>To date, work in the law and justice sector appears to have delivered the greatest return for DFAT’s spend suggesting potential value in rebalancing on cost-effectiveness grounds.</w:t>
      </w:r>
      <w:r w:rsidR="00A16179">
        <w:rPr>
          <w:rFonts w:asciiTheme="majorHAnsi" w:hAnsiTheme="majorHAnsi" w:cstheme="majorHAnsi"/>
          <w:color w:val="000000" w:themeColor="text1"/>
          <w:sz w:val="22"/>
          <w:szCs w:val="22"/>
          <w:lang w:val="en-AU"/>
        </w:rPr>
        <w:t xml:space="preserve"> </w:t>
      </w:r>
      <w:r w:rsidRPr="00176B2D">
        <w:rPr>
          <w:rFonts w:asciiTheme="majorHAnsi" w:hAnsiTheme="majorHAnsi" w:cstheme="majorHAnsi"/>
          <w:color w:val="000000" w:themeColor="text1"/>
          <w:sz w:val="22"/>
          <w:szCs w:val="22"/>
          <w:lang w:val="en-AU"/>
        </w:rPr>
        <w:t>This observation is necessarily tentative, given the MTR did not look at Pillar 2 impacts and information about Pillar 3 successes are limited.</w:t>
      </w:r>
      <w:r w:rsidR="00A16179">
        <w:rPr>
          <w:rFonts w:asciiTheme="majorHAnsi" w:hAnsiTheme="majorHAnsi" w:cstheme="majorHAnsi"/>
          <w:color w:val="000000" w:themeColor="text1"/>
          <w:sz w:val="22"/>
          <w:szCs w:val="22"/>
          <w:lang w:val="en-AU"/>
        </w:rPr>
        <w:t xml:space="preserve"> </w:t>
      </w:r>
      <w:r w:rsidRPr="00176B2D">
        <w:rPr>
          <w:rFonts w:asciiTheme="majorHAnsi" w:hAnsiTheme="majorHAnsi" w:cstheme="majorHAnsi"/>
          <w:color w:val="000000" w:themeColor="text1"/>
          <w:sz w:val="22"/>
          <w:szCs w:val="22"/>
          <w:lang w:val="en-AU"/>
        </w:rPr>
        <w:t xml:space="preserve">Nevertheless, on the basis of consultations conducted during the review, and international experience with both work to prevent violent extremism and capacity building programs this is not an unreasonable conclusion. </w:t>
      </w:r>
    </w:p>
    <w:p w14:paraId="62A860D4" w14:textId="38C3D46B" w:rsidR="002201B2" w:rsidRPr="00176B2D" w:rsidRDefault="00B54028" w:rsidP="006B32D6">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sidRPr="00176B2D">
        <w:rPr>
          <w:rFonts w:asciiTheme="majorHAnsi" w:hAnsiTheme="majorHAnsi" w:cstheme="majorHAnsi"/>
          <w:color w:val="000000" w:themeColor="text1"/>
          <w:sz w:val="22"/>
          <w:szCs w:val="22"/>
          <w:lang w:val="en-AU"/>
        </w:rPr>
        <w:t>Support under Pillar 2, while</w:t>
      </w:r>
      <w:r w:rsidR="00A16179">
        <w:rPr>
          <w:rFonts w:asciiTheme="majorHAnsi" w:hAnsiTheme="majorHAnsi" w:cstheme="majorHAnsi"/>
          <w:color w:val="000000" w:themeColor="text1"/>
          <w:sz w:val="22"/>
          <w:szCs w:val="22"/>
          <w:lang w:val="en-AU"/>
        </w:rPr>
        <w:t xml:space="preserve"> </w:t>
      </w:r>
      <w:r w:rsidRPr="00176B2D">
        <w:rPr>
          <w:rFonts w:asciiTheme="majorHAnsi" w:hAnsiTheme="majorHAnsi" w:cstheme="majorHAnsi"/>
          <w:color w:val="000000" w:themeColor="text1"/>
          <w:sz w:val="22"/>
          <w:szCs w:val="22"/>
          <w:lang w:val="en-AU"/>
        </w:rPr>
        <w:t>clearly premised on delivering improved security outcomes for both Australia and Indonesia, is not developmentally framed around the priority security concerns of Indonesians.</w:t>
      </w:r>
      <w:r w:rsidR="00A16179">
        <w:rPr>
          <w:rFonts w:asciiTheme="majorHAnsi" w:hAnsiTheme="majorHAnsi" w:cstheme="majorHAnsi"/>
          <w:color w:val="000000" w:themeColor="text1"/>
          <w:sz w:val="22"/>
          <w:szCs w:val="22"/>
          <w:lang w:val="en-AU"/>
        </w:rPr>
        <w:t xml:space="preserve"> </w:t>
      </w:r>
      <w:r w:rsidR="00757453" w:rsidRPr="00176B2D">
        <w:rPr>
          <w:rFonts w:asciiTheme="majorHAnsi" w:hAnsiTheme="majorHAnsi" w:cstheme="majorHAnsi"/>
          <w:color w:val="000000" w:themeColor="text1"/>
          <w:sz w:val="22"/>
          <w:szCs w:val="22"/>
          <w:lang w:val="en-AU"/>
        </w:rPr>
        <w:t>The</w:t>
      </w:r>
      <w:r w:rsidR="003B0BF4" w:rsidRPr="00176B2D">
        <w:rPr>
          <w:rFonts w:asciiTheme="majorHAnsi" w:hAnsiTheme="majorHAnsi" w:cstheme="majorHAnsi"/>
          <w:color w:val="000000" w:themeColor="text1"/>
          <w:sz w:val="22"/>
          <w:szCs w:val="22"/>
          <w:lang w:val="en-AU"/>
        </w:rPr>
        <w:t xml:space="preserve"> support looks quite different from much security sector support routinely included in ‘justice and security’ programming</w:t>
      </w:r>
      <w:r w:rsidR="00757453" w:rsidRPr="00176B2D">
        <w:rPr>
          <w:rFonts w:asciiTheme="majorHAnsi" w:hAnsiTheme="majorHAnsi" w:cstheme="majorHAnsi"/>
          <w:color w:val="000000" w:themeColor="text1"/>
          <w:sz w:val="22"/>
          <w:szCs w:val="22"/>
          <w:lang w:val="en-AU"/>
        </w:rPr>
        <w:t xml:space="preserve"> in other contexts</w:t>
      </w:r>
      <w:r w:rsidR="003B0BF4" w:rsidRPr="00176B2D">
        <w:rPr>
          <w:rFonts w:asciiTheme="majorHAnsi" w:hAnsiTheme="majorHAnsi" w:cstheme="majorHAnsi"/>
          <w:color w:val="000000" w:themeColor="text1"/>
          <w:sz w:val="22"/>
          <w:szCs w:val="22"/>
          <w:lang w:val="en-AU"/>
        </w:rPr>
        <w:t xml:space="preserve">. Such support tends to focus on security as experienced by ‘end users’ </w:t>
      </w:r>
      <w:r w:rsidR="00757453" w:rsidRPr="00176B2D">
        <w:rPr>
          <w:rFonts w:asciiTheme="majorHAnsi" w:hAnsiTheme="majorHAnsi" w:cstheme="majorHAnsi"/>
          <w:color w:val="000000" w:themeColor="text1"/>
          <w:sz w:val="22"/>
          <w:szCs w:val="22"/>
          <w:lang w:val="en-AU"/>
        </w:rPr>
        <w:t xml:space="preserve">or citizens </w:t>
      </w:r>
      <w:r w:rsidR="003B0BF4" w:rsidRPr="00176B2D">
        <w:rPr>
          <w:rFonts w:asciiTheme="majorHAnsi" w:hAnsiTheme="majorHAnsi" w:cstheme="majorHAnsi"/>
          <w:color w:val="000000" w:themeColor="text1"/>
          <w:sz w:val="22"/>
          <w:szCs w:val="22"/>
          <w:lang w:val="en-AU"/>
        </w:rPr>
        <w:t xml:space="preserve">in the countries in question, </w:t>
      </w:r>
      <w:r w:rsidR="00757453" w:rsidRPr="00176B2D">
        <w:rPr>
          <w:rFonts w:asciiTheme="majorHAnsi" w:hAnsiTheme="majorHAnsi" w:cstheme="majorHAnsi"/>
          <w:color w:val="000000" w:themeColor="text1"/>
          <w:sz w:val="22"/>
          <w:szCs w:val="22"/>
        </w:rPr>
        <w:t xml:space="preserve">often concentrating on </w:t>
      </w:r>
      <w:r w:rsidR="003B0BF4" w:rsidRPr="00176B2D">
        <w:rPr>
          <w:rFonts w:asciiTheme="majorHAnsi" w:hAnsiTheme="majorHAnsi" w:cstheme="majorHAnsi"/>
          <w:color w:val="000000" w:themeColor="text1"/>
          <w:sz w:val="22"/>
          <w:szCs w:val="22"/>
          <w:lang w:val="en-AU"/>
        </w:rPr>
        <w:t>community policing, violence against women, drugs and alcohol</w:t>
      </w:r>
      <w:r w:rsidR="00757453" w:rsidRPr="00176B2D">
        <w:rPr>
          <w:rFonts w:asciiTheme="majorHAnsi" w:hAnsiTheme="majorHAnsi" w:cstheme="majorHAnsi"/>
          <w:color w:val="000000" w:themeColor="text1"/>
          <w:sz w:val="22"/>
          <w:szCs w:val="22"/>
          <w:lang w:val="en-AU"/>
        </w:rPr>
        <w:t xml:space="preserve"> prevention</w:t>
      </w:r>
      <w:r w:rsidR="003B0BF4" w:rsidRPr="00176B2D">
        <w:rPr>
          <w:rFonts w:asciiTheme="majorHAnsi" w:hAnsiTheme="majorHAnsi" w:cstheme="majorHAnsi"/>
          <w:color w:val="000000" w:themeColor="text1"/>
          <w:sz w:val="22"/>
          <w:szCs w:val="22"/>
          <w:lang w:val="en-AU"/>
        </w:rPr>
        <w:t xml:space="preserve">, and so on. </w:t>
      </w:r>
      <w:r w:rsidR="00BD55A5">
        <w:rPr>
          <w:rFonts w:asciiTheme="majorHAnsi" w:hAnsiTheme="majorHAnsi" w:cstheme="majorHAnsi"/>
          <w:color w:val="000000" w:themeColor="text1"/>
          <w:sz w:val="22"/>
          <w:szCs w:val="22"/>
          <w:lang w:val="en-AU"/>
        </w:rPr>
        <w:t xml:space="preserve"> </w:t>
      </w:r>
      <w:r w:rsidR="00757453" w:rsidRPr="00176B2D">
        <w:rPr>
          <w:rFonts w:asciiTheme="majorHAnsi" w:hAnsiTheme="majorHAnsi" w:cstheme="majorHAnsi"/>
          <w:color w:val="000000" w:themeColor="text1"/>
          <w:sz w:val="22"/>
          <w:szCs w:val="22"/>
        </w:rPr>
        <w:t>While activities funded under pillar 2 fit the OECD definitions of official development assistance, as currently configured they appear less well-tailored to DFAT’s broader development objectives for its partnership with Indonesia (</w:t>
      </w:r>
      <w:r w:rsidR="003B0BF4" w:rsidRPr="00176B2D">
        <w:rPr>
          <w:rFonts w:asciiTheme="majorHAnsi" w:hAnsiTheme="majorHAnsi" w:cstheme="majorHAnsi"/>
          <w:color w:val="000000" w:themeColor="text1"/>
          <w:sz w:val="22"/>
          <w:szCs w:val="22"/>
          <w:lang w:val="en-AU"/>
        </w:rPr>
        <w:t xml:space="preserve">with </w:t>
      </w:r>
      <w:r w:rsidR="00757453" w:rsidRPr="00176B2D">
        <w:rPr>
          <w:rFonts w:asciiTheme="majorHAnsi" w:hAnsiTheme="majorHAnsi" w:cstheme="majorHAnsi"/>
          <w:color w:val="000000" w:themeColor="text1"/>
          <w:sz w:val="22"/>
          <w:szCs w:val="22"/>
          <w:lang w:val="en-AU"/>
        </w:rPr>
        <w:t>its</w:t>
      </w:r>
      <w:r w:rsidR="003B0BF4" w:rsidRPr="00176B2D">
        <w:rPr>
          <w:rFonts w:asciiTheme="majorHAnsi" w:hAnsiTheme="majorHAnsi" w:cstheme="majorHAnsi"/>
          <w:color w:val="000000" w:themeColor="text1"/>
          <w:sz w:val="22"/>
          <w:szCs w:val="22"/>
          <w:lang w:val="en-AU"/>
        </w:rPr>
        <w:t xml:space="preserve"> focus on </w:t>
      </w:r>
      <w:r w:rsidR="002201B2" w:rsidRPr="00176B2D">
        <w:rPr>
          <w:rFonts w:asciiTheme="majorHAnsi" w:hAnsiTheme="majorHAnsi" w:cstheme="majorHAnsi"/>
          <w:color w:val="000000" w:themeColor="text1"/>
          <w:sz w:val="22"/>
          <w:szCs w:val="22"/>
          <w:lang w:val="en-AU"/>
        </w:rPr>
        <w:t>the rule of law</w:t>
      </w:r>
      <w:r w:rsidR="003B0BF4" w:rsidRPr="00176B2D">
        <w:rPr>
          <w:rFonts w:asciiTheme="majorHAnsi" w:hAnsiTheme="majorHAnsi" w:cstheme="majorHAnsi"/>
          <w:color w:val="000000" w:themeColor="text1"/>
          <w:sz w:val="22"/>
          <w:szCs w:val="22"/>
          <w:lang w:val="en-AU"/>
        </w:rPr>
        <w:t xml:space="preserve">, </w:t>
      </w:r>
      <w:r w:rsidR="00757453" w:rsidRPr="00176B2D">
        <w:rPr>
          <w:rFonts w:asciiTheme="majorHAnsi" w:hAnsiTheme="majorHAnsi" w:cstheme="majorHAnsi"/>
          <w:color w:val="000000" w:themeColor="text1"/>
          <w:sz w:val="22"/>
          <w:szCs w:val="22"/>
          <w:lang w:val="en-AU"/>
        </w:rPr>
        <w:t xml:space="preserve">democratic resilience and </w:t>
      </w:r>
      <w:r w:rsidR="002201B2" w:rsidRPr="00176B2D">
        <w:rPr>
          <w:rFonts w:asciiTheme="majorHAnsi" w:hAnsiTheme="majorHAnsi" w:cstheme="majorHAnsi"/>
          <w:color w:val="000000" w:themeColor="text1"/>
          <w:sz w:val="22"/>
          <w:szCs w:val="22"/>
          <w:lang w:val="en-AU"/>
        </w:rPr>
        <w:t>economic governance</w:t>
      </w:r>
      <w:r w:rsidR="003B0BF4" w:rsidRPr="00176B2D">
        <w:rPr>
          <w:rFonts w:asciiTheme="majorHAnsi" w:hAnsiTheme="majorHAnsi" w:cstheme="majorHAnsi"/>
          <w:color w:val="000000" w:themeColor="text1"/>
          <w:sz w:val="22"/>
          <w:szCs w:val="22"/>
          <w:lang w:val="en-AU"/>
        </w:rPr>
        <w:t>).</w:t>
      </w:r>
      <w:r w:rsidRPr="00176B2D">
        <w:rPr>
          <w:rFonts w:asciiTheme="majorHAnsi" w:hAnsiTheme="majorHAnsi" w:cstheme="majorHAnsi"/>
          <w:color w:val="000000" w:themeColor="text1"/>
          <w:sz w:val="22"/>
          <w:szCs w:val="22"/>
          <w:lang w:val="en-AU"/>
        </w:rPr>
        <w:t xml:space="preserve"> </w:t>
      </w:r>
    </w:p>
    <w:p w14:paraId="708BB503" w14:textId="15FFBA38" w:rsidR="00176B2D" w:rsidRPr="00176B2D" w:rsidRDefault="00641751"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sidRPr="00176B2D">
        <w:rPr>
          <w:rFonts w:asciiTheme="majorHAnsi" w:hAnsiTheme="majorHAnsi" w:cstheme="majorHAnsi"/>
          <w:color w:val="000000" w:themeColor="text1"/>
          <w:sz w:val="22"/>
          <w:szCs w:val="22"/>
          <w:lang w:val="en-AU"/>
        </w:rPr>
        <w:t xml:space="preserve">It is </w:t>
      </w:r>
      <w:r w:rsidRPr="00176B2D">
        <w:rPr>
          <w:rFonts w:ascii="Calibri Light" w:hAnsi="Calibri Light" w:cs="Calibri Light"/>
          <w:sz w:val="22"/>
          <w:szCs w:val="22"/>
        </w:rPr>
        <w:t>important</w:t>
      </w:r>
      <w:r w:rsidRPr="00176B2D">
        <w:rPr>
          <w:rFonts w:asciiTheme="majorHAnsi" w:hAnsiTheme="majorHAnsi" w:cstheme="majorHAnsi"/>
          <w:color w:val="000000" w:themeColor="text1"/>
          <w:sz w:val="22"/>
          <w:szCs w:val="22"/>
          <w:lang w:val="en-AU"/>
        </w:rPr>
        <w:t xml:space="preserve"> to stress that the </w:t>
      </w:r>
      <w:r w:rsidR="00FE465E" w:rsidRPr="00176B2D">
        <w:rPr>
          <w:rFonts w:asciiTheme="majorHAnsi" w:hAnsiTheme="majorHAnsi" w:cstheme="majorHAnsi"/>
          <w:color w:val="000000" w:themeColor="text1"/>
          <w:sz w:val="22"/>
          <w:szCs w:val="22"/>
          <w:lang w:val="en-AU"/>
        </w:rPr>
        <w:t>argument</w:t>
      </w:r>
      <w:r w:rsidRPr="00176B2D">
        <w:rPr>
          <w:rFonts w:asciiTheme="majorHAnsi" w:hAnsiTheme="majorHAnsi" w:cstheme="majorHAnsi"/>
          <w:color w:val="000000" w:themeColor="text1"/>
          <w:sz w:val="22"/>
          <w:szCs w:val="22"/>
          <w:lang w:val="en-AU"/>
        </w:rPr>
        <w:t xml:space="preserve"> being made her</w:t>
      </w:r>
      <w:r w:rsidR="00FE465E" w:rsidRPr="00176B2D">
        <w:rPr>
          <w:rFonts w:asciiTheme="majorHAnsi" w:hAnsiTheme="majorHAnsi" w:cstheme="majorHAnsi"/>
          <w:color w:val="000000" w:themeColor="text1"/>
          <w:sz w:val="22"/>
          <w:szCs w:val="22"/>
          <w:lang w:val="en-AU"/>
        </w:rPr>
        <w:t>e</w:t>
      </w:r>
      <w:r w:rsidRPr="00176B2D">
        <w:rPr>
          <w:rFonts w:asciiTheme="majorHAnsi" w:hAnsiTheme="majorHAnsi" w:cstheme="majorHAnsi"/>
          <w:color w:val="000000" w:themeColor="text1"/>
          <w:sz w:val="22"/>
          <w:szCs w:val="22"/>
          <w:lang w:val="en-AU"/>
        </w:rPr>
        <w:t xml:space="preserve"> is not </w:t>
      </w:r>
      <w:r w:rsidR="00FE465E" w:rsidRPr="00176B2D">
        <w:rPr>
          <w:rFonts w:asciiTheme="majorHAnsi" w:hAnsiTheme="majorHAnsi" w:cstheme="majorHAnsi"/>
          <w:color w:val="000000" w:themeColor="text1"/>
          <w:sz w:val="22"/>
          <w:szCs w:val="22"/>
          <w:lang w:val="en-AU"/>
        </w:rPr>
        <w:t xml:space="preserve">that </w:t>
      </w:r>
      <w:r w:rsidRPr="00176B2D">
        <w:rPr>
          <w:rFonts w:asciiTheme="majorHAnsi" w:hAnsiTheme="majorHAnsi" w:cstheme="majorHAnsi"/>
          <w:color w:val="000000" w:themeColor="text1"/>
          <w:sz w:val="22"/>
          <w:szCs w:val="22"/>
          <w:lang w:val="en-AU"/>
        </w:rPr>
        <w:t xml:space="preserve">pillars 2 and 3 </w:t>
      </w:r>
      <w:r w:rsidR="00FE465E" w:rsidRPr="00176B2D">
        <w:rPr>
          <w:rFonts w:asciiTheme="majorHAnsi" w:hAnsiTheme="majorHAnsi" w:cstheme="majorHAnsi"/>
          <w:color w:val="000000" w:themeColor="text1"/>
          <w:sz w:val="22"/>
          <w:szCs w:val="22"/>
          <w:lang w:val="en-AU"/>
        </w:rPr>
        <w:t>are not worthwhile but whether it is appropriate</w:t>
      </w:r>
      <w:r w:rsidRPr="00176B2D">
        <w:rPr>
          <w:rFonts w:asciiTheme="majorHAnsi" w:hAnsiTheme="majorHAnsi" w:cstheme="majorHAnsi"/>
          <w:color w:val="000000" w:themeColor="text1"/>
          <w:sz w:val="22"/>
          <w:szCs w:val="22"/>
          <w:lang w:val="en-AU"/>
        </w:rPr>
        <w:t xml:space="preserve"> for them to account for the greater share of AIPJ2 spend</w:t>
      </w:r>
      <w:r w:rsidR="00BD55A5">
        <w:rPr>
          <w:rFonts w:asciiTheme="majorHAnsi" w:hAnsiTheme="majorHAnsi" w:cstheme="majorHAnsi"/>
          <w:color w:val="000000" w:themeColor="text1"/>
          <w:sz w:val="22"/>
          <w:szCs w:val="22"/>
          <w:lang w:val="en-AU"/>
        </w:rPr>
        <w:t>, particularly in their current form</w:t>
      </w:r>
      <w:r w:rsidRPr="00176B2D">
        <w:rPr>
          <w:rFonts w:asciiTheme="majorHAnsi" w:hAnsiTheme="majorHAnsi" w:cstheme="majorHAnsi"/>
          <w:color w:val="000000" w:themeColor="text1"/>
          <w:sz w:val="22"/>
          <w:szCs w:val="22"/>
          <w:lang w:val="en-AU"/>
        </w:rPr>
        <w:t>.</w:t>
      </w:r>
      <w:r w:rsidR="001C70AB" w:rsidRPr="00176B2D">
        <w:rPr>
          <w:rFonts w:asciiTheme="majorHAnsi" w:hAnsiTheme="majorHAnsi" w:cstheme="majorHAnsi"/>
          <w:color w:val="000000" w:themeColor="text1"/>
          <w:sz w:val="22"/>
          <w:szCs w:val="22"/>
          <w:lang w:val="en-AU"/>
        </w:rPr>
        <w:t xml:space="preserve"> </w:t>
      </w:r>
      <w:r w:rsidR="00A16179">
        <w:rPr>
          <w:rFonts w:asciiTheme="majorHAnsi" w:hAnsiTheme="majorHAnsi" w:cstheme="majorHAnsi"/>
          <w:color w:val="000000" w:themeColor="text1"/>
          <w:sz w:val="22"/>
          <w:szCs w:val="22"/>
          <w:lang w:val="en-AU"/>
        </w:rPr>
        <w:t xml:space="preserve"> </w:t>
      </w:r>
      <w:r w:rsidR="001C70AB" w:rsidRPr="00176B2D">
        <w:rPr>
          <w:rFonts w:asciiTheme="majorHAnsi" w:hAnsiTheme="majorHAnsi" w:cstheme="majorHAnsi"/>
          <w:color w:val="000000" w:themeColor="text1"/>
          <w:sz w:val="22"/>
          <w:szCs w:val="22"/>
          <w:lang w:val="en-AU"/>
        </w:rPr>
        <w:t>A</w:t>
      </w:r>
      <w:r w:rsidR="008743D2" w:rsidRPr="00176B2D">
        <w:rPr>
          <w:rFonts w:asciiTheme="majorHAnsi" w:hAnsiTheme="majorHAnsi" w:cstheme="majorHAnsi"/>
          <w:color w:val="000000" w:themeColor="text1"/>
          <w:sz w:val="22"/>
          <w:szCs w:val="22"/>
          <w:lang w:val="en-AU"/>
        </w:rPr>
        <w:t>t</w:t>
      </w:r>
      <w:r w:rsidR="001C70AB" w:rsidRPr="00176B2D">
        <w:rPr>
          <w:rFonts w:asciiTheme="majorHAnsi" w:hAnsiTheme="majorHAnsi" w:cstheme="majorHAnsi"/>
          <w:color w:val="000000" w:themeColor="text1"/>
          <w:sz w:val="22"/>
          <w:szCs w:val="22"/>
          <w:lang w:val="en-AU"/>
        </w:rPr>
        <w:t xml:space="preserve"> the very least, more attention </w:t>
      </w:r>
      <w:r w:rsidR="00BD55A5">
        <w:rPr>
          <w:rFonts w:asciiTheme="majorHAnsi" w:hAnsiTheme="majorHAnsi" w:cstheme="majorHAnsi"/>
          <w:color w:val="000000" w:themeColor="text1"/>
          <w:sz w:val="22"/>
          <w:szCs w:val="22"/>
          <w:lang w:val="en-AU"/>
        </w:rPr>
        <w:t xml:space="preserve">is </w:t>
      </w:r>
      <w:r w:rsidR="001C70AB" w:rsidRPr="00176B2D">
        <w:rPr>
          <w:rFonts w:asciiTheme="majorHAnsi" w:hAnsiTheme="majorHAnsi" w:cstheme="majorHAnsi"/>
          <w:color w:val="000000" w:themeColor="text1"/>
          <w:sz w:val="22"/>
          <w:szCs w:val="22"/>
          <w:lang w:val="en-AU"/>
        </w:rPr>
        <w:t>need</w:t>
      </w:r>
      <w:r w:rsidR="008743D2" w:rsidRPr="00176B2D">
        <w:rPr>
          <w:rFonts w:asciiTheme="majorHAnsi" w:hAnsiTheme="majorHAnsi" w:cstheme="majorHAnsi"/>
          <w:color w:val="000000" w:themeColor="text1"/>
          <w:sz w:val="22"/>
          <w:szCs w:val="22"/>
          <w:lang w:val="en-AU"/>
        </w:rPr>
        <w:t>ed</w:t>
      </w:r>
      <w:r w:rsidR="001C70AB" w:rsidRPr="00176B2D">
        <w:rPr>
          <w:rFonts w:asciiTheme="majorHAnsi" w:hAnsiTheme="majorHAnsi" w:cstheme="majorHAnsi"/>
          <w:color w:val="000000" w:themeColor="text1"/>
          <w:sz w:val="22"/>
          <w:szCs w:val="22"/>
          <w:lang w:val="en-AU"/>
        </w:rPr>
        <w:t xml:space="preserve"> for M&amp;E in these areas to help </w:t>
      </w:r>
      <w:r w:rsidR="008743D2" w:rsidRPr="00176B2D">
        <w:rPr>
          <w:rFonts w:asciiTheme="majorHAnsi" w:hAnsiTheme="majorHAnsi" w:cstheme="majorHAnsi"/>
          <w:color w:val="000000" w:themeColor="text1"/>
          <w:sz w:val="22"/>
          <w:szCs w:val="22"/>
          <w:lang w:val="en-AU"/>
        </w:rPr>
        <w:t>make a more informed judgement about</w:t>
      </w:r>
      <w:r w:rsidR="001C70AB" w:rsidRPr="00176B2D">
        <w:rPr>
          <w:rFonts w:asciiTheme="majorHAnsi" w:hAnsiTheme="majorHAnsi" w:cstheme="majorHAnsi"/>
          <w:color w:val="000000" w:themeColor="text1"/>
          <w:sz w:val="22"/>
          <w:szCs w:val="22"/>
          <w:lang w:val="en-AU"/>
        </w:rPr>
        <w:t xml:space="preserve"> the cost-effectiveness of</w:t>
      </w:r>
      <w:r w:rsidR="008743D2" w:rsidRPr="00176B2D">
        <w:rPr>
          <w:rFonts w:asciiTheme="majorHAnsi" w:hAnsiTheme="majorHAnsi" w:cstheme="majorHAnsi"/>
          <w:color w:val="000000" w:themeColor="text1"/>
          <w:sz w:val="22"/>
          <w:szCs w:val="22"/>
          <w:lang w:val="en-AU"/>
        </w:rPr>
        <w:t xml:space="preserve"> support and what represents an optimal balance.</w:t>
      </w:r>
      <w:r w:rsidR="00A16179">
        <w:rPr>
          <w:rFonts w:asciiTheme="majorHAnsi" w:hAnsiTheme="majorHAnsi" w:cstheme="majorHAnsi"/>
          <w:color w:val="000000" w:themeColor="text1"/>
          <w:sz w:val="22"/>
          <w:szCs w:val="22"/>
          <w:lang w:val="en-AU"/>
        </w:rPr>
        <w:t xml:space="preserve"> </w:t>
      </w:r>
      <w:r w:rsidR="00176B2D" w:rsidRPr="00176B2D">
        <w:rPr>
          <w:rFonts w:asciiTheme="majorHAnsi" w:hAnsiTheme="majorHAnsi" w:cstheme="majorHAnsi"/>
          <w:color w:val="000000" w:themeColor="text1"/>
          <w:sz w:val="22"/>
          <w:szCs w:val="22"/>
        </w:rPr>
        <w:t xml:space="preserve">Beyond that, this shift of spending away from justice towards security should be acknowledged and a judgement reached on whether the change from original design is warranted. </w:t>
      </w:r>
    </w:p>
    <w:p w14:paraId="3D4B3DDC" w14:textId="28B713FC" w:rsidR="008743D2" w:rsidRPr="00685D58" w:rsidRDefault="008743D2"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685D58">
        <w:rPr>
          <w:rFonts w:asciiTheme="majorHAnsi" w:hAnsiTheme="majorHAnsi" w:cstheme="majorHAnsi"/>
          <w:b/>
          <w:bCs/>
          <w:color w:val="000000" w:themeColor="text1"/>
          <w:sz w:val="26"/>
          <w:szCs w:val="26"/>
          <w:lang w:val="en-AU"/>
        </w:rPr>
        <w:t>Is the balance within pillars right?</w:t>
      </w:r>
    </w:p>
    <w:p w14:paraId="12D5EB6B" w14:textId="57BC4CE6" w:rsidR="003B06D2" w:rsidRPr="00685D58" w:rsidRDefault="00685D58"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lang w:val="en-AU"/>
        </w:rPr>
      </w:pPr>
      <w:r w:rsidRPr="00685D58">
        <w:rPr>
          <w:rFonts w:asciiTheme="majorHAnsi" w:hAnsiTheme="majorHAnsi" w:cstheme="majorHAnsi"/>
          <w:color w:val="000000" w:themeColor="text1"/>
          <w:sz w:val="22"/>
          <w:szCs w:val="22"/>
          <w:lang w:val="en-AU"/>
        </w:rPr>
        <w:t>T</w:t>
      </w:r>
      <w:r w:rsidR="003B06D2" w:rsidRPr="00685D58">
        <w:rPr>
          <w:rFonts w:asciiTheme="majorHAnsi" w:hAnsiTheme="majorHAnsi" w:cstheme="majorHAnsi"/>
          <w:color w:val="000000" w:themeColor="text1"/>
          <w:sz w:val="22"/>
          <w:szCs w:val="22"/>
          <w:lang w:val="en-AU"/>
        </w:rPr>
        <w:t>he review team offer the following observations regarding the balance within AIPJ2’s law and justice portfolio:</w:t>
      </w:r>
    </w:p>
    <w:p w14:paraId="16BC3EF2" w14:textId="73A22261" w:rsidR="00ED4C99" w:rsidRPr="00685D58" w:rsidRDefault="003B06D2" w:rsidP="006B32D6">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sidRPr="00685D58">
        <w:rPr>
          <w:rFonts w:asciiTheme="majorHAnsi" w:hAnsiTheme="majorHAnsi" w:cstheme="majorHAnsi"/>
          <w:color w:val="000000" w:themeColor="text1"/>
          <w:sz w:val="22"/>
          <w:szCs w:val="22"/>
          <w:lang w:val="en-AU"/>
        </w:rPr>
        <w:t xml:space="preserve">As mentioned above, the </w:t>
      </w:r>
      <w:r w:rsidR="00ED4C99" w:rsidRPr="00685D58">
        <w:rPr>
          <w:rFonts w:asciiTheme="majorHAnsi" w:hAnsiTheme="majorHAnsi" w:cstheme="majorHAnsi"/>
          <w:color w:val="000000" w:themeColor="text1"/>
          <w:sz w:val="22"/>
          <w:szCs w:val="22"/>
          <w:lang w:val="en-AU"/>
        </w:rPr>
        <w:t xml:space="preserve">anticipated priority </w:t>
      </w:r>
      <w:r w:rsidR="00685D58" w:rsidRPr="00685D58">
        <w:rPr>
          <w:rFonts w:asciiTheme="majorHAnsi" w:hAnsiTheme="majorHAnsi" w:cstheme="majorHAnsi"/>
          <w:color w:val="000000" w:themeColor="text1"/>
          <w:sz w:val="22"/>
          <w:szCs w:val="22"/>
          <w:lang w:val="en-AU"/>
        </w:rPr>
        <w:t>that will be placed on</w:t>
      </w:r>
      <w:r w:rsidR="00ED4C99" w:rsidRPr="00685D58">
        <w:rPr>
          <w:rFonts w:asciiTheme="majorHAnsi" w:hAnsiTheme="majorHAnsi" w:cstheme="majorHAnsi"/>
          <w:color w:val="000000" w:themeColor="text1"/>
          <w:sz w:val="22"/>
          <w:szCs w:val="22"/>
          <w:lang w:val="en-AU"/>
        </w:rPr>
        <w:t xml:space="preserve"> the</w:t>
      </w:r>
      <w:r w:rsidRPr="00685D58">
        <w:rPr>
          <w:rFonts w:asciiTheme="majorHAnsi" w:hAnsiTheme="majorHAnsi" w:cstheme="majorHAnsi"/>
          <w:color w:val="000000" w:themeColor="text1"/>
          <w:sz w:val="22"/>
          <w:szCs w:val="22"/>
          <w:lang w:val="en-AU"/>
        </w:rPr>
        <w:t xml:space="preserve"> </w:t>
      </w:r>
      <w:r w:rsidRPr="00685D58">
        <w:rPr>
          <w:rFonts w:asciiTheme="majorHAnsi" w:hAnsiTheme="majorHAnsi" w:cstheme="majorHAnsi"/>
          <w:b/>
          <w:bCs/>
          <w:color w:val="000000" w:themeColor="text1"/>
          <w:sz w:val="22"/>
          <w:szCs w:val="22"/>
          <w:lang w:val="en-AU"/>
        </w:rPr>
        <w:t>integrated reform of the criminal justice system</w:t>
      </w:r>
      <w:r w:rsidRPr="00685D58">
        <w:rPr>
          <w:rFonts w:asciiTheme="majorHAnsi" w:hAnsiTheme="majorHAnsi" w:cstheme="majorHAnsi"/>
          <w:color w:val="000000" w:themeColor="text1"/>
          <w:sz w:val="22"/>
          <w:szCs w:val="22"/>
          <w:lang w:val="en-AU"/>
        </w:rPr>
        <w:t xml:space="preserve"> and associated attention to </w:t>
      </w:r>
      <w:r w:rsidRPr="00685D58">
        <w:rPr>
          <w:rFonts w:asciiTheme="majorHAnsi" w:hAnsiTheme="majorHAnsi" w:cstheme="majorHAnsi"/>
          <w:b/>
          <w:bCs/>
          <w:color w:val="000000" w:themeColor="text1"/>
          <w:sz w:val="22"/>
          <w:szCs w:val="22"/>
          <w:lang w:val="en-AU"/>
        </w:rPr>
        <w:t>restorative justice</w:t>
      </w:r>
      <w:r w:rsidR="00ED4C99" w:rsidRPr="00685D58">
        <w:rPr>
          <w:rFonts w:asciiTheme="majorHAnsi" w:hAnsiTheme="majorHAnsi" w:cstheme="majorHAnsi"/>
          <w:b/>
          <w:bCs/>
          <w:color w:val="000000" w:themeColor="text1"/>
          <w:sz w:val="22"/>
          <w:szCs w:val="22"/>
          <w:lang w:val="en-AU"/>
        </w:rPr>
        <w:t xml:space="preserve"> </w:t>
      </w:r>
      <w:r w:rsidR="00ED4C99" w:rsidRPr="00685D58">
        <w:rPr>
          <w:rFonts w:asciiTheme="majorHAnsi" w:hAnsiTheme="majorHAnsi" w:cstheme="majorHAnsi"/>
          <w:color w:val="000000" w:themeColor="text1"/>
          <w:sz w:val="22"/>
          <w:szCs w:val="22"/>
          <w:lang w:val="en-AU"/>
        </w:rPr>
        <w:t>presents significant</w:t>
      </w:r>
      <w:r w:rsidR="00ED4C99" w:rsidRPr="00685D58">
        <w:rPr>
          <w:rFonts w:asciiTheme="majorHAnsi" w:hAnsiTheme="majorHAnsi" w:cstheme="majorHAnsi"/>
          <w:b/>
          <w:bCs/>
          <w:color w:val="000000" w:themeColor="text1"/>
          <w:sz w:val="22"/>
          <w:szCs w:val="22"/>
          <w:lang w:val="en-AU"/>
        </w:rPr>
        <w:t xml:space="preserve"> </w:t>
      </w:r>
      <w:r w:rsidR="00ED4C99" w:rsidRPr="00685D58">
        <w:rPr>
          <w:rFonts w:asciiTheme="majorHAnsi" w:hAnsiTheme="majorHAnsi" w:cstheme="majorHAnsi"/>
          <w:color w:val="000000" w:themeColor="text1"/>
          <w:sz w:val="22"/>
          <w:szCs w:val="22"/>
          <w:lang w:val="en-AU"/>
        </w:rPr>
        <w:t>opportunit</w:t>
      </w:r>
      <w:r w:rsidR="00685D58" w:rsidRPr="00685D58">
        <w:rPr>
          <w:rFonts w:asciiTheme="majorHAnsi" w:hAnsiTheme="majorHAnsi" w:cstheme="majorHAnsi"/>
          <w:color w:val="000000" w:themeColor="text1"/>
          <w:sz w:val="22"/>
          <w:szCs w:val="22"/>
          <w:lang w:val="en-AU"/>
        </w:rPr>
        <w:t>y</w:t>
      </w:r>
      <w:r w:rsidR="00ED4C99" w:rsidRPr="00685D58">
        <w:rPr>
          <w:rFonts w:asciiTheme="majorHAnsi" w:hAnsiTheme="majorHAnsi" w:cstheme="majorHAnsi"/>
          <w:color w:val="000000" w:themeColor="text1"/>
          <w:sz w:val="22"/>
          <w:szCs w:val="22"/>
          <w:lang w:val="en-AU"/>
        </w:rPr>
        <w:t xml:space="preserve"> for AIPJ2</w:t>
      </w:r>
      <w:r w:rsidR="00685D58" w:rsidRPr="00685D58">
        <w:rPr>
          <w:rFonts w:asciiTheme="majorHAnsi" w:hAnsiTheme="majorHAnsi" w:cstheme="majorHAnsi"/>
          <w:color w:val="000000" w:themeColor="text1"/>
          <w:sz w:val="22"/>
          <w:szCs w:val="22"/>
          <w:lang w:val="en-AU"/>
        </w:rPr>
        <w:t xml:space="preserve"> to draw together a number of areas </w:t>
      </w:r>
      <w:r w:rsidR="00685D58">
        <w:rPr>
          <w:rFonts w:asciiTheme="majorHAnsi" w:hAnsiTheme="majorHAnsi" w:cstheme="majorHAnsi"/>
          <w:color w:val="000000" w:themeColor="text1"/>
          <w:sz w:val="22"/>
          <w:szCs w:val="22"/>
          <w:lang w:val="en-AU"/>
        </w:rPr>
        <w:t>of</w:t>
      </w:r>
      <w:r w:rsidR="00685D58" w:rsidRPr="00685D58">
        <w:rPr>
          <w:rFonts w:asciiTheme="majorHAnsi" w:hAnsiTheme="majorHAnsi" w:cstheme="majorHAnsi"/>
          <w:color w:val="000000" w:themeColor="text1"/>
          <w:sz w:val="22"/>
          <w:szCs w:val="22"/>
          <w:lang w:val="en-AU"/>
        </w:rPr>
        <w:t xml:space="preserve"> work and engage on new ones from a strong position</w:t>
      </w:r>
      <w:r w:rsidR="006D23CF" w:rsidRPr="00685D58">
        <w:rPr>
          <w:rFonts w:asciiTheme="majorHAnsi" w:hAnsiTheme="majorHAnsi" w:cstheme="majorHAnsi"/>
          <w:color w:val="000000" w:themeColor="text1"/>
          <w:sz w:val="22"/>
          <w:szCs w:val="22"/>
          <w:lang w:val="en-AU"/>
        </w:rPr>
        <w:t>.</w:t>
      </w:r>
      <w:r w:rsidR="00A16179">
        <w:rPr>
          <w:rFonts w:asciiTheme="majorHAnsi" w:hAnsiTheme="majorHAnsi" w:cstheme="majorHAnsi"/>
          <w:color w:val="000000" w:themeColor="text1"/>
          <w:sz w:val="22"/>
          <w:szCs w:val="22"/>
          <w:lang w:val="en-AU"/>
        </w:rPr>
        <w:t xml:space="preserve"> </w:t>
      </w:r>
      <w:r w:rsidR="00685D58" w:rsidRPr="00685D58">
        <w:rPr>
          <w:rFonts w:asciiTheme="majorHAnsi" w:hAnsiTheme="majorHAnsi" w:cstheme="majorHAnsi"/>
          <w:color w:val="000000" w:themeColor="text1"/>
          <w:sz w:val="22"/>
          <w:szCs w:val="22"/>
          <w:lang w:val="en-AU"/>
        </w:rPr>
        <w:t xml:space="preserve">The </w:t>
      </w:r>
      <w:r w:rsidR="00ED4C99" w:rsidRPr="00685D58">
        <w:rPr>
          <w:rFonts w:asciiTheme="majorHAnsi" w:hAnsiTheme="majorHAnsi" w:cstheme="majorHAnsi"/>
          <w:color w:val="000000" w:themeColor="text1"/>
          <w:sz w:val="22"/>
          <w:szCs w:val="22"/>
          <w:lang w:val="en-AU"/>
        </w:rPr>
        <w:t xml:space="preserve">opportunity to re-engage on the issue of </w:t>
      </w:r>
      <w:r w:rsidR="00ED4C99" w:rsidRPr="00685D58">
        <w:rPr>
          <w:rFonts w:asciiTheme="majorHAnsi" w:hAnsiTheme="majorHAnsi" w:cstheme="majorHAnsi"/>
          <w:b/>
          <w:bCs/>
          <w:color w:val="000000" w:themeColor="text1"/>
          <w:sz w:val="22"/>
          <w:szCs w:val="22"/>
          <w:lang w:val="en-AU"/>
        </w:rPr>
        <w:t>legal aid</w:t>
      </w:r>
      <w:r w:rsidR="00685D58" w:rsidRPr="00685D58">
        <w:rPr>
          <w:rFonts w:asciiTheme="majorHAnsi" w:hAnsiTheme="majorHAnsi" w:cstheme="majorHAnsi"/>
          <w:b/>
          <w:bCs/>
          <w:color w:val="000000" w:themeColor="text1"/>
          <w:sz w:val="22"/>
          <w:szCs w:val="22"/>
          <w:lang w:val="en-AU"/>
        </w:rPr>
        <w:t xml:space="preserve"> </w:t>
      </w:r>
      <w:r w:rsidR="00685D58" w:rsidRPr="00685D58">
        <w:rPr>
          <w:rFonts w:asciiTheme="majorHAnsi" w:hAnsiTheme="majorHAnsi" w:cstheme="majorHAnsi"/>
          <w:color w:val="000000" w:themeColor="text1"/>
          <w:sz w:val="22"/>
          <w:szCs w:val="22"/>
          <w:lang w:val="en-AU"/>
        </w:rPr>
        <w:t>represents a particular case</w:t>
      </w:r>
      <w:r w:rsidR="00ED4C99" w:rsidRPr="00685D58">
        <w:rPr>
          <w:rFonts w:asciiTheme="majorHAnsi" w:hAnsiTheme="majorHAnsi" w:cstheme="majorHAnsi"/>
          <w:color w:val="000000" w:themeColor="text1"/>
          <w:sz w:val="22"/>
          <w:szCs w:val="22"/>
          <w:lang w:val="en-AU"/>
        </w:rPr>
        <w:t>.</w:t>
      </w:r>
      <w:r w:rsidR="00A16179">
        <w:rPr>
          <w:rFonts w:asciiTheme="majorHAnsi" w:hAnsiTheme="majorHAnsi" w:cstheme="majorHAnsi"/>
          <w:color w:val="000000" w:themeColor="text1"/>
          <w:sz w:val="22"/>
          <w:szCs w:val="22"/>
          <w:lang w:val="en-AU"/>
        </w:rPr>
        <w:t xml:space="preserve"> </w:t>
      </w:r>
      <w:r w:rsidR="006D23CF" w:rsidRPr="00685D58">
        <w:rPr>
          <w:rFonts w:asciiTheme="majorHAnsi" w:hAnsiTheme="majorHAnsi" w:cstheme="majorHAnsi"/>
          <w:color w:val="000000" w:themeColor="text1"/>
          <w:sz w:val="22"/>
          <w:szCs w:val="22"/>
          <w:lang w:val="en-AU"/>
        </w:rPr>
        <w:t xml:space="preserve">During the first phase </w:t>
      </w:r>
      <w:r w:rsidR="00ED4C99" w:rsidRPr="00685D58">
        <w:rPr>
          <w:rFonts w:asciiTheme="majorHAnsi" w:hAnsiTheme="majorHAnsi" w:cstheme="majorHAnsi"/>
          <w:color w:val="000000" w:themeColor="text1"/>
          <w:sz w:val="22"/>
          <w:szCs w:val="22"/>
          <w:lang w:val="en-AU"/>
        </w:rPr>
        <w:t>AIPJ helped establish Indonesia’s legal aid system.</w:t>
      </w:r>
      <w:r w:rsidR="00A16179">
        <w:rPr>
          <w:rFonts w:asciiTheme="majorHAnsi" w:hAnsiTheme="majorHAnsi" w:cstheme="majorHAnsi"/>
          <w:color w:val="000000" w:themeColor="text1"/>
          <w:sz w:val="22"/>
          <w:szCs w:val="22"/>
          <w:lang w:val="en-AU"/>
        </w:rPr>
        <w:t xml:space="preserve"> </w:t>
      </w:r>
      <w:r w:rsidR="00ED4C99" w:rsidRPr="00685D58">
        <w:rPr>
          <w:rFonts w:asciiTheme="majorHAnsi" w:hAnsiTheme="majorHAnsi" w:cstheme="majorHAnsi"/>
          <w:color w:val="000000" w:themeColor="text1"/>
          <w:sz w:val="22"/>
          <w:szCs w:val="22"/>
          <w:lang w:val="en-AU"/>
        </w:rPr>
        <w:t xml:space="preserve">This </w:t>
      </w:r>
      <w:r w:rsidR="006D23CF" w:rsidRPr="00685D58">
        <w:rPr>
          <w:rFonts w:asciiTheme="majorHAnsi" w:hAnsiTheme="majorHAnsi" w:cstheme="majorHAnsi"/>
          <w:color w:val="000000" w:themeColor="text1"/>
          <w:sz w:val="22"/>
          <w:szCs w:val="22"/>
          <w:lang w:val="en-AU"/>
        </w:rPr>
        <w:t>was a significant achievement</w:t>
      </w:r>
      <w:r w:rsidR="00ED4C99" w:rsidRPr="00685D58">
        <w:rPr>
          <w:rFonts w:asciiTheme="majorHAnsi" w:hAnsiTheme="majorHAnsi" w:cstheme="majorHAnsi"/>
          <w:color w:val="000000" w:themeColor="text1"/>
          <w:sz w:val="22"/>
          <w:szCs w:val="22"/>
          <w:lang w:val="en-AU"/>
        </w:rPr>
        <w:t xml:space="preserve"> but </w:t>
      </w:r>
      <w:r w:rsidR="006D23CF" w:rsidRPr="00685D58">
        <w:rPr>
          <w:rFonts w:asciiTheme="majorHAnsi" w:hAnsiTheme="majorHAnsi" w:cstheme="majorHAnsi"/>
          <w:color w:val="000000" w:themeColor="text1"/>
          <w:sz w:val="22"/>
          <w:szCs w:val="22"/>
          <w:lang w:val="en-AU"/>
        </w:rPr>
        <w:t>AIPJ stopped support once the law was passed.</w:t>
      </w:r>
      <w:r w:rsidR="00A16179">
        <w:rPr>
          <w:rFonts w:asciiTheme="majorHAnsi" w:hAnsiTheme="majorHAnsi" w:cstheme="majorHAnsi"/>
          <w:color w:val="000000" w:themeColor="text1"/>
          <w:sz w:val="22"/>
          <w:szCs w:val="22"/>
          <w:lang w:val="en-AU"/>
        </w:rPr>
        <w:t xml:space="preserve"> </w:t>
      </w:r>
      <w:r w:rsidR="006D23CF" w:rsidRPr="00685D58">
        <w:rPr>
          <w:rFonts w:asciiTheme="majorHAnsi" w:hAnsiTheme="majorHAnsi" w:cstheme="majorHAnsi"/>
          <w:color w:val="000000" w:themeColor="text1"/>
          <w:sz w:val="22"/>
          <w:szCs w:val="22"/>
          <w:lang w:val="en-AU"/>
        </w:rPr>
        <w:t xml:space="preserve">To date </w:t>
      </w:r>
      <w:r w:rsidR="00ED4C99" w:rsidRPr="00685D58">
        <w:rPr>
          <w:rFonts w:asciiTheme="majorHAnsi" w:hAnsiTheme="majorHAnsi" w:cstheme="majorHAnsi"/>
          <w:color w:val="000000" w:themeColor="text1"/>
          <w:sz w:val="22"/>
          <w:szCs w:val="22"/>
          <w:lang w:val="en-AU"/>
        </w:rPr>
        <w:t>the potential</w:t>
      </w:r>
      <w:r w:rsidR="006D23CF" w:rsidRPr="00685D58">
        <w:rPr>
          <w:rFonts w:asciiTheme="majorHAnsi" w:hAnsiTheme="majorHAnsi" w:cstheme="majorHAnsi"/>
          <w:color w:val="000000" w:themeColor="text1"/>
          <w:sz w:val="22"/>
          <w:szCs w:val="22"/>
          <w:lang w:val="en-AU"/>
        </w:rPr>
        <w:t xml:space="preserve"> value of this reform has not been fully realised.</w:t>
      </w:r>
    </w:p>
    <w:p w14:paraId="75BB44E7" w14:textId="2E0DD55B" w:rsidR="0089243C" w:rsidRPr="00685D58" w:rsidRDefault="00533984" w:rsidP="006B32D6">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sidRPr="00685D58">
        <w:rPr>
          <w:rFonts w:asciiTheme="majorHAnsi" w:hAnsiTheme="majorHAnsi" w:cstheme="majorHAnsi"/>
          <w:color w:val="000000" w:themeColor="text1"/>
          <w:sz w:val="22"/>
          <w:szCs w:val="22"/>
          <w:lang w:val="en-AU"/>
        </w:rPr>
        <w:t xml:space="preserve">The issue of </w:t>
      </w:r>
      <w:r w:rsidRPr="00685D58">
        <w:rPr>
          <w:rFonts w:asciiTheme="majorHAnsi" w:hAnsiTheme="majorHAnsi" w:cstheme="majorHAnsi"/>
          <w:b/>
          <w:bCs/>
          <w:color w:val="000000" w:themeColor="text1"/>
          <w:sz w:val="22"/>
          <w:szCs w:val="22"/>
          <w:lang w:val="en-AU"/>
        </w:rPr>
        <w:t>prison overcrowding</w:t>
      </w:r>
      <w:r w:rsidRPr="00685D58">
        <w:rPr>
          <w:rFonts w:asciiTheme="majorHAnsi" w:hAnsiTheme="majorHAnsi" w:cstheme="majorHAnsi"/>
          <w:color w:val="000000" w:themeColor="text1"/>
          <w:sz w:val="22"/>
          <w:szCs w:val="22"/>
          <w:lang w:val="en-AU"/>
        </w:rPr>
        <w:t xml:space="preserve"> </w:t>
      </w:r>
      <w:r w:rsidR="00685D58">
        <w:rPr>
          <w:rFonts w:asciiTheme="majorHAnsi" w:hAnsiTheme="majorHAnsi" w:cstheme="majorHAnsi"/>
          <w:color w:val="000000" w:themeColor="text1"/>
          <w:sz w:val="22"/>
          <w:szCs w:val="22"/>
          <w:lang w:val="en-AU"/>
        </w:rPr>
        <w:t xml:space="preserve">is also likely to be critical and </w:t>
      </w:r>
      <w:r w:rsidRPr="00685D58">
        <w:rPr>
          <w:rFonts w:asciiTheme="majorHAnsi" w:hAnsiTheme="majorHAnsi" w:cstheme="majorHAnsi"/>
          <w:color w:val="000000" w:themeColor="text1"/>
          <w:sz w:val="22"/>
          <w:szCs w:val="22"/>
          <w:lang w:val="en-AU"/>
        </w:rPr>
        <w:t>has been raised above.</w:t>
      </w:r>
      <w:r w:rsidR="00A16179">
        <w:rPr>
          <w:rFonts w:asciiTheme="majorHAnsi" w:hAnsiTheme="majorHAnsi" w:cstheme="majorHAnsi"/>
          <w:color w:val="000000" w:themeColor="text1"/>
          <w:sz w:val="22"/>
          <w:szCs w:val="22"/>
          <w:lang w:val="en-AU"/>
        </w:rPr>
        <w:t xml:space="preserve"> </w:t>
      </w:r>
    </w:p>
    <w:p w14:paraId="7E559943" w14:textId="56943593" w:rsidR="00E95799" w:rsidRDefault="00E95799" w:rsidP="006B32D6">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sidRPr="00685D58">
        <w:rPr>
          <w:rFonts w:asciiTheme="majorHAnsi" w:hAnsiTheme="majorHAnsi" w:cstheme="majorHAnsi"/>
          <w:color w:val="000000" w:themeColor="text1"/>
          <w:sz w:val="22"/>
          <w:szCs w:val="22"/>
          <w:lang w:val="en-AU"/>
        </w:rPr>
        <w:t xml:space="preserve">Use of the Small Claims Court by justice seekers continues to increase significantly against the backdrop of largely stagnant levels of new general civil lawsuits. The expansion of the jurisdiction and other reform measures of the Small Claims Court that have been promulgated through Perma 2/2019 offers potential opportunities for AIPJ2 support going forward. </w:t>
      </w:r>
      <w:r w:rsidR="00492CE0" w:rsidRPr="00685D58">
        <w:rPr>
          <w:rFonts w:asciiTheme="majorHAnsi" w:hAnsiTheme="majorHAnsi" w:cstheme="majorHAnsi"/>
          <w:color w:val="000000" w:themeColor="text1"/>
          <w:sz w:val="22"/>
          <w:szCs w:val="22"/>
          <w:lang w:val="en-AU"/>
        </w:rPr>
        <w:t xml:space="preserve">The operation of </w:t>
      </w:r>
      <w:r w:rsidR="0071055F">
        <w:rPr>
          <w:rFonts w:asciiTheme="majorHAnsi" w:hAnsiTheme="majorHAnsi" w:cstheme="majorHAnsi"/>
          <w:color w:val="000000" w:themeColor="text1"/>
          <w:sz w:val="22"/>
          <w:szCs w:val="22"/>
          <w:lang w:val="en-AU"/>
        </w:rPr>
        <w:t>the</w:t>
      </w:r>
      <w:r w:rsidR="00A16179">
        <w:rPr>
          <w:rFonts w:asciiTheme="majorHAnsi" w:hAnsiTheme="majorHAnsi" w:cstheme="majorHAnsi"/>
          <w:color w:val="000000" w:themeColor="text1"/>
          <w:sz w:val="22"/>
          <w:szCs w:val="22"/>
          <w:lang w:val="en-AU"/>
        </w:rPr>
        <w:t xml:space="preserve"> </w:t>
      </w:r>
      <w:r w:rsidR="00492CE0" w:rsidRPr="00685D58">
        <w:rPr>
          <w:rFonts w:asciiTheme="majorHAnsi" w:hAnsiTheme="majorHAnsi" w:cstheme="majorHAnsi"/>
          <w:color w:val="000000" w:themeColor="text1"/>
          <w:sz w:val="22"/>
          <w:szCs w:val="22"/>
          <w:lang w:val="en-AU"/>
        </w:rPr>
        <w:t>Small Claims Court and public services among the lower level courts are integral elements in the Indonesian Government’s agenda for civil justice reforms and improving Indonesia’s ranking in the Ease of Doing Business survey.</w:t>
      </w:r>
      <w:r w:rsidR="00A16179">
        <w:rPr>
          <w:rFonts w:asciiTheme="majorHAnsi" w:hAnsiTheme="majorHAnsi" w:cstheme="majorHAnsi"/>
          <w:color w:val="000000" w:themeColor="text1"/>
          <w:sz w:val="22"/>
          <w:szCs w:val="22"/>
          <w:lang w:val="en-AU"/>
        </w:rPr>
        <w:t xml:space="preserve"> </w:t>
      </w:r>
      <w:r w:rsidR="00492CE0" w:rsidRPr="00685D58">
        <w:rPr>
          <w:rFonts w:asciiTheme="majorHAnsi" w:hAnsiTheme="majorHAnsi" w:cstheme="majorHAnsi"/>
          <w:color w:val="000000" w:themeColor="text1"/>
          <w:sz w:val="22"/>
          <w:szCs w:val="22"/>
          <w:lang w:val="en-AU"/>
        </w:rPr>
        <w:t xml:space="preserve">AIPJ2 is well-placed to engage going forward on key elements that contribute to the score for the quality of judicial process, such as establishing civil chambers in the district courts, random and electronic distribution of cases to judges, limiting the number of court adjournments, </w:t>
      </w:r>
      <w:r w:rsidR="00366F59" w:rsidRPr="00685D58">
        <w:rPr>
          <w:rFonts w:asciiTheme="majorHAnsi" w:hAnsiTheme="majorHAnsi" w:cstheme="majorHAnsi"/>
          <w:color w:val="000000" w:themeColor="text1"/>
          <w:sz w:val="22"/>
          <w:szCs w:val="22"/>
          <w:lang w:val="en-AU"/>
        </w:rPr>
        <w:t>court automation (including</w:t>
      </w:r>
      <w:r w:rsidR="00492CE0" w:rsidRPr="00685D58">
        <w:rPr>
          <w:rFonts w:asciiTheme="majorHAnsi" w:hAnsiTheme="majorHAnsi" w:cstheme="majorHAnsi"/>
          <w:color w:val="000000" w:themeColor="text1"/>
          <w:sz w:val="22"/>
          <w:szCs w:val="22"/>
          <w:lang w:val="en-AU"/>
        </w:rPr>
        <w:t xml:space="preserve"> </w:t>
      </w:r>
      <w:r w:rsidR="00366F59" w:rsidRPr="00685D58">
        <w:rPr>
          <w:rFonts w:asciiTheme="majorHAnsi" w:hAnsiTheme="majorHAnsi" w:cstheme="majorHAnsi"/>
          <w:color w:val="000000" w:themeColor="text1"/>
          <w:sz w:val="22"/>
          <w:szCs w:val="22"/>
          <w:lang w:val="en-AU"/>
        </w:rPr>
        <w:t xml:space="preserve">e-litigation, </w:t>
      </w:r>
      <w:r w:rsidR="00492CE0" w:rsidRPr="00685D58">
        <w:rPr>
          <w:rFonts w:asciiTheme="majorHAnsi" w:hAnsiTheme="majorHAnsi" w:cstheme="majorHAnsi"/>
          <w:color w:val="000000" w:themeColor="text1"/>
          <w:sz w:val="22"/>
          <w:szCs w:val="22"/>
          <w:lang w:val="en-AU"/>
        </w:rPr>
        <w:t>e-filing, e-summon</w:t>
      </w:r>
      <w:r w:rsidR="0071055F">
        <w:rPr>
          <w:rFonts w:asciiTheme="majorHAnsi" w:hAnsiTheme="majorHAnsi" w:cstheme="majorHAnsi"/>
          <w:color w:val="000000" w:themeColor="text1"/>
          <w:sz w:val="22"/>
          <w:szCs w:val="22"/>
          <w:lang w:val="en-AU"/>
        </w:rPr>
        <w:t>s</w:t>
      </w:r>
      <w:r w:rsidR="00366F59" w:rsidRPr="00685D58">
        <w:rPr>
          <w:rFonts w:asciiTheme="majorHAnsi" w:hAnsiTheme="majorHAnsi" w:cstheme="majorHAnsi"/>
          <w:color w:val="000000" w:themeColor="text1"/>
          <w:sz w:val="22"/>
          <w:szCs w:val="22"/>
          <w:lang w:val="en-AU"/>
        </w:rPr>
        <w:t xml:space="preserve"> </w:t>
      </w:r>
      <w:r w:rsidR="00492CE0" w:rsidRPr="00685D58">
        <w:rPr>
          <w:rFonts w:asciiTheme="majorHAnsi" w:hAnsiTheme="majorHAnsi" w:cstheme="majorHAnsi"/>
          <w:color w:val="000000" w:themeColor="text1"/>
          <w:sz w:val="22"/>
          <w:szCs w:val="22"/>
          <w:lang w:val="en-AU"/>
        </w:rPr>
        <w:t>and e-payment</w:t>
      </w:r>
      <w:r w:rsidR="00366F59" w:rsidRPr="00685D58">
        <w:rPr>
          <w:rFonts w:asciiTheme="majorHAnsi" w:hAnsiTheme="majorHAnsi" w:cstheme="majorHAnsi"/>
          <w:color w:val="000000" w:themeColor="text1"/>
          <w:sz w:val="22"/>
          <w:szCs w:val="22"/>
          <w:lang w:val="en-AU"/>
        </w:rPr>
        <w:t>) and increasing the effectiveness of alternative disputes resolution</w:t>
      </w:r>
      <w:r w:rsidR="00492CE0" w:rsidRPr="00685D58">
        <w:rPr>
          <w:rFonts w:asciiTheme="majorHAnsi" w:hAnsiTheme="majorHAnsi" w:cstheme="majorHAnsi"/>
          <w:color w:val="000000" w:themeColor="text1"/>
          <w:sz w:val="22"/>
          <w:szCs w:val="22"/>
          <w:lang w:val="en-AU"/>
        </w:rPr>
        <w:t>.</w:t>
      </w:r>
    </w:p>
    <w:p w14:paraId="247B5618" w14:textId="0975627F" w:rsidR="004E2608" w:rsidRPr="00426284" w:rsidRDefault="004E2608" w:rsidP="00426284">
      <w:pPr>
        <w:pStyle w:val="ListParagraph"/>
        <w:numPr>
          <w:ilvl w:val="0"/>
          <w:numId w:val="8"/>
        </w:numPr>
        <w:tabs>
          <w:tab w:val="left" w:pos="709"/>
        </w:tabs>
        <w:spacing w:line="274" w:lineRule="auto"/>
        <w:ind w:left="709" w:hanging="425"/>
        <w:contextualSpacing w:val="0"/>
        <w:rPr>
          <w:rFonts w:asciiTheme="majorHAnsi" w:hAnsiTheme="majorHAnsi" w:cstheme="majorHAnsi"/>
          <w:color w:val="000000" w:themeColor="text1"/>
          <w:sz w:val="22"/>
          <w:szCs w:val="22"/>
          <w:lang w:val="en-AU"/>
        </w:rPr>
      </w:pPr>
      <w:r>
        <w:rPr>
          <w:rFonts w:asciiTheme="majorHAnsi" w:hAnsiTheme="majorHAnsi" w:cstheme="majorHAnsi"/>
          <w:color w:val="000000" w:themeColor="text1"/>
          <w:sz w:val="22"/>
          <w:szCs w:val="22"/>
          <w:lang w:val="en-AU"/>
        </w:rPr>
        <w:t xml:space="preserve">AIPJ2 has not </w:t>
      </w:r>
      <w:r w:rsidR="00426284">
        <w:rPr>
          <w:rFonts w:asciiTheme="majorHAnsi" w:hAnsiTheme="majorHAnsi" w:cstheme="majorHAnsi"/>
          <w:color w:val="000000" w:themeColor="text1"/>
          <w:sz w:val="22"/>
          <w:szCs w:val="22"/>
          <w:lang w:val="en-AU"/>
        </w:rPr>
        <w:t xml:space="preserve">invested significantly on corruption prevention work (compared with women in contact with the law, for example).  </w:t>
      </w:r>
      <w:r w:rsidRPr="00685D58">
        <w:rPr>
          <w:rFonts w:asciiTheme="majorHAnsi" w:hAnsiTheme="majorHAnsi" w:cstheme="majorHAnsi"/>
          <w:color w:val="000000" w:themeColor="text1"/>
          <w:sz w:val="22"/>
          <w:szCs w:val="22"/>
          <w:lang w:val="en-AU"/>
        </w:rPr>
        <w:t xml:space="preserve">The </w:t>
      </w:r>
      <w:r w:rsidR="00426284">
        <w:rPr>
          <w:rFonts w:asciiTheme="majorHAnsi" w:hAnsiTheme="majorHAnsi" w:cstheme="majorHAnsi"/>
          <w:color w:val="000000" w:themeColor="text1"/>
          <w:sz w:val="22"/>
          <w:szCs w:val="22"/>
          <w:lang w:val="en-AU"/>
        </w:rPr>
        <w:t>Mid-term review team</w:t>
      </w:r>
      <w:r w:rsidRPr="00685D58">
        <w:rPr>
          <w:rFonts w:asciiTheme="majorHAnsi" w:hAnsiTheme="majorHAnsi" w:cstheme="majorHAnsi"/>
          <w:color w:val="000000" w:themeColor="text1"/>
          <w:sz w:val="22"/>
          <w:szCs w:val="22"/>
          <w:lang w:val="en-AU"/>
        </w:rPr>
        <w:t xml:space="preserve"> endorses the decision to cease core-funding of SPAK.</w:t>
      </w:r>
      <w:r>
        <w:rPr>
          <w:rFonts w:asciiTheme="majorHAnsi" w:hAnsiTheme="majorHAnsi" w:cstheme="majorHAnsi"/>
          <w:color w:val="000000" w:themeColor="text1"/>
          <w:sz w:val="22"/>
          <w:szCs w:val="22"/>
          <w:lang w:val="en-AU"/>
        </w:rPr>
        <w:t xml:space="preserve"> </w:t>
      </w:r>
      <w:r w:rsidR="00426284">
        <w:rPr>
          <w:rFonts w:asciiTheme="majorHAnsi" w:hAnsiTheme="majorHAnsi" w:cstheme="majorHAnsi"/>
          <w:color w:val="000000" w:themeColor="text1"/>
          <w:sz w:val="22"/>
          <w:szCs w:val="22"/>
          <w:lang w:val="en-AU"/>
        </w:rPr>
        <w:t xml:space="preserve"> However, there are other opportunities to address structural corruption: such as </w:t>
      </w:r>
      <w:r w:rsidRPr="00685D58">
        <w:rPr>
          <w:rFonts w:asciiTheme="majorHAnsi" w:hAnsiTheme="majorHAnsi" w:cstheme="majorHAnsi"/>
          <w:b/>
          <w:bCs/>
          <w:color w:val="000000" w:themeColor="text1"/>
          <w:sz w:val="22"/>
          <w:szCs w:val="22"/>
          <w:lang w:val="en-AU"/>
        </w:rPr>
        <w:t xml:space="preserve">judicial </w:t>
      </w:r>
      <w:r w:rsidRPr="00426284">
        <w:rPr>
          <w:rFonts w:asciiTheme="majorHAnsi" w:hAnsiTheme="majorHAnsi" w:cstheme="majorHAnsi"/>
          <w:b/>
          <w:bCs/>
          <w:color w:val="000000" w:themeColor="text1"/>
          <w:sz w:val="22"/>
          <w:szCs w:val="22"/>
          <w:lang w:val="en-AU"/>
        </w:rPr>
        <w:t>corruption</w:t>
      </w:r>
      <w:r w:rsidR="00426284">
        <w:rPr>
          <w:rFonts w:asciiTheme="majorHAnsi" w:hAnsiTheme="majorHAnsi" w:cstheme="majorHAnsi"/>
          <w:color w:val="000000" w:themeColor="text1"/>
          <w:sz w:val="22"/>
          <w:szCs w:val="22"/>
          <w:lang w:val="en-AU"/>
        </w:rPr>
        <w:t xml:space="preserve">, working with the Corruption Eradication Commission (KPK) </w:t>
      </w:r>
      <w:r w:rsidR="00426284" w:rsidRPr="00426284">
        <w:rPr>
          <w:rFonts w:asciiTheme="majorHAnsi" w:hAnsiTheme="majorHAnsi" w:cstheme="majorHAnsi"/>
          <w:color w:val="000000" w:themeColor="text1"/>
          <w:sz w:val="22"/>
          <w:szCs w:val="22"/>
          <w:lang w:val="en-AU"/>
        </w:rPr>
        <w:t>or</w:t>
      </w:r>
      <w:r w:rsidR="00426284">
        <w:rPr>
          <w:rFonts w:asciiTheme="majorHAnsi" w:hAnsiTheme="majorHAnsi" w:cstheme="majorHAnsi"/>
          <w:color w:val="000000" w:themeColor="text1"/>
          <w:sz w:val="22"/>
          <w:szCs w:val="22"/>
          <w:lang w:val="en-AU"/>
        </w:rPr>
        <w:t xml:space="preserve"> </w:t>
      </w:r>
      <w:r w:rsidR="00426284">
        <w:rPr>
          <w:rFonts w:asciiTheme="majorHAnsi" w:hAnsiTheme="majorHAnsi" w:cstheme="majorHAnsi"/>
          <w:b/>
          <w:bCs/>
          <w:color w:val="000000" w:themeColor="text1"/>
          <w:sz w:val="22"/>
          <w:szCs w:val="22"/>
          <w:lang w:val="en-AU"/>
        </w:rPr>
        <w:t>procurement corruption</w:t>
      </w:r>
      <w:r w:rsidRPr="00685D58">
        <w:rPr>
          <w:rFonts w:asciiTheme="majorHAnsi" w:hAnsiTheme="majorHAnsi" w:cstheme="majorHAnsi"/>
          <w:color w:val="000000" w:themeColor="text1"/>
          <w:sz w:val="22"/>
          <w:szCs w:val="22"/>
          <w:lang w:val="en-AU"/>
        </w:rPr>
        <w:t>, working with the</w:t>
      </w:r>
      <w:r w:rsidR="00426284">
        <w:rPr>
          <w:rFonts w:asciiTheme="majorHAnsi" w:hAnsiTheme="majorHAnsi" w:cstheme="majorHAnsi"/>
          <w:color w:val="000000" w:themeColor="text1"/>
          <w:sz w:val="22"/>
          <w:szCs w:val="22"/>
          <w:lang w:val="en-AU"/>
        </w:rPr>
        <w:t xml:space="preserve"> Competition Commission</w:t>
      </w:r>
      <w:r w:rsidRPr="00685D58">
        <w:rPr>
          <w:rFonts w:asciiTheme="majorHAnsi" w:hAnsiTheme="majorHAnsi" w:cstheme="majorHAnsi"/>
          <w:color w:val="000000" w:themeColor="text1"/>
          <w:sz w:val="22"/>
          <w:szCs w:val="22"/>
          <w:lang w:val="en-AU"/>
        </w:rPr>
        <w:t>.</w:t>
      </w:r>
    </w:p>
    <w:p w14:paraId="051448C9" w14:textId="7350161A" w:rsidR="0089243C" w:rsidRPr="00685D58" w:rsidRDefault="0089243C"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685D58">
        <w:rPr>
          <w:rFonts w:asciiTheme="majorHAnsi" w:hAnsiTheme="majorHAnsi" w:cstheme="majorHAnsi"/>
          <w:b/>
          <w:bCs/>
          <w:color w:val="000000" w:themeColor="text1"/>
          <w:sz w:val="26"/>
          <w:szCs w:val="26"/>
          <w:lang w:val="en-AU"/>
        </w:rPr>
        <w:t>Is AIPJ2 working with the right partners?</w:t>
      </w:r>
    </w:p>
    <w:p w14:paraId="5C49FB6A" w14:textId="7E03959B" w:rsidR="00366F59" w:rsidRPr="00685D58" w:rsidRDefault="00366F59"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lang w:val="en-AU"/>
        </w:rPr>
      </w:pPr>
      <w:r w:rsidRPr="00685D58">
        <w:rPr>
          <w:rFonts w:asciiTheme="majorHAnsi" w:hAnsiTheme="majorHAnsi" w:cstheme="majorHAnsi"/>
          <w:color w:val="000000" w:themeColor="text1"/>
          <w:sz w:val="22"/>
          <w:szCs w:val="22"/>
          <w:lang w:val="en-AU"/>
        </w:rPr>
        <w:t xml:space="preserve">A key factor in AIPJ2’s success to date has been its effective relationships with influential partners, </w:t>
      </w:r>
      <w:r w:rsidR="00685D58" w:rsidRPr="00685D58">
        <w:rPr>
          <w:rFonts w:asciiTheme="majorHAnsi" w:hAnsiTheme="majorHAnsi" w:cstheme="majorHAnsi"/>
          <w:color w:val="000000" w:themeColor="text1"/>
          <w:sz w:val="22"/>
          <w:szCs w:val="22"/>
          <w:lang w:val="en-AU"/>
        </w:rPr>
        <w:t xml:space="preserve">that have been sustained </w:t>
      </w:r>
      <w:r w:rsidRPr="00685D58">
        <w:rPr>
          <w:rFonts w:asciiTheme="majorHAnsi" w:hAnsiTheme="majorHAnsi" w:cstheme="majorHAnsi"/>
          <w:color w:val="000000" w:themeColor="text1"/>
          <w:sz w:val="22"/>
          <w:szCs w:val="22"/>
          <w:lang w:val="en-AU"/>
        </w:rPr>
        <w:t>through the transition from core funding to activity-based grants.</w:t>
      </w:r>
      <w:r w:rsidR="00A16179">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This is a notable strength.</w:t>
      </w:r>
      <w:r w:rsidR="00A16179">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 xml:space="preserve">AIPJ2 itself has expressed intentions to expand its relationships with other key actors in the law and justice space, such as the Indonesian National Police </w:t>
      </w:r>
      <w:r w:rsidR="00426284">
        <w:rPr>
          <w:rFonts w:asciiTheme="majorHAnsi" w:hAnsiTheme="majorHAnsi" w:cstheme="majorHAnsi"/>
          <w:color w:val="000000" w:themeColor="text1"/>
          <w:sz w:val="22"/>
          <w:szCs w:val="22"/>
          <w:lang w:val="en-AU"/>
        </w:rPr>
        <w:t>(INP)</w:t>
      </w:r>
      <w:r w:rsidRPr="00685D58">
        <w:rPr>
          <w:rFonts w:asciiTheme="majorHAnsi" w:hAnsiTheme="majorHAnsi" w:cstheme="majorHAnsi"/>
          <w:color w:val="000000" w:themeColor="text1"/>
          <w:sz w:val="22"/>
          <w:szCs w:val="22"/>
          <w:lang w:val="en-AU"/>
        </w:rPr>
        <w:t>– already a partner under pillar 2 with the Australian Federal Police – and Attorney General’s Office</w:t>
      </w:r>
      <w:r w:rsidR="00426284">
        <w:rPr>
          <w:rFonts w:asciiTheme="majorHAnsi" w:hAnsiTheme="majorHAnsi" w:cstheme="majorHAnsi"/>
          <w:color w:val="000000" w:themeColor="text1"/>
          <w:sz w:val="22"/>
          <w:szCs w:val="22"/>
          <w:lang w:val="en-AU"/>
        </w:rPr>
        <w:t xml:space="preserve"> (AGO)</w:t>
      </w:r>
      <w:r w:rsidRPr="00685D58">
        <w:rPr>
          <w:rFonts w:asciiTheme="majorHAnsi" w:hAnsiTheme="majorHAnsi" w:cstheme="majorHAnsi"/>
          <w:color w:val="000000" w:themeColor="text1"/>
          <w:sz w:val="22"/>
          <w:szCs w:val="22"/>
          <w:lang w:val="en-AU"/>
        </w:rPr>
        <w:t>.</w:t>
      </w:r>
      <w:r w:rsidR="00A16179">
        <w:rPr>
          <w:rFonts w:asciiTheme="majorHAnsi" w:hAnsiTheme="majorHAnsi" w:cstheme="majorHAnsi"/>
          <w:color w:val="000000" w:themeColor="text1"/>
          <w:sz w:val="22"/>
          <w:szCs w:val="22"/>
          <w:lang w:val="en-AU"/>
        </w:rPr>
        <w:t xml:space="preserve"> </w:t>
      </w:r>
    </w:p>
    <w:p w14:paraId="799E7967" w14:textId="624B6C35" w:rsidR="00004061" w:rsidRPr="00CC1B75" w:rsidRDefault="000036C7"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1"/>
          <w:szCs w:val="21"/>
          <w:lang w:val="en-AU"/>
        </w:rPr>
      </w:pPr>
      <w:r w:rsidRPr="00685D58">
        <w:rPr>
          <w:rFonts w:asciiTheme="majorHAnsi" w:hAnsiTheme="majorHAnsi" w:cstheme="majorHAnsi"/>
          <w:color w:val="000000" w:themeColor="text1"/>
          <w:sz w:val="22"/>
          <w:szCs w:val="22"/>
          <w:lang w:val="en-AU"/>
        </w:rPr>
        <w:t>The MTR review endorses this ambition.</w:t>
      </w:r>
      <w:r w:rsidR="00A16179">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 xml:space="preserve">AIPJ2 engagement strategy in a number of areas is inevitably incomplete without </w:t>
      </w:r>
      <w:r w:rsidR="00685D58" w:rsidRPr="00685D58">
        <w:rPr>
          <w:rFonts w:asciiTheme="majorHAnsi" w:hAnsiTheme="majorHAnsi" w:cstheme="majorHAnsi"/>
          <w:color w:val="000000" w:themeColor="text1"/>
          <w:sz w:val="22"/>
          <w:szCs w:val="22"/>
          <w:lang w:val="en-AU"/>
        </w:rPr>
        <w:t>engagement of the</w:t>
      </w:r>
      <w:r w:rsidRPr="00685D58">
        <w:rPr>
          <w:rFonts w:asciiTheme="majorHAnsi" w:hAnsiTheme="majorHAnsi" w:cstheme="majorHAnsi"/>
          <w:color w:val="000000" w:themeColor="text1"/>
          <w:sz w:val="22"/>
          <w:szCs w:val="22"/>
          <w:lang w:val="en-AU"/>
        </w:rPr>
        <w:t xml:space="preserve"> </w:t>
      </w:r>
      <w:r w:rsidR="001F1BE3">
        <w:rPr>
          <w:rFonts w:asciiTheme="majorHAnsi" w:hAnsiTheme="majorHAnsi" w:cstheme="majorHAnsi"/>
          <w:color w:val="000000" w:themeColor="text1"/>
          <w:sz w:val="22"/>
          <w:szCs w:val="22"/>
          <w:lang w:val="en-AU"/>
        </w:rPr>
        <w:t>INP</w:t>
      </w:r>
      <w:r w:rsidR="001F1BE3" w:rsidRPr="00685D58">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and AGO given the importance of both their roles in, for example, corruption prevention</w:t>
      </w:r>
      <w:r w:rsidR="0071055F">
        <w:rPr>
          <w:rFonts w:asciiTheme="majorHAnsi" w:hAnsiTheme="majorHAnsi" w:cstheme="majorHAnsi"/>
          <w:color w:val="000000" w:themeColor="text1"/>
          <w:sz w:val="22"/>
          <w:szCs w:val="22"/>
          <w:lang w:val="en-AU"/>
        </w:rPr>
        <w:t>,</w:t>
      </w:r>
      <w:r w:rsidRPr="00685D58">
        <w:rPr>
          <w:rFonts w:asciiTheme="majorHAnsi" w:hAnsiTheme="majorHAnsi" w:cstheme="majorHAnsi"/>
          <w:color w:val="000000" w:themeColor="text1"/>
          <w:sz w:val="22"/>
          <w:szCs w:val="22"/>
          <w:lang w:val="en-AU"/>
        </w:rPr>
        <w:t xml:space="preserve"> correction reform/prison overcrowding</w:t>
      </w:r>
      <w:r w:rsidR="0071055F">
        <w:rPr>
          <w:rFonts w:asciiTheme="majorHAnsi" w:hAnsiTheme="majorHAnsi" w:cstheme="majorHAnsi"/>
          <w:color w:val="000000" w:themeColor="text1"/>
          <w:sz w:val="22"/>
          <w:szCs w:val="22"/>
          <w:lang w:val="en-AU"/>
        </w:rPr>
        <w:t xml:space="preserve"> and the quality of justice delivered to women and children</w:t>
      </w:r>
      <w:r w:rsidRPr="00685D58">
        <w:rPr>
          <w:rFonts w:asciiTheme="majorHAnsi" w:hAnsiTheme="majorHAnsi" w:cstheme="majorHAnsi"/>
          <w:color w:val="000000" w:themeColor="text1"/>
          <w:sz w:val="22"/>
          <w:szCs w:val="22"/>
          <w:lang w:val="en-AU"/>
        </w:rPr>
        <w:t>.</w:t>
      </w:r>
      <w:r w:rsidR="00685D58" w:rsidRPr="00685D58">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 xml:space="preserve">In addition, the MTR team flags </w:t>
      </w:r>
      <w:r w:rsidR="00366F59" w:rsidRPr="00685D58">
        <w:rPr>
          <w:rFonts w:asciiTheme="majorHAnsi" w:hAnsiTheme="majorHAnsi" w:cstheme="majorHAnsi"/>
          <w:color w:val="000000" w:themeColor="text1"/>
          <w:sz w:val="22"/>
          <w:szCs w:val="22"/>
          <w:lang w:val="en-AU"/>
        </w:rPr>
        <w:t>the Judicial Commission (</w:t>
      </w:r>
      <w:r w:rsidR="001F1BE3">
        <w:rPr>
          <w:rFonts w:asciiTheme="majorHAnsi" w:hAnsiTheme="majorHAnsi" w:cstheme="majorHAnsi"/>
          <w:color w:val="000000" w:themeColor="text1"/>
          <w:sz w:val="22"/>
          <w:szCs w:val="22"/>
          <w:lang w:val="en-AU"/>
        </w:rPr>
        <w:t>KY</w:t>
      </w:r>
      <w:r w:rsidR="00426284">
        <w:rPr>
          <w:rFonts w:asciiTheme="majorHAnsi" w:hAnsiTheme="majorHAnsi" w:cstheme="majorHAnsi"/>
          <w:color w:val="000000" w:themeColor="text1"/>
          <w:sz w:val="22"/>
          <w:szCs w:val="22"/>
          <w:lang w:val="en-AU"/>
        </w:rPr>
        <w:t>)</w:t>
      </w:r>
      <w:r w:rsidR="001F1BE3">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as a notable gap.</w:t>
      </w:r>
      <w:r w:rsidR="00A16179">
        <w:rPr>
          <w:rFonts w:asciiTheme="majorHAnsi" w:hAnsiTheme="majorHAnsi" w:cstheme="majorHAnsi"/>
          <w:color w:val="000000" w:themeColor="text1"/>
          <w:sz w:val="22"/>
          <w:szCs w:val="22"/>
          <w:lang w:val="en-AU"/>
        </w:rPr>
        <w:t xml:space="preserve"> </w:t>
      </w:r>
      <w:r w:rsidR="00426284">
        <w:rPr>
          <w:rFonts w:asciiTheme="majorHAnsi" w:hAnsiTheme="majorHAnsi" w:cstheme="majorHAnsi"/>
          <w:color w:val="000000" w:themeColor="text1"/>
          <w:sz w:val="22"/>
          <w:szCs w:val="22"/>
          <w:lang w:val="en-AU"/>
        </w:rPr>
        <w:t xml:space="preserve"> The Judicial Commission, as well as AGO, representing challenging areas of engagement.  But they occupy critical positions in the justice system and cannot be ignored strategically.  The review team agrees that an integrated approach does not require AIPJ2 to engage with every part of the justice chain.  However, it does require a strategy that starts from the whole chain and works </w:t>
      </w:r>
      <w:r w:rsidR="00E6108C">
        <w:rPr>
          <w:rFonts w:asciiTheme="majorHAnsi" w:hAnsiTheme="majorHAnsi" w:cstheme="majorHAnsi"/>
          <w:color w:val="000000" w:themeColor="text1"/>
          <w:sz w:val="22"/>
          <w:szCs w:val="22"/>
          <w:lang w:val="en-AU"/>
        </w:rPr>
        <w:t>within</w:t>
      </w:r>
      <w:r w:rsidR="00426284">
        <w:rPr>
          <w:rFonts w:asciiTheme="majorHAnsi" w:hAnsiTheme="majorHAnsi" w:cstheme="majorHAnsi"/>
          <w:color w:val="000000" w:themeColor="text1"/>
          <w:sz w:val="22"/>
          <w:szCs w:val="22"/>
          <w:lang w:val="en-AU"/>
        </w:rPr>
        <w:t xml:space="preserve"> it.   </w:t>
      </w:r>
      <w:r w:rsidRPr="00685D58">
        <w:rPr>
          <w:rFonts w:asciiTheme="majorHAnsi" w:hAnsiTheme="majorHAnsi" w:cstheme="majorHAnsi"/>
          <w:color w:val="000000" w:themeColor="text1"/>
          <w:sz w:val="22"/>
          <w:szCs w:val="22"/>
          <w:lang w:val="en-AU"/>
        </w:rPr>
        <w:t xml:space="preserve">Notwithstanding sensitivities on the part of other AIPJ2 partners, the </w:t>
      </w:r>
      <w:r w:rsidR="00E6108C">
        <w:rPr>
          <w:rFonts w:asciiTheme="majorHAnsi" w:hAnsiTheme="majorHAnsi" w:cstheme="majorHAnsi"/>
          <w:color w:val="000000" w:themeColor="text1"/>
          <w:sz w:val="22"/>
          <w:szCs w:val="22"/>
          <w:lang w:val="en-AU"/>
        </w:rPr>
        <w:t xml:space="preserve">complete </w:t>
      </w:r>
      <w:r w:rsidRPr="00685D58">
        <w:rPr>
          <w:rFonts w:asciiTheme="majorHAnsi" w:hAnsiTheme="majorHAnsi" w:cstheme="majorHAnsi"/>
          <w:color w:val="000000" w:themeColor="text1"/>
          <w:sz w:val="22"/>
          <w:szCs w:val="22"/>
          <w:lang w:val="en-AU"/>
        </w:rPr>
        <w:t xml:space="preserve">absence of the </w:t>
      </w:r>
      <w:r w:rsidR="00E6108C">
        <w:rPr>
          <w:rFonts w:asciiTheme="majorHAnsi" w:hAnsiTheme="majorHAnsi" w:cstheme="majorHAnsi"/>
          <w:color w:val="000000" w:themeColor="text1"/>
          <w:sz w:val="22"/>
          <w:szCs w:val="22"/>
          <w:lang w:val="en-AU"/>
        </w:rPr>
        <w:t>Judicial Commission</w:t>
      </w:r>
      <w:r w:rsidR="001F1BE3" w:rsidRPr="00685D58">
        <w:rPr>
          <w:rFonts w:asciiTheme="majorHAnsi" w:hAnsiTheme="majorHAnsi" w:cstheme="majorHAnsi"/>
          <w:color w:val="000000" w:themeColor="text1"/>
          <w:sz w:val="22"/>
          <w:szCs w:val="22"/>
          <w:lang w:val="en-AU"/>
        </w:rPr>
        <w:t xml:space="preserve"> </w:t>
      </w:r>
      <w:r w:rsidRPr="00685D58">
        <w:rPr>
          <w:rFonts w:asciiTheme="majorHAnsi" w:hAnsiTheme="majorHAnsi" w:cstheme="majorHAnsi"/>
          <w:color w:val="000000" w:themeColor="text1"/>
          <w:sz w:val="22"/>
          <w:szCs w:val="22"/>
          <w:lang w:val="en-AU"/>
        </w:rPr>
        <w:t>appears anomalous given its constitutional role in the oversight of the law and justice system.</w:t>
      </w:r>
      <w:r w:rsidR="00A16179">
        <w:rPr>
          <w:rFonts w:asciiTheme="majorHAnsi" w:hAnsiTheme="majorHAnsi" w:cstheme="majorHAnsi"/>
          <w:color w:val="000000" w:themeColor="text1"/>
          <w:sz w:val="22"/>
          <w:szCs w:val="22"/>
          <w:lang w:val="en-AU"/>
        </w:rPr>
        <w:t xml:space="preserve"> </w:t>
      </w:r>
      <w:r w:rsidR="00E6108C">
        <w:rPr>
          <w:rFonts w:asciiTheme="majorHAnsi" w:hAnsiTheme="majorHAnsi" w:cstheme="majorHAnsi"/>
          <w:color w:val="000000" w:themeColor="text1"/>
          <w:sz w:val="22"/>
          <w:szCs w:val="22"/>
          <w:lang w:val="en-AU"/>
        </w:rPr>
        <w:t>In the case of AGO, the prospect of a new, reform-minded Attorney-General may open up the space for AIPJ2 to engage effectively.  Certainly</w:t>
      </w:r>
      <w:r w:rsidRPr="00685D58">
        <w:rPr>
          <w:rFonts w:asciiTheme="majorHAnsi" w:hAnsiTheme="majorHAnsi" w:cstheme="majorHAnsi"/>
          <w:color w:val="000000" w:themeColor="text1"/>
          <w:sz w:val="22"/>
          <w:szCs w:val="22"/>
          <w:lang w:val="en-AU"/>
        </w:rPr>
        <w:t xml:space="preserve"> Bappena</w:t>
      </w:r>
      <w:r w:rsidR="00747204">
        <w:rPr>
          <w:rFonts w:asciiTheme="majorHAnsi" w:hAnsiTheme="majorHAnsi" w:cstheme="majorHAnsi"/>
          <w:color w:val="000000" w:themeColor="text1"/>
          <w:sz w:val="22"/>
          <w:szCs w:val="22"/>
          <w:lang w:val="en-AU"/>
        </w:rPr>
        <w:t>s</w:t>
      </w:r>
      <w:r w:rsidRPr="00685D58">
        <w:rPr>
          <w:rFonts w:asciiTheme="majorHAnsi" w:hAnsiTheme="majorHAnsi" w:cstheme="majorHAnsi"/>
          <w:color w:val="000000" w:themeColor="text1"/>
          <w:sz w:val="22"/>
          <w:szCs w:val="22"/>
          <w:lang w:val="en-AU"/>
        </w:rPr>
        <w:t xml:space="preserve"> </w:t>
      </w:r>
      <w:r w:rsidR="00E6108C">
        <w:rPr>
          <w:rFonts w:asciiTheme="majorHAnsi" w:hAnsiTheme="majorHAnsi" w:cstheme="majorHAnsi"/>
          <w:color w:val="000000" w:themeColor="text1"/>
          <w:sz w:val="22"/>
          <w:szCs w:val="22"/>
          <w:lang w:val="en-AU"/>
        </w:rPr>
        <w:t xml:space="preserve">acknowledges </w:t>
      </w:r>
      <w:r w:rsidR="001F1BE3">
        <w:rPr>
          <w:rFonts w:asciiTheme="majorHAnsi" w:hAnsiTheme="majorHAnsi" w:cstheme="majorHAnsi"/>
          <w:color w:val="000000" w:themeColor="text1"/>
          <w:sz w:val="22"/>
          <w:szCs w:val="22"/>
          <w:lang w:val="en-AU"/>
        </w:rPr>
        <w:t xml:space="preserve">the importance of </w:t>
      </w:r>
      <w:r w:rsidR="00E6108C">
        <w:rPr>
          <w:rFonts w:asciiTheme="majorHAnsi" w:hAnsiTheme="majorHAnsi" w:cstheme="majorHAnsi"/>
          <w:color w:val="000000" w:themeColor="text1"/>
          <w:sz w:val="22"/>
          <w:szCs w:val="22"/>
          <w:lang w:val="en-AU"/>
        </w:rPr>
        <w:t>both bodies</w:t>
      </w:r>
      <w:r w:rsidR="001F1BE3">
        <w:rPr>
          <w:rFonts w:asciiTheme="majorHAnsi" w:hAnsiTheme="majorHAnsi" w:cstheme="majorHAnsi"/>
          <w:color w:val="000000" w:themeColor="text1"/>
          <w:sz w:val="22"/>
          <w:szCs w:val="22"/>
          <w:lang w:val="en-AU"/>
        </w:rPr>
        <w:t>.</w:t>
      </w:r>
    </w:p>
    <w:p w14:paraId="5B3E0819" w14:textId="09874802" w:rsidR="00E253F5" w:rsidRPr="00CC1B75" w:rsidRDefault="00E253F5"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25E224C2" w14:textId="6FA8EA82"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3E397ABB" w14:textId="3E263B5D"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BC03A0C" w14:textId="787FC156"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828FE6C" w14:textId="37B54A94"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40FAE556" w14:textId="743CD859"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D44D2CE" w14:textId="34580812"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303A6F36" w14:textId="4CC927D5"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C09FF94" w14:textId="069EAB82"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10264C6F" w14:textId="284EE643"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75E46B0F" w14:textId="56EC0CAB"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38AEDD74" w14:textId="2772831C" w:rsidR="00004061" w:rsidRPr="00CC1B75"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6F1C8616" w14:textId="756C8215" w:rsidR="00004061" w:rsidRDefault="00004061"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EC745D4" w14:textId="1DCECCEE" w:rsidR="002D5DDF" w:rsidRDefault="002D5DDF"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2198840E" w14:textId="730ECC66" w:rsidR="002D5DDF" w:rsidRDefault="002D5DDF"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19C4518E" w14:textId="1B7968AA" w:rsidR="002D5DDF" w:rsidRDefault="002D5DDF"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1BB0FE74" w14:textId="701E608F" w:rsidR="002D5DDF" w:rsidRDefault="002D5DDF"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586B4589" w14:textId="26576EB7" w:rsidR="002D5DDF" w:rsidRDefault="002D5DDF" w:rsidP="00275B5D">
      <w:pPr>
        <w:pStyle w:val="ListParagraph"/>
        <w:tabs>
          <w:tab w:val="left" w:pos="567"/>
        </w:tabs>
        <w:spacing w:line="274" w:lineRule="auto"/>
        <w:ind w:left="0"/>
        <w:contextualSpacing w:val="0"/>
        <w:rPr>
          <w:rFonts w:asciiTheme="majorHAnsi" w:hAnsiTheme="majorHAnsi" w:cstheme="majorHAnsi"/>
          <w:b/>
          <w:bCs/>
          <w:color w:val="000000" w:themeColor="text1"/>
          <w:sz w:val="22"/>
          <w:szCs w:val="22"/>
          <w:lang w:val="en-AU"/>
        </w:rPr>
      </w:pPr>
    </w:p>
    <w:p w14:paraId="407D959A" w14:textId="26DA0E9A" w:rsidR="00256944" w:rsidRPr="00416A5A" w:rsidRDefault="00256944" w:rsidP="006B32D6">
      <w:pPr>
        <w:pStyle w:val="ListParagraph"/>
        <w:numPr>
          <w:ilvl w:val="0"/>
          <w:numId w:val="3"/>
        </w:numPr>
        <w:spacing w:before="240" w:after="240"/>
        <w:ind w:left="567" w:hanging="567"/>
        <w:contextualSpacing w:val="0"/>
        <w:rPr>
          <w:rFonts w:asciiTheme="majorHAnsi" w:hAnsiTheme="majorHAnsi" w:cstheme="majorHAnsi"/>
          <w:b/>
          <w:bCs/>
          <w:color w:val="00B0F0"/>
          <w:sz w:val="32"/>
          <w:szCs w:val="32"/>
          <w:lang w:val="en-AU"/>
        </w:rPr>
      </w:pPr>
      <w:r w:rsidRPr="00416A5A">
        <w:rPr>
          <w:rFonts w:asciiTheme="majorHAnsi" w:hAnsiTheme="majorHAnsi" w:cstheme="majorHAnsi"/>
          <w:b/>
          <w:bCs/>
          <w:color w:val="00B0F0"/>
          <w:sz w:val="32"/>
          <w:szCs w:val="32"/>
          <w:lang w:val="en-AU"/>
        </w:rPr>
        <w:t>Conclusions and recommendations</w:t>
      </w:r>
    </w:p>
    <w:p w14:paraId="7A428F5E" w14:textId="087B1CAD" w:rsidR="00EB17CD" w:rsidRPr="00EB17CD" w:rsidRDefault="00EB17CD"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EB17CD">
        <w:rPr>
          <w:rFonts w:asciiTheme="majorHAnsi" w:hAnsiTheme="majorHAnsi" w:cstheme="majorHAnsi"/>
          <w:b/>
          <w:bCs/>
          <w:color w:val="000000" w:themeColor="text1"/>
          <w:sz w:val="26"/>
          <w:szCs w:val="26"/>
          <w:lang w:val="en-AU"/>
        </w:rPr>
        <w:t>Effectiveness</w:t>
      </w:r>
    </w:p>
    <w:p w14:paraId="23D45110" w14:textId="0C06880C" w:rsidR="00174FE4" w:rsidRPr="00174FE4" w:rsidRDefault="00EB17CD"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Pr>
          <w:rFonts w:ascii="Calibri Light" w:hAnsi="Calibri Light" w:cs="Calibri Light"/>
          <w:sz w:val="22"/>
          <w:szCs w:val="22"/>
        </w:rPr>
        <w:t>Stakeholders’ perceptions of AIPJ2 are in the main very positive: AIPJ2 is generally well-thought of by Indonesian partners and viewed as a largely effective investment by DFAT in its annual performance checks.</w:t>
      </w:r>
      <w:r w:rsidR="00A16179">
        <w:rPr>
          <w:rFonts w:ascii="Calibri Light" w:hAnsi="Calibri Light" w:cs="Calibri Light"/>
          <w:sz w:val="22"/>
          <w:szCs w:val="22"/>
        </w:rPr>
        <w:t xml:space="preserve"> </w:t>
      </w:r>
      <w:r>
        <w:rPr>
          <w:rFonts w:ascii="Calibri Light" w:hAnsi="Calibri Light" w:cs="Calibri Light"/>
          <w:sz w:val="22"/>
          <w:szCs w:val="22"/>
        </w:rPr>
        <w:t>The mid-term review findings suggest those perspectives are well-justified.</w:t>
      </w:r>
      <w:r w:rsidR="00A16179">
        <w:rPr>
          <w:rFonts w:ascii="Calibri Light" w:hAnsi="Calibri Light" w:cs="Calibri Light"/>
          <w:sz w:val="22"/>
          <w:szCs w:val="22"/>
        </w:rPr>
        <w:t xml:space="preserve"> </w:t>
      </w:r>
      <w:r>
        <w:rPr>
          <w:rFonts w:ascii="Calibri Light" w:hAnsi="Calibri Light" w:cs="Calibri Light"/>
          <w:sz w:val="22"/>
          <w:szCs w:val="22"/>
        </w:rPr>
        <w:t>The review examined results in a number of areas where AIPJ2 provides support: court reform, access to justice for women and girls, corruption prevention, corrections reform and prevention of violent extremism.</w:t>
      </w:r>
      <w:r w:rsidR="00A16179">
        <w:rPr>
          <w:rFonts w:ascii="Calibri Light" w:hAnsi="Calibri Light" w:cs="Calibri Light"/>
          <w:sz w:val="22"/>
          <w:szCs w:val="22"/>
        </w:rPr>
        <w:t xml:space="preserve"> </w:t>
      </w:r>
      <w:r>
        <w:rPr>
          <w:rFonts w:ascii="Calibri Light" w:hAnsi="Calibri Light" w:cs="Calibri Light"/>
          <w:sz w:val="22"/>
          <w:szCs w:val="22"/>
        </w:rPr>
        <w:t>Findings indicate AIPJ2 has provided valued support for a number of important reform initiatives</w:t>
      </w:r>
      <w:r w:rsidR="00174FE4">
        <w:rPr>
          <w:rFonts w:ascii="Calibri Light" w:hAnsi="Calibri Light" w:cs="Calibri Light"/>
          <w:sz w:val="22"/>
          <w:szCs w:val="22"/>
        </w:rPr>
        <w:t>.</w:t>
      </w:r>
    </w:p>
    <w:p w14:paraId="7FDA0A41" w14:textId="3FAFAB7E" w:rsidR="00EB17CD" w:rsidRPr="00C939D9" w:rsidRDefault="00EB17CD"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Pr>
          <w:rFonts w:asciiTheme="majorHAnsi" w:hAnsiTheme="majorHAnsi" w:cstheme="majorHAnsi"/>
          <w:color w:val="000000" w:themeColor="text1"/>
          <w:sz w:val="22"/>
          <w:szCs w:val="22"/>
        </w:rPr>
        <w:t xml:space="preserve">There are, however, two main caveats to this conclusion. The first relates to </w:t>
      </w:r>
      <w:r w:rsidR="009B6D5B">
        <w:rPr>
          <w:rFonts w:asciiTheme="majorHAnsi" w:hAnsiTheme="majorHAnsi" w:cstheme="majorHAnsi"/>
          <w:color w:val="000000" w:themeColor="text1"/>
          <w:sz w:val="22"/>
          <w:szCs w:val="22"/>
        </w:rPr>
        <w:t>the scope of the conclusion.</w:t>
      </w:r>
      <w:r w:rsidR="00A16179">
        <w:rPr>
          <w:rFonts w:asciiTheme="majorHAnsi" w:hAnsiTheme="majorHAnsi" w:cstheme="majorHAnsi"/>
          <w:color w:val="000000" w:themeColor="text1"/>
          <w:sz w:val="22"/>
          <w:szCs w:val="22"/>
        </w:rPr>
        <w:t xml:space="preserve"> </w:t>
      </w:r>
      <w:r w:rsidR="00C939D9">
        <w:rPr>
          <w:rFonts w:asciiTheme="majorHAnsi" w:hAnsiTheme="majorHAnsi" w:cstheme="majorHAnsi"/>
          <w:color w:val="000000" w:themeColor="text1"/>
          <w:sz w:val="22"/>
          <w:szCs w:val="22"/>
        </w:rPr>
        <w:t>Evidence of</w:t>
      </w:r>
      <w:r w:rsidR="009B6D5B">
        <w:rPr>
          <w:rFonts w:asciiTheme="majorHAnsi" w:hAnsiTheme="majorHAnsi" w:cstheme="majorHAnsi"/>
          <w:color w:val="000000" w:themeColor="text1"/>
          <w:sz w:val="22"/>
          <w:szCs w:val="22"/>
        </w:rPr>
        <w:t xml:space="preserve"> effectiveness relates </w:t>
      </w:r>
      <w:r w:rsidR="00C939D9">
        <w:rPr>
          <w:rFonts w:asciiTheme="majorHAnsi" w:hAnsiTheme="majorHAnsi" w:cstheme="majorHAnsi"/>
          <w:color w:val="000000" w:themeColor="text1"/>
          <w:sz w:val="22"/>
          <w:szCs w:val="22"/>
        </w:rPr>
        <w:t xml:space="preserve">primarily </w:t>
      </w:r>
      <w:r w:rsidR="009B6D5B">
        <w:rPr>
          <w:rFonts w:asciiTheme="majorHAnsi" w:hAnsiTheme="majorHAnsi" w:cstheme="majorHAnsi"/>
          <w:color w:val="000000" w:themeColor="text1"/>
          <w:sz w:val="22"/>
          <w:szCs w:val="22"/>
        </w:rPr>
        <w:t xml:space="preserve">to </w:t>
      </w:r>
      <w:r>
        <w:rPr>
          <w:rFonts w:asciiTheme="majorHAnsi" w:hAnsiTheme="majorHAnsi" w:cstheme="majorHAnsi"/>
          <w:color w:val="000000" w:themeColor="text1"/>
          <w:sz w:val="22"/>
          <w:szCs w:val="22"/>
        </w:rPr>
        <w:t xml:space="preserve">AIPJ2’s </w:t>
      </w:r>
      <w:r w:rsidR="009B6D5B">
        <w:rPr>
          <w:rFonts w:asciiTheme="majorHAnsi" w:hAnsiTheme="majorHAnsi" w:cstheme="majorHAnsi"/>
          <w:color w:val="000000" w:themeColor="text1"/>
          <w:sz w:val="22"/>
          <w:szCs w:val="22"/>
        </w:rPr>
        <w:t>law and justice engagements (pillars 1 and 4).</w:t>
      </w:r>
      <w:r w:rsidR="00A16179">
        <w:rPr>
          <w:rFonts w:asciiTheme="majorHAnsi" w:hAnsiTheme="majorHAnsi" w:cstheme="majorHAnsi"/>
          <w:color w:val="000000" w:themeColor="text1"/>
          <w:sz w:val="22"/>
          <w:szCs w:val="22"/>
        </w:rPr>
        <w:t xml:space="preserve"> </w:t>
      </w:r>
      <w:r w:rsidR="009B6D5B">
        <w:rPr>
          <w:rFonts w:asciiTheme="majorHAnsi" w:hAnsiTheme="majorHAnsi" w:cstheme="majorHAnsi"/>
          <w:color w:val="000000" w:themeColor="text1"/>
          <w:sz w:val="22"/>
          <w:szCs w:val="22"/>
        </w:rPr>
        <w:t xml:space="preserve">There is much less </w:t>
      </w:r>
      <w:r>
        <w:rPr>
          <w:rFonts w:asciiTheme="majorHAnsi" w:hAnsiTheme="majorHAnsi" w:cstheme="majorHAnsi"/>
          <w:color w:val="000000" w:themeColor="text1"/>
          <w:sz w:val="22"/>
          <w:szCs w:val="22"/>
        </w:rPr>
        <w:t xml:space="preserve">information </w:t>
      </w:r>
      <w:r w:rsidR="009B6D5B">
        <w:rPr>
          <w:rFonts w:asciiTheme="majorHAnsi" w:hAnsiTheme="majorHAnsi" w:cstheme="majorHAnsi"/>
          <w:color w:val="000000" w:themeColor="text1"/>
          <w:sz w:val="22"/>
          <w:szCs w:val="22"/>
        </w:rPr>
        <w:t xml:space="preserve">available about the effectiveness of </w:t>
      </w:r>
      <w:r w:rsidR="00C939D9">
        <w:rPr>
          <w:rFonts w:asciiTheme="majorHAnsi" w:hAnsiTheme="majorHAnsi" w:cstheme="majorHAnsi"/>
          <w:color w:val="000000" w:themeColor="text1"/>
          <w:sz w:val="22"/>
          <w:szCs w:val="22"/>
        </w:rPr>
        <w:t>AIPJ2’s support to the security activities (under pillars 2 and 3).</w:t>
      </w:r>
      <w:r w:rsidR="00C939D9">
        <w:rPr>
          <w:rStyle w:val="FootnoteReference"/>
          <w:rFonts w:asciiTheme="majorHAnsi" w:hAnsiTheme="majorHAnsi" w:cstheme="majorHAnsi"/>
          <w:color w:val="000000" w:themeColor="text1"/>
          <w:sz w:val="22"/>
          <w:szCs w:val="22"/>
        </w:rPr>
        <w:footnoteReference w:id="14"/>
      </w:r>
      <w:r w:rsidR="00A16179">
        <w:rPr>
          <w:rFonts w:asciiTheme="majorHAnsi" w:hAnsiTheme="majorHAnsi" w:cstheme="majorHAnsi"/>
          <w:color w:val="000000" w:themeColor="text1"/>
          <w:sz w:val="22"/>
          <w:szCs w:val="22"/>
        </w:rPr>
        <w:t xml:space="preserve"> </w:t>
      </w:r>
      <w:r w:rsidR="009B6D5B">
        <w:rPr>
          <w:rFonts w:asciiTheme="majorHAnsi" w:hAnsiTheme="majorHAnsi" w:cstheme="majorHAnsi"/>
          <w:color w:val="000000" w:themeColor="text1"/>
          <w:sz w:val="22"/>
          <w:szCs w:val="22"/>
        </w:rPr>
        <w:t xml:space="preserve">Given that pillars 2 and 3 currently account for the greater share of AIPJ2’s resources, this uncertainty has facility-wide implications for any judgement </w:t>
      </w:r>
      <w:r w:rsidR="00C939D9">
        <w:rPr>
          <w:rFonts w:asciiTheme="majorHAnsi" w:hAnsiTheme="majorHAnsi" w:cstheme="majorHAnsi"/>
          <w:color w:val="000000" w:themeColor="text1"/>
          <w:sz w:val="22"/>
          <w:szCs w:val="22"/>
        </w:rPr>
        <w:t>about AIPJ2’s</w:t>
      </w:r>
      <w:r w:rsidR="009B6D5B">
        <w:rPr>
          <w:rFonts w:asciiTheme="majorHAnsi" w:hAnsiTheme="majorHAnsi" w:cstheme="majorHAnsi"/>
          <w:color w:val="000000" w:themeColor="text1"/>
          <w:sz w:val="22"/>
          <w:szCs w:val="22"/>
        </w:rPr>
        <w:t xml:space="preserve"> overall effectiveness. </w:t>
      </w:r>
    </w:p>
    <w:p w14:paraId="025CA9F3" w14:textId="3957E190" w:rsidR="00C939D9" w:rsidRPr="00B32F51" w:rsidRDefault="00C939D9"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sidRPr="00CB2EAF">
        <w:rPr>
          <w:rFonts w:asciiTheme="majorHAnsi" w:hAnsiTheme="majorHAnsi" w:cstheme="majorHAnsi"/>
          <w:color w:val="000000" w:themeColor="text1"/>
          <w:sz w:val="22"/>
          <w:szCs w:val="22"/>
        </w:rPr>
        <w:t>The second relates to the objectives against which AIPJ2 is being measured.</w:t>
      </w:r>
      <w:r w:rsidR="00A16179">
        <w:rPr>
          <w:rFonts w:asciiTheme="majorHAnsi" w:hAnsiTheme="majorHAnsi" w:cstheme="majorHAnsi"/>
          <w:color w:val="000000" w:themeColor="text1"/>
          <w:sz w:val="22"/>
          <w:szCs w:val="22"/>
        </w:rPr>
        <w:t xml:space="preserve"> </w:t>
      </w:r>
      <w:r w:rsidRPr="00CB2EAF">
        <w:rPr>
          <w:rFonts w:asciiTheme="majorHAnsi" w:hAnsiTheme="majorHAnsi" w:cstheme="majorHAnsi"/>
          <w:color w:val="000000" w:themeColor="text1"/>
          <w:sz w:val="22"/>
          <w:szCs w:val="22"/>
        </w:rPr>
        <w:t xml:space="preserve">In practice, AIPJ2 is already achieving its ‘end-of-facility-outcomes’ </w:t>
      </w:r>
      <w:r w:rsidR="00D172BC" w:rsidRPr="00CB2EAF">
        <w:rPr>
          <w:rFonts w:asciiTheme="majorHAnsi" w:hAnsiTheme="majorHAnsi" w:cstheme="majorHAnsi"/>
          <w:color w:val="000000" w:themeColor="text1"/>
          <w:sz w:val="22"/>
          <w:szCs w:val="22"/>
        </w:rPr>
        <w:t>in terms of</w:t>
      </w:r>
      <w:r w:rsidRPr="00CB2EAF">
        <w:rPr>
          <w:rFonts w:asciiTheme="majorHAnsi" w:hAnsiTheme="majorHAnsi" w:cstheme="majorHAnsi"/>
          <w:color w:val="000000" w:themeColor="text1"/>
          <w:sz w:val="22"/>
          <w:szCs w:val="22"/>
        </w:rPr>
        <w:t xml:space="preserve"> informing the content of policies, strategies and plans.</w:t>
      </w:r>
      <w:r w:rsidR="00A16179">
        <w:rPr>
          <w:rFonts w:asciiTheme="majorHAnsi" w:hAnsiTheme="majorHAnsi" w:cstheme="majorHAnsi"/>
          <w:color w:val="000000" w:themeColor="text1"/>
          <w:sz w:val="22"/>
          <w:szCs w:val="22"/>
        </w:rPr>
        <w:t xml:space="preserve"> </w:t>
      </w:r>
      <w:r w:rsidR="00D172BC" w:rsidRPr="00CB2EAF">
        <w:rPr>
          <w:rFonts w:asciiTheme="majorHAnsi" w:hAnsiTheme="majorHAnsi" w:cstheme="majorHAnsi"/>
          <w:color w:val="000000" w:themeColor="text1"/>
          <w:sz w:val="22"/>
          <w:szCs w:val="22"/>
        </w:rPr>
        <w:t>However, the question is whether this is sufficient ambition given the</w:t>
      </w:r>
      <w:r w:rsidR="00747204">
        <w:rPr>
          <w:rFonts w:asciiTheme="majorHAnsi" w:hAnsiTheme="majorHAnsi" w:cstheme="majorHAnsi"/>
          <w:color w:val="000000" w:themeColor="text1"/>
          <w:sz w:val="22"/>
          <w:szCs w:val="22"/>
        </w:rPr>
        <w:t xml:space="preserve"> </w:t>
      </w:r>
      <w:r w:rsidR="00D172BC" w:rsidRPr="00CB2EAF">
        <w:rPr>
          <w:rFonts w:asciiTheme="majorHAnsi" w:hAnsiTheme="majorHAnsi" w:cstheme="majorHAnsi"/>
          <w:color w:val="000000" w:themeColor="text1"/>
          <w:sz w:val="22"/>
          <w:szCs w:val="22"/>
        </w:rPr>
        <w:t xml:space="preserve">well-known </w:t>
      </w:r>
      <w:r w:rsidR="00CB2EAF" w:rsidRPr="00CB2EAF">
        <w:rPr>
          <w:rFonts w:asciiTheme="majorHAnsi" w:hAnsiTheme="majorHAnsi" w:cstheme="majorHAnsi"/>
          <w:color w:val="000000" w:themeColor="text1"/>
          <w:sz w:val="22"/>
          <w:szCs w:val="22"/>
        </w:rPr>
        <w:t>challenges</w:t>
      </w:r>
      <w:r w:rsidR="00D172BC" w:rsidRPr="00CB2EAF">
        <w:rPr>
          <w:rFonts w:asciiTheme="majorHAnsi" w:hAnsiTheme="majorHAnsi" w:cstheme="majorHAnsi"/>
          <w:color w:val="000000" w:themeColor="text1"/>
          <w:sz w:val="22"/>
          <w:szCs w:val="22"/>
        </w:rPr>
        <w:t xml:space="preserve"> frequently observed </w:t>
      </w:r>
      <w:r w:rsidR="00CB2EAF" w:rsidRPr="00CB2EAF">
        <w:rPr>
          <w:rFonts w:asciiTheme="majorHAnsi" w:hAnsiTheme="majorHAnsi" w:cstheme="majorHAnsi"/>
          <w:color w:val="000000" w:themeColor="text1"/>
          <w:sz w:val="22"/>
          <w:szCs w:val="22"/>
        </w:rPr>
        <w:t>in turning</w:t>
      </w:r>
      <w:r w:rsidR="00D172BC" w:rsidRPr="00CB2EAF">
        <w:rPr>
          <w:rFonts w:asciiTheme="majorHAnsi" w:hAnsiTheme="majorHAnsi" w:cstheme="majorHAnsi"/>
          <w:color w:val="000000" w:themeColor="text1"/>
          <w:sz w:val="22"/>
          <w:szCs w:val="22"/>
        </w:rPr>
        <w:t xml:space="preserve"> good policy </w:t>
      </w:r>
      <w:r w:rsidR="00CB2EAF" w:rsidRPr="00CB2EAF">
        <w:rPr>
          <w:rFonts w:asciiTheme="majorHAnsi" w:hAnsiTheme="majorHAnsi" w:cstheme="majorHAnsi"/>
          <w:color w:val="000000" w:themeColor="text1"/>
          <w:sz w:val="22"/>
          <w:szCs w:val="22"/>
        </w:rPr>
        <w:t>into</w:t>
      </w:r>
      <w:r w:rsidR="00D172BC" w:rsidRPr="00CB2EAF">
        <w:rPr>
          <w:rFonts w:asciiTheme="majorHAnsi" w:hAnsiTheme="majorHAnsi" w:cstheme="majorHAnsi"/>
          <w:color w:val="000000" w:themeColor="text1"/>
          <w:sz w:val="22"/>
          <w:szCs w:val="22"/>
        </w:rPr>
        <w:t xml:space="preserve"> effective implementation.</w:t>
      </w:r>
      <w:r w:rsidR="00A16179">
        <w:rPr>
          <w:rFonts w:asciiTheme="majorHAnsi" w:hAnsiTheme="majorHAnsi" w:cstheme="majorHAnsi"/>
          <w:color w:val="000000" w:themeColor="text1"/>
          <w:sz w:val="22"/>
          <w:szCs w:val="22"/>
        </w:rPr>
        <w:t xml:space="preserve"> </w:t>
      </w:r>
      <w:r w:rsidR="00CB2EAF" w:rsidRPr="00CB2EAF">
        <w:rPr>
          <w:rFonts w:asciiTheme="majorHAnsi" w:hAnsiTheme="majorHAnsi" w:cstheme="majorHAnsi"/>
          <w:color w:val="000000" w:themeColor="text1"/>
          <w:sz w:val="22"/>
          <w:szCs w:val="22"/>
        </w:rPr>
        <w:t>Changes ‘on paper’ are important and</w:t>
      </w:r>
      <w:r w:rsidR="0071055F">
        <w:rPr>
          <w:rFonts w:asciiTheme="majorHAnsi" w:hAnsiTheme="majorHAnsi" w:cstheme="majorHAnsi"/>
          <w:color w:val="000000" w:themeColor="text1"/>
          <w:sz w:val="22"/>
          <w:szCs w:val="22"/>
        </w:rPr>
        <w:t>,</w:t>
      </w:r>
      <w:r w:rsidR="00CB2EAF" w:rsidRPr="00CB2EAF">
        <w:rPr>
          <w:rFonts w:asciiTheme="majorHAnsi" w:hAnsiTheme="majorHAnsi" w:cstheme="majorHAnsi"/>
          <w:color w:val="000000" w:themeColor="text1"/>
          <w:sz w:val="22"/>
          <w:szCs w:val="22"/>
        </w:rPr>
        <w:t xml:space="preserve"> of course</w:t>
      </w:r>
      <w:r w:rsidR="0071055F">
        <w:rPr>
          <w:rFonts w:asciiTheme="majorHAnsi" w:hAnsiTheme="majorHAnsi" w:cstheme="majorHAnsi"/>
          <w:color w:val="000000" w:themeColor="text1"/>
          <w:sz w:val="22"/>
          <w:szCs w:val="22"/>
        </w:rPr>
        <w:t>,</w:t>
      </w:r>
      <w:r w:rsidR="00CB2EAF" w:rsidRPr="00CB2EAF">
        <w:rPr>
          <w:rFonts w:asciiTheme="majorHAnsi" w:hAnsiTheme="majorHAnsi" w:cstheme="majorHAnsi"/>
          <w:color w:val="000000" w:themeColor="text1"/>
          <w:sz w:val="22"/>
          <w:szCs w:val="22"/>
        </w:rPr>
        <w:t xml:space="preserve"> there are limitations </w:t>
      </w:r>
      <w:r w:rsidR="0071055F">
        <w:rPr>
          <w:rFonts w:asciiTheme="majorHAnsi" w:hAnsiTheme="majorHAnsi" w:cstheme="majorHAnsi"/>
          <w:color w:val="000000" w:themeColor="text1"/>
          <w:sz w:val="22"/>
          <w:szCs w:val="22"/>
        </w:rPr>
        <w:t xml:space="preserve">to </w:t>
      </w:r>
      <w:r w:rsidR="00CB2EAF" w:rsidRPr="00CB2EAF">
        <w:rPr>
          <w:rFonts w:asciiTheme="majorHAnsi" w:hAnsiTheme="majorHAnsi" w:cstheme="majorHAnsi"/>
          <w:color w:val="000000" w:themeColor="text1"/>
          <w:sz w:val="22"/>
          <w:szCs w:val="22"/>
        </w:rPr>
        <w:t>what a small donor-funded program can do in terms of implementation in a country as vast as Indonesia.</w:t>
      </w:r>
      <w:r w:rsidR="00A16179">
        <w:rPr>
          <w:rFonts w:asciiTheme="majorHAnsi" w:hAnsiTheme="majorHAnsi" w:cstheme="majorHAnsi"/>
          <w:color w:val="000000" w:themeColor="text1"/>
          <w:sz w:val="22"/>
          <w:szCs w:val="22"/>
        </w:rPr>
        <w:t xml:space="preserve"> </w:t>
      </w:r>
      <w:r w:rsidR="00CB2EAF" w:rsidRPr="00CB2EAF">
        <w:rPr>
          <w:rFonts w:asciiTheme="majorHAnsi" w:hAnsiTheme="majorHAnsi" w:cstheme="majorHAnsi"/>
          <w:color w:val="000000" w:themeColor="text1"/>
          <w:sz w:val="22"/>
          <w:szCs w:val="22"/>
        </w:rPr>
        <w:t xml:space="preserve">Nevertheless, </w:t>
      </w:r>
      <w:r w:rsidR="00CB2EAF">
        <w:rPr>
          <w:rFonts w:asciiTheme="majorHAnsi" w:hAnsiTheme="majorHAnsi" w:cstheme="majorHAnsi"/>
          <w:color w:val="000000" w:themeColor="text1"/>
          <w:sz w:val="22"/>
          <w:szCs w:val="22"/>
        </w:rPr>
        <w:t>h</w:t>
      </w:r>
      <w:r w:rsidR="00D172BC" w:rsidRPr="00CB2EAF">
        <w:rPr>
          <w:rFonts w:asciiTheme="majorHAnsi" w:hAnsiTheme="majorHAnsi" w:cstheme="majorHAnsi"/>
          <w:color w:val="000000" w:themeColor="text1"/>
          <w:sz w:val="22"/>
          <w:szCs w:val="22"/>
        </w:rPr>
        <w:t xml:space="preserve">ow ordinary citizens </w:t>
      </w:r>
      <w:r w:rsidR="00CB2EAF">
        <w:rPr>
          <w:rFonts w:asciiTheme="majorHAnsi" w:hAnsiTheme="majorHAnsi" w:cstheme="majorHAnsi"/>
          <w:color w:val="000000" w:themeColor="text1"/>
          <w:sz w:val="22"/>
          <w:szCs w:val="22"/>
        </w:rPr>
        <w:t xml:space="preserve">actually </w:t>
      </w:r>
      <w:r w:rsidR="00D172BC" w:rsidRPr="00CB2EAF">
        <w:rPr>
          <w:rFonts w:asciiTheme="majorHAnsi" w:hAnsiTheme="majorHAnsi" w:cstheme="majorHAnsi"/>
          <w:color w:val="000000" w:themeColor="text1"/>
          <w:sz w:val="22"/>
          <w:szCs w:val="22"/>
        </w:rPr>
        <w:t xml:space="preserve">experience these policies is critical in determining whether </w:t>
      </w:r>
      <w:r w:rsidR="00B32F51">
        <w:rPr>
          <w:rFonts w:asciiTheme="majorHAnsi" w:hAnsiTheme="majorHAnsi" w:cstheme="majorHAnsi"/>
          <w:color w:val="000000" w:themeColor="text1"/>
          <w:sz w:val="22"/>
          <w:szCs w:val="22"/>
        </w:rPr>
        <w:t xml:space="preserve">DFAT’s </w:t>
      </w:r>
      <w:r w:rsidR="00CB2EAF">
        <w:rPr>
          <w:rFonts w:asciiTheme="majorHAnsi" w:hAnsiTheme="majorHAnsi" w:cstheme="majorHAnsi"/>
          <w:color w:val="000000" w:themeColor="text1"/>
          <w:sz w:val="22"/>
          <w:szCs w:val="22"/>
        </w:rPr>
        <w:t>broader objectives are achieved, such as stronger t</w:t>
      </w:r>
      <w:r w:rsidR="00D172BC" w:rsidRPr="00CB2EAF">
        <w:rPr>
          <w:rFonts w:asciiTheme="majorHAnsi" w:hAnsiTheme="majorHAnsi" w:cstheme="majorHAnsi"/>
          <w:color w:val="000000" w:themeColor="text1"/>
          <w:sz w:val="22"/>
          <w:szCs w:val="22"/>
        </w:rPr>
        <w:t>rust in state institutions, support for the rule of law and democratic resilience more generally.</w:t>
      </w:r>
      <w:r w:rsidR="00A16179">
        <w:rPr>
          <w:rFonts w:asciiTheme="majorHAnsi" w:hAnsiTheme="majorHAnsi" w:cstheme="majorHAnsi"/>
          <w:color w:val="000000" w:themeColor="text1"/>
          <w:sz w:val="22"/>
          <w:szCs w:val="22"/>
        </w:rPr>
        <w:t xml:space="preserve"> </w:t>
      </w:r>
      <w:r w:rsidR="00747204">
        <w:rPr>
          <w:rFonts w:asciiTheme="majorHAnsi" w:hAnsiTheme="majorHAnsi" w:cstheme="majorHAnsi"/>
          <w:color w:val="000000" w:themeColor="text1"/>
          <w:sz w:val="22"/>
          <w:szCs w:val="22"/>
        </w:rPr>
        <w:t xml:space="preserve"> </w:t>
      </w:r>
      <w:r w:rsidR="00CB2EAF">
        <w:rPr>
          <w:rFonts w:asciiTheme="majorHAnsi" w:hAnsiTheme="majorHAnsi" w:cstheme="majorHAnsi"/>
          <w:color w:val="000000" w:themeColor="text1"/>
          <w:sz w:val="22"/>
          <w:szCs w:val="22"/>
        </w:rPr>
        <w:t xml:space="preserve">This </w:t>
      </w:r>
      <w:r w:rsidR="00B32F51">
        <w:rPr>
          <w:rFonts w:asciiTheme="majorHAnsi" w:hAnsiTheme="majorHAnsi" w:cstheme="majorHAnsi"/>
          <w:color w:val="000000" w:themeColor="text1"/>
          <w:sz w:val="22"/>
          <w:szCs w:val="22"/>
        </w:rPr>
        <w:t>question</w:t>
      </w:r>
      <w:r w:rsidR="00CB2EAF">
        <w:rPr>
          <w:rFonts w:asciiTheme="majorHAnsi" w:hAnsiTheme="majorHAnsi" w:cstheme="majorHAnsi"/>
          <w:color w:val="000000" w:themeColor="text1"/>
          <w:sz w:val="22"/>
          <w:szCs w:val="22"/>
        </w:rPr>
        <w:t xml:space="preserve"> deserves explicit </w:t>
      </w:r>
      <w:r w:rsidR="00B32F51">
        <w:rPr>
          <w:rFonts w:asciiTheme="majorHAnsi" w:hAnsiTheme="majorHAnsi" w:cstheme="majorHAnsi"/>
          <w:color w:val="000000" w:themeColor="text1"/>
          <w:sz w:val="22"/>
          <w:szCs w:val="22"/>
        </w:rPr>
        <w:t>consideration as AIPJ2, DFAT and Bappenas plan for the remainder of the current phase.</w:t>
      </w:r>
    </w:p>
    <w:p w14:paraId="5555C7D8" w14:textId="55B0BEAE" w:rsidR="00B32F51" w:rsidRPr="00B32F51" w:rsidRDefault="00B32F51"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B32F51">
        <w:rPr>
          <w:rFonts w:asciiTheme="majorHAnsi" w:hAnsiTheme="majorHAnsi" w:cstheme="majorHAnsi"/>
          <w:b/>
          <w:bCs/>
          <w:color w:val="000000" w:themeColor="text1"/>
          <w:sz w:val="26"/>
          <w:szCs w:val="26"/>
          <w:lang w:val="en-AU"/>
        </w:rPr>
        <w:t xml:space="preserve"> </w:t>
      </w:r>
      <w:r>
        <w:rPr>
          <w:rFonts w:asciiTheme="majorHAnsi" w:hAnsiTheme="majorHAnsi" w:cstheme="majorHAnsi"/>
          <w:b/>
          <w:bCs/>
          <w:color w:val="000000" w:themeColor="text1"/>
          <w:sz w:val="26"/>
          <w:szCs w:val="26"/>
          <w:lang w:val="en-AU"/>
        </w:rPr>
        <w:t>Implementation arrangements</w:t>
      </w:r>
    </w:p>
    <w:p w14:paraId="5C30580D" w14:textId="36DB5456" w:rsidR="00A64454" w:rsidRPr="00A64454" w:rsidRDefault="00174FE4"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rPr>
      </w:pPr>
      <w:r>
        <w:rPr>
          <w:rFonts w:asciiTheme="majorHAnsi" w:hAnsiTheme="majorHAnsi" w:cstheme="majorHAnsi"/>
          <w:color w:val="000000" w:themeColor="text1"/>
          <w:sz w:val="22"/>
          <w:szCs w:val="22"/>
        </w:rPr>
        <w:t>R</w:t>
      </w:r>
      <w:r w:rsidR="00A64454" w:rsidRPr="00A64454">
        <w:rPr>
          <w:rFonts w:asciiTheme="majorHAnsi" w:hAnsiTheme="majorHAnsi" w:cstheme="majorHAnsi"/>
          <w:color w:val="000000" w:themeColor="text1"/>
          <w:sz w:val="22"/>
          <w:szCs w:val="22"/>
        </w:rPr>
        <w:t xml:space="preserve">esults have been achieved despite the fact that AIPJ2’s investment is relatively small and the areas of </w:t>
      </w:r>
      <w:r w:rsidR="00A64454" w:rsidRPr="00A64454">
        <w:rPr>
          <w:rFonts w:ascii="Calibri Light" w:hAnsi="Calibri Light" w:cs="Calibri Light"/>
          <w:color w:val="000000" w:themeColor="text1"/>
          <w:sz w:val="22"/>
          <w:szCs w:val="22"/>
        </w:rPr>
        <w:t>work</w:t>
      </w:r>
      <w:r w:rsidR="00A64454" w:rsidRPr="00A64454">
        <w:rPr>
          <w:rFonts w:asciiTheme="majorHAnsi" w:hAnsiTheme="majorHAnsi" w:cstheme="majorHAnsi"/>
          <w:color w:val="000000" w:themeColor="text1"/>
          <w:sz w:val="22"/>
          <w:szCs w:val="22"/>
        </w:rPr>
        <w:t xml:space="preserve"> are in the main sensitive and highly political.</w:t>
      </w:r>
      <w:r w:rsidR="00A16179">
        <w:rPr>
          <w:rFonts w:asciiTheme="majorHAnsi" w:hAnsiTheme="majorHAnsi" w:cstheme="majorHAnsi"/>
          <w:color w:val="000000" w:themeColor="text1"/>
          <w:sz w:val="22"/>
          <w:szCs w:val="22"/>
        </w:rPr>
        <w:t xml:space="preserve"> </w:t>
      </w:r>
      <w:r w:rsidR="00A64454" w:rsidRPr="00A64454">
        <w:rPr>
          <w:rFonts w:asciiTheme="majorHAnsi" w:hAnsiTheme="majorHAnsi" w:cstheme="majorHAnsi"/>
          <w:color w:val="000000" w:themeColor="text1"/>
          <w:sz w:val="22"/>
          <w:szCs w:val="22"/>
        </w:rPr>
        <w:t>AIPJ2 has tackled sensitive issues in smart ways that get traction through a combination of skilled, experienced team leader, good relationships with Indonesian state institutions, effective partnerships with generally strong civil society organisations, selection of issues with sufficient local ownership and flexible and responsive support</w:t>
      </w:r>
      <w:r w:rsidR="00A64454">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r w:rsidR="00A64454">
        <w:rPr>
          <w:rFonts w:asciiTheme="majorHAnsi" w:hAnsiTheme="majorHAnsi" w:cstheme="majorHAnsi"/>
          <w:color w:val="000000" w:themeColor="text1"/>
          <w:sz w:val="22"/>
          <w:szCs w:val="22"/>
        </w:rPr>
        <w:t>AIPJ2’s ability to establish, develop and maintain effective relationships with influential state and civil society actors has been an important strength.</w:t>
      </w:r>
      <w:r w:rsidR="00A16179">
        <w:rPr>
          <w:rFonts w:asciiTheme="majorHAnsi" w:hAnsiTheme="majorHAnsi" w:cstheme="majorHAnsi"/>
          <w:color w:val="000000" w:themeColor="text1"/>
          <w:sz w:val="22"/>
          <w:szCs w:val="22"/>
        </w:rPr>
        <w:t xml:space="preserve"> </w:t>
      </w:r>
      <w:r w:rsidR="00184DCA">
        <w:rPr>
          <w:rFonts w:asciiTheme="majorHAnsi" w:hAnsiTheme="majorHAnsi" w:cstheme="majorHAnsi"/>
          <w:color w:val="000000" w:themeColor="text1"/>
          <w:sz w:val="22"/>
          <w:szCs w:val="22"/>
        </w:rPr>
        <w:t>As has the operating flexibility provided by the facility model of delivery selected, which AIPJ2 has generally utilised well.</w:t>
      </w:r>
    </w:p>
    <w:p w14:paraId="0CB9EBAC" w14:textId="04F660EE" w:rsidR="008C411B" w:rsidRPr="008C411B" w:rsidRDefault="008C411B"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rPr>
      </w:pPr>
      <w:r>
        <w:rPr>
          <w:rFonts w:ascii="Calibri Light" w:hAnsi="Calibri Light" w:cs="Calibri Light"/>
          <w:sz w:val="22"/>
          <w:szCs w:val="22"/>
        </w:rPr>
        <w:t>Nevertheless, AIPJ2 is a relatively small and yet wide-ranging investment, addressing more than 20 reform issues across the law, justice and security sectors and funding 21 civil society partnerships and ten Australian government agencies. Its success in engaging on such a broad range of issues has also</w:t>
      </w:r>
      <w:r w:rsidR="00184DCA">
        <w:rPr>
          <w:rFonts w:ascii="Calibri Light" w:hAnsi="Calibri Light" w:cs="Calibri Light"/>
          <w:sz w:val="22"/>
          <w:szCs w:val="22"/>
        </w:rPr>
        <w:t xml:space="preserve"> strained important aspects of its implementation capabilities.</w:t>
      </w:r>
    </w:p>
    <w:p w14:paraId="4274F43B" w14:textId="173F39D1" w:rsidR="008C411B" w:rsidRDefault="00184DCA"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Strategies for the main areas of AIPJ2’s work and processes for their review and adaptation are underdeveloped.</w:t>
      </w:r>
      <w:r w:rsidR="00A16179">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This includes AIPJ2’s approach to M&amp;E and reporting at a facility level;</w:t>
      </w:r>
    </w:p>
    <w:p w14:paraId="6B261192" w14:textId="6F99C0D8" w:rsidR="00184DCA" w:rsidRDefault="00184DCA"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Coherence and integration envisaged </w:t>
      </w:r>
      <w:r w:rsidR="00210C87">
        <w:rPr>
          <w:rFonts w:ascii="Calibri Light" w:hAnsi="Calibri Light" w:cs="Calibri Light"/>
          <w:color w:val="000000" w:themeColor="text1"/>
          <w:sz w:val="22"/>
          <w:szCs w:val="22"/>
        </w:rPr>
        <w:t>in the facility design is not yet being fully realised: linkages within AIPJ2 are underdeveloped, while linkages with other DFAT programs exist but are the product of informal processes led by the AIPJ2 Team Leader.</w:t>
      </w:r>
      <w:r w:rsidR="00A16179">
        <w:rPr>
          <w:rFonts w:ascii="Calibri Light" w:hAnsi="Calibri Light" w:cs="Calibri Light"/>
          <w:color w:val="000000" w:themeColor="text1"/>
          <w:sz w:val="22"/>
          <w:szCs w:val="22"/>
        </w:rPr>
        <w:t xml:space="preserve"> </w:t>
      </w:r>
      <w:r w:rsidR="00210C87">
        <w:rPr>
          <w:rFonts w:ascii="Calibri Light" w:hAnsi="Calibri Light" w:cs="Calibri Light"/>
          <w:color w:val="000000" w:themeColor="text1"/>
          <w:sz w:val="22"/>
          <w:szCs w:val="22"/>
        </w:rPr>
        <w:t>Formal mechanisms to facilitate such cross-program coordination are also underdeveloped.</w:t>
      </w:r>
    </w:p>
    <w:p w14:paraId="59447939" w14:textId="788807F7" w:rsidR="00210C87" w:rsidRDefault="00210C87"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Governance arrangements are generally effective but the spread of AIPJ2 interests complicates significantly the task of ensuring adequate oversight and contestability involving Indonesian counterparts.</w:t>
      </w:r>
      <w:r w:rsidR="00A16179">
        <w:rPr>
          <w:rFonts w:ascii="Calibri Light" w:hAnsi="Calibri Light" w:cs="Calibri Light"/>
          <w:color w:val="000000" w:themeColor="text1"/>
          <w:sz w:val="22"/>
          <w:szCs w:val="22"/>
        </w:rPr>
        <w:t xml:space="preserve"> </w:t>
      </w:r>
    </w:p>
    <w:p w14:paraId="12D01BC0" w14:textId="30564920" w:rsidR="00210C87" w:rsidRPr="008C411B" w:rsidRDefault="00210C87" w:rsidP="006B32D6">
      <w:pPr>
        <w:pStyle w:val="ListParagraph"/>
        <w:numPr>
          <w:ilvl w:val="0"/>
          <w:numId w:val="8"/>
        </w:numPr>
        <w:tabs>
          <w:tab w:val="left" w:pos="709"/>
        </w:tabs>
        <w:spacing w:line="274" w:lineRule="auto"/>
        <w:ind w:left="709" w:hanging="425"/>
        <w:contextualSpacing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Similarly, AIPJ2’s breadth has complicated the task of communicating its mission and strategy to external stakeholders</w:t>
      </w:r>
      <w:r w:rsidR="003E62F3" w:rsidRPr="003E62F3">
        <w:rPr>
          <w:rFonts w:asciiTheme="majorHAnsi" w:hAnsiTheme="majorHAnsi" w:cstheme="majorHAnsi"/>
          <w:color w:val="000000" w:themeColor="text1"/>
          <w:sz w:val="22"/>
          <w:szCs w:val="22"/>
        </w:rPr>
        <w:t xml:space="preserve"> </w:t>
      </w:r>
      <w:r w:rsidR="003E62F3">
        <w:rPr>
          <w:rFonts w:asciiTheme="majorHAnsi" w:hAnsiTheme="majorHAnsi" w:cstheme="majorHAnsi"/>
          <w:color w:val="000000" w:themeColor="text1"/>
          <w:sz w:val="22"/>
          <w:szCs w:val="22"/>
        </w:rPr>
        <w:t>including DFAT.</w:t>
      </w:r>
      <w:r w:rsidR="00A16179">
        <w:rPr>
          <w:rFonts w:asciiTheme="majorHAnsi" w:hAnsiTheme="majorHAnsi" w:cstheme="majorHAnsi"/>
          <w:color w:val="000000" w:themeColor="text1"/>
          <w:sz w:val="22"/>
          <w:szCs w:val="22"/>
        </w:rPr>
        <w:t xml:space="preserve"> </w:t>
      </w:r>
      <w:r w:rsidR="003E62F3">
        <w:rPr>
          <w:rFonts w:asciiTheme="majorHAnsi" w:hAnsiTheme="majorHAnsi" w:cstheme="majorHAnsi"/>
          <w:color w:val="000000" w:themeColor="text1"/>
          <w:sz w:val="22"/>
          <w:szCs w:val="22"/>
        </w:rPr>
        <w:t>In an environment of tightening budgets, the inability to present a clear, coherent and compelling narrative for development assistance represents a risk.</w:t>
      </w:r>
      <w:r w:rsidR="00A16179">
        <w:rPr>
          <w:rFonts w:asciiTheme="majorHAnsi" w:hAnsiTheme="majorHAnsi" w:cstheme="majorHAnsi"/>
          <w:color w:val="000000" w:themeColor="text1"/>
          <w:sz w:val="22"/>
          <w:szCs w:val="22"/>
        </w:rPr>
        <w:t xml:space="preserve"> </w:t>
      </w:r>
    </w:p>
    <w:p w14:paraId="4909431D" w14:textId="4111C9DE" w:rsidR="003E62F3" w:rsidRDefault="00A64454" w:rsidP="006B32D6">
      <w:pPr>
        <w:pStyle w:val="ListParagraph"/>
        <w:numPr>
          <w:ilvl w:val="2"/>
          <w:numId w:val="3"/>
        </w:numPr>
        <w:tabs>
          <w:tab w:val="left" w:pos="567"/>
          <w:tab w:val="left" w:pos="3969"/>
        </w:tabs>
        <w:spacing w:line="274" w:lineRule="auto"/>
        <w:contextualSpacing w:val="0"/>
        <w:rPr>
          <w:rFonts w:ascii="Calibri Light" w:hAnsi="Calibri Light" w:cs="Calibri Light"/>
          <w:color w:val="000000" w:themeColor="text1"/>
          <w:sz w:val="22"/>
          <w:szCs w:val="22"/>
        </w:rPr>
      </w:pPr>
      <w:r w:rsidRPr="00A64454">
        <w:rPr>
          <w:rFonts w:ascii="Calibri Light" w:hAnsi="Calibri Light" w:cs="Calibri Light"/>
          <w:sz w:val="22"/>
          <w:szCs w:val="22"/>
        </w:rPr>
        <w:t>T</w:t>
      </w:r>
      <w:r w:rsidRPr="008C411B">
        <w:rPr>
          <w:rFonts w:ascii="Calibri Light" w:hAnsi="Calibri Light" w:cs="Calibri Light"/>
          <w:sz w:val="22"/>
          <w:szCs w:val="22"/>
        </w:rPr>
        <w:t xml:space="preserve">he review did not include a detailed value-for-money assessment but on the basis of the </w:t>
      </w:r>
      <w:r w:rsidR="003E62F3" w:rsidRPr="008C411B">
        <w:rPr>
          <w:rFonts w:ascii="Calibri Light" w:hAnsi="Calibri Light" w:cs="Calibri Light"/>
          <w:sz w:val="22"/>
          <w:szCs w:val="22"/>
        </w:rPr>
        <w:t xml:space="preserve">available </w:t>
      </w:r>
      <w:r w:rsidRPr="008C411B">
        <w:rPr>
          <w:rFonts w:ascii="Calibri Light" w:hAnsi="Calibri Light" w:cs="Calibri Light"/>
          <w:sz w:val="22"/>
          <w:szCs w:val="22"/>
        </w:rPr>
        <w:t>evidence t</w:t>
      </w:r>
      <w:r w:rsidRPr="008C411B">
        <w:rPr>
          <w:rFonts w:ascii="Calibri Light" w:hAnsi="Calibri Light" w:cs="Calibri Light"/>
          <w:color w:val="000000" w:themeColor="text1"/>
          <w:sz w:val="22"/>
          <w:szCs w:val="22"/>
        </w:rPr>
        <w:t xml:space="preserve">he team considers it highly likely that AIPJ2 will generate a sufficient rate of </w:t>
      </w:r>
      <w:r w:rsidRPr="008C411B">
        <w:rPr>
          <w:rFonts w:asciiTheme="majorHAnsi" w:hAnsiTheme="majorHAnsi" w:cstheme="majorHAnsi"/>
          <w:color w:val="000000" w:themeColor="text1"/>
          <w:sz w:val="22"/>
          <w:szCs w:val="22"/>
        </w:rPr>
        <w:t>return</w:t>
      </w:r>
      <w:r w:rsidRPr="008C411B">
        <w:rPr>
          <w:rFonts w:ascii="Calibri Light" w:hAnsi="Calibri Light" w:cs="Calibri Light"/>
          <w:color w:val="000000" w:themeColor="text1"/>
          <w:sz w:val="22"/>
          <w:szCs w:val="22"/>
        </w:rPr>
        <w:t xml:space="preserve"> to justify DFAT’s investment by the end of phase, if indeed not before.</w:t>
      </w:r>
      <w:r w:rsidR="00A16179">
        <w:rPr>
          <w:rFonts w:ascii="Calibri Light" w:hAnsi="Calibri Light" w:cs="Calibri Light"/>
          <w:color w:val="000000" w:themeColor="text1"/>
          <w:sz w:val="22"/>
          <w:szCs w:val="22"/>
        </w:rPr>
        <w:t xml:space="preserve"> </w:t>
      </w:r>
      <w:r w:rsidR="003E62F3">
        <w:rPr>
          <w:rFonts w:ascii="Calibri Light" w:hAnsi="Calibri Light" w:cs="Calibri Light"/>
          <w:color w:val="000000" w:themeColor="text1"/>
          <w:sz w:val="22"/>
          <w:szCs w:val="22"/>
        </w:rPr>
        <w:t xml:space="preserve">Addressing the implementation challenges </w:t>
      </w:r>
      <w:r w:rsidR="00100705">
        <w:rPr>
          <w:rFonts w:ascii="Calibri Light" w:hAnsi="Calibri Light" w:cs="Calibri Light"/>
          <w:color w:val="000000" w:themeColor="text1"/>
          <w:sz w:val="22"/>
          <w:szCs w:val="22"/>
        </w:rPr>
        <w:t xml:space="preserve">identified </w:t>
      </w:r>
      <w:r w:rsidR="003E62F3">
        <w:rPr>
          <w:rFonts w:ascii="Calibri Light" w:hAnsi="Calibri Light" w:cs="Calibri Light"/>
          <w:color w:val="000000" w:themeColor="text1"/>
          <w:sz w:val="22"/>
          <w:szCs w:val="22"/>
        </w:rPr>
        <w:t>above offers the potential to</w:t>
      </w:r>
      <w:r w:rsidR="00100705">
        <w:rPr>
          <w:rFonts w:ascii="Calibri Light" w:hAnsi="Calibri Light" w:cs="Calibri Light"/>
          <w:color w:val="000000" w:themeColor="text1"/>
          <w:sz w:val="22"/>
          <w:szCs w:val="22"/>
        </w:rPr>
        <w:t xml:space="preserve"> strengthen further AIPJ2’s approach to managing for value for money.</w:t>
      </w:r>
      <w:r w:rsidR="00A16179">
        <w:rPr>
          <w:rFonts w:ascii="Calibri Light" w:hAnsi="Calibri Light" w:cs="Calibri Light"/>
          <w:color w:val="000000" w:themeColor="text1"/>
          <w:sz w:val="22"/>
          <w:szCs w:val="22"/>
        </w:rPr>
        <w:t xml:space="preserve"> </w:t>
      </w:r>
      <w:r w:rsidR="00100705">
        <w:rPr>
          <w:rFonts w:ascii="Calibri Light" w:hAnsi="Calibri Light" w:cs="Calibri Light"/>
          <w:color w:val="000000" w:themeColor="text1"/>
          <w:sz w:val="22"/>
          <w:szCs w:val="22"/>
        </w:rPr>
        <w:t>The review also identified potential merit in revisiting the allocation of resources to the primary partners in pillars 3 and 4</w:t>
      </w:r>
      <w:r w:rsidR="002223B8">
        <w:rPr>
          <w:rFonts w:ascii="Calibri Light" w:hAnsi="Calibri Light" w:cs="Calibri Light"/>
          <w:color w:val="000000" w:themeColor="text1"/>
          <w:sz w:val="22"/>
          <w:szCs w:val="22"/>
        </w:rPr>
        <w:t xml:space="preserve">; the aim should be to determine </w:t>
      </w:r>
      <w:r w:rsidR="00100705">
        <w:rPr>
          <w:rFonts w:ascii="Calibri Light" w:hAnsi="Calibri Light" w:cs="Calibri Light"/>
          <w:color w:val="000000" w:themeColor="text1"/>
          <w:sz w:val="22"/>
          <w:szCs w:val="22"/>
        </w:rPr>
        <w:t xml:space="preserve">whether benefits expected at design are being </w:t>
      </w:r>
      <w:r w:rsidR="002223B8">
        <w:rPr>
          <w:rFonts w:ascii="Calibri Light" w:hAnsi="Calibri Light" w:cs="Calibri Light"/>
          <w:color w:val="000000" w:themeColor="text1"/>
          <w:sz w:val="22"/>
          <w:szCs w:val="22"/>
        </w:rPr>
        <w:t>fully realised</w:t>
      </w:r>
      <w:r w:rsidR="00100705">
        <w:rPr>
          <w:rFonts w:ascii="Calibri Light" w:hAnsi="Calibri Light" w:cs="Calibri Light"/>
          <w:color w:val="000000" w:themeColor="text1"/>
          <w:sz w:val="22"/>
          <w:szCs w:val="22"/>
        </w:rPr>
        <w:t xml:space="preserve"> and whether there is scope for new arrangements to secure the same benefits but at lower cost.</w:t>
      </w:r>
      <w:r w:rsidR="00A16179">
        <w:rPr>
          <w:rFonts w:ascii="Calibri Light" w:hAnsi="Calibri Light" w:cs="Calibri Light"/>
          <w:color w:val="000000" w:themeColor="text1"/>
          <w:sz w:val="22"/>
          <w:szCs w:val="22"/>
        </w:rPr>
        <w:t xml:space="preserve"> </w:t>
      </w:r>
    </w:p>
    <w:p w14:paraId="27EACBEA" w14:textId="1F39ACA5" w:rsidR="003E62F3" w:rsidRPr="002223B8" w:rsidRDefault="002223B8"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Pr>
          <w:rFonts w:asciiTheme="majorHAnsi" w:hAnsiTheme="majorHAnsi" w:cstheme="majorHAnsi"/>
          <w:b/>
          <w:bCs/>
          <w:color w:val="000000" w:themeColor="text1"/>
          <w:sz w:val="26"/>
          <w:szCs w:val="26"/>
          <w:lang w:val="en-AU"/>
        </w:rPr>
        <w:t>Remainder of the phase</w:t>
      </w:r>
    </w:p>
    <w:p w14:paraId="6617ADED" w14:textId="3BC04236" w:rsidR="002223B8" w:rsidRPr="002223B8" w:rsidRDefault="002223B8"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Pr>
          <w:rFonts w:ascii="Calibri Light" w:hAnsi="Calibri Light" w:cs="Calibri Light"/>
          <w:sz w:val="22"/>
          <w:szCs w:val="22"/>
        </w:rPr>
        <w:t>At</w:t>
      </w:r>
      <w:r w:rsidRPr="00174FE4">
        <w:rPr>
          <w:rFonts w:ascii="Calibri Light" w:hAnsi="Calibri Light" w:cs="Calibri Light"/>
          <w:sz w:val="22"/>
          <w:szCs w:val="22"/>
        </w:rPr>
        <w:t xml:space="preserve"> the mid-point of </w:t>
      </w:r>
      <w:r>
        <w:rPr>
          <w:rFonts w:ascii="Calibri Light" w:hAnsi="Calibri Light" w:cs="Calibri Light"/>
          <w:sz w:val="22"/>
          <w:szCs w:val="22"/>
        </w:rPr>
        <w:t xml:space="preserve">the phase, </w:t>
      </w:r>
      <w:r w:rsidRPr="00174FE4">
        <w:rPr>
          <w:rFonts w:ascii="Calibri Light" w:hAnsi="Calibri Light" w:cs="Calibri Light"/>
          <w:sz w:val="22"/>
          <w:szCs w:val="22"/>
        </w:rPr>
        <w:t xml:space="preserve">AIPJ2 is </w:t>
      </w:r>
      <w:r w:rsidRPr="00174FE4">
        <w:rPr>
          <w:rFonts w:ascii="Calibri Light" w:hAnsi="Calibri Light" w:cs="Calibri Light"/>
          <w:color w:val="000000" w:themeColor="text1"/>
          <w:sz w:val="22"/>
          <w:szCs w:val="22"/>
        </w:rPr>
        <w:t>in many respects uniquely placed to engage on a number of high-profile reform priorities set out by the new Jokowi administration and which likely resonate with Australia’s interests in the region:</w:t>
      </w:r>
      <w:r>
        <w:rPr>
          <w:rFonts w:ascii="Calibri Light" w:hAnsi="Calibri Light" w:cs="Calibri Light"/>
          <w:color w:val="000000" w:themeColor="text1"/>
          <w:sz w:val="22"/>
          <w:szCs w:val="22"/>
        </w:rPr>
        <w:t xml:space="preserve"> reform of the integrated criminal justice system, restorative justice, prison overcrowding, judicial corruption, reform of the civil justice system, as well as opportunities to deepen AIPJ</w:t>
      </w:r>
      <w:r w:rsidR="00BF5D10">
        <w:rPr>
          <w:rFonts w:ascii="Calibri Light" w:hAnsi="Calibri Light" w:cs="Calibri Light"/>
          <w:color w:val="000000" w:themeColor="text1"/>
          <w:sz w:val="22"/>
          <w:szCs w:val="22"/>
        </w:rPr>
        <w:t>2</w:t>
      </w:r>
      <w:r>
        <w:rPr>
          <w:rFonts w:ascii="Calibri Light" w:hAnsi="Calibri Light" w:cs="Calibri Light"/>
          <w:color w:val="000000" w:themeColor="text1"/>
          <w:sz w:val="22"/>
          <w:szCs w:val="22"/>
        </w:rPr>
        <w:t xml:space="preserve">’s existing work on women in contact with the law. </w:t>
      </w:r>
      <w:r>
        <w:rPr>
          <w:rFonts w:asciiTheme="majorHAnsi" w:hAnsiTheme="majorHAnsi" w:cstheme="majorHAnsi"/>
          <w:color w:val="000000" w:themeColor="text1"/>
          <w:sz w:val="22"/>
          <w:szCs w:val="22"/>
        </w:rPr>
        <w:t xml:space="preserve">Moreover, </w:t>
      </w:r>
      <w:r w:rsidRPr="008C411B">
        <w:rPr>
          <w:rFonts w:asciiTheme="majorHAnsi" w:hAnsiTheme="majorHAnsi" w:cstheme="majorHAnsi"/>
          <w:color w:val="000000" w:themeColor="text1"/>
          <w:sz w:val="22"/>
          <w:szCs w:val="22"/>
        </w:rPr>
        <w:t>given DFAT’s interest in continuing to support Indonesia’s efforts to strengthen the rule of law after the current phase ends, engag</w:t>
      </w:r>
      <w:r>
        <w:rPr>
          <w:rFonts w:asciiTheme="majorHAnsi" w:hAnsiTheme="majorHAnsi" w:cstheme="majorHAnsi"/>
          <w:color w:val="000000" w:themeColor="text1"/>
          <w:sz w:val="22"/>
          <w:szCs w:val="22"/>
        </w:rPr>
        <w:t>ing</w:t>
      </w:r>
      <w:r w:rsidRPr="008C411B">
        <w:rPr>
          <w:rFonts w:asciiTheme="majorHAnsi" w:hAnsiTheme="majorHAnsi" w:cstheme="majorHAnsi"/>
          <w:color w:val="000000" w:themeColor="text1"/>
          <w:sz w:val="22"/>
          <w:szCs w:val="22"/>
        </w:rPr>
        <w:t xml:space="preserve"> actively on the new reform agenda</w:t>
      </w:r>
      <w:r>
        <w:rPr>
          <w:rFonts w:asciiTheme="majorHAnsi" w:hAnsiTheme="majorHAnsi" w:cstheme="majorHAnsi"/>
          <w:color w:val="000000" w:themeColor="text1"/>
          <w:sz w:val="22"/>
          <w:szCs w:val="22"/>
        </w:rPr>
        <w:t xml:space="preserve"> can </w:t>
      </w:r>
      <w:r w:rsidRPr="008C411B">
        <w:rPr>
          <w:rFonts w:asciiTheme="majorHAnsi" w:hAnsiTheme="majorHAnsi" w:cstheme="majorHAnsi"/>
          <w:color w:val="000000" w:themeColor="text1"/>
          <w:sz w:val="22"/>
          <w:szCs w:val="22"/>
        </w:rPr>
        <w:t xml:space="preserve">ensure DFAT’s assistance is well-positioned to develop beyond </w:t>
      </w:r>
      <w:r>
        <w:rPr>
          <w:rFonts w:asciiTheme="majorHAnsi" w:hAnsiTheme="majorHAnsi" w:cstheme="majorHAnsi"/>
          <w:color w:val="000000" w:themeColor="text1"/>
          <w:sz w:val="22"/>
          <w:szCs w:val="22"/>
        </w:rPr>
        <w:t>the end of the current phase (</w:t>
      </w:r>
      <w:r w:rsidRPr="008C411B">
        <w:rPr>
          <w:rFonts w:asciiTheme="majorHAnsi" w:hAnsiTheme="majorHAnsi" w:cstheme="majorHAnsi"/>
          <w:color w:val="000000" w:themeColor="text1"/>
          <w:sz w:val="22"/>
          <w:szCs w:val="22"/>
        </w:rPr>
        <w:t>March 2022</w:t>
      </w:r>
      <w:r>
        <w:rPr>
          <w:rFonts w:asciiTheme="majorHAnsi" w:hAnsiTheme="majorHAnsi" w:cstheme="majorHAnsi"/>
          <w:color w:val="000000" w:themeColor="text1"/>
          <w:sz w:val="22"/>
          <w:szCs w:val="22"/>
        </w:rPr>
        <w:t>)</w:t>
      </w:r>
      <w:r w:rsidRPr="008C411B">
        <w:rPr>
          <w:rFonts w:asciiTheme="majorHAnsi" w:hAnsiTheme="majorHAnsi" w:cstheme="majorHAnsi"/>
          <w:color w:val="000000" w:themeColor="text1"/>
          <w:sz w:val="22"/>
          <w:szCs w:val="22"/>
        </w:rPr>
        <w:t>.</w:t>
      </w:r>
    </w:p>
    <w:p w14:paraId="78763F85" w14:textId="7059A77C" w:rsidR="00BB1E0F" w:rsidRPr="00BB1E0F" w:rsidRDefault="002223B8"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sidRPr="00174FE4">
        <w:rPr>
          <w:rFonts w:asciiTheme="majorHAnsi" w:hAnsiTheme="majorHAnsi" w:cstheme="majorHAnsi"/>
          <w:color w:val="000000" w:themeColor="text1"/>
          <w:sz w:val="22"/>
          <w:szCs w:val="22"/>
        </w:rPr>
        <w:t xml:space="preserve">None of these represent significant changes in direction for AIPJ2 but </w:t>
      </w:r>
      <w:r>
        <w:rPr>
          <w:rFonts w:asciiTheme="majorHAnsi" w:hAnsiTheme="majorHAnsi" w:cstheme="majorHAnsi"/>
          <w:color w:val="000000" w:themeColor="text1"/>
          <w:sz w:val="22"/>
          <w:szCs w:val="22"/>
        </w:rPr>
        <w:t xml:space="preserve">they </w:t>
      </w:r>
      <w:r w:rsidRPr="00174FE4">
        <w:rPr>
          <w:rFonts w:asciiTheme="majorHAnsi" w:hAnsiTheme="majorHAnsi" w:cstheme="majorHAnsi"/>
          <w:color w:val="000000" w:themeColor="text1"/>
          <w:sz w:val="22"/>
          <w:szCs w:val="22"/>
        </w:rPr>
        <w:t>do imply a deepening and potential increase of support, as well as the need to develop some new partnerships in the sector.</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AIPJ2’s current budget and spread of interests</w:t>
      </w:r>
      <w:r w:rsidR="00BB1E0F">
        <w:rPr>
          <w:rFonts w:asciiTheme="majorHAnsi" w:hAnsiTheme="majorHAnsi" w:cstheme="majorHAnsi"/>
          <w:color w:val="000000" w:themeColor="text1"/>
          <w:sz w:val="22"/>
          <w:szCs w:val="22"/>
        </w:rPr>
        <w:t>, however,</w:t>
      </w:r>
      <w:r>
        <w:rPr>
          <w:rFonts w:asciiTheme="majorHAnsi" w:hAnsiTheme="majorHAnsi" w:cstheme="majorHAnsi"/>
          <w:color w:val="000000" w:themeColor="text1"/>
          <w:sz w:val="22"/>
          <w:szCs w:val="22"/>
        </w:rPr>
        <w:t xml:space="preserve"> limits its ability to </w:t>
      </w:r>
      <w:r w:rsidR="00BB1E0F">
        <w:rPr>
          <w:rFonts w:asciiTheme="majorHAnsi" w:hAnsiTheme="majorHAnsi" w:cstheme="majorHAnsi"/>
          <w:color w:val="000000" w:themeColor="text1"/>
          <w:sz w:val="22"/>
          <w:szCs w:val="22"/>
        </w:rPr>
        <w:t xml:space="preserve">both </w:t>
      </w:r>
      <w:r>
        <w:rPr>
          <w:rFonts w:asciiTheme="majorHAnsi" w:hAnsiTheme="majorHAnsi" w:cstheme="majorHAnsi"/>
          <w:color w:val="000000" w:themeColor="text1"/>
          <w:sz w:val="22"/>
          <w:szCs w:val="22"/>
        </w:rPr>
        <w:t>respond</w:t>
      </w:r>
      <w:r w:rsidR="00BB1E0F">
        <w:rPr>
          <w:rFonts w:asciiTheme="majorHAnsi" w:hAnsiTheme="majorHAnsi" w:cstheme="majorHAnsi"/>
          <w:color w:val="000000" w:themeColor="text1"/>
          <w:sz w:val="22"/>
          <w:szCs w:val="22"/>
        </w:rPr>
        <w:t xml:space="preserve"> to new opportunities and deepen, selectively, its engagement on implementation issues where it can make the biggest impact.</w:t>
      </w:r>
      <w:r w:rsidR="00A16179">
        <w:rPr>
          <w:rFonts w:asciiTheme="majorHAnsi" w:hAnsiTheme="majorHAnsi" w:cstheme="majorHAnsi"/>
          <w:color w:val="000000" w:themeColor="text1"/>
          <w:sz w:val="22"/>
          <w:szCs w:val="22"/>
        </w:rPr>
        <w:t xml:space="preserve"> </w:t>
      </w:r>
    </w:p>
    <w:p w14:paraId="61769339" w14:textId="51DE1E16" w:rsidR="00987045" w:rsidRPr="00431273" w:rsidRDefault="00BB1E0F" w:rsidP="006B32D6">
      <w:pPr>
        <w:pStyle w:val="ListParagraph"/>
        <w:numPr>
          <w:ilvl w:val="2"/>
          <w:numId w:val="3"/>
        </w:numPr>
        <w:tabs>
          <w:tab w:val="left" w:pos="567"/>
          <w:tab w:val="left" w:pos="3969"/>
        </w:tabs>
        <w:spacing w:line="274" w:lineRule="auto"/>
        <w:contextualSpacing w:val="0"/>
        <w:rPr>
          <w:rFonts w:asciiTheme="majorHAnsi" w:hAnsiTheme="majorHAnsi" w:cstheme="majorHAnsi"/>
          <w:i/>
          <w:iCs/>
          <w:color w:val="000000" w:themeColor="text1"/>
          <w:sz w:val="22"/>
          <w:szCs w:val="22"/>
        </w:rPr>
      </w:pPr>
      <w:r>
        <w:rPr>
          <w:rFonts w:asciiTheme="majorHAnsi" w:hAnsiTheme="majorHAnsi" w:cstheme="majorHAnsi"/>
          <w:color w:val="000000" w:themeColor="text1"/>
          <w:sz w:val="22"/>
          <w:szCs w:val="22"/>
        </w:rPr>
        <w:t xml:space="preserve">This implies </w:t>
      </w:r>
      <w:r w:rsidR="00792EBC">
        <w:rPr>
          <w:rFonts w:asciiTheme="majorHAnsi" w:hAnsiTheme="majorHAnsi" w:cstheme="majorHAnsi"/>
          <w:color w:val="000000" w:themeColor="text1"/>
          <w:sz w:val="22"/>
          <w:szCs w:val="22"/>
        </w:rPr>
        <w:t>the need for additional resources.</w:t>
      </w:r>
      <w:r w:rsidR="00A16179">
        <w:rPr>
          <w:rFonts w:asciiTheme="majorHAnsi" w:hAnsiTheme="majorHAnsi" w:cstheme="majorHAnsi"/>
          <w:color w:val="000000" w:themeColor="text1"/>
          <w:sz w:val="22"/>
          <w:szCs w:val="22"/>
        </w:rPr>
        <w:t xml:space="preserve"> </w:t>
      </w:r>
      <w:r w:rsidR="00792EBC">
        <w:rPr>
          <w:rFonts w:asciiTheme="majorHAnsi" w:hAnsiTheme="majorHAnsi" w:cstheme="majorHAnsi"/>
          <w:color w:val="000000" w:themeColor="text1"/>
          <w:sz w:val="22"/>
          <w:szCs w:val="22"/>
        </w:rPr>
        <w:t xml:space="preserve">Evidence to date suggests </w:t>
      </w:r>
      <w:r w:rsidR="00792EBC" w:rsidRPr="008C411B">
        <w:rPr>
          <w:rFonts w:ascii="Calibri Light" w:hAnsi="Calibri Light" w:cs="Calibri Light"/>
          <w:color w:val="000000" w:themeColor="text1"/>
          <w:sz w:val="22"/>
          <w:szCs w:val="22"/>
        </w:rPr>
        <w:t>AIPJ2 could utilise effectively additional resources</w:t>
      </w:r>
      <w:r w:rsidR="00792EBC">
        <w:rPr>
          <w:rFonts w:ascii="Calibri Light" w:hAnsi="Calibri Light" w:cs="Calibri Light"/>
          <w:color w:val="000000" w:themeColor="text1"/>
          <w:sz w:val="22"/>
          <w:szCs w:val="22"/>
        </w:rPr>
        <w:t>.</w:t>
      </w:r>
      <w:r w:rsidR="00A16179">
        <w:rPr>
          <w:rFonts w:ascii="Calibri Light" w:hAnsi="Calibri Light" w:cs="Calibri Light"/>
          <w:color w:val="000000" w:themeColor="text1"/>
          <w:sz w:val="22"/>
          <w:szCs w:val="22"/>
        </w:rPr>
        <w:t xml:space="preserve"> </w:t>
      </w:r>
      <w:r w:rsidR="00792EBC">
        <w:rPr>
          <w:rFonts w:ascii="Calibri Light" w:hAnsi="Calibri Light" w:cs="Calibri Light"/>
          <w:color w:val="000000" w:themeColor="text1"/>
          <w:sz w:val="22"/>
          <w:szCs w:val="22"/>
        </w:rPr>
        <w:t xml:space="preserve">However, </w:t>
      </w:r>
      <w:r>
        <w:rPr>
          <w:rFonts w:ascii="Calibri Light" w:hAnsi="Calibri Light" w:cs="Calibri Light"/>
          <w:color w:val="000000" w:themeColor="text1"/>
          <w:sz w:val="22"/>
          <w:szCs w:val="22"/>
        </w:rPr>
        <w:t>if</w:t>
      </w:r>
      <w:r w:rsidR="00792EBC" w:rsidRPr="008C411B">
        <w:rPr>
          <w:rFonts w:ascii="Calibri Light" w:hAnsi="Calibri Light" w:cs="Calibri Light"/>
          <w:color w:val="000000" w:themeColor="text1"/>
          <w:sz w:val="22"/>
          <w:szCs w:val="22"/>
        </w:rPr>
        <w:t xml:space="preserve"> additional funds are not available</w:t>
      </w:r>
      <w:r w:rsidR="00792EBC">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the necessary capacity need</w:t>
      </w:r>
      <w:r w:rsidR="00987045">
        <w:rPr>
          <w:rFonts w:ascii="Calibri Light" w:hAnsi="Calibri Light" w:cs="Calibri Light"/>
          <w:color w:val="000000" w:themeColor="text1"/>
          <w:sz w:val="22"/>
          <w:szCs w:val="22"/>
        </w:rPr>
        <w:t>s</w:t>
      </w:r>
      <w:r>
        <w:rPr>
          <w:rFonts w:ascii="Calibri Light" w:hAnsi="Calibri Light" w:cs="Calibri Light"/>
          <w:color w:val="000000" w:themeColor="text1"/>
          <w:sz w:val="22"/>
          <w:szCs w:val="22"/>
        </w:rPr>
        <w:t xml:space="preserve"> to be created from within existing resources.</w:t>
      </w:r>
      <w:r w:rsidR="00A16179">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 xml:space="preserve">This </w:t>
      </w:r>
      <w:r w:rsidR="00987045">
        <w:rPr>
          <w:rFonts w:ascii="Calibri Light" w:hAnsi="Calibri Light" w:cs="Calibri Light"/>
          <w:color w:val="000000" w:themeColor="text1"/>
          <w:sz w:val="22"/>
          <w:szCs w:val="22"/>
        </w:rPr>
        <w:t>involves rebalancing AIPJ2’s current approach in two main respects. B</w:t>
      </w:r>
      <w:r w:rsidR="00987045" w:rsidRPr="00987045">
        <w:rPr>
          <w:rFonts w:ascii="Calibri Light" w:hAnsi="Calibri Light" w:cs="Calibri Light"/>
          <w:color w:val="000000" w:themeColor="text1"/>
          <w:sz w:val="22"/>
          <w:szCs w:val="22"/>
        </w:rPr>
        <w:t xml:space="preserve">udget-wise, reallocation of resources </w:t>
      </w:r>
      <w:r w:rsidR="00987045">
        <w:rPr>
          <w:rFonts w:ascii="Calibri Light" w:hAnsi="Calibri Light" w:cs="Calibri Light"/>
          <w:color w:val="000000" w:themeColor="text1"/>
          <w:sz w:val="22"/>
          <w:szCs w:val="22"/>
        </w:rPr>
        <w:t xml:space="preserve">internally would be necessary. For the mid-term review, the most likely area for </w:t>
      </w:r>
      <w:r w:rsidR="00431273">
        <w:rPr>
          <w:rFonts w:ascii="Calibri Light" w:hAnsi="Calibri Light" w:cs="Calibri Light"/>
          <w:color w:val="000000" w:themeColor="text1"/>
          <w:sz w:val="22"/>
          <w:szCs w:val="22"/>
        </w:rPr>
        <w:t xml:space="preserve">this is </w:t>
      </w:r>
      <w:r w:rsidR="00987045">
        <w:rPr>
          <w:rFonts w:ascii="Calibri Light" w:hAnsi="Calibri Light" w:cs="Calibri Light"/>
          <w:color w:val="000000" w:themeColor="text1"/>
          <w:sz w:val="22"/>
          <w:szCs w:val="22"/>
        </w:rPr>
        <w:t>rebalancing the spend between security activities on the one hand and law and justice engagements on the other</w:t>
      </w:r>
      <w:r w:rsidR="00431273">
        <w:rPr>
          <w:rFonts w:ascii="Calibri Light" w:hAnsi="Calibri Light" w:cs="Calibri Light"/>
          <w:color w:val="000000" w:themeColor="text1"/>
          <w:sz w:val="22"/>
          <w:szCs w:val="22"/>
        </w:rPr>
        <w:t>.</w:t>
      </w:r>
      <w:r w:rsidR="00A16179">
        <w:rPr>
          <w:rFonts w:ascii="Calibri Light" w:hAnsi="Calibri Light" w:cs="Calibri Light"/>
          <w:color w:val="000000" w:themeColor="text1"/>
          <w:sz w:val="22"/>
          <w:szCs w:val="22"/>
        </w:rPr>
        <w:t xml:space="preserve"> </w:t>
      </w:r>
      <w:r w:rsidR="00431273">
        <w:rPr>
          <w:rFonts w:ascii="Calibri Light" w:hAnsi="Calibri Light" w:cs="Calibri Light"/>
          <w:color w:val="000000" w:themeColor="text1"/>
          <w:sz w:val="22"/>
          <w:szCs w:val="22"/>
        </w:rPr>
        <w:t>Spread-wise, the mid-term review also sees a number of advantages in AIPJ2 introducing more focus into its workplan for the remainder of the phase, with a view to using that as a basis to facilitate reallocation of resources.</w:t>
      </w:r>
    </w:p>
    <w:p w14:paraId="1A90C37F" w14:textId="77777777" w:rsidR="00431273" w:rsidRPr="00431273" w:rsidRDefault="00431273" w:rsidP="006B32D6">
      <w:pPr>
        <w:pStyle w:val="ListParagraph"/>
        <w:numPr>
          <w:ilvl w:val="1"/>
          <w:numId w:val="3"/>
        </w:numPr>
        <w:tabs>
          <w:tab w:val="clear" w:pos="1418"/>
          <w:tab w:val="left" w:pos="567"/>
        </w:tabs>
        <w:spacing w:before="240"/>
        <w:contextualSpacing w:val="0"/>
        <w:rPr>
          <w:rFonts w:asciiTheme="majorHAnsi" w:hAnsiTheme="majorHAnsi" w:cstheme="majorHAnsi"/>
          <w:b/>
          <w:bCs/>
          <w:color w:val="000000" w:themeColor="text1"/>
          <w:sz w:val="26"/>
          <w:szCs w:val="26"/>
          <w:lang w:val="en-AU"/>
        </w:rPr>
      </w:pPr>
      <w:r w:rsidRPr="00431273">
        <w:rPr>
          <w:rFonts w:asciiTheme="majorHAnsi" w:hAnsiTheme="majorHAnsi" w:cstheme="majorHAnsi"/>
          <w:b/>
          <w:bCs/>
          <w:color w:val="000000" w:themeColor="text1"/>
          <w:sz w:val="26"/>
          <w:szCs w:val="26"/>
          <w:lang w:val="en-AU"/>
        </w:rPr>
        <w:t>Recommendations</w:t>
      </w:r>
    </w:p>
    <w:p w14:paraId="67437DB8" w14:textId="77777777" w:rsidR="00431273" w:rsidRPr="002518AB" w:rsidRDefault="00431273" w:rsidP="00431273">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Overall approach</w:t>
      </w:r>
    </w:p>
    <w:p w14:paraId="233ADFE0" w14:textId="7118B71B" w:rsidR="00431273" w:rsidRPr="009D6C25"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To address the question how to limit spread and increase coherence, while at the same time pursue a number of new opportunities, (assuming no additional resources), </w:t>
      </w:r>
      <w:r w:rsidRPr="00082901">
        <w:rPr>
          <w:rFonts w:asciiTheme="majorHAnsi" w:hAnsiTheme="majorHAnsi" w:cstheme="majorHAnsi"/>
          <w:b/>
          <w:bCs/>
          <w:color w:val="000000" w:themeColor="text1"/>
          <w:sz w:val="22"/>
          <w:szCs w:val="22"/>
        </w:rPr>
        <w:t>AIPJ2 should undertake a stocktake exercise in discussion with DFAT and Bappenas</w:t>
      </w:r>
      <w:r w:rsidR="00911ACF">
        <w:rPr>
          <w:rFonts w:asciiTheme="majorHAnsi" w:hAnsiTheme="majorHAnsi" w:cstheme="majorHAnsi"/>
          <w:b/>
          <w:bCs/>
          <w:color w:val="000000" w:themeColor="text1"/>
          <w:sz w:val="22"/>
          <w:szCs w:val="22"/>
        </w:rPr>
        <w:t xml:space="preserve"> (Recommendation 1)</w:t>
      </w:r>
      <w:r>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r w:rsidR="0074720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The purpose of the exercise would be to look beyond the annual plan and consider priorities for the remainder of the phase, as well as where most value is being </w:t>
      </w:r>
      <w:r w:rsidR="004A4DE3">
        <w:rPr>
          <w:rFonts w:asciiTheme="majorHAnsi" w:hAnsiTheme="majorHAnsi" w:cstheme="majorHAnsi"/>
          <w:color w:val="000000" w:themeColor="text1"/>
          <w:sz w:val="22"/>
          <w:szCs w:val="22"/>
        </w:rPr>
        <w:t>delivered and the ‘best bets’ over the next 2-3 years</w:t>
      </w:r>
      <w:r>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Specifically, the stocktake should reflect on scope to:</w:t>
      </w:r>
    </w:p>
    <w:p w14:paraId="5CC1C768" w14:textId="0F8DDCB9" w:rsidR="00431273" w:rsidRDefault="00431273" w:rsidP="006B32D6">
      <w:pPr>
        <w:pStyle w:val="ListParagraph"/>
        <w:numPr>
          <w:ilvl w:val="0"/>
          <w:numId w:val="12"/>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Adopt a more problem-oriented approach</w:t>
      </w:r>
      <w:r w:rsidRPr="005968A8">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Identifying fewer, </w:t>
      </w:r>
      <w:r w:rsidRPr="005968A8">
        <w:rPr>
          <w:rFonts w:asciiTheme="majorHAnsi" w:hAnsiTheme="majorHAnsi" w:cstheme="majorHAnsi"/>
          <w:color w:val="000000" w:themeColor="text1"/>
          <w:sz w:val="22"/>
          <w:szCs w:val="22"/>
        </w:rPr>
        <w:t>substantive issues of concern</w:t>
      </w:r>
      <w:r>
        <w:rPr>
          <w:rFonts w:asciiTheme="majorHAnsi" w:hAnsiTheme="majorHAnsi" w:cstheme="majorHAnsi"/>
          <w:color w:val="000000" w:themeColor="text1"/>
          <w:sz w:val="22"/>
          <w:szCs w:val="22"/>
        </w:rPr>
        <w:t xml:space="preserve"> – such as prison overcrowding or access to justice for women and girls – that sit above the list</w:t>
      </w:r>
      <w:r w:rsidRPr="005968A8">
        <w:rPr>
          <w:rFonts w:asciiTheme="majorHAnsi" w:hAnsiTheme="majorHAnsi" w:cstheme="majorHAnsi"/>
          <w:color w:val="000000" w:themeColor="text1"/>
          <w:sz w:val="22"/>
          <w:szCs w:val="22"/>
        </w:rPr>
        <w:t xml:space="preserve"> of </w:t>
      </w:r>
      <w:r>
        <w:rPr>
          <w:rFonts w:asciiTheme="majorHAnsi" w:hAnsiTheme="majorHAnsi" w:cstheme="majorHAnsi"/>
          <w:color w:val="000000" w:themeColor="text1"/>
          <w:sz w:val="22"/>
          <w:szCs w:val="22"/>
        </w:rPr>
        <w:t xml:space="preserve">individual </w:t>
      </w:r>
      <w:r w:rsidRPr="005968A8">
        <w:rPr>
          <w:rFonts w:asciiTheme="majorHAnsi" w:hAnsiTheme="majorHAnsi" w:cstheme="majorHAnsi"/>
          <w:color w:val="000000" w:themeColor="text1"/>
          <w:sz w:val="22"/>
          <w:szCs w:val="22"/>
        </w:rPr>
        <w:t>policies and plans</w:t>
      </w:r>
      <w:r>
        <w:rPr>
          <w:rFonts w:asciiTheme="majorHAnsi" w:hAnsiTheme="majorHAnsi" w:cstheme="majorHAnsi"/>
          <w:color w:val="000000" w:themeColor="text1"/>
          <w:sz w:val="22"/>
          <w:szCs w:val="22"/>
        </w:rPr>
        <w:t xml:space="preserve"> could provide the means for </w:t>
      </w:r>
      <w:r w:rsidRPr="005968A8">
        <w:rPr>
          <w:rFonts w:asciiTheme="majorHAnsi" w:hAnsiTheme="majorHAnsi" w:cstheme="majorHAnsi"/>
          <w:color w:val="000000" w:themeColor="text1"/>
          <w:sz w:val="22"/>
          <w:szCs w:val="22"/>
        </w:rPr>
        <w:t>a more coherent</w:t>
      </w:r>
      <w:r>
        <w:rPr>
          <w:rFonts w:asciiTheme="majorHAnsi" w:hAnsiTheme="majorHAnsi" w:cstheme="majorHAnsi"/>
          <w:color w:val="000000" w:themeColor="text1"/>
          <w:sz w:val="22"/>
          <w:szCs w:val="22"/>
        </w:rPr>
        <w:t>, compelling</w:t>
      </w:r>
      <w:r w:rsidRPr="005968A8">
        <w:rPr>
          <w:rFonts w:asciiTheme="majorHAnsi" w:hAnsiTheme="majorHAnsi" w:cstheme="majorHAnsi"/>
          <w:color w:val="000000" w:themeColor="text1"/>
          <w:sz w:val="22"/>
          <w:szCs w:val="22"/>
        </w:rPr>
        <w:t xml:space="preserve"> narrative for AIPJ2, </w:t>
      </w:r>
      <w:r>
        <w:rPr>
          <w:rFonts w:asciiTheme="majorHAnsi" w:hAnsiTheme="majorHAnsi" w:cstheme="majorHAnsi"/>
          <w:color w:val="000000" w:themeColor="text1"/>
          <w:sz w:val="22"/>
          <w:szCs w:val="22"/>
        </w:rPr>
        <w:t xml:space="preserve">a clear rationale for directing and coordinating </w:t>
      </w:r>
      <w:r w:rsidRPr="005968A8">
        <w:rPr>
          <w:rFonts w:asciiTheme="majorHAnsi" w:hAnsiTheme="majorHAnsi" w:cstheme="majorHAnsi"/>
          <w:color w:val="000000" w:themeColor="text1"/>
          <w:sz w:val="22"/>
          <w:szCs w:val="22"/>
        </w:rPr>
        <w:t>related activities</w:t>
      </w:r>
      <w:r>
        <w:rPr>
          <w:rFonts w:asciiTheme="majorHAnsi" w:hAnsiTheme="majorHAnsi" w:cstheme="majorHAnsi"/>
          <w:color w:val="000000" w:themeColor="text1"/>
          <w:sz w:val="22"/>
          <w:szCs w:val="22"/>
        </w:rPr>
        <w:t xml:space="preserve"> and a basis for identifying lower priority activities.</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Such an approach need not be comprehensive:</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AIPJ2 could (indeed should) still retain some flexibility to support new ‘outlying’ activities in response to unforeseen opportunities. But </w:t>
      </w:r>
      <w:r w:rsidR="007956CC">
        <w:rPr>
          <w:rFonts w:asciiTheme="majorHAnsi" w:hAnsiTheme="majorHAnsi" w:cstheme="majorHAnsi"/>
          <w:color w:val="000000" w:themeColor="text1"/>
          <w:sz w:val="22"/>
          <w:szCs w:val="22"/>
        </w:rPr>
        <w:t xml:space="preserve">the </w:t>
      </w:r>
      <w:r w:rsidR="00E6108C">
        <w:rPr>
          <w:rFonts w:asciiTheme="majorHAnsi" w:hAnsiTheme="majorHAnsi" w:cstheme="majorHAnsi"/>
          <w:color w:val="000000" w:themeColor="text1"/>
          <w:sz w:val="22"/>
          <w:szCs w:val="22"/>
        </w:rPr>
        <w:t xml:space="preserve">choice of </w:t>
      </w:r>
      <w:r w:rsidR="007956CC">
        <w:rPr>
          <w:rFonts w:asciiTheme="majorHAnsi" w:hAnsiTheme="majorHAnsi" w:cstheme="majorHAnsi"/>
          <w:color w:val="000000" w:themeColor="text1"/>
          <w:sz w:val="22"/>
          <w:szCs w:val="22"/>
        </w:rPr>
        <w:t xml:space="preserve">key problems </w:t>
      </w:r>
      <w:r>
        <w:rPr>
          <w:rFonts w:asciiTheme="majorHAnsi" w:hAnsiTheme="majorHAnsi" w:cstheme="majorHAnsi"/>
          <w:color w:val="000000" w:themeColor="text1"/>
          <w:sz w:val="22"/>
          <w:szCs w:val="22"/>
        </w:rPr>
        <w:t>should influence programming and resourcing decisions.</w:t>
      </w:r>
      <w:r w:rsidR="0088377C">
        <w:rPr>
          <w:rFonts w:asciiTheme="majorHAnsi" w:hAnsiTheme="majorHAnsi" w:cstheme="majorHAnsi"/>
          <w:color w:val="000000" w:themeColor="text1"/>
          <w:sz w:val="22"/>
          <w:szCs w:val="22"/>
        </w:rPr>
        <w:t xml:space="preserve">  As part of this process, DFAT and AIPJ2 could usefully situate AIPJ2’s priorities within a ‘democratic resilience’ framework.  This is an important emerging concept for DFAT assistance in Indonesia and regionally, but one that still requires definition to have practical utility for investments.</w:t>
      </w:r>
    </w:p>
    <w:p w14:paraId="110BBB99" w14:textId="7F223DE3" w:rsidR="00431273" w:rsidRDefault="00431273" w:rsidP="006B32D6">
      <w:pPr>
        <w:pStyle w:val="ListParagraph"/>
        <w:numPr>
          <w:ilvl w:val="0"/>
          <w:numId w:val="12"/>
        </w:numPr>
        <w:tabs>
          <w:tab w:val="left" w:pos="709"/>
        </w:tabs>
        <w:spacing w:line="274" w:lineRule="auto"/>
        <w:ind w:left="714" w:hanging="357"/>
        <w:contextualSpacing w:val="0"/>
        <w:rPr>
          <w:rFonts w:asciiTheme="majorHAnsi" w:hAnsiTheme="majorHAnsi" w:cstheme="majorHAnsi"/>
          <w:color w:val="000000" w:themeColor="text1"/>
          <w:sz w:val="22"/>
          <w:szCs w:val="22"/>
        </w:rPr>
      </w:pPr>
      <w:r>
        <w:rPr>
          <w:rFonts w:asciiTheme="majorHAnsi" w:hAnsiTheme="majorHAnsi" w:cstheme="majorHAnsi"/>
          <w:i/>
          <w:iCs/>
          <w:color w:val="000000" w:themeColor="text1"/>
          <w:sz w:val="22"/>
          <w:szCs w:val="22"/>
        </w:rPr>
        <w:t>Reconsider the ‘pillar-based’ structure currently used to organise AIPJ2.</w:t>
      </w:r>
      <w:r w:rsidR="00A16179">
        <w:rPr>
          <w:rFonts w:asciiTheme="majorHAnsi" w:hAnsiTheme="majorHAnsi" w:cstheme="majorHAnsi"/>
          <w:i/>
          <w:iCs/>
          <w:color w:val="000000" w:themeColor="text1"/>
          <w:sz w:val="22"/>
          <w:szCs w:val="22"/>
        </w:rPr>
        <w:t xml:space="preserve"> </w:t>
      </w:r>
      <w:r>
        <w:rPr>
          <w:rFonts w:asciiTheme="majorHAnsi" w:hAnsiTheme="majorHAnsi" w:cstheme="majorHAnsi"/>
          <w:color w:val="000000" w:themeColor="text1"/>
          <w:sz w:val="22"/>
          <w:szCs w:val="22"/>
        </w:rPr>
        <w:t>A problem-oriented approach would most likely be facilitated by a shift from AIPJ2’s current pillars to a more problem-oriented structure.</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In the case of the pillars 1 and 4, this might also offer scope for cost savings if new management arrangements are introduced for work previously conducted under </w:t>
      </w:r>
      <w:r w:rsidR="00E6108C">
        <w:rPr>
          <w:rFonts w:asciiTheme="majorHAnsi" w:hAnsiTheme="majorHAnsi" w:cstheme="majorHAnsi"/>
          <w:color w:val="000000" w:themeColor="text1"/>
          <w:sz w:val="22"/>
          <w:szCs w:val="22"/>
        </w:rPr>
        <w:t>The Asia Foundation (</w:t>
      </w:r>
      <w:r>
        <w:rPr>
          <w:rFonts w:asciiTheme="majorHAnsi" w:hAnsiTheme="majorHAnsi" w:cstheme="majorHAnsi"/>
          <w:color w:val="000000" w:themeColor="text1"/>
          <w:sz w:val="22"/>
          <w:szCs w:val="22"/>
        </w:rPr>
        <w:t>pillar 4</w:t>
      </w:r>
      <w:r w:rsidR="00E6108C">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w:t>
      </w:r>
    </w:p>
    <w:p w14:paraId="0A2895C2" w14:textId="63C1068D" w:rsidR="00431273" w:rsidRPr="00AD38B2"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The question was also posed whether, with respect to AIPJ2’s engagement with civil society, there is a more efficient division of responsibilities across the Australian aid program in Indonesia.</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Given the importance of justice expertise in informing the strategies pursued by civil society in work under AIPJ2, this is unlikely.</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In addition, the centrality of government–civil society cooperation to AIPJ2’s successes suggests that </w:t>
      </w:r>
      <w:r w:rsidR="00BF5D10">
        <w:rPr>
          <w:rFonts w:asciiTheme="majorHAnsi" w:hAnsiTheme="majorHAnsi" w:cstheme="majorHAnsi"/>
          <w:color w:val="000000" w:themeColor="text1"/>
          <w:sz w:val="22"/>
          <w:szCs w:val="22"/>
        </w:rPr>
        <w:t>maintaining civil society support</w:t>
      </w:r>
      <w:r>
        <w:rPr>
          <w:rFonts w:asciiTheme="majorHAnsi" w:hAnsiTheme="majorHAnsi" w:cstheme="majorHAnsi"/>
          <w:color w:val="000000" w:themeColor="text1"/>
          <w:sz w:val="22"/>
          <w:szCs w:val="22"/>
        </w:rPr>
        <w:t xml:space="preserve"> within a justice program is critical.</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While not impossible to deliver through a generic ‘civil society support’ function,</w:t>
      </w:r>
      <w:r w:rsidRPr="007D04A6">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the management and coordination challenges to achieve such collaboration are likely to be significantly greater i</w:t>
      </w:r>
      <w:r w:rsidR="00BF5D10">
        <w:rPr>
          <w:rFonts w:asciiTheme="majorHAnsi" w:hAnsiTheme="majorHAnsi" w:cstheme="majorHAnsi"/>
          <w:color w:val="000000" w:themeColor="text1"/>
          <w:sz w:val="22"/>
          <w:szCs w:val="22"/>
        </w:rPr>
        <w:t>n</w:t>
      </w:r>
      <w:r>
        <w:rPr>
          <w:rFonts w:asciiTheme="majorHAnsi" w:hAnsiTheme="majorHAnsi" w:cstheme="majorHAnsi"/>
          <w:color w:val="000000" w:themeColor="text1"/>
          <w:sz w:val="22"/>
          <w:szCs w:val="22"/>
        </w:rPr>
        <w:t xml:space="preserve"> a cross-program arrangement.</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The review team also noted, in the case of joint work on child marriage and inclusive prisons, the leverage potentially obtained from tackling common issues from different technical vantage points (legal, social, economic, etc).</w:t>
      </w:r>
      <w:r w:rsidR="00A16179">
        <w:rPr>
          <w:rFonts w:asciiTheme="majorHAnsi" w:hAnsiTheme="majorHAnsi" w:cstheme="majorHAnsi"/>
          <w:color w:val="000000" w:themeColor="text1"/>
          <w:sz w:val="22"/>
          <w:szCs w:val="22"/>
        </w:rPr>
        <w:t xml:space="preserve"> </w:t>
      </w:r>
    </w:p>
    <w:p w14:paraId="5205D74B" w14:textId="7F252BE8" w:rsidR="00431273"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addition to the above stocktake exercise, there are a number of specific areas where AIPJ2 can usefully strengthen its approach, set out below.</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These could be facilitated by the outcome of the stocktake exercise but regardless should be addressed in their own right.</w:t>
      </w:r>
    </w:p>
    <w:p w14:paraId="769CBF1F" w14:textId="77777777" w:rsidR="00172B2A" w:rsidRDefault="00172B2A" w:rsidP="00431273">
      <w:pPr>
        <w:tabs>
          <w:tab w:val="left" w:pos="709"/>
        </w:tabs>
        <w:spacing w:line="274" w:lineRule="auto"/>
        <w:rPr>
          <w:rFonts w:asciiTheme="majorHAnsi" w:hAnsiTheme="majorHAnsi" w:cstheme="majorHAnsi"/>
          <w:color w:val="000000" w:themeColor="text1"/>
          <w:sz w:val="22"/>
          <w:szCs w:val="22"/>
          <w:u w:val="single"/>
        </w:rPr>
      </w:pPr>
    </w:p>
    <w:p w14:paraId="509EB248" w14:textId="77777777" w:rsidR="00172B2A" w:rsidRDefault="00172B2A" w:rsidP="00431273">
      <w:pPr>
        <w:tabs>
          <w:tab w:val="left" w:pos="709"/>
        </w:tabs>
        <w:spacing w:line="274" w:lineRule="auto"/>
        <w:rPr>
          <w:rFonts w:asciiTheme="majorHAnsi" w:hAnsiTheme="majorHAnsi" w:cstheme="majorHAnsi"/>
          <w:color w:val="000000" w:themeColor="text1"/>
          <w:sz w:val="22"/>
          <w:szCs w:val="22"/>
          <w:u w:val="single"/>
        </w:rPr>
      </w:pPr>
    </w:p>
    <w:p w14:paraId="45212B57" w14:textId="4DD0717D" w:rsidR="00431273" w:rsidRPr="002518AB" w:rsidRDefault="00431273" w:rsidP="00431273">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Governance arrangements</w:t>
      </w:r>
    </w:p>
    <w:p w14:paraId="2488934E" w14:textId="03C4D560" w:rsidR="00431273" w:rsidRPr="00840C30"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sidRPr="00835948">
        <w:rPr>
          <w:rFonts w:asciiTheme="majorHAnsi" w:hAnsiTheme="majorHAnsi" w:cstheme="majorHAnsi"/>
          <w:b/>
          <w:bCs/>
          <w:color w:val="000000" w:themeColor="text1"/>
          <w:sz w:val="22"/>
          <w:szCs w:val="22"/>
        </w:rPr>
        <w:t>AIPJ2 should explore in discussion with DFAT and Bappenas effective means of fostering more substantive discussion of strategy</w:t>
      </w:r>
      <w:r>
        <w:rPr>
          <w:rFonts w:asciiTheme="majorHAnsi" w:hAnsiTheme="majorHAnsi" w:cstheme="majorHAnsi"/>
          <w:color w:val="000000" w:themeColor="text1"/>
          <w:sz w:val="22"/>
          <w:szCs w:val="22"/>
        </w:rPr>
        <w:t xml:space="preserve"> </w:t>
      </w:r>
      <w:r w:rsidRPr="00835948">
        <w:rPr>
          <w:rFonts w:asciiTheme="majorHAnsi" w:hAnsiTheme="majorHAnsi" w:cstheme="majorHAnsi"/>
          <w:b/>
          <w:bCs/>
          <w:color w:val="000000" w:themeColor="text1"/>
          <w:sz w:val="22"/>
          <w:szCs w:val="22"/>
        </w:rPr>
        <w:t xml:space="preserve">at </w:t>
      </w:r>
      <w:r>
        <w:rPr>
          <w:rFonts w:asciiTheme="majorHAnsi" w:hAnsiTheme="majorHAnsi" w:cstheme="majorHAnsi"/>
          <w:b/>
          <w:bCs/>
          <w:color w:val="000000" w:themeColor="text1"/>
          <w:sz w:val="22"/>
          <w:szCs w:val="22"/>
        </w:rPr>
        <w:t>Partnership Board</w:t>
      </w:r>
      <w:r w:rsidRPr="00835948">
        <w:rPr>
          <w:rFonts w:asciiTheme="majorHAnsi" w:hAnsiTheme="majorHAnsi" w:cstheme="majorHAnsi"/>
          <w:b/>
          <w:bCs/>
          <w:color w:val="000000" w:themeColor="text1"/>
          <w:sz w:val="22"/>
          <w:szCs w:val="22"/>
        </w:rPr>
        <w:t xml:space="preserve"> meetings</w:t>
      </w:r>
      <w:r w:rsidR="00911ACF">
        <w:rPr>
          <w:rFonts w:asciiTheme="majorHAnsi" w:hAnsiTheme="majorHAnsi" w:cstheme="majorHAnsi"/>
          <w:b/>
          <w:bCs/>
          <w:color w:val="000000" w:themeColor="text1"/>
          <w:sz w:val="22"/>
          <w:szCs w:val="22"/>
        </w:rPr>
        <w:t xml:space="preserve"> (Recommendation 2)</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This should include how civil society representatives could be most effectively involved.</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Options to consider might include reinstating the Partnership Conference</w:t>
      </w:r>
      <w:r w:rsidR="003F6936">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inviting (limited, perhaps rotating) civil society participation in Partnership Board meetings, or establishment of a (limited) number of discussion working groups with AIPJ2, government and civil society representation, that report to Partnership Board meetings.</w:t>
      </w:r>
    </w:p>
    <w:p w14:paraId="2687E3FD" w14:textId="77777777" w:rsidR="00431273" w:rsidRPr="002518AB" w:rsidRDefault="00431273" w:rsidP="00431273">
      <w:pPr>
        <w:tabs>
          <w:tab w:val="left" w:pos="709"/>
        </w:tabs>
        <w:spacing w:line="274" w:lineRule="auto"/>
        <w:rPr>
          <w:rFonts w:asciiTheme="majorHAnsi" w:hAnsiTheme="majorHAnsi" w:cstheme="majorHAnsi"/>
          <w:color w:val="000000" w:themeColor="text1"/>
          <w:sz w:val="22"/>
          <w:szCs w:val="22"/>
          <w:u w:val="single"/>
        </w:rPr>
      </w:pPr>
      <w:r w:rsidRPr="002518AB">
        <w:rPr>
          <w:rFonts w:asciiTheme="majorHAnsi" w:hAnsiTheme="majorHAnsi" w:cstheme="majorHAnsi"/>
          <w:color w:val="000000" w:themeColor="text1"/>
          <w:sz w:val="22"/>
          <w:szCs w:val="22"/>
          <w:u w:val="single"/>
        </w:rPr>
        <w:t>Strengthening AIPJ2 strategies and M&amp;E systems</w:t>
      </w:r>
    </w:p>
    <w:p w14:paraId="464233C8" w14:textId="1D5E2CCC" w:rsidR="00431273"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The AIPJ2 team leader has recently been revising AIPJ2 strategies for major areas of work.</w:t>
      </w:r>
      <w:r w:rsidR="00A1617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This effort needs to be intensified.</w:t>
      </w:r>
      <w:r w:rsidR="00A16179">
        <w:rPr>
          <w:rFonts w:asciiTheme="majorHAnsi" w:hAnsiTheme="majorHAnsi" w:cstheme="majorHAnsi"/>
          <w:color w:val="000000" w:themeColor="text1"/>
          <w:sz w:val="22"/>
          <w:szCs w:val="22"/>
        </w:rPr>
        <w:t xml:space="preserve"> </w:t>
      </w:r>
      <w:r>
        <w:rPr>
          <w:rFonts w:asciiTheme="majorHAnsi" w:hAnsiTheme="majorHAnsi" w:cstheme="majorHAnsi"/>
          <w:b/>
          <w:bCs/>
          <w:color w:val="000000" w:themeColor="text1"/>
          <w:sz w:val="22"/>
          <w:szCs w:val="22"/>
        </w:rPr>
        <w:t>AIPJ2 should establish clear strategies for all main areas/strands of the Partnership’s work that set out clearly the objective(s) being pursued, the assumptions about how change will occur and AIPJ2’s role in that process</w:t>
      </w:r>
      <w:r w:rsidR="00911ACF">
        <w:rPr>
          <w:rFonts w:asciiTheme="majorHAnsi" w:hAnsiTheme="majorHAnsi" w:cstheme="majorHAnsi"/>
          <w:b/>
          <w:bCs/>
          <w:color w:val="000000" w:themeColor="text1"/>
          <w:sz w:val="22"/>
          <w:szCs w:val="22"/>
        </w:rPr>
        <w:t xml:space="preserve"> (Recommendation 3)</w:t>
      </w:r>
      <w:r>
        <w:rPr>
          <w:rFonts w:asciiTheme="majorHAnsi" w:hAnsiTheme="majorHAnsi" w:cstheme="majorHAnsi"/>
          <w:b/>
          <w:bCs/>
          <w:color w:val="000000" w:themeColor="text1"/>
          <w:sz w:val="22"/>
          <w:szCs w:val="22"/>
        </w:rPr>
        <w:t>.</w:t>
      </w:r>
      <w:r w:rsidR="00A16179">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AIPJ2’s theory of change is too general to serve this function. Such strategies are essential tools in helping explain AIPJ2’s approach to external stakeholders, prioritise</w:t>
      </w:r>
      <w:r w:rsidR="003F6936">
        <w:rPr>
          <w:rFonts w:asciiTheme="majorHAnsi" w:hAnsiTheme="majorHAnsi" w:cstheme="majorHAnsi"/>
          <w:color w:val="000000" w:themeColor="text1"/>
          <w:sz w:val="22"/>
          <w:szCs w:val="22"/>
        </w:rPr>
        <w:t xml:space="preserve"> and </w:t>
      </w:r>
      <w:r>
        <w:rPr>
          <w:rFonts w:asciiTheme="majorHAnsi" w:hAnsiTheme="majorHAnsi" w:cstheme="majorHAnsi"/>
          <w:color w:val="000000" w:themeColor="text1"/>
          <w:sz w:val="22"/>
          <w:szCs w:val="22"/>
        </w:rPr>
        <w:t>shape new activities and facilitate performance assessment, reflection and adaptation – particularly in areas of support where there are few</w:t>
      </w:r>
      <w:r w:rsidR="003F6936">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if any</w:t>
      </w:r>
      <w:r w:rsidR="003F6936">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tangible, objective measures of progress. </w:t>
      </w:r>
    </w:p>
    <w:p w14:paraId="74C95572" w14:textId="149B6029" w:rsidR="00431273"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In order to facilitate the setting of meaningful objectives, </w:t>
      </w:r>
      <w:r>
        <w:rPr>
          <w:rFonts w:asciiTheme="majorHAnsi" w:hAnsiTheme="majorHAnsi" w:cstheme="majorHAnsi"/>
          <w:b/>
          <w:bCs/>
          <w:color w:val="000000" w:themeColor="text1"/>
          <w:sz w:val="22"/>
          <w:szCs w:val="22"/>
        </w:rPr>
        <w:t>DFAT and AIPJ2 need also to agree the distinction between what AIPJ2 is trying to achieve and what AIPJ2 is accountable for</w:t>
      </w:r>
      <w:r w:rsidR="00911ACF">
        <w:rPr>
          <w:rFonts w:asciiTheme="majorHAnsi" w:hAnsiTheme="majorHAnsi" w:cstheme="majorHAnsi"/>
          <w:b/>
          <w:bCs/>
          <w:color w:val="000000" w:themeColor="text1"/>
          <w:sz w:val="22"/>
          <w:szCs w:val="22"/>
        </w:rPr>
        <w:t xml:space="preserve"> (Recommendation 4)</w:t>
      </w:r>
      <w:r>
        <w:rPr>
          <w:rFonts w:asciiTheme="majorHAnsi" w:hAnsiTheme="majorHAnsi" w:cstheme="majorHAnsi"/>
          <w:b/>
          <w:bCs/>
          <w:color w:val="000000" w:themeColor="text1"/>
          <w:sz w:val="22"/>
          <w:szCs w:val="22"/>
        </w:rPr>
        <w:t>.</w:t>
      </w:r>
      <w:r w:rsidR="00A16179">
        <w:rPr>
          <w:rFonts w:asciiTheme="majorHAnsi" w:hAnsiTheme="majorHAnsi" w:cstheme="majorHAnsi"/>
          <w:b/>
          <w:bCs/>
          <w:color w:val="000000" w:themeColor="text1"/>
          <w:sz w:val="22"/>
          <w:szCs w:val="22"/>
        </w:rPr>
        <w:t xml:space="preserve"> </w:t>
      </w:r>
    </w:p>
    <w:p w14:paraId="6ADFF5CA" w14:textId="388F74BA" w:rsidR="00431273"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Alongside the development of strategies, </w:t>
      </w:r>
      <w:r>
        <w:rPr>
          <w:rFonts w:asciiTheme="majorHAnsi" w:hAnsiTheme="majorHAnsi" w:cstheme="majorHAnsi"/>
          <w:b/>
          <w:bCs/>
          <w:color w:val="000000" w:themeColor="text1"/>
          <w:sz w:val="22"/>
          <w:szCs w:val="22"/>
        </w:rPr>
        <w:t>AIPJ2 should introduce its own internal reflection process</w:t>
      </w:r>
      <w:r w:rsidR="003F6936">
        <w:rPr>
          <w:rFonts w:asciiTheme="majorHAnsi" w:hAnsiTheme="majorHAnsi" w:cstheme="majorHAnsi"/>
          <w:b/>
          <w:bCs/>
          <w:color w:val="000000" w:themeColor="text1"/>
          <w:sz w:val="22"/>
          <w:szCs w:val="22"/>
        </w:rPr>
        <w:t xml:space="preserve"> at the facility level</w:t>
      </w:r>
      <w:r>
        <w:rPr>
          <w:rFonts w:asciiTheme="majorHAnsi" w:hAnsiTheme="majorHAnsi" w:cstheme="majorHAnsi"/>
          <w:b/>
          <w:bCs/>
          <w:color w:val="000000" w:themeColor="text1"/>
          <w:sz w:val="22"/>
          <w:szCs w:val="22"/>
        </w:rPr>
        <w:t>, equivalent to a partner’s quarterly reflection exercise but conducted at the level of its strategies</w:t>
      </w:r>
      <w:r w:rsidR="00911ACF">
        <w:rPr>
          <w:rFonts w:asciiTheme="majorHAnsi" w:hAnsiTheme="majorHAnsi" w:cstheme="majorHAnsi"/>
          <w:b/>
          <w:bCs/>
          <w:color w:val="000000" w:themeColor="text1"/>
          <w:sz w:val="22"/>
          <w:szCs w:val="22"/>
        </w:rPr>
        <w:t xml:space="preserve"> (Recommendation 5)</w:t>
      </w:r>
      <w:r>
        <w:rPr>
          <w:rFonts w:asciiTheme="majorHAnsi" w:hAnsiTheme="majorHAnsi" w:cstheme="majorHAnsi"/>
          <w:b/>
          <w:bCs/>
          <w:color w:val="000000" w:themeColor="text1"/>
          <w:sz w:val="22"/>
          <w:szCs w:val="22"/>
        </w:rPr>
        <w:t>.</w:t>
      </w:r>
      <w:r w:rsidR="00A16179">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This process should draw on partners’ reflection reports, additional evaluative work conducted by AIPJ2 and staff judgement, as well as potential insights from expert advisors.</w:t>
      </w:r>
    </w:p>
    <w:p w14:paraId="2CE53E7F" w14:textId="43AB47E9" w:rsidR="00431273" w:rsidRDefault="00431273" w:rsidP="006B32D6">
      <w:pPr>
        <w:pStyle w:val="ListParagraph"/>
        <w:numPr>
          <w:ilvl w:val="2"/>
          <w:numId w:val="3"/>
        </w:numPr>
        <w:tabs>
          <w:tab w:val="left" w:pos="567"/>
          <w:tab w:val="left" w:pos="3969"/>
        </w:tabs>
        <w:spacing w:line="274" w:lineRule="auto"/>
        <w:contextualSpacing w:val="0"/>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 xml:space="preserve">For the programs implemented currently under pillar 2, </w:t>
      </w:r>
      <w:r w:rsidRPr="00827094">
        <w:rPr>
          <w:rFonts w:asciiTheme="majorHAnsi" w:hAnsiTheme="majorHAnsi" w:cstheme="majorHAnsi"/>
          <w:b/>
          <w:bCs/>
          <w:color w:val="000000" w:themeColor="text1"/>
          <w:sz w:val="22"/>
          <w:szCs w:val="22"/>
        </w:rPr>
        <w:t xml:space="preserve">AIPJ2 </w:t>
      </w:r>
      <w:r>
        <w:rPr>
          <w:rFonts w:asciiTheme="majorHAnsi" w:hAnsiTheme="majorHAnsi" w:cstheme="majorHAnsi"/>
          <w:b/>
          <w:bCs/>
          <w:color w:val="000000" w:themeColor="text1"/>
          <w:sz w:val="22"/>
          <w:szCs w:val="22"/>
        </w:rPr>
        <w:t xml:space="preserve">and </w:t>
      </w:r>
      <w:r w:rsidRPr="00827094">
        <w:rPr>
          <w:rFonts w:asciiTheme="majorHAnsi" w:hAnsiTheme="majorHAnsi" w:cstheme="majorHAnsi"/>
          <w:b/>
          <w:bCs/>
          <w:color w:val="000000" w:themeColor="text1"/>
          <w:sz w:val="22"/>
          <w:szCs w:val="22"/>
        </w:rPr>
        <w:t>Australian Government agencies</w:t>
      </w:r>
      <w:r>
        <w:rPr>
          <w:rFonts w:asciiTheme="majorHAnsi" w:hAnsiTheme="majorHAnsi" w:cstheme="majorHAnsi"/>
          <w:b/>
          <w:bCs/>
          <w:color w:val="000000" w:themeColor="text1"/>
          <w:sz w:val="22"/>
          <w:szCs w:val="22"/>
        </w:rPr>
        <w:t xml:space="preserve"> should </w:t>
      </w:r>
      <w:r w:rsidR="00323272">
        <w:rPr>
          <w:rFonts w:asciiTheme="majorHAnsi" w:hAnsiTheme="majorHAnsi" w:cstheme="majorHAnsi"/>
          <w:b/>
          <w:bCs/>
          <w:color w:val="000000" w:themeColor="text1"/>
          <w:sz w:val="22"/>
          <w:szCs w:val="22"/>
        </w:rPr>
        <w:t xml:space="preserve">continue on-going efforts to </w:t>
      </w:r>
      <w:r>
        <w:rPr>
          <w:rFonts w:asciiTheme="majorHAnsi" w:hAnsiTheme="majorHAnsi" w:cstheme="majorHAnsi"/>
          <w:b/>
          <w:bCs/>
          <w:color w:val="000000" w:themeColor="text1"/>
          <w:sz w:val="22"/>
          <w:szCs w:val="22"/>
        </w:rPr>
        <w:t>improve the quality of M&amp;E reporting including: revising the template for routine reporting along the lines of that developed by PROSPERA;</w:t>
      </w:r>
      <w:r w:rsidR="00A16179">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and instituting a program of short case studies – at least one per funding agreement – to provide the basis for deeper insights about the effectiveness of support</w:t>
      </w:r>
      <w:r w:rsidR="00911ACF">
        <w:rPr>
          <w:rFonts w:asciiTheme="majorHAnsi" w:hAnsiTheme="majorHAnsi" w:cstheme="majorHAnsi"/>
          <w:b/>
          <w:bCs/>
          <w:color w:val="000000" w:themeColor="text1"/>
          <w:sz w:val="22"/>
          <w:szCs w:val="22"/>
        </w:rPr>
        <w:t xml:space="preserve"> (Recommendation 6)</w:t>
      </w:r>
      <w:r>
        <w:rPr>
          <w:rFonts w:asciiTheme="majorHAnsi" w:hAnsiTheme="majorHAnsi" w:cstheme="majorHAnsi"/>
          <w:b/>
          <w:bCs/>
          <w:color w:val="000000" w:themeColor="text1"/>
          <w:sz w:val="22"/>
          <w:szCs w:val="22"/>
        </w:rPr>
        <w:t xml:space="preserve">. </w:t>
      </w:r>
    </w:p>
    <w:p w14:paraId="719B4834" w14:textId="7449021E" w:rsidR="00431273" w:rsidRDefault="00431273" w:rsidP="006B32D6">
      <w:pPr>
        <w:pStyle w:val="ListParagraph"/>
        <w:numPr>
          <w:ilvl w:val="2"/>
          <w:numId w:val="3"/>
        </w:numPr>
        <w:tabs>
          <w:tab w:val="left" w:pos="567"/>
          <w:tab w:val="left" w:pos="3969"/>
        </w:tabs>
        <w:spacing w:line="274" w:lineRule="auto"/>
        <w:contextualSpacing w:val="0"/>
        <w:rPr>
          <w:rFonts w:ascii="Calibri Light" w:hAnsi="Calibri Light" w:cs="Calibri Light"/>
          <w:sz w:val="22"/>
          <w:szCs w:val="22"/>
        </w:rPr>
      </w:pPr>
      <w:r>
        <w:rPr>
          <w:rFonts w:asciiTheme="majorHAnsi" w:hAnsiTheme="majorHAnsi" w:cstheme="majorHAnsi"/>
          <w:b/>
          <w:bCs/>
          <w:color w:val="000000" w:themeColor="text1"/>
          <w:sz w:val="22"/>
          <w:szCs w:val="22"/>
        </w:rPr>
        <w:t xml:space="preserve">AIPJ2 should also strengthen </w:t>
      </w:r>
      <w:r w:rsidRPr="00BF07A1">
        <w:rPr>
          <w:rFonts w:asciiTheme="majorHAnsi" w:hAnsiTheme="majorHAnsi" w:cstheme="majorHAnsi"/>
          <w:b/>
          <w:bCs/>
          <w:color w:val="000000" w:themeColor="text1"/>
          <w:sz w:val="22"/>
          <w:szCs w:val="22"/>
        </w:rPr>
        <w:t xml:space="preserve">M&amp;E arrangements for </w:t>
      </w:r>
      <w:r>
        <w:rPr>
          <w:rFonts w:asciiTheme="majorHAnsi" w:hAnsiTheme="majorHAnsi" w:cstheme="majorHAnsi"/>
          <w:b/>
          <w:bCs/>
          <w:color w:val="000000" w:themeColor="text1"/>
          <w:sz w:val="22"/>
          <w:szCs w:val="22"/>
        </w:rPr>
        <w:t>its</w:t>
      </w:r>
      <w:r w:rsidRPr="00BF07A1">
        <w:rPr>
          <w:rFonts w:asciiTheme="majorHAnsi" w:hAnsiTheme="majorHAnsi" w:cstheme="majorHAnsi"/>
          <w:b/>
          <w:bCs/>
          <w:color w:val="000000" w:themeColor="text1"/>
          <w:sz w:val="22"/>
          <w:szCs w:val="22"/>
        </w:rPr>
        <w:t xml:space="preserve"> support for the prevention of violent extremism</w:t>
      </w:r>
      <w:r w:rsidR="00911ACF">
        <w:rPr>
          <w:rFonts w:asciiTheme="majorHAnsi" w:hAnsiTheme="majorHAnsi" w:cstheme="majorHAnsi"/>
          <w:b/>
          <w:bCs/>
          <w:color w:val="000000" w:themeColor="text1"/>
          <w:sz w:val="22"/>
          <w:szCs w:val="22"/>
        </w:rPr>
        <w:t xml:space="preserve"> (Recommendation 7)</w:t>
      </w:r>
      <w:r>
        <w:rPr>
          <w:rFonts w:asciiTheme="majorHAnsi" w:hAnsiTheme="majorHAnsi" w:cstheme="majorHAnsi"/>
          <w:color w:val="000000" w:themeColor="text1"/>
          <w:sz w:val="22"/>
          <w:szCs w:val="22"/>
        </w:rPr>
        <w:t>.</w:t>
      </w:r>
      <w:r w:rsidR="00A16179">
        <w:rPr>
          <w:rFonts w:asciiTheme="majorHAnsi" w:hAnsiTheme="majorHAnsi" w:cstheme="majorHAnsi"/>
          <w:color w:val="000000" w:themeColor="text1"/>
          <w:sz w:val="22"/>
          <w:szCs w:val="22"/>
        </w:rPr>
        <w:t xml:space="preserve"> </w:t>
      </w:r>
      <w:r w:rsidR="0074720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Given the uncertainties associated with assistance in this field, more effective M&amp;E arrangements will most likely hinge </w:t>
      </w:r>
      <w:r>
        <w:rPr>
          <w:rFonts w:ascii="Calibri Light" w:hAnsi="Calibri Light" w:cs="Calibri Light"/>
          <w:sz w:val="22"/>
          <w:szCs w:val="22"/>
        </w:rPr>
        <w:t>on clearer objectives and strategy for this work and on an M&amp;E framework centred on learning about what works (and what does not) that can accommodate ‘judgements’ about progress (in the absence of ‘objective’ measures).</w:t>
      </w:r>
      <w:r w:rsidR="00A16179">
        <w:rPr>
          <w:rFonts w:ascii="Calibri Light" w:hAnsi="Calibri Light" w:cs="Calibri Light"/>
          <w:sz w:val="22"/>
          <w:szCs w:val="22"/>
        </w:rPr>
        <w:t xml:space="preserve"> </w:t>
      </w:r>
      <w:r>
        <w:rPr>
          <w:rFonts w:ascii="Calibri Light" w:hAnsi="Calibri Light" w:cs="Calibri Light"/>
          <w:sz w:val="22"/>
          <w:szCs w:val="22"/>
        </w:rPr>
        <w:t>But there is also scope for use of deeper dive case study approaches on a selective and proportionate basis.</w:t>
      </w:r>
      <w:r w:rsidR="00A16179">
        <w:rPr>
          <w:rFonts w:ascii="Calibri Light" w:hAnsi="Calibri Light" w:cs="Calibri Light"/>
          <w:sz w:val="22"/>
          <w:szCs w:val="22"/>
        </w:rPr>
        <w:t xml:space="preserve"> </w:t>
      </w:r>
      <w:r>
        <w:rPr>
          <w:rFonts w:ascii="Calibri Light" w:hAnsi="Calibri Light" w:cs="Calibri Light"/>
          <w:sz w:val="22"/>
          <w:szCs w:val="22"/>
        </w:rPr>
        <w:t>These should focus on the bigger spending areas of support</w:t>
      </w:r>
      <w:r w:rsidR="003F6936">
        <w:rPr>
          <w:rFonts w:ascii="Calibri Light" w:hAnsi="Calibri Light" w:cs="Calibri Light"/>
          <w:sz w:val="22"/>
          <w:szCs w:val="22"/>
        </w:rPr>
        <w:t>, or particularly novel approaches,</w:t>
      </w:r>
      <w:r>
        <w:rPr>
          <w:rFonts w:ascii="Calibri Light" w:hAnsi="Calibri Light" w:cs="Calibri Light"/>
          <w:sz w:val="22"/>
          <w:szCs w:val="22"/>
        </w:rPr>
        <w:t xml:space="preserve"> and include an explicit focus on lesson-learning.</w:t>
      </w:r>
    </w:p>
    <w:p w14:paraId="6D2DEA53" w14:textId="77777777" w:rsidR="00431273" w:rsidRDefault="00431273" w:rsidP="00431273">
      <w:pPr>
        <w:tabs>
          <w:tab w:val="left" w:pos="709"/>
        </w:tabs>
        <w:spacing w:line="274" w:lineRule="auto"/>
        <w:rPr>
          <w:rFonts w:ascii="Calibri Light" w:hAnsi="Calibri Light" w:cs="Calibri Light"/>
          <w:sz w:val="22"/>
          <w:szCs w:val="22"/>
        </w:rPr>
      </w:pPr>
      <w:r>
        <w:rPr>
          <w:rFonts w:ascii="Calibri Light" w:hAnsi="Calibri Light" w:cs="Calibri Light"/>
          <w:sz w:val="22"/>
          <w:szCs w:val="22"/>
          <w:u w:val="single"/>
        </w:rPr>
        <w:t>Internal and external</w:t>
      </w:r>
      <w:r w:rsidRPr="009D53FF">
        <w:rPr>
          <w:rFonts w:ascii="Calibri Light" w:hAnsi="Calibri Light" w:cs="Calibri Light"/>
          <w:sz w:val="22"/>
          <w:szCs w:val="22"/>
          <w:u w:val="single"/>
        </w:rPr>
        <w:t xml:space="preserve"> linkages </w:t>
      </w:r>
    </w:p>
    <w:p w14:paraId="158360AD" w14:textId="5475D1BD" w:rsidR="00431273" w:rsidRDefault="00A16179" w:rsidP="006B32D6">
      <w:pPr>
        <w:pStyle w:val="ListParagraph"/>
        <w:numPr>
          <w:ilvl w:val="2"/>
          <w:numId w:val="3"/>
        </w:numPr>
        <w:tabs>
          <w:tab w:val="left" w:pos="567"/>
          <w:tab w:val="left" w:pos="3969"/>
        </w:tabs>
        <w:spacing w:line="274" w:lineRule="auto"/>
        <w:contextualSpacing w:val="0"/>
        <w:rPr>
          <w:rFonts w:ascii="Calibri Light" w:hAnsi="Calibri Light" w:cs="Calibri Light"/>
          <w:sz w:val="22"/>
          <w:szCs w:val="22"/>
        </w:rPr>
      </w:pPr>
      <w:r>
        <w:rPr>
          <w:rFonts w:ascii="Calibri Light" w:hAnsi="Calibri Light" w:cs="Calibri Light"/>
          <w:sz w:val="22"/>
          <w:szCs w:val="22"/>
        </w:rPr>
        <w:t xml:space="preserve"> </w:t>
      </w:r>
      <w:r w:rsidR="00431273">
        <w:rPr>
          <w:rFonts w:ascii="Calibri Light" w:hAnsi="Calibri Light" w:cs="Calibri Light"/>
          <w:sz w:val="22"/>
          <w:szCs w:val="22"/>
        </w:rPr>
        <w:t>The recommendations above relating to a problem-orientated approach, reconsideration of the pillar structure, sharpening of strategies and adoption of AIPJ2 quarterly reflection exercises would naturally facilitate a more joined up approach across (relevant) AIPJ2 activities.</w:t>
      </w:r>
      <w:r>
        <w:rPr>
          <w:rFonts w:ascii="Calibri Light" w:hAnsi="Calibri Light" w:cs="Calibri Light"/>
          <w:sz w:val="22"/>
          <w:szCs w:val="22"/>
        </w:rPr>
        <w:t xml:space="preserve"> </w:t>
      </w:r>
    </w:p>
    <w:p w14:paraId="6C207D53" w14:textId="1F110686" w:rsidR="00431273" w:rsidRPr="00220506" w:rsidRDefault="00A16179" w:rsidP="006B32D6">
      <w:pPr>
        <w:pStyle w:val="ListParagraph"/>
        <w:numPr>
          <w:ilvl w:val="2"/>
          <w:numId w:val="3"/>
        </w:numPr>
        <w:tabs>
          <w:tab w:val="left" w:pos="567"/>
          <w:tab w:val="left" w:pos="3969"/>
        </w:tabs>
        <w:spacing w:line="274" w:lineRule="auto"/>
        <w:contextualSpacing w:val="0"/>
        <w:rPr>
          <w:rFonts w:ascii="Calibri Light" w:hAnsi="Calibri Light" w:cs="Calibri Light"/>
          <w:b/>
          <w:bCs/>
          <w:sz w:val="22"/>
          <w:szCs w:val="22"/>
        </w:rPr>
      </w:pPr>
      <w:r>
        <w:rPr>
          <w:rFonts w:ascii="Calibri Light" w:hAnsi="Calibri Light" w:cs="Calibri Light"/>
          <w:sz w:val="22"/>
          <w:szCs w:val="22"/>
        </w:rPr>
        <w:t xml:space="preserve"> </w:t>
      </w:r>
      <w:r w:rsidR="00431273">
        <w:rPr>
          <w:rFonts w:ascii="Calibri Light" w:hAnsi="Calibri Light" w:cs="Calibri Light"/>
          <w:sz w:val="22"/>
          <w:szCs w:val="22"/>
        </w:rPr>
        <w:t>But there is also scope to share information better across the Partnership, even between activities that are not directly related to the same problem objective.</w:t>
      </w:r>
      <w:r>
        <w:rPr>
          <w:rFonts w:ascii="Calibri Light" w:hAnsi="Calibri Light" w:cs="Calibri Light"/>
          <w:sz w:val="22"/>
          <w:szCs w:val="22"/>
        </w:rPr>
        <w:t xml:space="preserve"> </w:t>
      </w:r>
      <w:r w:rsidR="00431273">
        <w:rPr>
          <w:rFonts w:ascii="Calibri Light" w:hAnsi="Calibri Light" w:cs="Calibri Light"/>
          <w:sz w:val="22"/>
          <w:szCs w:val="22"/>
        </w:rPr>
        <w:t xml:space="preserve">This applies particularly to activities conducted by </w:t>
      </w:r>
      <w:r w:rsidR="00431273" w:rsidRPr="00911ACF">
        <w:rPr>
          <w:rFonts w:ascii="Calibri Light" w:hAnsi="Calibri Light" w:cs="Calibri Light"/>
          <w:sz w:val="22"/>
          <w:szCs w:val="22"/>
        </w:rPr>
        <w:t>Australian</w:t>
      </w:r>
      <w:r w:rsidR="00431273">
        <w:rPr>
          <w:rFonts w:ascii="Calibri Light" w:hAnsi="Calibri Light" w:cs="Calibri Light"/>
          <w:sz w:val="22"/>
          <w:szCs w:val="22"/>
        </w:rPr>
        <w:t xml:space="preserve"> Government agencies under pillar 2, that tend to be both separate from other parts of AIPJ2 and from one another.</w:t>
      </w:r>
      <w:r>
        <w:rPr>
          <w:rFonts w:ascii="Calibri Light" w:hAnsi="Calibri Light" w:cs="Calibri Light"/>
          <w:sz w:val="22"/>
          <w:szCs w:val="22"/>
        </w:rPr>
        <w:t xml:space="preserve"> </w:t>
      </w:r>
      <w:r w:rsidR="00431273">
        <w:rPr>
          <w:rFonts w:ascii="Calibri Light" w:hAnsi="Calibri Light" w:cs="Calibri Light"/>
          <w:b/>
          <w:bCs/>
          <w:sz w:val="22"/>
          <w:szCs w:val="22"/>
        </w:rPr>
        <w:t xml:space="preserve">DFAT should promote and organise a more structured </w:t>
      </w:r>
      <w:r w:rsidR="00431273" w:rsidRPr="00220506">
        <w:rPr>
          <w:rFonts w:ascii="Calibri Light" w:hAnsi="Calibri Light" w:cs="Calibri Light"/>
          <w:b/>
          <w:bCs/>
          <w:color w:val="000000" w:themeColor="text1"/>
          <w:sz w:val="22"/>
          <w:szCs w:val="22"/>
        </w:rPr>
        <w:t>exchange of information</w:t>
      </w:r>
      <w:r w:rsidR="00431273">
        <w:rPr>
          <w:rFonts w:ascii="Calibri Light" w:hAnsi="Calibri Light" w:cs="Calibri Light"/>
          <w:b/>
          <w:bCs/>
          <w:color w:val="000000" w:themeColor="text1"/>
          <w:sz w:val="22"/>
          <w:szCs w:val="22"/>
        </w:rPr>
        <w:t xml:space="preserve"> between Australian Government agencies and AIPJ2</w:t>
      </w:r>
      <w:r w:rsidR="00911ACF">
        <w:rPr>
          <w:rFonts w:ascii="Calibri Light" w:hAnsi="Calibri Light" w:cs="Calibri Light"/>
          <w:b/>
          <w:bCs/>
          <w:color w:val="000000" w:themeColor="text1"/>
          <w:sz w:val="22"/>
          <w:szCs w:val="22"/>
        </w:rPr>
        <w:t xml:space="preserve"> (Recommendation 8)</w:t>
      </w:r>
      <w:r w:rsidR="00431273" w:rsidRPr="00220506">
        <w:rPr>
          <w:rFonts w:ascii="Calibri Light" w:hAnsi="Calibri Light" w:cs="Calibri Light"/>
          <w:b/>
          <w:bCs/>
          <w:color w:val="000000" w:themeColor="text1"/>
          <w:sz w:val="22"/>
          <w:szCs w:val="22"/>
        </w:rPr>
        <w:t>.</w:t>
      </w:r>
    </w:p>
    <w:p w14:paraId="3574C700" w14:textId="296B91F5" w:rsidR="00431273" w:rsidRPr="00FA7FB9" w:rsidRDefault="00A16179" w:rsidP="006B32D6">
      <w:pPr>
        <w:pStyle w:val="ListParagraph"/>
        <w:numPr>
          <w:ilvl w:val="2"/>
          <w:numId w:val="3"/>
        </w:numPr>
        <w:tabs>
          <w:tab w:val="left" w:pos="567"/>
          <w:tab w:val="left" w:pos="3969"/>
        </w:tabs>
        <w:spacing w:line="274" w:lineRule="auto"/>
        <w:contextualSpacing w:val="0"/>
        <w:rPr>
          <w:rFonts w:ascii="Calibri Light" w:hAnsi="Calibri Light" w:cs="Calibri Light"/>
          <w:sz w:val="22"/>
          <w:szCs w:val="22"/>
        </w:rPr>
      </w:pPr>
      <w:r>
        <w:rPr>
          <w:rFonts w:ascii="Calibri Light" w:hAnsi="Calibri Light" w:cs="Calibri Light"/>
          <w:color w:val="000000" w:themeColor="text1"/>
          <w:sz w:val="22"/>
          <w:szCs w:val="22"/>
        </w:rPr>
        <w:t xml:space="preserve"> </w:t>
      </w:r>
      <w:r w:rsidR="00431273">
        <w:rPr>
          <w:rFonts w:ascii="Calibri Light" w:hAnsi="Calibri Light" w:cs="Calibri Light"/>
          <w:color w:val="000000" w:themeColor="text1"/>
          <w:sz w:val="22"/>
          <w:szCs w:val="22"/>
        </w:rPr>
        <w:t xml:space="preserve">Regarding </w:t>
      </w:r>
      <w:r w:rsidR="00431273" w:rsidRPr="00A25945">
        <w:rPr>
          <w:rFonts w:ascii="Calibri Light" w:hAnsi="Calibri Light" w:cs="Calibri Light"/>
          <w:color w:val="000000" w:themeColor="text1"/>
          <w:sz w:val="22"/>
          <w:szCs w:val="22"/>
        </w:rPr>
        <w:t xml:space="preserve">linkages </w:t>
      </w:r>
      <w:r w:rsidR="00431273">
        <w:rPr>
          <w:rFonts w:ascii="Calibri Light" w:hAnsi="Calibri Light" w:cs="Calibri Light"/>
          <w:color w:val="000000" w:themeColor="text1"/>
          <w:sz w:val="22"/>
          <w:szCs w:val="22"/>
        </w:rPr>
        <w:t xml:space="preserve">between AIPJ2 and </w:t>
      </w:r>
      <w:r w:rsidR="00431273" w:rsidRPr="00A25945">
        <w:rPr>
          <w:rFonts w:ascii="Calibri Light" w:hAnsi="Calibri Light" w:cs="Calibri Light"/>
          <w:color w:val="000000" w:themeColor="text1"/>
          <w:sz w:val="22"/>
          <w:szCs w:val="22"/>
        </w:rPr>
        <w:t>other DFAT programs</w:t>
      </w:r>
      <w:r w:rsidR="00431273">
        <w:rPr>
          <w:rFonts w:ascii="Calibri Light" w:hAnsi="Calibri Light" w:cs="Calibri Light"/>
          <w:color w:val="000000" w:themeColor="text1"/>
          <w:sz w:val="22"/>
          <w:szCs w:val="22"/>
        </w:rPr>
        <w:t>,</w:t>
      </w:r>
      <w:r w:rsidR="00431273" w:rsidRPr="00A25945">
        <w:rPr>
          <w:rFonts w:ascii="Calibri Light" w:hAnsi="Calibri Light" w:cs="Calibri Light"/>
          <w:color w:val="000000" w:themeColor="text1"/>
          <w:sz w:val="22"/>
          <w:szCs w:val="22"/>
        </w:rPr>
        <w:t xml:space="preserve"> </w:t>
      </w:r>
      <w:r w:rsidR="00431273">
        <w:rPr>
          <w:rFonts w:ascii="Calibri Light" w:hAnsi="Calibri Light" w:cs="Calibri Light"/>
          <w:color w:val="000000" w:themeColor="text1"/>
          <w:sz w:val="22"/>
          <w:szCs w:val="22"/>
        </w:rPr>
        <w:t>the review</w:t>
      </w:r>
      <w:r w:rsidR="00431273" w:rsidRPr="007C1999">
        <w:rPr>
          <w:rFonts w:ascii="Calibri Light" w:hAnsi="Calibri Light" w:cs="Calibri Light"/>
          <w:color w:val="000000" w:themeColor="text1"/>
          <w:sz w:val="22"/>
          <w:szCs w:val="22"/>
        </w:rPr>
        <w:t xml:space="preserve"> found active examples of positive </w:t>
      </w:r>
      <w:r w:rsidR="00431273" w:rsidRPr="004A4DE3">
        <w:rPr>
          <w:rFonts w:ascii="Calibri Light" w:hAnsi="Calibri Light" w:cs="Calibri Light"/>
          <w:sz w:val="22"/>
          <w:szCs w:val="22"/>
        </w:rPr>
        <w:t>collaboration</w:t>
      </w:r>
      <w:r w:rsidR="00431273">
        <w:rPr>
          <w:rFonts w:ascii="Calibri Light" w:hAnsi="Calibri Light" w:cs="Calibri Light"/>
          <w:color w:val="000000" w:themeColor="text1"/>
          <w:sz w:val="22"/>
          <w:szCs w:val="22"/>
        </w:rPr>
        <w:t>, though these appeared dependent to an important degree on the personalities of the individuals involved.</w:t>
      </w:r>
      <w:r>
        <w:rPr>
          <w:rFonts w:ascii="Calibri Light" w:hAnsi="Calibri Light" w:cs="Calibri Light"/>
          <w:color w:val="000000" w:themeColor="text1"/>
          <w:sz w:val="22"/>
          <w:szCs w:val="22"/>
        </w:rPr>
        <w:t xml:space="preserve"> </w:t>
      </w:r>
      <w:r w:rsidR="00431273">
        <w:rPr>
          <w:rFonts w:ascii="Calibri Light" w:hAnsi="Calibri Light" w:cs="Calibri Light"/>
          <w:color w:val="000000" w:themeColor="text1"/>
          <w:sz w:val="22"/>
          <w:szCs w:val="22"/>
        </w:rPr>
        <w:t>A formal mechanism does not exist to promote collaboration across DFAT programs and help overcome institutional obstacles.</w:t>
      </w:r>
      <w:r>
        <w:rPr>
          <w:rFonts w:ascii="Calibri Light" w:hAnsi="Calibri Light" w:cs="Calibri Light"/>
          <w:color w:val="000000" w:themeColor="text1"/>
          <w:sz w:val="22"/>
          <w:szCs w:val="22"/>
        </w:rPr>
        <w:t xml:space="preserve"> </w:t>
      </w:r>
      <w:r w:rsidR="00431273" w:rsidRPr="007F309B">
        <w:rPr>
          <w:rFonts w:ascii="Calibri Light" w:hAnsi="Calibri Light" w:cs="Calibri Light"/>
          <w:b/>
          <w:bCs/>
          <w:color w:val="000000" w:themeColor="text1"/>
          <w:sz w:val="22"/>
          <w:szCs w:val="22"/>
        </w:rPr>
        <w:t>The recent initiative by the Australian Embassy to convene a Team Leaders’ meeting, which was attended by senior Embassy staff should be formalised into a routine event</w:t>
      </w:r>
      <w:r w:rsidR="00911ACF">
        <w:rPr>
          <w:rFonts w:ascii="Calibri Light" w:hAnsi="Calibri Light" w:cs="Calibri Light"/>
          <w:b/>
          <w:bCs/>
          <w:color w:val="000000" w:themeColor="text1"/>
          <w:sz w:val="22"/>
          <w:szCs w:val="22"/>
        </w:rPr>
        <w:t xml:space="preserve"> (Recommendation 9)</w:t>
      </w:r>
      <w:r w:rsidR="00431273" w:rsidRPr="007F309B">
        <w:rPr>
          <w:rFonts w:ascii="Calibri Light" w:hAnsi="Calibri Light" w:cs="Calibri Light"/>
          <w:b/>
          <w:bCs/>
          <w:color w:val="000000" w:themeColor="text1"/>
          <w:sz w:val="22"/>
          <w:szCs w:val="22"/>
        </w:rPr>
        <w:t xml:space="preserve">. </w:t>
      </w:r>
    </w:p>
    <w:p w14:paraId="673E23FB" w14:textId="77777777" w:rsidR="00416A5A" w:rsidRDefault="00416A5A" w:rsidP="00980235">
      <w:pPr>
        <w:spacing w:line="271" w:lineRule="auto"/>
        <w:rPr>
          <w:rFonts w:ascii="Calibri Light" w:hAnsi="Calibri Light" w:cs="Calibri Light"/>
          <w:sz w:val="22"/>
          <w:szCs w:val="22"/>
          <w:lang w:val="en-AU"/>
        </w:rPr>
        <w:sectPr w:rsidR="00416A5A" w:rsidSect="005057AA">
          <w:pgSz w:w="11900" w:h="16840"/>
          <w:pgMar w:top="1482" w:right="1440" w:bottom="1440" w:left="1440" w:header="708" w:footer="708" w:gutter="0"/>
          <w:cols w:space="708"/>
          <w:docGrid w:linePitch="360"/>
        </w:sectPr>
      </w:pPr>
    </w:p>
    <w:p w14:paraId="7A4A8071" w14:textId="5FF9346F" w:rsidR="00FA735C" w:rsidRDefault="009617CD" w:rsidP="009617CD">
      <w:pPr>
        <w:spacing w:before="240" w:after="240"/>
        <w:rPr>
          <w:rFonts w:asciiTheme="majorHAnsi" w:hAnsiTheme="majorHAnsi" w:cstheme="majorHAnsi"/>
          <w:b/>
          <w:bCs/>
          <w:color w:val="00B0F0"/>
          <w:sz w:val="32"/>
          <w:szCs w:val="32"/>
          <w:lang w:val="en-AU"/>
        </w:rPr>
      </w:pPr>
      <w:bookmarkStart w:id="6" w:name="_Hlk19939201"/>
      <w:r w:rsidRPr="009617CD">
        <w:rPr>
          <w:rFonts w:asciiTheme="majorHAnsi" w:hAnsiTheme="majorHAnsi" w:cstheme="majorHAnsi"/>
          <w:b/>
          <w:bCs/>
          <w:color w:val="00B0F0"/>
          <w:sz w:val="32"/>
          <w:szCs w:val="32"/>
          <w:lang w:val="en-AU"/>
        </w:rPr>
        <w:t>Annex 1:</w:t>
      </w:r>
      <w:r w:rsidR="00A16179">
        <w:rPr>
          <w:rFonts w:asciiTheme="majorHAnsi" w:hAnsiTheme="majorHAnsi" w:cstheme="majorHAnsi"/>
          <w:b/>
          <w:bCs/>
          <w:color w:val="00B0F0"/>
          <w:sz w:val="32"/>
          <w:szCs w:val="32"/>
          <w:lang w:val="en-AU"/>
        </w:rPr>
        <w:t xml:space="preserve"> </w:t>
      </w:r>
      <w:r w:rsidRPr="009617CD">
        <w:rPr>
          <w:rFonts w:asciiTheme="majorHAnsi" w:hAnsiTheme="majorHAnsi" w:cstheme="majorHAnsi"/>
          <w:b/>
          <w:bCs/>
          <w:color w:val="00B0F0"/>
          <w:sz w:val="32"/>
          <w:szCs w:val="32"/>
          <w:lang w:val="en-AU"/>
        </w:rPr>
        <w:t>Mid-term Review Terms of Reference</w:t>
      </w:r>
    </w:p>
    <w:bookmarkEnd w:id="6"/>
    <w:p w14:paraId="54422807" w14:textId="77777777" w:rsidR="009617CD" w:rsidRPr="009617CD" w:rsidRDefault="009617CD" w:rsidP="009617CD">
      <w:pPr>
        <w:spacing w:after="0" w:line="240" w:lineRule="auto"/>
        <w:rPr>
          <w:b/>
          <w:sz w:val="22"/>
          <w:szCs w:val="22"/>
        </w:rPr>
      </w:pPr>
      <w:r w:rsidRPr="009617CD">
        <w:rPr>
          <w:b/>
          <w:sz w:val="22"/>
          <w:szCs w:val="22"/>
        </w:rPr>
        <w:t>Background</w:t>
      </w:r>
    </w:p>
    <w:p w14:paraId="09066D56" w14:textId="77777777" w:rsidR="009617CD" w:rsidRPr="009617CD" w:rsidRDefault="009617CD" w:rsidP="009617CD">
      <w:pPr>
        <w:spacing w:after="0" w:line="120" w:lineRule="auto"/>
        <w:rPr>
          <w:sz w:val="22"/>
          <w:szCs w:val="22"/>
        </w:rPr>
      </w:pPr>
    </w:p>
    <w:p w14:paraId="569D3915" w14:textId="77777777" w:rsidR="009617CD" w:rsidRPr="009617CD" w:rsidRDefault="009617CD" w:rsidP="009617CD">
      <w:pPr>
        <w:spacing w:after="0" w:line="240" w:lineRule="auto"/>
        <w:rPr>
          <w:sz w:val="22"/>
          <w:szCs w:val="22"/>
          <w:lang w:eastAsia="en-AU"/>
        </w:rPr>
      </w:pPr>
      <w:r w:rsidRPr="009617CD">
        <w:rPr>
          <w:sz w:val="22"/>
          <w:szCs w:val="22"/>
        </w:rPr>
        <w:t>T</w:t>
      </w:r>
      <w:r w:rsidRPr="009617CD">
        <w:rPr>
          <w:sz w:val="22"/>
          <w:szCs w:val="22"/>
          <w:lang w:eastAsia="en-AU"/>
        </w:rPr>
        <w:t xml:space="preserve">he Australia Indonesia Partnership for Justice 2 (AIPJ2) is a five-year up to AUD 40 million investment of the Department of Foreign Affairs and Trade (DFAT) from April 2017 to March 2022. </w:t>
      </w:r>
    </w:p>
    <w:p w14:paraId="68A3C759" w14:textId="77777777" w:rsidR="009617CD" w:rsidRPr="009617CD" w:rsidRDefault="009617CD" w:rsidP="009617CD">
      <w:pPr>
        <w:spacing w:after="0" w:line="120" w:lineRule="auto"/>
        <w:rPr>
          <w:sz w:val="22"/>
          <w:szCs w:val="22"/>
          <w:lang w:eastAsia="en-AU"/>
        </w:rPr>
      </w:pPr>
    </w:p>
    <w:p w14:paraId="6E2390AC" w14:textId="77777777" w:rsidR="009617CD" w:rsidRPr="009617CD" w:rsidRDefault="009617CD" w:rsidP="009617CD">
      <w:pPr>
        <w:spacing w:after="0" w:line="240" w:lineRule="auto"/>
        <w:rPr>
          <w:rFonts w:ascii="Calibri" w:eastAsia="Times New Roman" w:hAnsi="Calibri" w:cs="Times New Roman"/>
          <w:sz w:val="22"/>
          <w:szCs w:val="22"/>
          <w:lang w:eastAsia="en-AU"/>
        </w:rPr>
      </w:pPr>
      <w:r w:rsidRPr="009617CD">
        <w:rPr>
          <w:sz w:val="22"/>
          <w:szCs w:val="22"/>
        </w:rPr>
        <w:t>Two previous Australian aid investments, the Australia Indonesia Partnership for Justice (AIPJ) and the</w:t>
      </w:r>
      <w:r w:rsidRPr="009617CD">
        <w:rPr>
          <w:i/>
          <w:sz w:val="22"/>
          <w:szCs w:val="22"/>
        </w:rPr>
        <w:t xml:space="preserve"> </w:t>
      </w:r>
      <w:r w:rsidRPr="009617CD">
        <w:rPr>
          <w:sz w:val="22"/>
          <w:szCs w:val="22"/>
        </w:rPr>
        <w:t>Australia Indonesia Security Cooperation Program have been brought together under a single investment to strengthen the rule of law and the security environment in Indonesia. AIPJ2 focuses primarily on leveraging Indonesian’s own resources to support a range of policy changes with a smaller budget than previous Australian investments in the justice and security sector.</w:t>
      </w:r>
      <w:r w:rsidRPr="009617CD">
        <w:rPr>
          <w:rFonts w:ascii="Calibri" w:eastAsia="Times New Roman" w:hAnsi="Calibri" w:cs="Times New Roman"/>
          <w:sz w:val="22"/>
          <w:szCs w:val="22"/>
          <w:lang w:eastAsia="en-AU"/>
        </w:rPr>
        <w:t xml:space="preserve"> </w:t>
      </w:r>
    </w:p>
    <w:p w14:paraId="6572138A" w14:textId="77777777" w:rsidR="009617CD" w:rsidRPr="009617CD" w:rsidRDefault="009617CD" w:rsidP="009617CD">
      <w:pPr>
        <w:spacing w:after="0" w:line="120" w:lineRule="auto"/>
        <w:rPr>
          <w:rFonts w:ascii="Calibri" w:eastAsia="Times New Roman" w:hAnsi="Calibri" w:cs="Times New Roman"/>
          <w:sz w:val="22"/>
          <w:szCs w:val="22"/>
          <w:lang w:eastAsia="en-AU"/>
        </w:rPr>
      </w:pPr>
    </w:p>
    <w:p w14:paraId="6464751D" w14:textId="77777777" w:rsidR="009617CD" w:rsidRPr="009617CD" w:rsidRDefault="009617CD" w:rsidP="009617CD">
      <w:pPr>
        <w:spacing w:after="0" w:line="240" w:lineRule="auto"/>
        <w:rPr>
          <w:rFonts w:ascii="Calibri" w:eastAsia="Times New Roman" w:hAnsi="Calibri" w:cs="Times New Roman"/>
          <w:sz w:val="22"/>
          <w:szCs w:val="22"/>
          <w:lang w:eastAsia="en-AU"/>
        </w:rPr>
      </w:pPr>
      <w:r w:rsidRPr="009617CD">
        <w:rPr>
          <w:sz w:val="22"/>
          <w:szCs w:val="22"/>
        </w:rPr>
        <w:t>The investment is purposely designed as a flexible facility to enable iterative programming in a dynamic and sensitive sector. It builds on reforms already underway and lessons learned from previous programs, as well as the robust partnerships developed over a number of years between Australian and Indonesian institutions.</w:t>
      </w:r>
    </w:p>
    <w:p w14:paraId="7CEDCD85" w14:textId="77777777" w:rsidR="009617CD" w:rsidRPr="009617CD" w:rsidRDefault="009617CD" w:rsidP="009617CD">
      <w:pPr>
        <w:spacing w:after="0" w:line="120" w:lineRule="auto"/>
        <w:rPr>
          <w:rFonts w:ascii="Calibri" w:eastAsia="Times New Roman" w:hAnsi="Calibri" w:cs="Times New Roman"/>
          <w:sz w:val="22"/>
          <w:szCs w:val="22"/>
          <w:lang w:eastAsia="en-AU"/>
        </w:rPr>
      </w:pPr>
    </w:p>
    <w:p w14:paraId="49F26E69" w14:textId="77777777" w:rsidR="009617CD" w:rsidRPr="009617CD" w:rsidRDefault="009617CD" w:rsidP="009617CD">
      <w:pPr>
        <w:spacing w:after="0" w:line="240" w:lineRule="auto"/>
        <w:rPr>
          <w:rFonts w:ascii="Calibri" w:eastAsia="Times New Roman" w:hAnsi="Calibri" w:cs="Times New Roman"/>
          <w:sz w:val="22"/>
          <w:szCs w:val="22"/>
          <w:lang w:eastAsia="en-AU"/>
        </w:rPr>
      </w:pPr>
      <w:r w:rsidRPr="009617CD">
        <w:rPr>
          <w:sz w:val="22"/>
          <w:szCs w:val="22"/>
          <w:lang w:eastAsia="en-AU"/>
        </w:rPr>
        <w:t>The goal of AIPJ2 is to contribute to strong and accessible justice and security institutions that enhance respect for enforceable rights and rules-based governance systems, over time contributing to stability and prosperity in Indonesia and the</w:t>
      </w:r>
      <w:r w:rsidRPr="009617CD">
        <w:rPr>
          <w:rFonts w:ascii="Calibri" w:eastAsia="Times New Roman" w:hAnsi="Calibri" w:cs="Times New Roman"/>
          <w:sz w:val="22"/>
          <w:szCs w:val="22"/>
          <w:lang w:eastAsia="en-AU"/>
        </w:rPr>
        <w:t xml:space="preserve"> region. In pursuit of this goal, AIPJ2 works across five pillars: </w:t>
      </w:r>
    </w:p>
    <w:p w14:paraId="74829F2A" w14:textId="765D737E" w:rsidR="009617CD" w:rsidRPr="009617CD" w:rsidRDefault="009617CD" w:rsidP="006B32D6">
      <w:pPr>
        <w:pStyle w:val="ListParagraph"/>
        <w:numPr>
          <w:ilvl w:val="0"/>
          <w:numId w:val="13"/>
        </w:numPr>
        <w:spacing w:before="0" w:after="0" w:line="20" w:lineRule="atLeast"/>
        <w:ind w:left="765"/>
        <w:jc w:val="both"/>
        <w:rPr>
          <w:sz w:val="22"/>
          <w:szCs w:val="22"/>
          <w:lang w:eastAsia="en-AU"/>
        </w:rPr>
      </w:pPr>
      <w:r w:rsidRPr="009617CD">
        <w:rPr>
          <w:sz w:val="22"/>
          <w:szCs w:val="22"/>
          <w:lang w:eastAsia="en-AU"/>
        </w:rPr>
        <w:t>Transparency, accountability and anti-corruption</w:t>
      </w:r>
      <w:r w:rsidR="00A16179">
        <w:rPr>
          <w:sz w:val="22"/>
          <w:szCs w:val="22"/>
          <w:lang w:eastAsia="en-AU"/>
        </w:rPr>
        <w:t xml:space="preserve"> </w:t>
      </w:r>
    </w:p>
    <w:p w14:paraId="5220F31C" w14:textId="77777777" w:rsidR="009617CD" w:rsidRPr="009617CD" w:rsidRDefault="009617CD" w:rsidP="006B32D6">
      <w:pPr>
        <w:pStyle w:val="ListParagraph"/>
        <w:numPr>
          <w:ilvl w:val="0"/>
          <w:numId w:val="13"/>
        </w:numPr>
        <w:spacing w:before="0" w:after="0" w:line="20" w:lineRule="atLeast"/>
        <w:ind w:left="765"/>
        <w:jc w:val="both"/>
        <w:rPr>
          <w:sz w:val="22"/>
          <w:szCs w:val="22"/>
          <w:lang w:eastAsia="en-AU"/>
        </w:rPr>
      </w:pPr>
      <w:r w:rsidRPr="009617CD">
        <w:rPr>
          <w:sz w:val="22"/>
          <w:szCs w:val="22"/>
          <w:lang w:eastAsia="en-AU"/>
        </w:rPr>
        <w:t>Countering transnational crime, security strengthening and maritime capacity building</w:t>
      </w:r>
      <w:r w:rsidRPr="009617CD">
        <w:rPr>
          <w:rStyle w:val="FootnoteReference"/>
          <w:sz w:val="22"/>
          <w:szCs w:val="22"/>
          <w:lang w:eastAsia="en-AU"/>
        </w:rPr>
        <w:footnoteReference w:id="15"/>
      </w:r>
    </w:p>
    <w:p w14:paraId="551B65E4" w14:textId="77777777" w:rsidR="009617CD" w:rsidRPr="009617CD" w:rsidRDefault="009617CD" w:rsidP="006B32D6">
      <w:pPr>
        <w:pStyle w:val="ListParagraph"/>
        <w:numPr>
          <w:ilvl w:val="0"/>
          <w:numId w:val="13"/>
        </w:numPr>
        <w:spacing w:before="0" w:after="0" w:line="20" w:lineRule="atLeast"/>
        <w:ind w:left="765"/>
        <w:jc w:val="both"/>
        <w:rPr>
          <w:sz w:val="22"/>
          <w:szCs w:val="22"/>
          <w:lang w:eastAsia="en-AU"/>
        </w:rPr>
      </w:pPr>
      <w:r w:rsidRPr="009617CD">
        <w:rPr>
          <w:sz w:val="22"/>
          <w:szCs w:val="22"/>
          <w:lang w:eastAsia="en-AU"/>
        </w:rPr>
        <w:t>Preventing violent extremism</w:t>
      </w:r>
    </w:p>
    <w:p w14:paraId="1720CB2D" w14:textId="77777777" w:rsidR="009617CD" w:rsidRPr="009617CD" w:rsidRDefault="009617CD" w:rsidP="006B32D6">
      <w:pPr>
        <w:pStyle w:val="ListParagraph"/>
        <w:numPr>
          <w:ilvl w:val="0"/>
          <w:numId w:val="13"/>
        </w:numPr>
        <w:spacing w:before="0" w:after="0" w:line="20" w:lineRule="atLeast"/>
        <w:ind w:left="765"/>
        <w:jc w:val="both"/>
        <w:rPr>
          <w:sz w:val="22"/>
          <w:szCs w:val="22"/>
          <w:lang w:eastAsia="en-AU"/>
        </w:rPr>
      </w:pPr>
      <w:r w:rsidRPr="009617CD">
        <w:rPr>
          <w:sz w:val="22"/>
          <w:szCs w:val="22"/>
          <w:lang w:eastAsia="en-AU"/>
        </w:rPr>
        <w:t>Corrections reform</w:t>
      </w:r>
    </w:p>
    <w:p w14:paraId="601F2DAD" w14:textId="77777777" w:rsidR="009617CD" w:rsidRPr="009617CD" w:rsidRDefault="009617CD" w:rsidP="006B32D6">
      <w:pPr>
        <w:pStyle w:val="ListParagraph"/>
        <w:numPr>
          <w:ilvl w:val="0"/>
          <w:numId w:val="13"/>
        </w:numPr>
        <w:spacing w:before="0" w:after="0" w:line="240" w:lineRule="auto"/>
        <w:rPr>
          <w:sz w:val="22"/>
          <w:szCs w:val="22"/>
        </w:rPr>
      </w:pPr>
      <w:r w:rsidRPr="009617CD">
        <w:rPr>
          <w:sz w:val="22"/>
          <w:szCs w:val="22"/>
        </w:rPr>
        <w:t>Partnership development, gender equality and disability rights.</w:t>
      </w:r>
      <w:r w:rsidRPr="009617CD">
        <w:rPr>
          <w:rStyle w:val="FootnoteReference"/>
          <w:sz w:val="22"/>
          <w:szCs w:val="22"/>
        </w:rPr>
        <w:footnoteReference w:id="16"/>
      </w:r>
    </w:p>
    <w:p w14:paraId="272825C2" w14:textId="77777777" w:rsidR="009617CD" w:rsidRPr="009617CD" w:rsidRDefault="009617CD" w:rsidP="009617CD">
      <w:pPr>
        <w:spacing w:after="0" w:line="120" w:lineRule="auto"/>
        <w:rPr>
          <w:sz w:val="22"/>
          <w:szCs w:val="22"/>
        </w:rPr>
      </w:pPr>
    </w:p>
    <w:p w14:paraId="4A3D4A22" w14:textId="77777777" w:rsidR="009617CD" w:rsidRPr="009617CD" w:rsidRDefault="009617CD" w:rsidP="009617CD">
      <w:pPr>
        <w:spacing w:after="0" w:line="240" w:lineRule="auto"/>
        <w:rPr>
          <w:sz w:val="22"/>
          <w:szCs w:val="22"/>
        </w:rPr>
      </w:pPr>
      <w:r w:rsidRPr="009617CD">
        <w:rPr>
          <w:sz w:val="22"/>
          <w:szCs w:val="22"/>
        </w:rPr>
        <w:t xml:space="preserve">AIPJ2’s activities are primarily delivered through Indonesian civil society organisations and Australian government partners in collaboration with their Indonesian counterparts. The primary focus is at the national level, given the centralised nature of justice and security institutions in Indonesia. However, some pillars include activities at the sub-national level, which are used to demonstrate and advocate reform and the national level. </w:t>
      </w:r>
    </w:p>
    <w:p w14:paraId="2C51DF35" w14:textId="77777777" w:rsidR="009617CD" w:rsidRPr="009617CD" w:rsidRDefault="009617CD" w:rsidP="009617CD">
      <w:pPr>
        <w:tabs>
          <w:tab w:val="left" w:pos="426"/>
        </w:tabs>
        <w:autoSpaceDE w:val="0"/>
        <w:autoSpaceDN w:val="0"/>
        <w:adjustRightInd w:val="0"/>
        <w:spacing w:after="0" w:line="120" w:lineRule="auto"/>
        <w:rPr>
          <w:sz w:val="22"/>
          <w:szCs w:val="22"/>
          <w:lang w:eastAsia="en-AU"/>
        </w:rPr>
      </w:pPr>
    </w:p>
    <w:p w14:paraId="5BECBA76" w14:textId="77777777" w:rsidR="009617CD" w:rsidRPr="009617CD" w:rsidRDefault="009617CD" w:rsidP="009617CD">
      <w:pPr>
        <w:spacing w:after="0" w:line="240" w:lineRule="auto"/>
        <w:rPr>
          <w:sz w:val="22"/>
          <w:szCs w:val="22"/>
          <w:lang w:eastAsia="en-AU"/>
        </w:rPr>
      </w:pPr>
      <w:r w:rsidRPr="009617CD">
        <w:rPr>
          <w:sz w:val="22"/>
          <w:szCs w:val="22"/>
        </w:rPr>
        <w:t>A subsidiary arrangement between DFAT and the National Development Planning Agency (Bappenas) governs the partnership. Cardno Emerging Markets implements AIPJ2 on behalf of DFAT, with responsibility for the strategic management of the justice component and the day-to-day management of the whole investment portfolio. The facility uses a single planning and reporting framework to promote strategic coherence across pillars. Where appropriate, justice and security activities under the facility are integrated.</w:t>
      </w:r>
    </w:p>
    <w:p w14:paraId="23BA2247" w14:textId="77777777" w:rsidR="009617CD" w:rsidRPr="009617CD" w:rsidRDefault="009617CD" w:rsidP="009617CD">
      <w:pPr>
        <w:spacing w:after="0" w:line="120" w:lineRule="auto"/>
        <w:rPr>
          <w:sz w:val="22"/>
          <w:szCs w:val="22"/>
        </w:rPr>
      </w:pPr>
    </w:p>
    <w:p w14:paraId="36C1B65D" w14:textId="77777777" w:rsidR="009617CD" w:rsidRPr="009617CD" w:rsidRDefault="009617CD" w:rsidP="009617CD">
      <w:pPr>
        <w:spacing w:after="0" w:line="240" w:lineRule="auto"/>
        <w:rPr>
          <w:b/>
          <w:sz w:val="22"/>
          <w:szCs w:val="22"/>
        </w:rPr>
      </w:pPr>
      <w:r w:rsidRPr="009617CD">
        <w:rPr>
          <w:b/>
          <w:sz w:val="22"/>
          <w:szCs w:val="22"/>
        </w:rPr>
        <w:t>Evaluation Objectives</w:t>
      </w:r>
    </w:p>
    <w:p w14:paraId="407DECF2" w14:textId="77777777" w:rsidR="009617CD" w:rsidRPr="009617CD" w:rsidRDefault="009617CD" w:rsidP="009617CD">
      <w:pPr>
        <w:spacing w:after="0" w:line="120" w:lineRule="auto"/>
        <w:rPr>
          <w:sz w:val="22"/>
          <w:szCs w:val="22"/>
        </w:rPr>
      </w:pPr>
      <w:r w:rsidRPr="009617CD">
        <w:rPr>
          <w:sz w:val="22"/>
          <w:szCs w:val="22"/>
        </w:rPr>
        <w:t xml:space="preserve"> </w:t>
      </w:r>
    </w:p>
    <w:p w14:paraId="39F7CD9E" w14:textId="2B74EBB6" w:rsidR="009617CD" w:rsidRPr="009617CD" w:rsidRDefault="009617CD" w:rsidP="009617CD">
      <w:pPr>
        <w:spacing w:after="0" w:line="240" w:lineRule="auto"/>
        <w:rPr>
          <w:sz w:val="22"/>
          <w:szCs w:val="22"/>
        </w:rPr>
      </w:pPr>
      <w:r w:rsidRPr="009617CD">
        <w:rPr>
          <w:sz w:val="22"/>
          <w:szCs w:val="22"/>
        </w:rPr>
        <w:t>The primary purpose of the mid-term review is to provide DFAT with an independent assessment of progress to inform the remaining two years of the investment. The evaluation will also contribute to DFAT’s strategic thinking in relation to any future law and justice programming beyond 2022.</w:t>
      </w:r>
      <w:r w:rsidR="00A16179">
        <w:rPr>
          <w:sz w:val="22"/>
          <w:szCs w:val="22"/>
        </w:rPr>
        <w:t xml:space="preserve"> </w:t>
      </w:r>
    </w:p>
    <w:p w14:paraId="7297E7BC" w14:textId="77777777" w:rsidR="009617CD" w:rsidRPr="009617CD" w:rsidRDefault="009617CD" w:rsidP="009617CD">
      <w:pPr>
        <w:spacing w:after="0" w:line="120" w:lineRule="auto"/>
        <w:rPr>
          <w:sz w:val="22"/>
          <w:szCs w:val="22"/>
        </w:rPr>
      </w:pPr>
    </w:p>
    <w:p w14:paraId="48A2001F" w14:textId="471A7384" w:rsidR="009617CD" w:rsidRPr="009617CD" w:rsidRDefault="009617CD" w:rsidP="009617CD">
      <w:pPr>
        <w:spacing w:after="0" w:line="240" w:lineRule="auto"/>
        <w:rPr>
          <w:sz w:val="22"/>
          <w:szCs w:val="22"/>
        </w:rPr>
      </w:pPr>
      <w:r w:rsidRPr="009617CD">
        <w:rPr>
          <w:sz w:val="22"/>
          <w:szCs w:val="22"/>
        </w:rPr>
        <w:t>The primary audience for the report is DFAT; however, the report will also be shared with Bappenas and discussed at the AIPJ2 Annual Partnership Board. The final evaluation will be published by the Office of Development Effectiveness.</w:t>
      </w:r>
      <w:r w:rsidR="00A16179">
        <w:rPr>
          <w:sz w:val="22"/>
          <w:szCs w:val="22"/>
        </w:rPr>
        <w:t xml:space="preserve"> </w:t>
      </w:r>
    </w:p>
    <w:p w14:paraId="09EB839A" w14:textId="77777777" w:rsidR="009617CD" w:rsidRPr="009617CD" w:rsidRDefault="009617CD" w:rsidP="009617CD">
      <w:pPr>
        <w:spacing w:after="0" w:line="120" w:lineRule="auto"/>
        <w:rPr>
          <w:sz w:val="22"/>
          <w:szCs w:val="22"/>
        </w:rPr>
      </w:pPr>
    </w:p>
    <w:p w14:paraId="2A221A5E" w14:textId="77777777" w:rsidR="00FF5485" w:rsidRDefault="00FF5485" w:rsidP="009617CD">
      <w:pPr>
        <w:spacing w:after="0" w:line="240" w:lineRule="auto"/>
        <w:rPr>
          <w:b/>
          <w:sz w:val="22"/>
          <w:szCs w:val="22"/>
        </w:rPr>
      </w:pPr>
    </w:p>
    <w:p w14:paraId="4363D346" w14:textId="46684B6B" w:rsidR="009617CD" w:rsidRPr="009617CD" w:rsidRDefault="009617CD" w:rsidP="009617CD">
      <w:pPr>
        <w:spacing w:after="0" w:line="240" w:lineRule="auto"/>
        <w:rPr>
          <w:b/>
          <w:sz w:val="22"/>
          <w:szCs w:val="22"/>
        </w:rPr>
      </w:pPr>
      <w:r w:rsidRPr="009617CD">
        <w:rPr>
          <w:b/>
          <w:sz w:val="22"/>
          <w:szCs w:val="22"/>
        </w:rPr>
        <w:t>Evaluation Scope and Key Questions</w:t>
      </w:r>
    </w:p>
    <w:p w14:paraId="67AD0310" w14:textId="77777777" w:rsidR="009617CD" w:rsidRPr="009617CD" w:rsidRDefault="009617CD" w:rsidP="009617CD">
      <w:pPr>
        <w:spacing w:after="0" w:line="120" w:lineRule="auto"/>
        <w:rPr>
          <w:sz w:val="22"/>
          <w:szCs w:val="22"/>
        </w:rPr>
      </w:pPr>
    </w:p>
    <w:p w14:paraId="735B6675" w14:textId="77777777" w:rsidR="009617CD" w:rsidRPr="009617CD" w:rsidRDefault="009617CD" w:rsidP="009617CD">
      <w:pPr>
        <w:spacing w:after="0" w:line="240" w:lineRule="auto"/>
        <w:rPr>
          <w:rFonts w:ascii="Calibri" w:eastAsia="Times New Roman" w:hAnsi="Calibri" w:cs="Times New Roman"/>
          <w:sz w:val="22"/>
          <w:szCs w:val="22"/>
          <w:lang w:eastAsia="en-AU"/>
        </w:rPr>
      </w:pPr>
      <w:r w:rsidRPr="009617CD">
        <w:rPr>
          <w:sz w:val="22"/>
          <w:szCs w:val="22"/>
        </w:rPr>
        <w:t>The</w:t>
      </w:r>
      <w:r w:rsidRPr="009617CD">
        <w:rPr>
          <w:rFonts w:ascii="Calibri" w:eastAsia="Times New Roman" w:hAnsi="Calibri" w:cs="Times New Roman"/>
          <w:sz w:val="22"/>
          <w:szCs w:val="22"/>
          <w:lang w:eastAsia="en-AU"/>
        </w:rPr>
        <w:t xml:space="preserve"> mid-term review will focus on evaluating AIPJ2’s approaches to partnership development, capacity building, knowledge generation and policy influence, in line with its intermediate facility outcomes. Given the breadth of activities under the facility, the evaluation team is not expected to review all of AIPJ’s inputs. A selection of illustrative examples may reviewed as they relate to AIPJ’s approaches. </w:t>
      </w:r>
    </w:p>
    <w:p w14:paraId="14769B0E" w14:textId="77777777" w:rsidR="009617CD" w:rsidRPr="009617CD" w:rsidRDefault="009617CD" w:rsidP="009617CD">
      <w:pPr>
        <w:spacing w:after="0" w:line="120" w:lineRule="auto"/>
        <w:rPr>
          <w:rFonts w:ascii="Calibri" w:eastAsia="Times New Roman" w:hAnsi="Calibri" w:cs="Times New Roman"/>
          <w:sz w:val="22"/>
          <w:szCs w:val="22"/>
          <w:lang w:eastAsia="en-AU"/>
        </w:rPr>
      </w:pPr>
    </w:p>
    <w:p w14:paraId="25272800" w14:textId="77777777" w:rsidR="009617CD" w:rsidRPr="009617CD" w:rsidRDefault="009617CD" w:rsidP="009617CD">
      <w:pPr>
        <w:spacing w:after="0" w:line="24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The following key evaluation questions are proposed for further elaboration in the Evaluation Plan:</w:t>
      </w:r>
    </w:p>
    <w:p w14:paraId="6A365F84" w14:textId="77777777" w:rsidR="009617CD" w:rsidRPr="009617CD" w:rsidRDefault="009617CD" w:rsidP="009617CD">
      <w:pPr>
        <w:spacing w:after="0" w:line="120" w:lineRule="auto"/>
        <w:rPr>
          <w:rFonts w:ascii="Calibri" w:eastAsia="Times New Roman" w:hAnsi="Calibri" w:cs="Times New Roman"/>
          <w:sz w:val="22"/>
          <w:szCs w:val="22"/>
          <w:lang w:eastAsia="en-AU"/>
        </w:rPr>
      </w:pPr>
    </w:p>
    <w:p w14:paraId="42FB2AC9" w14:textId="77777777" w:rsidR="009617CD" w:rsidRPr="009617CD" w:rsidRDefault="009617CD" w:rsidP="006B32D6">
      <w:pPr>
        <w:pStyle w:val="ListParagraph"/>
        <w:numPr>
          <w:ilvl w:val="0"/>
          <w:numId w:val="14"/>
        </w:numPr>
        <w:spacing w:before="0" w:after="0" w:line="24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How is AIPJ2 targeting and contributing to the democratic resilience in Indonesia? Is there scope to do more in the second half of the program?</w:t>
      </w:r>
    </w:p>
    <w:p w14:paraId="38A54713" w14:textId="77777777" w:rsidR="009617CD" w:rsidRPr="009617CD" w:rsidRDefault="009617CD" w:rsidP="006B32D6">
      <w:pPr>
        <w:pStyle w:val="ListParagraph"/>
        <w:numPr>
          <w:ilvl w:val="0"/>
          <w:numId w:val="14"/>
        </w:numPr>
        <w:spacing w:before="0" w:after="0" w:line="24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To what extent is AIPJ2 achieving its intermediate end-of-facility outcomes and making progress towards its end-of-facility outcomes?</w:t>
      </w:r>
    </w:p>
    <w:p w14:paraId="37A46684" w14:textId="77777777" w:rsidR="009617CD" w:rsidRPr="009617CD" w:rsidRDefault="009617CD" w:rsidP="009617CD">
      <w:pPr>
        <w:pStyle w:val="ListParagraph"/>
        <w:spacing w:after="0" w:line="12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 xml:space="preserve"> </w:t>
      </w:r>
    </w:p>
    <w:p w14:paraId="38FD9BC9" w14:textId="77777777" w:rsidR="009617CD" w:rsidRPr="009617CD" w:rsidRDefault="009617CD" w:rsidP="006B32D6">
      <w:pPr>
        <w:pStyle w:val="ListParagraph"/>
        <w:numPr>
          <w:ilvl w:val="0"/>
          <w:numId w:val="14"/>
        </w:numPr>
        <w:spacing w:before="0" w:after="0" w:line="24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 xml:space="preserve">To what extent is AIPJ2 building Indonesian civil society and government capacity? </w:t>
      </w:r>
    </w:p>
    <w:p w14:paraId="744E52F2" w14:textId="77777777" w:rsidR="009617CD" w:rsidRPr="009617CD" w:rsidRDefault="009617CD" w:rsidP="009617CD">
      <w:pPr>
        <w:pStyle w:val="ListParagraph"/>
        <w:rPr>
          <w:rFonts w:ascii="Calibri" w:eastAsia="Times New Roman" w:hAnsi="Calibri" w:cs="Times New Roman"/>
          <w:sz w:val="22"/>
          <w:szCs w:val="22"/>
          <w:lang w:eastAsia="en-AU"/>
        </w:rPr>
      </w:pPr>
    </w:p>
    <w:p w14:paraId="7BD10173" w14:textId="77777777" w:rsidR="009617CD" w:rsidRPr="009617CD" w:rsidRDefault="009617CD" w:rsidP="006B32D6">
      <w:pPr>
        <w:pStyle w:val="ListParagraph"/>
        <w:numPr>
          <w:ilvl w:val="0"/>
          <w:numId w:val="14"/>
        </w:numPr>
        <w:spacing w:before="0" w:after="0" w:line="12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Is AIPJ2’s modality and budget appropriate to deliver the end-of -facility outcome?</w:t>
      </w:r>
    </w:p>
    <w:p w14:paraId="1C319C94" w14:textId="77777777" w:rsidR="009617CD" w:rsidRPr="009617CD" w:rsidRDefault="009617CD" w:rsidP="009617CD">
      <w:pPr>
        <w:pStyle w:val="ListParagraph"/>
        <w:rPr>
          <w:rFonts w:ascii="Calibri" w:eastAsia="Times New Roman" w:hAnsi="Calibri" w:cs="Times New Roman"/>
          <w:sz w:val="22"/>
          <w:szCs w:val="22"/>
          <w:lang w:eastAsia="en-AU"/>
        </w:rPr>
      </w:pPr>
    </w:p>
    <w:p w14:paraId="3650A0B9" w14:textId="77777777" w:rsidR="009617CD" w:rsidRPr="009617CD" w:rsidRDefault="009617CD" w:rsidP="006B32D6">
      <w:pPr>
        <w:pStyle w:val="ListParagraph"/>
        <w:numPr>
          <w:ilvl w:val="1"/>
          <w:numId w:val="14"/>
        </w:numPr>
        <w:spacing w:before="0" w:after="0" w:line="12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Is the facility achieving value for money?</w:t>
      </w:r>
    </w:p>
    <w:p w14:paraId="4E32B392" w14:textId="77777777" w:rsidR="009617CD" w:rsidRPr="009617CD" w:rsidRDefault="009617CD" w:rsidP="006B32D6">
      <w:pPr>
        <w:pStyle w:val="ListParagraph"/>
        <w:numPr>
          <w:ilvl w:val="0"/>
          <w:numId w:val="14"/>
        </w:numPr>
        <w:spacing w:before="0" w:after="0" w:line="240" w:lineRule="auto"/>
        <w:rPr>
          <w:rFonts w:ascii="Calibri" w:eastAsia="Times New Roman" w:hAnsi="Calibri" w:cs="Times New Roman"/>
          <w:sz w:val="22"/>
          <w:szCs w:val="22"/>
          <w:lang w:eastAsia="en-AU"/>
        </w:rPr>
      </w:pPr>
      <w:r w:rsidRPr="009617CD">
        <w:rPr>
          <w:rFonts w:ascii="Calibri" w:eastAsia="Times New Roman" w:hAnsi="Calibri" w:cs="Times New Roman"/>
          <w:sz w:val="22"/>
          <w:szCs w:val="22"/>
          <w:lang w:eastAsia="en-AU"/>
        </w:rPr>
        <w:t>Is the facility well equipped to deal with changes in Australian and/or Indonesian government policy?</w:t>
      </w:r>
    </w:p>
    <w:p w14:paraId="0A1FC421" w14:textId="77777777" w:rsidR="009617CD" w:rsidRPr="009617CD" w:rsidRDefault="009617CD" w:rsidP="009617CD">
      <w:pPr>
        <w:spacing w:after="0" w:line="120" w:lineRule="auto"/>
        <w:rPr>
          <w:rFonts w:ascii="Calibri" w:eastAsia="Times New Roman" w:hAnsi="Calibri" w:cs="Times New Roman"/>
          <w:sz w:val="22"/>
          <w:szCs w:val="22"/>
          <w:lang w:eastAsia="en-AU"/>
        </w:rPr>
      </w:pPr>
    </w:p>
    <w:p w14:paraId="7FB3E287" w14:textId="77777777" w:rsidR="009617CD" w:rsidRPr="009617CD" w:rsidRDefault="009617CD" w:rsidP="009617CD">
      <w:pPr>
        <w:spacing w:after="0" w:line="240" w:lineRule="auto"/>
        <w:rPr>
          <w:b/>
          <w:sz w:val="22"/>
          <w:szCs w:val="22"/>
        </w:rPr>
      </w:pPr>
      <w:r w:rsidRPr="009617CD">
        <w:rPr>
          <w:b/>
          <w:sz w:val="22"/>
          <w:szCs w:val="22"/>
        </w:rPr>
        <w:t>Evaluation Timing and Process</w:t>
      </w:r>
    </w:p>
    <w:p w14:paraId="33064C41" w14:textId="77777777" w:rsidR="009617CD" w:rsidRPr="009617CD" w:rsidRDefault="009617CD" w:rsidP="009617CD">
      <w:pPr>
        <w:spacing w:after="0" w:line="120" w:lineRule="auto"/>
        <w:rPr>
          <w:b/>
          <w:sz w:val="22"/>
          <w:szCs w:val="22"/>
        </w:rPr>
      </w:pPr>
      <w:r w:rsidRPr="009617CD">
        <w:rPr>
          <w:b/>
          <w:sz w:val="22"/>
          <w:szCs w:val="22"/>
        </w:rPr>
        <w:t xml:space="preserve"> </w:t>
      </w:r>
    </w:p>
    <w:p w14:paraId="13A83328" w14:textId="77777777" w:rsidR="009617CD" w:rsidRPr="009617CD" w:rsidRDefault="009617CD" w:rsidP="009617CD">
      <w:pPr>
        <w:spacing w:after="0" w:line="240" w:lineRule="auto"/>
        <w:rPr>
          <w:sz w:val="22"/>
          <w:szCs w:val="22"/>
        </w:rPr>
      </w:pPr>
      <w:r w:rsidRPr="009617CD">
        <w:rPr>
          <w:sz w:val="22"/>
          <w:szCs w:val="22"/>
        </w:rPr>
        <w:t xml:space="preserve">The expected timeframe for the evaluation is July to September 2019. This includes a desk review, preparation of an evaluation plan, a two-week in-country mission, information processing, and preparation of aide memoire and reports. </w:t>
      </w:r>
    </w:p>
    <w:p w14:paraId="36BF3B55" w14:textId="77777777" w:rsidR="009617CD" w:rsidRPr="009617CD" w:rsidRDefault="009617CD" w:rsidP="009617CD">
      <w:pPr>
        <w:spacing w:after="0" w:line="240" w:lineRule="auto"/>
        <w:rPr>
          <w:b/>
          <w:sz w:val="22"/>
          <w:szCs w:val="22"/>
        </w:rPr>
      </w:pPr>
    </w:p>
    <w:tbl>
      <w:tblPr>
        <w:tblStyle w:val="TableGrid"/>
        <w:tblW w:w="9209" w:type="dxa"/>
        <w:tblLook w:val="04A0" w:firstRow="1" w:lastRow="0" w:firstColumn="1" w:lastColumn="0" w:noHBand="0" w:noVBand="1"/>
      </w:tblPr>
      <w:tblGrid>
        <w:gridCol w:w="9209"/>
      </w:tblGrid>
      <w:tr w:rsidR="009617CD" w:rsidRPr="009617CD" w14:paraId="00022DD5" w14:textId="77777777" w:rsidTr="009617CD">
        <w:tc>
          <w:tcPr>
            <w:tcW w:w="9209" w:type="dxa"/>
          </w:tcPr>
          <w:p w14:paraId="6153EF63" w14:textId="77777777" w:rsidR="009617CD" w:rsidRPr="009617CD" w:rsidRDefault="009617CD" w:rsidP="008573F5">
            <w:pPr>
              <w:rPr>
                <w:sz w:val="22"/>
                <w:szCs w:val="22"/>
              </w:rPr>
            </w:pPr>
            <w:r w:rsidRPr="009617CD">
              <w:rPr>
                <w:sz w:val="22"/>
                <w:szCs w:val="22"/>
              </w:rPr>
              <w:t>Tasks</w:t>
            </w:r>
          </w:p>
        </w:tc>
      </w:tr>
      <w:tr w:rsidR="009617CD" w:rsidRPr="009617CD" w14:paraId="3C07083E" w14:textId="77777777" w:rsidTr="009617CD">
        <w:tc>
          <w:tcPr>
            <w:tcW w:w="9209" w:type="dxa"/>
          </w:tcPr>
          <w:p w14:paraId="6EA4E81E" w14:textId="77777777" w:rsidR="009617CD" w:rsidRPr="009617CD" w:rsidRDefault="009617CD" w:rsidP="008573F5">
            <w:pPr>
              <w:rPr>
                <w:sz w:val="22"/>
                <w:szCs w:val="22"/>
              </w:rPr>
            </w:pPr>
            <w:r w:rsidRPr="009617CD">
              <w:rPr>
                <w:sz w:val="22"/>
                <w:szCs w:val="22"/>
              </w:rPr>
              <w:t xml:space="preserve">Conduct </w:t>
            </w:r>
            <w:r w:rsidRPr="009617CD">
              <w:rPr>
                <w:b/>
                <w:sz w:val="22"/>
                <w:szCs w:val="22"/>
              </w:rPr>
              <w:t xml:space="preserve">desk-based review </w:t>
            </w:r>
            <w:r w:rsidRPr="009617CD">
              <w:rPr>
                <w:sz w:val="22"/>
                <w:szCs w:val="22"/>
              </w:rPr>
              <w:t>of relevant AIPJ2 documentation</w:t>
            </w:r>
          </w:p>
        </w:tc>
      </w:tr>
      <w:tr w:rsidR="009617CD" w:rsidRPr="009617CD" w14:paraId="5DEB99DB" w14:textId="77777777" w:rsidTr="009617CD">
        <w:tc>
          <w:tcPr>
            <w:tcW w:w="9209" w:type="dxa"/>
          </w:tcPr>
          <w:p w14:paraId="74D409AA" w14:textId="77777777" w:rsidR="009617CD" w:rsidRPr="009617CD" w:rsidRDefault="009617CD" w:rsidP="008573F5">
            <w:pPr>
              <w:rPr>
                <w:sz w:val="22"/>
                <w:szCs w:val="22"/>
              </w:rPr>
            </w:pPr>
            <w:r w:rsidRPr="009617CD">
              <w:rPr>
                <w:sz w:val="22"/>
                <w:szCs w:val="22"/>
              </w:rPr>
              <w:t xml:space="preserve">Develop an </w:t>
            </w:r>
            <w:r w:rsidRPr="009617CD">
              <w:rPr>
                <w:b/>
                <w:sz w:val="22"/>
                <w:szCs w:val="22"/>
              </w:rPr>
              <w:t>evaluation plan</w:t>
            </w:r>
            <w:r w:rsidRPr="009617CD">
              <w:rPr>
                <w:sz w:val="22"/>
                <w:szCs w:val="22"/>
              </w:rPr>
              <w:t xml:space="preserve"> that outlines the overall approach and methodology for the evaluation, including tools for information collection and analysis. Discuss and agree, either in person or via phone, the Evaluation Plan with DFAT. The plan will include roles and responsibilities, a timeline, and a plan for in-country stakeholder consultation </w:t>
            </w:r>
          </w:p>
        </w:tc>
      </w:tr>
      <w:tr w:rsidR="009617CD" w:rsidRPr="009617CD" w14:paraId="2EF52EE5" w14:textId="77777777" w:rsidTr="009617CD">
        <w:tc>
          <w:tcPr>
            <w:tcW w:w="9209" w:type="dxa"/>
          </w:tcPr>
          <w:p w14:paraId="327A5C1F" w14:textId="77777777" w:rsidR="009617CD" w:rsidRPr="009617CD" w:rsidRDefault="009617CD" w:rsidP="008573F5">
            <w:pPr>
              <w:rPr>
                <w:sz w:val="22"/>
                <w:szCs w:val="22"/>
              </w:rPr>
            </w:pPr>
            <w:r w:rsidRPr="009617CD">
              <w:rPr>
                <w:sz w:val="22"/>
                <w:szCs w:val="22"/>
              </w:rPr>
              <w:t xml:space="preserve">Conduct </w:t>
            </w:r>
            <w:r w:rsidRPr="009617CD">
              <w:rPr>
                <w:b/>
                <w:sz w:val="22"/>
                <w:szCs w:val="22"/>
              </w:rPr>
              <w:t>in-country consultation</w:t>
            </w:r>
            <w:r w:rsidRPr="009617CD">
              <w:rPr>
                <w:sz w:val="22"/>
                <w:szCs w:val="22"/>
              </w:rPr>
              <w:t xml:space="preserve">, including introductory briefing and debriefing session with DFAT and Bappenas. </w:t>
            </w:r>
          </w:p>
          <w:p w14:paraId="1B2CEAE1" w14:textId="77777777" w:rsidR="009617CD" w:rsidRPr="009617CD" w:rsidRDefault="009617CD" w:rsidP="008573F5">
            <w:pPr>
              <w:spacing w:line="120" w:lineRule="auto"/>
              <w:rPr>
                <w:sz w:val="22"/>
                <w:szCs w:val="22"/>
              </w:rPr>
            </w:pPr>
          </w:p>
          <w:p w14:paraId="253B7682" w14:textId="77777777" w:rsidR="009617CD" w:rsidRPr="009617CD" w:rsidRDefault="009617CD" w:rsidP="008573F5">
            <w:pPr>
              <w:rPr>
                <w:sz w:val="22"/>
                <w:szCs w:val="22"/>
              </w:rPr>
            </w:pPr>
            <w:r w:rsidRPr="009617CD">
              <w:rPr>
                <w:sz w:val="22"/>
                <w:szCs w:val="22"/>
              </w:rPr>
              <w:t xml:space="preserve">Prepare and present </w:t>
            </w:r>
            <w:r w:rsidRPr="009617CD">
              <w:rPr>
                <w:b/>
                <w:sz w:val="22"/>
                <w:szCs w:val="22"/>
              </w:rPr>
              <w:t>Aide Memoire</w:t>
            </w:r>
            <w:r w:rsidRPr="009617CD">
              <w:rPr>
                <w:sz w:val="22"/>
                <w:szCs w:val="22"/>
              </w:rPr>
              <w:t xml:space="preserve"> to DFAT and a version of the memoire to Bappenas</w:t>
            </w:r>
          </w:p>
        </w:tc>
      </w:tr>
      <w:tr w:rsidR="009617CD" w:rsidRPr="009617CD" w14:paraId="0B3CB5C1" w14:textId="77777777" w:rsidTr="009617CD">
        <w:tc>
          <w:tcPr>
            <w:tcW w:w="9209" w:type="dxa"/>
          </w:tcPr>
          <w:p w14:paraId="0F14CB3B" w14:textId="77777777" w:rsidR="009617CD" w:rsidRPr="009617CD" w:rsidRDefault="009617CD" w:rsidP="008573F5">
            <w:pPr>
              <w:rPr>
                <w:sz w:val="22"/>
                <w:szCs w:val="22"/>
              </w:rPr>
            </w:pPr>
            <w:r w:rsidRPr="009617CD">
              <w:rPr>
                <w:sz w:val="22"/>
                <w:szCs w:val="22"/>
              </w:rPr>
              <w:t>Prepare draft evaluation report</w:t>
            </w:r>
          </w:p>
        </w:tc>
      </w:tr>
      <w:tr w:rsidR="009617CD" w:rsidRPr="009617CD" w14:paraId="01468A71" w14:textId="77777777" w:rsidTr="009617CD">
        <w:tc>
          <w:tcPr>
            <w:tcW w:w="9209" w:type="dxa"/>
          </w:tcPr>
          <w:p w14:paraId="33156DDA" w14:textId="77777777" w:rsidR="009617CD" w:rsidRPr="009617CD" w:rsidRDefault="009617CD" w:rsidP="008573F5">
            <w:pPr>
              <w:rPr>
                <w:sz w:val="22"/>
                <w:szCs w:val="22"/>
              </w:rPr>
            </w:pPr>
            <w:r w:rsidRPr="009617CD">
              <w:rPr>
                <w:sz w:val="22"/>
                <w:szCs w:val="22"/>
              </w:rPr>
              <w:t>Finalise evaluation report</w:t>
            </w:r>
          </w:p>
        </w:tc>
      </w:tr>
      <w:tr w:rsidR="009617CD" w:rsidRPr="009617CD" w14:paraId="08DBCE93" w14:textId="77777777" w:rsidTr="009617CD">
        <w:tc>
          <w:tcPr>
            <w:tcW w:w="9209" w:type="dxa"/>
          </w:tcPr>
          <w:p w14:paraId="0A39D35E" w14:textId="77777777" w:rsidR="009617CD" w:rsidRPr="009617CD" w:rsidRDefault="009617CD" w:rsidP="008573F5">
            <w:pPr>
              <w:rPr>
                <w:sz w:val="22"/>
                <w:szCs w:val="22"/>
              </w:rPr>
            </w:pPr>
            <w:r w:rsidRPr="009617CD">
              <w:rPr>
                <w:sz w:val="22"/>
                <w:szCs w:val="22"/>
              </w:rPr>
              <w:t>Total day input</w:t>
            </w:r>
          </w:p>
        </w:tc>
      </w:tr>
    </w:tbl>
    <w:p w14:paraId="73909320" w14:textId="77777777" w:rsidR="009617CD" w:rsidRPr="009617CD" w:rsidRDefault="009617CD" w:rsidP="009617CD">
      <w:pPr>
        <w:spacing w:line="120" w:lineRule="auto"/>
        <w:rPr>
          <w:b/>
          <w:sz w:val="22"/>
          <w:szCs w:val="22"/>
        </w:rPr>
      </w:pPr>
    </w:p>
    <w:p w14:paraId="0C691589" w14:textId="77777777" w:rsidR="009617CD" w:rsidRPr="009617CD" w:rsidRDefault="009617CD" w:rsidP="009617CD">
      <w:pPr>
        <w:spacing w:after="0" w:line="240" w:lineRule="auto"/>
        <w:rPr>
          <w:b/>
          <w:sz w:val="22"/>
          <w:szCs w:val="22"/>
        </w:rPr>
      </w:pPr>
      <w:r w:rsidRPr="009617CD">
        <w:rPr>
          <w:b/>
          <w:sz w:val="22"/>
          <w:szCs w:val="22"/>
        </w:rPr>
        <w:t>Evaluation team composition</w:t>
      </w:r>
    </w:p>
    <w:p w14:paraId="366BD341" w14:textId="77777777" w:rsidR="009617CD" w:rsidRPr="009617CD" w:rsidRDefault="009617CD" w:rsidP="009617CD">
      <w:pPr>
        <w:spacing w:after="0" w:line="120" w:lineRule="auto"/>
        <w:rPr>
          <w:b/>
          <w:sz w:val="22"/>
          <w:szCs w:val="22"/>
        </w:rPr>
      </w:pPr>
    </w:p>
    <w:p w14:paraId="61943E13" w14:textId="088A1A10" w:rsidR="009617CD" w:rsidRPr="009617CD" w:rsidRDefault="009617CD" w:rsidP="009617CD">
      <w:pPr>
        <w:spacing w:after="0" w:line="240" w:lineRule="auto"/>
        <w:rPr>
          <w:sz w:val="22"/>
          <w:szCs w:val="22"/>
        </w:rPr>
      </w:pPr>
      <w:r w:rsidRPr="009617CD">
        <w:rPr>
          <w:sz w:val="22"/>
          <w:szCs w:val="22"/>
        </w:rPr>
        <w:t>A team of up to three consultants will be assigned by DFAT to conduct the evaluation. The team will be led by a senior evaluation specialist, supported by one team member with strong evaluation and sectoral experience and one team member with strong knowledge of the Indonesia context.</w:t>
      </w:r>
      <w:r w:rsidR="00A16179">
        <w:rPr>
          <w:sz w:val="22"/>
          <w:szCs w:val="22"/>
        </w:rPr>
        <w:t xml:space="preserve"> </w:t>
      </w:r>
    </w:p>
    <w:p w14:paraId="0F1E5A76" w14:textId="77777777" w:rsidR="009617CD" w:rsidRPr="009617CD" w:rsidRDefault="009617CD" w:rsidP="009617CD">
      <w:pPr>
        <w:spacing w:after="0" w:line="120" w:lineRule="auto"/>
        <w:rPr>
          <w:sz w:val="22"/>
          <w:szCs w:val="22"/>
        </w:rPr>
      </w:pPr>
    </w:p>
    <w:p w14:paraId="1A812880" w14:textId="77777777" w:rsidR="009617CD" w:rsidRPr="009617CD" w:rsidRDefault="009617CD" w:rsidP="009617CD">
      <w:pPr>
        <w:spacing w:after="0" w:line="240" w:lineRule="auto"/>
        <w:rPr>
          <w:sz w:val="22"/>
          <w:szCs w:val="22"/>
        </w:rPr>
      </w:pPr>
      <w:r w:rsidRPr="009617CD">
        <w:rPr>
          <w:sz w:val="22"/>
          <w:szCs w:val="22"/>
        </w:rPr>
        <w:t>The Team Leader in consultation with team members will agree on team members’ roles and responsibilities as specified in the Evaluation Plan. The Team Leader will be responsible for managing performance and output of the team members and accountable to DFAT in delivering the evaluation team’s services as outlined in this TOR.</w:t>
      </w:r>
    </w:p>
    <w:p w14:paraId="67FB82DA" w14:textId="77777777" w:rsidR="009617CD" w:rsidRPr="009617CD" w:rsidRDefault="009617CD" w:rsidP="009617CD">
      <w:pPr>
        <w:spacing w:after="0" w:line="120" w:lineRule="auto"/>
        <w:rPr>
          <w:sz w:val="22"/>
          <w:szCs w:val="22"/>
        </w:rPr>
      </w:pPr>
    </w:p>
    <w:p w14:paraId="36D7C28F" w14:textId="77777777" w:rsidR="009617CD" w:rsidRPr="009617CD" w:rsidRDefault="009617CD" w:rsidP="009617CD">
      <w:pPr>
        <w:rPr>
          <w:sz w:val="22"/>
          <w:szCs w:val="22"/>
        </w:rPr>
      </w:pPr>
      <w:r w:rsidRPr="009617CD">
        <w:rPr>
          <w:sz w:val="22"/>
          <w:szCs w:val="22"/>
          <w:u w:val="single"/>
        </w:rPr>
        <w:t>Team Leader (senior evaluation specialist)</w:t>
      </w:r>
      <w:r w:rsidRPr="009617CD">
        <w:rPr>
          <w:sz w:val="22"/>
          <w:szCs w:val="22"/>
        </w:rPr>
        <w:t xml:space="preserve"> has overall responsibility for the performance and output of the evaluation team. Key competencies and experience of the team leader should include:</w:t>
      </w:r>
    </w:p>
    <w:p w14:paraId="0E4FA7DE" w14:textId="3516927B"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Extensive experience in program evaluation across a range of sectors and countries</w:t>
      </w:r>
      <w:r w:rsidR="00A16179">
        <w:rPr>
          <w:sz w:val="22"/>
          <w:szCs w:val="22"/>
        </w:rPr>
        <w:t xml:space="preserve"> </w:t>
      </w:r>
    </w:p>
    <w:p w14:paraId="20E7A0CE" w14:textId="77777777"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Demonstrated experience in leading an evaluation team to deliver results</w:t>
      </w:r>
    </w:p>
    <w:p w14:paraId="7110B84E" w14:textId="3DFE5B24"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Demonstrated experience in evaluating complex facilities</w:t>
      </w:r>
      <w:r w:rsidR="00A16179">
        <w:rPr>
          <w:sz w:val="22"/>
          <w:szCs w:val="22"/>
        </w:rPr>
        <w:t xml:space="preserve"> </w:t>
      </w:r>
    </w:p>
    <w:p w14:paraId="297B6E64" w14:textId="61FB417A"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Knowledge and understanding of Australia’s foreign policy, including its aid policy and supporting strategic frameworks</w:t>
      </w:r>
      <w:r w:rsidR="00A16179">
        <w:rPr>
          <w:sz w:val="22"/>
          <w:szCs w:val="22"/>
        </w:rPr>
        <w:t xml:space="preserve"> </w:t>
      </w:r>
    </w:p>
    <w:p w14:paraId="7F46B516" w14:textId="7F0BD782"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A forward looking perspective to inform future strategy and programming</w:t>
      </w:r>
      <w:r w:rsidR="00A16179">
        <w:rPr>
          <w:sz w:val="22"/>
          <w:szCs w:val="22"/>
        </w:rPr>
        <w:t xml:space="preserve"> </w:t>
      </w:r>
    </w:p>
    <w:p w14:paraId="569E0720" w14:textId="77777777"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Strong analytical, report writing and quality assurance skills</w:t>
      </w:r>
    </w:p>
    <w:p w14:paraId="07843377" w14:textId="04578F8A"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Demonstrated experience incorporating gender, disability and social inclusion into evaluation methodology</w:t>
      </w:r>
      <w:r w:rsidR="00A16179">
        <w:rPr>
          <w:sz w:val="22"/>
          <w:szCs w:val="22"/>
        </w:rPr>
        <w:t xml:space="preserve"> </w:t>
      </w:r>
    </w:p>
    <w:p w14:paraId="75B711BA" w14:textId="77777777"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 xml:space="preserve">High-level written and verbal communication skills, including the ability to communicate cross-culturally </w:t>
      </w:r>
    </w:p>
    <w:p w14:paraId="0B3000F0" w14:textId="77777777"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Working knowledge of Indonesia’s socio-political and development context.</w:t>
      </w:r>
    </w:p>
    <w:p w14:paraId="4BA0AE1C" w14:textId="77777777" w:rsidR="009617CD" w:rsidRPr="009617CD" w:rsidRDefault="009617CD" w:rsidP="009617CD">
      <w:pPr>
        <w:spacing w:line="120" w:lineRule="auto"/>
        <w:ind w:left="720"/>
        <w:contextualSpacing/>
        <w:rPr>
          <w:sz w:val="22"/>
          <w:szCs w:val="22"/>
        </w:rPr>
      </w:pPr>
    </w:p>
    <w:p w14:paraId="6E44477A" w14:textId="77777777" w:rsidR="009617CD" w:rsidRPr="009617CD" w:rsidRDefault="009617CD" w:rsidP="009617CD">
      <w:pPr>
        <w:rPr>
          <w:sz w:val="22"/>
          <w:szCs w:val="22"/>
          <w:u w:val="single"/>
        </w:rPr>
      </w:pPr>
      <w:r w:rsidRPr="009617CD">
        <w:rPr>
          <w:sz w:val="22"/>
          <w:szCs w:val="22"/>
          <w:u w:val="single"/>
        </w:rPr>
        <w:t xml:space="preserve">Team member one </w:t>
      </w:r>
      <w:r w:rsidRPr="009617CD">
        <w:rPr>
          <w:sz w:val="22"/>
          <w:szCs w:val="22"/>
        </w:rPr>
        <w:t>should have the following key competencies and experience:</w:t>
      </w:r>
      <w:r w:rsidRPr="009617CD">
        <w:rPr>
          <w:sz w:val="22"/>
          <w:szCs w:val="22"/>
          <w:u w:val="single"/>
        </w:rPr>
        <w:t xml:space="preserve"> </w:t>
      </w:r>
    </w:p>
    <w:p w14:paraId="4C771552" w14:textId="77777777" w:rsidR="009617CD" w:rsidRPr="009617CD" w:rsidRDefault="009617CD" w:rsidP="006B32D6">
      <w:pPr>
        <w:numPr>
          <w:ilvl w:val="0"/>
          <w:numId w:val="18"/>
        </w:numPr>
        <w:spacing w:before="0" w:after="160" w:line="259" w:lineRule="auto"/>
        <w:contextualSpacing/>
        <w:rPr>
          <w:sz w:val="22"/>
          <w:szCs w:val="22"/>
        </w:rPr>
      </w:pPr>
      <w:r w:rsidRPr="009617CD">
        <w:rPr>
          <w:sz w:val="22"/>
          <w:szCs w:val="22"/>
        </w:rPr>
        <w:t>Demonstrated experience in evaluating capacity development approaches</w:t>
      </w:r>
    </w:p>
    <w:p w14:paraId="0F79CA53" w14:textId="77777777" w:rsidR="009617CD" w:rsidRPr="009617CD" w:rsidRDefault="009617CD" w:rsidP="006B32D6">
      <w:pPr>
        <w:numPr>
          <w:ilvl w:val="0"/>
          <w:numId w:val="18"/>
        </w:numPr>
        <w:spacing w:before="0" w:after="160" w:line="259" w:lineRule="auto"/>
        <w:contextualSpacing/>
        <w:rPr>
          <w:sz w:val="22"/>
          <w:szCs w:val="22"/>
        </w:rPr>
      </w:pPr>
      <w:r w:rsidRPr="009617CD">
        <w:rPr>
          <w:sz w:val="22"/>
          <w:szCs w:val="22"/>
        </w:rPr>
        <w:t>Demonstrated experience in adaptive programs/facilities</w:t>
      </w:r>
    </w:p>
    <w:p w14:paraId="4E539C55" w14:textId="7AA198E0"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Demonstrated experience incorporating gender, disability and social inclusion into evaluation methodology</w:t>
      </w:r>
      <w:r w:rsidR="00A16179">
        <w:rPr>
          <w:sz w:val="22"/>
          <w:szCs w:val="22"/>
        </w:rPr>
        <w:t xml:space="preserve"> </w:t>
      </w:r>
    </w:p>
    <w:p w14:paraId="78A13BF9" w14:textId="77777777" w:rsidR="009617CD" w:rsidRPr="009617CD" w:rsidRDefault="009617CD" w:rsidP="006B32D6">
      <w:pPr>
        <w:numPr>
          <w:ilvl w:val="0"/>
          <w:numId w:val="16"/>
        </w:numPr>
        <w:spacing w:before="0" w:after="160" w:line="259" w:lineRule="auto"/>
        <w:contextualSpacing/>
        <w:rPr>
          <w:sz w:val="22"/>
          <w:szCs w:val="22"/>
        </w:rPr>
      </w:pPr>
      <w:r w:rsidRPr="009617CD">
        <w:rPr>
          <w:sz w:val="22"/>
          <w:szCs w:val="22"/>
        </w:rPr>
        <w:t>Expertise in law and justice programming and knowledge of international best practice in the sector</w:t>
      </w:r>
    </w:p>
    <w:p w14:paraId="5C86AA27" w14:textId="77777777" w:rsidR="009617CD" w:rsidRPr="009617CD" w:rsidRDefault="009617CD" w:rsidP="006B32D6">
      <w:pPr>
        <w:numPr>
          <w:ilvl w:val="0"/>
          <w:numId w:val="18"/>
        </w:numPr>
        <w:spacing w:before="0" w:after="160" w:line="259" w:lineRule="auto"/>
        <w:contextualSpacing/>
        <w:rPr>
          <w:sz w:val="22"/>
          <w:szCs w:val="22"/>
        </w:rPr>
      </w:pPr>
      <w:r w:rsidRPr="009617CD">
        <w:rPr>
          <w:sz w:val="22"/>
          <w:szCs w:val="22"/>
        </w:rPr>
        <w:t>Strong analytical and report writing skills</w:t>
      </w:r>
    </w:p>
    <w:p w14:paraId="353A8D2F" w14:textId="2472D21F" w:rsidR="009617CD" w:rsidRPr="009617CD" w:rsidRDefault="009617CD" w:rsidP="006B32D6">
      <w:pPr>
        <w:numPr>
          <w:ilvl w:val="0"/>
          <w:numId w:val="18"/>
        </w:numPr>
        <w:spacing w:before="0" w:after="160" w:line="259" w:lineRule="auto"/>
        <w:contextualSpacing/>
        <w:rPr>
          <w:sz w:val="22"/>
          <w:szCs w:val="22"/>
        </w:rPr>
      </w:pPr>
      <w:r w:rsidRPr="009617CD">
        <w:rPr>
          <w:sz w:val="22"/>
          <w:szCs w:val="22"/>
        </w:rPr>
        <w:t>Knowledge and understanding of Australia’s foreign policy, including its aid policy and supporting strategic frameworks</w:t>
      </w:r>
      <w:r w:rsidR="00A16179">
        <w:rPr>
          <w:sz w:val="22"/>
          <w:szCs w:val="22"/>
        </w:rPr>
        <w:t xml:space="preserve"> </w:t>
      </w:r>
    </w:p>
    <w:p w14:paraId="224716F2" w14:textId="77777777" w:rsidR="009617CD" w:rsidRPr="009617CD" w:rsidRDefault="009617CD" w:rsidP="009617CD">
      <w:pPr>
        <w:spacing w:line="120" w:lineRule="auto"/>
        <w:contextualSpacing/>
        <w:rPr>
          <w:sz w:val="22"/>
          <w:szCs w:val="22"/>
        </w:rPr>
      </w:pPr>
    </w:p>
    <w:p w14:paraId="1C4817B6" w14:textId="63F3B5C4" w:rsidR="009617CD" w:rsidRPr="009617CD" w:rsidRDefault="009617CD" w:rsidP="009617CD">
      <w:pPr>
        <w:contextualSpacing/>
        <w:rPr>
          <w:sz w:val="22"/>
          <w:szCs w:val="22"/>
        </w:rPr>
      </w:pPr>
      <w:r w:rsidRPr="009617CD">
        <w:rPr>
          <w:sz w:val="22"/>
          <w:szCs w:val="22"/>
          <w:u w:val="single"/>
        </w:rPr>
        <w:t>Team member two</w:t>
      </w:r>
      <w:r w:rsidRPr="009617CD">
        <w:rPr>
          <w:sz w:val="22"/>
          <w:szCs w:val="22"/>
        </w:rPr>
        <w:t xml:space="preserve"> should have the following key competencies and experience</w:t>
      </w:r>
      <w:r w:rsidR="00A16179">
        <w:rPr>
          <w:sz w:val="22"/>
          <w:szCs w:val="22"/>
        </w:rPr>
        <w:t xml:space="preserve"> </w:t>
      </w:r>
    </w:p>
    <w:p w14:paraId="14C253C6" w14:textId="77777777" w:rsidR="009617CD" w:rsidRPr="009617CD" w:rsidRDefault="009617CD" w:rsidP="006B32D6">
      <w:pPr>
        <w:pStyle w:val="ListParagraph"/>
        <w:numPr>
          <w:ilvl w:val="0"/>
          <w:numId w:val="19"/>
        </w:numPr>
        <w:spacing w:before="0" w:after="160" w:line="259" w:lineRule="auto"/>
        <w:rPr>
          <w:sz w:val="22"/>
          <w:szCs w:val="22"/>
        </w:rPr>
      </w:pPr>
      <w:r w:rsidRPr="009617CD">
        <w:rPr>
          <w:sz w:val="22"/>
          <w:szCs w:val="22"/>
        </w:rPr>
        <w:t xml:space="preserve">Nuanced understanding of Indonesia’s law, justice, security sectors </w:t>
      </w:r>
    </w:p>
    <w:p w14:paraId="7E147E4F" w14:textId="77777777" w:rsidR="009617CD" w:rsidRPr="009617CD" w:rsidRDefault="009617CD" w:rsidP="006B32D6">
      <w:pPr>
        <w:pStyle w:val="ListParagraph"/>
        <w:numPr>
          <w:ilvl w:val="0"/>
          <w:numId w:val="17"/>
        </w:numPr>
        <w:spacing w:before="0" w:after="160" w:line="259" w:lineRule="auto"/>
        <w:rPr>
          <w:sz w:val="22"/>
          <w:szCs w:val="22"/>
        </w:rPr>
      </w:pPr>
      <w:r w:rsidRPr="009617CD">
        <w:rPr>
          <w:sz w:val="22"/>
          <w:szCs w:val="22"/>
        </w:rPr>
        <w:t>Strong knowledge of key Indonesian government and non-government stakeholders in legal reform; anti-corruption; human rights; preventing violent extremism and security sector reform</w:t>
      </w:r>
    </w:p>
    <w:p w14:paraId="733EA36B" w14:textId="17911D7C" w:rsidR="009617CD" w:rsidRPr="009617CD" w:rsidRDefault="009617CD" w:rsidP="006B32D6">
      <w:pPr>
        <w:pStyle w:val="ListParagraph"/>
        <w:numPr>
          <w:ilvl w:val="0"/>
          <w:numId w:val="17"/>
        </w:numPr>
        <w:spacing w:before="0" w:after="160" w:line="259" w:lineRule="auto"/>
        <w:rPr>
          <w:sz w:val="22"/>
          <w:szCs w:val="22"/>
        </w:rPr>
      </w:pPr>
      <w:r w:rsidRPr="009617CD">
        <w:rPr>
          <w:sz w:val="22"/>
          <w:szCs w:val="22"/>
        </w:rPr>
        <w:t>Strong knowledge of Indonesia’s legislative and policy frameworks and machinery of government</w:t>
      </w:r>
      <w:r w:rsidR="00A16179">
        <w:rPr>
          <w:sz w:val="22"/>
          <w:szCs w:val="22"/>
        </w:rPr>
        <w:t xml:space="preserve"> </w:t>
      </w:r>
    </w:p>
    <w:p w14:paraId="4510307D" w14:textId="3524EC7F" w:rsidR="009617CD" w:rsidRPr="009617CD" w:rsidRDefault="009617CD" w:rsidP="006B32D6">
      <w:pPr>
        <w:pStyle w:val="ListParagraph"/>
        <w:numPr>
          <w:ilvl w:val="0"/>
          <w:numId w:val="17"/>
        </w:numPr>
        <w:spacing w:before="0" w:after="160" w:line="259" w:lineRule="auto"/>
        <w:rPr>
          <w:sz w:val="22"/>
          <w:szCs w:val="22"/>
        </w:rPr>
      </w:pPr>
      <w:r w:rsidRPr="009617CD">
        <w:rPr>
          <w:sz w:val="22"/>
          <w:szCs w:val="22"/>
        </w:rPr>
        <w:t>Sound proficiency in English writing and speaking</w:t>
      </w:r>
      <w:r w:rsidR="00A16179">
        <w:rPr>
          <w:sz w:val="22"/>
          <w:szCs w:val="22"/>
        </w:rPr>
        <w:t xml:space="preserve"> </w:t>
      </w:r>
    </w:p>
    <w:p w14:paraId="1921058D" w14:textId="77777777" w:rsidR="009617CD" w:rsidRPr="009617CD" w:rsidRDefault="009617CD" w:rsidP="009617CD">
      <w:pPr>
        <w:rPr>
          <w:sz w:val="22"/>
          <w:szCs w:val="22"/>
        </w:rPr>
      </w:pPr>
      <w:r w:rsidRPr="009617CD">
        <w:rPr>
          <w:b/>
          <w:sz w:val="22"/>
          <w:szCs w:val="22"/>
        </w:rPr>
        <w:t xml:space="preserve">Evaluation Output </w:t>
      </w:r>
      <w:r w:rsidRPr="009617CD">
        <w:rPr>
          <w:sz w:val="22"/>
          <w:szCs w:val="22"/>
        </w:rPr>
        <w:t>(prepare in discussion with team member)</w:t>
      </w:r>
    </w:p>
    <w:p w14:paraId="22DEB968" w14:textId="77777777" w:rsidR="009617CD" w:rsidRPr="009617CD" w:rsidRDefault="009617CD" w:rsidP="006B32D6">
      <w:pPr>
        <w:numPr>
          <w:ilvl w:val="0"/>
          <w:numId w:val="4"/>
        </w:numPr>
        <w:spacing w:before="0" w:after="160" w:line="259" w:lineRule="auto"/>
        <w:contextualSpacing/>
        <w:rPr>
          <w:sz w:val="22"/>
          <w:szCs w:val="22"/>
        </w:rPr>
      </w:pPr>
      <w:r w:rsidRPr="009617CD">
        <w:rPr>
          <w:sz w:val="22"/>
          <w:szCs w:val="22"/>
          <w:u w:val="single"/>
        </w:rPr>
        <w:t>Evaluation Plan</w:t>
      </w:r>
      <w:r w:rsidRPr="009617CD">
        <w:rPr>
          <w:sz w:val="22"/>
          <w:szCs w:val="22"/>
        </w:rPr>
        <w:t xml:space="preserve"> – prepare and submit to DFAT for approval at least two weeks before the in-country mission</w:t>
      </w:r>
    </w:p>
    <w:p w14:paraId="557B93AF" w14:textId="77777777" w:rsidR="009617CD" w:rsidRPr="009617CD" w:rsidRDefault="009617CD" w:rsidP="006B32D6">
      <w:pPr>
        <w:numPr>
          <w:ilvl w:val="0"/>
          <w:numId w:val="4"/>
        </w:numPr>
        <w:spacing w:before="0" w:after="160" w:line="259" w:lineRule="auto"/>
        <w:contextualSpacing/>
        <w:rPr>
          <w:sz w:val="22"/>
          <w:szCs w:val="22"/>
        </w:rPr>
      </w:pPr>
      <w:r w:rsidRPr="009617CD">
        <w:rPr>
          <w:sz w:val="22"/>
          <w:szCs w:val="22"/>
          <w:u w:val="single"/>
        </w:rPr>
        <w:t>Aide Memoire</w:t>
      </w:r>
      <w:r w:rsidRPr="009617CD">
        <w:rPr>
          <w:sz w:val="22"/>
          <w:szCs w:val="22"/>
        </w:rPr>
        <w:t xml:space="preserve"> – prepare and present an Aide Memoire (up to five pages) to DFAT on the last day of the in-country mission. Present a version of the memoire to Bappenas. </w:t>
      </w:r>
    </w:p>
    <w:p w14:paraId="00DD96AA" w14:textId="77777777" w:rsidR="009617CD" w:rsidRPr="009617CD" w:rsidRDefault="009617CD" w:rsidP="006B32D6">
      <w:pPr>
        <w:numPr>
          <w:ilvl w:val="0"/>
          <w:numId w:val="4"/>
        </w:numPr>
        <w:spacing w:before="0" w:after="160" w:line="259" w:lineRule="auto"/>
        <w:contextualSpacing/>
        <w:rPr>
          <w:sz w:val="22"/>
          <w:szCs w:val="22"/>
        </w:rPr>
      </w:pPr>
      <w:r w:rsidRPr="009617CD">
        <w:rPr>
          <w:sz w:val="22"/>
          <w:szCs w:val="22"/>
          <w:u w:val="single"/>
        </w:rPr>
        <w:t>Draft report</w:t>
      </w:r>
      <w:r w:rsidRPr="009617CD">
        <w:rPr>
          <w:sz w:val="22"/>
          <w:szCs w:val="22"/>
        </w:rPr>
        <w:t xml:space="preserve"> –a report not exceeding 30 pages to be submitted to DFAT within two weeks of the in-country mission. </w:t>
      </w:r>
    </w:p>
    <w:p w14:paraId="4FE9B56C" w14:textId="77777777" w:rsidR="009617CD" w:rsidRPr="009617CD" w:rsidRDefault="009617CD" w:rsidP="006B32D6">
      <w:pPr>
        <w:numPr>
          <w:ilvl w:val="0"/>
          <w:numId w:val="4"/>
        </w:numPr>
        <w:spacing w:before="0" w:after="160" w:line="259" w:lineRule="auto"/>
        <w:contextualSpacing/>
        <w:rPr>
          <w:b/>
          <w:sz w:val="22"/>
          <w:szCs w:val="22"/>
        </w:rPr>
      </w:pPr>
      <w:r w:rsidRPr="009617CD">
        <w:rPr>
          <w:sz w:val="22"/>
          <w:szCs w:val="22"/>
          <w:u w:val="single"/>
        </w:rPr>
        <w:t>The final report</w:t>
      </w:r>
      <w:r w:rsidRPr="009617CD">
        <w:rPr>
          <w:sz w:val="22"/>
          <w:szCs w:val="22"/>
        </w:rPr>
        <w:t>- to be submitted no later than two weeks after receiving DFAT’s comments</w:t>
      </w:r>
      <w:r w:rsidRPr="009617CD">
        <w:rPr>
          <w:b/>
          <w:sz w:val="22"/>
          <w:szCs w:val="22"/>
        </w:rPr>
        <w:t xml:space="preserve">. </w:t>
      </w:r>
      <w:r w:rsidRPr="009617CD">
        <w:rPr>
          <w:sz w:val="22"/>
          <w:szCs w:val="22"/>
        </w:rPr>
        <w:t xml:space="preserve">The final report will be published on DFAT’s website. </w:t>
      </w:r>
    </w:p>
    <w:p w14:paraId="53E1DCE1" w14:textId="77777777" w:rsidR="009617CD" w:rsidRPr="009617CD" w:rsidRDefault="009617CD" w:rsidP="009617CD">
      <w:pPr>
        <w:rPr>
          <w:b/>
          <w:sz w:val="22"/>
          <w:szCs w:val="22"/>
        </w:rPr>
      </w:pPr>
      <w:r w:rsidRPr="009617CD">
        <w:rPr>
          <w:b/>
          <w:sz w:val="22"/>
          <w:szCs w:val="22"/>
        </w:rPr>
        <w:t>List of Recommended Document</w:t>
      </w:r>
    </w:p>
    <w:p w14:paraId="1AE39794"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design document</w:t>
      </w:r>
    </w:p>
    <w:p w14:paraId="283ADB90"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MEL Framework</w:t>
      </w:r>
    </w:p>
    <w:p w14:paraId="7505F222"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 xml:space="preserve">AIPJ2 Six Monthly Reports </w:t>
      </w:r>
    </w:p>
    <w:p w14:paraId="002705DB"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Aid Quality documents 2017 and 2018</w:t>
      </w:r>
    </w:p>
    <w:p w14:paraId="74184DA4"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Significant Policy Changes</w:t>
      </w:r>
    </w:p>
    <w:p w14:paraId="6367776D" w14:textId="77777777" w:rsidR="009617CD" w:rsidRPr="009617CD" w:rsidRDefault="009617CD" w:rsidP="006B32D6">
      <w:pPr>
        <w:numPr>
          <w:ilvl w:val="1"/>
          <w:numId w:val="15"/>
        </w:numPr>
        <w:spacing w:before="0" w:after="160" w:line="259" w:lineRule="auto"/>
        <w:contextualSpacing/>
        <w:rPr>
          <w:sz w:val="22"/>
          <w:szCs w:val="22"/>
        </w:rPr>
      </w:pPr>
      <w:r w:rsidRPr="009617CD">
        <w:rPr>
          <w:sz w:val="22"/>
          <w:szCs w:val="22"/>
        </w:rPr>
        <w:t>“Women in Contact with the Law/Promoting Gender Equality (Supreme Court Regulation 3/2017)”</w:t>
      </w:r>
    </w:p>
    <w:p w14:paraId="135D7993" w14:textId="77777777" w:rsidR="009617CD" w:rsidRPr="009617CD" w:rsidRDefault="009617CD" w:rsidP="006B32D6">
      <w:pPr>
        <w:numPr>
          <w:ilvl w:val="1"/>
          <w:numId w:val="15"/>
        </w:numPr>
        <w:spacing w:before="0" w:after="160" w:line="259" w:lineRule="auto"/>
        <w:contextualSpacing/>
        <w:rPr>
          <w:sz w:val="22"/>
          <w:szCs w:val="22"/>
        </w:rPr>
      </w:pPr>
      <w:r w:rsidRPr="009617CD">
        <w:rPr>
          <w:sz w:val="22"/>
          <w:szCs w:val="22"/>
        </w:rPr>
        <w:t xml:space="preserve">“Ministerial Regulation on the Implementation of Electronic Correction Database System” </w:t>
      </w:r>
    </w:p>
    <w:p w14:paraId="040DC23D"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Political Economy Analysis prepared by Murdoch</w:t>
      </w:r>
    </w:p>
    <w:p w14:paraId="1EE15CBA"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AIPJ2 GEDSI and Communication Strategy</w:t>
      </w:r>
    </w:p>
    <w:p w14:paraId="46AF18BF"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MAMPU 2018 Independent Strategic Review Report</w:t>
      </w:r>
    </w:p>
    <w:p w14:paraId="465534AC"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 xml:space="preserve">Australia’s Foreign Policy White paper </w:t>
      </w:r>
    </w:p>
    <w:p w14:paraId="4DD289CB"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Publication of Supreme Court of Indonesia and Family Court of Australia: “12 years of Innovation in Women’s Access to the Family Court in Indonesia”</w:t>
      </w:r>
    </w:p>
    <w:p w14:paraId="20FD0C63" w14:textId="77777777" w:rsidR="009617CD" w:rsidRPr="009617CD" w:rsidRDefault="009617CD" w:rsidP="006B32D6">
      <w:pPr>
        <w:numPr>
          <w:ilvl w:val="0"/>
          <w:numId w:val="15"/>
        </w:numPr>
        <w:spacing w:before="0" w:after="160" w:line="259" w:lineRule="auto"/>
        <w:contextualSpacing/>
        <w:rPr>
          <w:sz w:val="22"/>
          <w:szCs w:val="22"/>
        </w:rPr>
      </w:pPr>
      <w:r w:rsidRPr="009617CD">
        <w:rPr>
          <w:sz w:val="22"/>
          <w:szCs w:val="22"/>
        </w:rPr>
        <w:t xml:space="preserve">Other relevant documentation as necessary. </w:t>
      </w:r>
    </w:p>
    <w:p w14:paraId="26D0EB10" w14:textId="77777777" w:rsidR="009617CD" w:rsidRPr="004351AA" w:rsidRDefault="009617CD" w:rsidP="009617CD"/>
    <w:p w14:paraId="0C6BF7AB" w14:textId="5918A793" w:rsidR="009617CD" w:rsidRDefault="009617CD" w:rsidP="009617CD">
      <w:pPr>
        <w:spacing w:before="240" w:after="240"/>
        <w:rPr>
          <w:rFonts w:asciiTheme="majorHAnsi" w:hAnsiTheme="majorHAnsi" w:cstheme="majorHAnsi"/>
          <w:b/>
          <w:bCs/>
          <w:color w:val="00B0F0"/>
          <w:sz w:val="32"/>
          <w:szCs w:val="32"/>
          <w:lang w:val="en-AU"/>
        </w:rPr>
      </w:pPr>
    </w:p>
    <w:p w14:paraId="21E18979" w14:textId="64639CFA" w:rsidR="00262AFF" w:rsidRDefault="00262AFF" w:rsidP="009617CD">
      <w:pPr>
        <w:spacing w:before="240" w:after="240"/>
        <w:rPr>
          <w:rFonts w:asciiTheme="majorHAnsi" w:hAnsiTheme="majorHAnsi" w:cstheme="majorHAnsi"/>
          <w:b/>
          <w:bCs/>
          <w:color w:val="00B0F0"/>
          <w:sz w:val="32"/>
          <w:szCs w:val="32"/>
          <w:lang w:val="en-AU"/>
        </w:rPr>
      </w:pPr>
    </w:p>
    <w:p w14:paraId="5C8A2199" w14:textId="3A37D14F" w:rsidR="00262AFF" w:rsidRDefault="00262AFF" w:rsidP="009617CD">
      <w:pPr>
        <w:spacing w:before="240" w:after="240"/>
        <w:rPr>
          <w:rFonts w:asciiTheme="majorHAnsi" w:hAnsiTheme="majorHAnsi" w:cstheme="majorHAnsi"/>
          <w:b/>
          <w:bCs/>
          <w:color w:val="00B0F0"/>
          <w:sz w:val="32"/>
          <w:szCs w:val="32"/>
          <w:lang w:val="en-AU"/>
        </w:rPr>
      </w:pPr>
    </w:p>
    <w:p w14:paraId="0A659EAA" w14:textId="7784A6DD" w:rsidR="00262AFF" w:rsidRDefault="00262AFF" w:rsidP="009617CD">
      <w:pPr>
        <w:spacing w:before="240" w:after="240"/>
        <w:rPr>
          <w:rFonts w:asciiTheme="majorHAnsi" w:hAnsiTheme="majorHAnsi" w:cstheme="majorHAnsi"/>
          <w:b/>
          <w:bCs/>
          <w:color w:val="00B0F0"/>
          <w:sz w:val="32"/>
          <w:szCs w:val="32"/>
          <w:lang w:val="en-AU"/>
        </w:rPr>
      </w:pPr>
    </w:p>
    <w:p w14:paraId="37025496" w14:textId="6F73D256" w:rsidR="00262AFF" w:rsidRDefault="00262AFF" w:rsidP="009617CD">
      <w:pPr>
        <w:spacing w:before="240" w:after="240"/>
        <w:rPr>
          <w:rFonts w:asciiTheme="majorHAnsi" w:hAnsiTheme="majorHAnsi" w:cstheme="majorHAnsi"/>
          <w:b/>
          <w:bCs/>
          <w:color w:val="00B0F0"/>
          <w:sz w:val="32"/>
          <w:szCs w:val="32"/>
          <w:lang w:val="en-AU"/>
        </w:rPr>
      </w:pPr>
    </w:p>
    <w:p w14:paraId="495910E6" w14:textId="78EA1181" w:rsidR="00262AFF" w:rsidRDefault="00262AFF" w:rsidP="009617CD">
      <w:pPr>
        <w:spacing w:before="240" w:after="240"/>
        <w:rPr>
          <w:rFonts w:asciiTheme="majorHAnsi" w:hAnsiTheme="majorHAnsi" w:cstheme="majorHAnsi"/>
          <w:b/>
          <w:bCs/>
          <w:color w:val="00B0F0"/>
          <w:sz w:val="32"/>
          <w:szCs w:val="32"/>
          <w:lang w:val="en-AU"/>
        </w:rPr>
      </w:pPr>
    </w:p>
    <w:p w14:paraId="46AE8CC8" w14:textId="315BA581" w:rsidR="00262AFF" w:rsidRDefault="00262AFF" w:rsidP="009617CD">
      <w:pPr>
        <w:spacing w:before="240" w:after="240"/>
        <w:rPr>
          <w:rFonts w:asciiTheme="majorHAnsi" w:hAnsiTheme="majorHAnsi" w:cstheme="majorHAnsi"/>
          <w:b/>
          <w:bCs/>
          <w:color w:val="00B0F0"/>
          <w:sz w:val="32"/>
          <w:szCs w:val="32"/>
          <w:lang w:val="en-AU"/>
        </w:rPr>
      </w:pPr>
    </w:p>
    <w:p w14:paraId="23E91F54" w14:textId="795A6176" w:rsidR="00262AFF" w:rsidRDefault="00262AFF" w:rsidP="009617CD">
      <w:pPr>
        <w:spacing w:before="240" w:after="240"/>
        <w:rPr>
          <w:rFonts w:asciiTheme="majorHAnsi" w:hAnsiTheme="majorHAnsi" w:cstheme="majorHAnsi"/>
          <w:b/>
          <w:bCs/>
          <w:color w:val="00B0F0"/>
          <w:sz w:val="32"/>
          <w:szCs w:val="32"/>
          <w:lang w:val="en-AU"/>
        </w:rPr>
      </w:pPr>
    </w:p>
    <w:p w14:paraId="1B59D97D" w14:textId="77777777" w:rsidR="00FF5485" w:rsidRDefault="00FF5485" w:rsidP="009617CD">
      <w:pPr>
        <w:spacing w:before="240" w:after="240"/>
        <w:rPr>
          <w:rFonts w:asciiTheme="majorHAnsi" w:hAnsiTheme="majorHAnsi" w:cstheme="majorHAnsi"/>
          <w:b/>
          <w:bCs/>
          <w:color w:val="00B0F0"/>
          <w:sz w:val="32"/>
          <w:szCs w:val="32"/>
          <w:lang w:val="en-AU"/>
        </w:rPr>
      </w:pPr>
    </w:p>
    <w:p w14:paraId="283243C0" w14:textId="2B5DE91B" w:rsidR="00262AFF" w:rsidRDefault="00262AFF" w:rsidP="009617CD">
      <w:pPr>
        <w:spacing w:before="240" w:after="240"/>
        <w:rPr>
          <w:rFonts w:asciiTheme="majorHAnsi" w:hAnsiTheme="majorHAnsi" w:cstheme="majorHAnsi"/>
          <w:b/>
          <w:bCs/>
          <w:color w:val="00B0F0"/>
          <w:sz w:val="32"/>
          <w:szCs w:val="32"/>
          <w:lang w:val="en-AU"/>
        </w:rPr>
      </w:pPr>
    </w:p>
    <w:p w14:paraId="187A9230" w14:textId="77777777" w:rsidR="00262AFF" w:rsidRDefault="00262AFF" w:rsidP="00262AFF">
      <w:pPr>
        <w:spacing w:before="240" w:after="240"/>
        <w:rPr>
          <w:rFonts w:asciiTheme="majorHAnsi" w:hAnsiTheme="majorHAnsi" w:cstheme="majorHAnsi"/>
          <w:b/>
          <w:bCs/>
          <w:color w:val="00B0F0"/>
          <w:sz w:val="32"/>
          <w:szCs w:val="32"/>
          <w:lang w:val="en-AU"/>
        </w:rPr>
      </w:pPr>
      <w:r w:rsidRPr="009617CD">
        <w:rPr>
          <w:rFonts w:asciiTheme="majorHAnsi" w:hAnsiTheme="majorHAnsi" w:cstheme="majorHAnsi"/>
          <w:b/>
          <w:bCs/>
          <w:color w:val="00B0F0"/>
          <w:sz w:val="32"/>
          <w:szCs w:val="32"/>
          <w:lang w:val="en-AU"/>
        </w:rPr>
        <w:t xml:space="preserve">Annex </w:t>
      </w:r>
      <w:r>
        <w:rPr>
          <w:rFonts w:asciiTheme="majorHAnsi" w:hAnsiTheme="majorHAnsi" w:cstheme="majorHAnsi"/>
          <w:b/>
          <w:bCs/>
          <w:color w:val="00B0F0"/>
          <w:sz w:val="32"/>
          <w:szCs w:val="32"/>
          <w:lang w:val="en-AU"/>
        </w:rPr>
        <w:t>2</w:t>
      </w:r>
      <w:r w:rsidRPr="009617CD">
        <w:rPr>
          <w:rFonts w:asciiTheme="majorHAnsi" w:hAnsiTheme="majorHAnsi" w:cstheme="majorHAnsi"/>
          <w:b/>
          <w:bCs/>
          <w:color w:val="00B0F0"/>
          <w:sz w:val="32"/>
          <w:szCs w:val="32"/>
          <w:lang w:val="en-AU"/>
        </w:rPr>
        <w:t>:</w:t>
      </w:r>
      <w:r>
        <w:rPr>
          <w:rFonts w:asciiTheme="majorHAnsi" w:hAnsiTheme="majorHAnsi" w:cstheme="majorHAnsi"/>
          <w:b/>
          <w:bCs/>
          <w:color w:val="00B0F0"/>
          <w:sz w:val="32"/>
          <w:szCs w:val="32"/>
          <w:lang w:val="en-AU"/>
        </w:rPr>
        <w:t xml:space="preserve"> </w:t>
      </w:r>
      <w:r w:rsidRPr="009617CD">
        <w:rPr>
          <w:rFonts w:asciiTheme="majorHAnsi" w:hAnsiTheme="majorHAnsi" w:cstheme="majorHAnsi"/>
          <w:b/>
          <w:bCs/>
          <w:color w:val="00B0F0"/>
          <w:sz w:val="32"/>
          <w:szCs w:val="32"/>
          <w:lang w:val="en-AU"/>
        </w:rPr>
        <w:t xml:space="preserve">Mid-term </w:t>
      </w:r>
      <w:r>
        <w:rPr>
          <w:rFonts w:asciiTheme="majorHAnsi" w:hAnsiTheme="majorHAnsi" w:cstheme="majorHAnsi"/>
          <w:b/>
          <w:bCs/>
          <w:color w:val="00B0F0"/>
          <w:sz w:val="32"/>
          <w:szCs w:val="32"/>
          <w:lang w:val="en-AU"/>
        </w:rPr>
        <w:t>r</w:t>
      </w:r>
      <w:r w:rsidRPr="009617CD">
        <w:rPr>
          <w:rFonts w:asciiTheme="majorHAnsi" w:hAnsiTheme="majorHAnsi" w:cstheme="majorHAnsi"/>
          <w:b/>
          <w:bCs/>
          <w:color w:val="00B0F0"/>
          <w:sz w:val="32"/>
          <w:szCs w:val="32"/>
          <w:lang w:val="en-AU"/>
        </w:rPr>
        <w:t xml:space="preserve">eview </w:t>
      </w:r>
      <w:r>
        <w:rPr>
          <w:rFonts w:asciiTheme="majorHAnsi" w:hAnsiTheme="majorHAnsi" w:cstheme="majorHAnsi"/>
          <w:b/>
          <w:bCs/>
          <w:color w:val="00B0F0"/>
          <w:sz w:val="32"/>
          <w:szCs w:val="32"/>
          <w:lang w:val="en-AU"/>
        </w:rPr>
        <w:t>methodology</w:t>
      </w:r>
    </w:p>
    <w:p w14:paraId="3146F7D5" w14:textId="77777777" w:rsidR="00262AFF" w:rsidRDefault="00262AFF" w:rsidP="00262AFF">
      <w:pPr>
        <w:pStyle w:val="Heading1"/>
        <w:rPr>
          <w:rFonts w:ascii="Calibri Light" w:hAnsi="Calibri Light" w:cs="Calibri Light"/>
          <w:sz w:val="22"/>
          <w:szCs w:val="22"/>
        </w:rPr>
      </w:pPr>
      <w:r>
        <w:rPr>
          <w:color w:val="00B0F0"/>
        </w:rPr>
        <w:t>Introduction</w:t>
      </w:r>
    </w:p>
    <w:p w14:paraId="0A9E694B" w14:textId="77777777" w:rsidR="00262AFF" w:rsidRPr="00A436A8" w:rsidRDefault="00262AFF" w:rsidP="00262AFF">
      <w:pPr>
        <w:rPr>
          <w:rFonts w:ascii="Calibri Light" w:hAnsi="Calibri Light" w:cs="Calibri Light"/>
          <w:sz w:val="22"/>
          <w:szCs w:val="22"/>
        </w:rPr>
      </w:pPr>
      <w:r w:rsidRPr="00A436A8">
        <w:rPr>
          <w:rFonts w:ascii="Calibri Light" w:hAnsi="Calibri Light" w:cs="Calibri Light"/>
          <w:sz w:val="22"/>
          <w:szCs w:val="22"/>
        </w:rPr>
        <w:t>The review was conducted by a three-person team: Lisa Denney – a justice and security sector expert, experienced on issues of access to justice, political economy and adaptive programming; Binziad Kadafi, an experienced Indonesian legal expert, whose work has covered many aspects of AIPJ2’s portfolio; and Simon Henderson – evaluation specialist (team leader). The review was implemented during May – September 2019 in three phases: a) document review, preliminary scoping discussions and review planning; b) in-country consultations (held during 1-12 July); and c) data analysis, follow-up questions and report writing.</w:t>
      </w:r>
    </w:p>
    <w:p w14:paraId="7A3A1D96" w14:textId="77777777" w:rsidR="00262AFF" w:rsidRDefault="00262AFF" w:rsidP="00262AFF">
      <w:pPr>
        <w:pStyle w:val="Heading1"/>
        <w:rPr>
          <w:rFonts w:ascii="Calibri Light" w:hAnsi="Calibri Light" w:cs="Calibri Light"/>
          <w:sz w:val="22"/>
          <w:szCs w:val="22"/>
        </w:rPr>
      </w:pPr>
      <w:r>
        <w:rPr>
          <w:color w:val="00B0F0"/>
        </w:rPr>
        <w:t>Purpose</w:t>
      </w:r>
    </w:p>
    <w:p w14:paraId="228DFE4D" w14:textId="77777777" w:rsidR="00262AFF" w:rsidRPr="00A436A8" w:rsidRDefault="00262AFF" w:rsidP="00262AFF">
      <w:pPr>
        <w:rPr>
          <w:rFonts w:ascii="Calibri Light" w:hAnsi="Calibri Light" w:cs="Calibri Light"/>
          <w:sz w:val="22"/>
          <w:szCs w:val="22"/>
        </w:rPr>
      </w:pPr>
      <w:r w:rsidRPr="00A436A8">
        <w:rPr>
          <w:rFonts w:ascii="Calibri Light" w:hAnsi="Calibri Light" w:cs="Calibri Light"/>
          <w:sz w:val="22"/>
          <w:szCs w:val="22"/>
        </w:rPr>
        <w:t>The primary purpose of the mid-term review was formative: to provide DFAT with an independent assessment of progress that could inform the remainder of the phase.</w:t>
      </w:r>
    </w:p>
    <w:p w14:paraId="3C619EB9" w14:textId="77777777" w:rsidR="00262AFF" w:rsidRPr="00A436A8" w:rsidRDefault="00262AFF" w:rsidP="00262AFF">
      <w:pPr>
        <w:pStyle w:val="Heading1"/>
        <w:rPr>
          <w:color w:val="00B0F0"/>
        </w:rPr>
      </w:pPr>
      <w:r w:rsidRPr="00A436A8">
        <w:rPr>
          <w:color w:val="00B0F0"/>
        </w:rPr>
        <w:t>Key questions</w:t>
      </w:r>
    </w:p>
    <w:p w14:paraId="0812F561" w14:textId="77777777" w:rsidR="00262AFF" w:rsidRPr="00A436A8" w:rsidRDefault="00262AFF" w:rsidP="00262AFF">
      <w:pPr>
        <w:rPr>
          <w:rFonts w:ascii="Calibri Light" w:hAnsi="Calibri Light" w:cs="Calibri Light"/>
          <w:sz w:val="22"/>
          <w:szCs w:val="22"/>
        </w:rPr>
      </w:pPr>
      <w:r w:rsidRPr="00A436A8">
        <w:rPr>
          <w:rFonts w:ascii="Calibri Light" w:hAnsi="Calibri Light" w:cs="Calibri Light"/>
          <w:sz w:val="22"/>
          <w:szCs w:val="22"/>
        </w:rPr>
        <w:t xml:space="preserve">The review TOR sets out the key evaluation questions for development by the MTR team.  A call was held with staff at the embassy in Jakarta to clarify DFAT’s priorities and interests and in addition a list of key issues was also provided by the First Secretary responsible for AIPJ2.  </w:t>
      </w:r>
    </w:p>
    <w:p w14:paraId="5A5C395E" w14:textId="77777777" w:rsidR="00262AFF" w:rsidRPr="00A436A8" w:rsidRDefault="00262AFF" w:rsidP="00262AFF">
      <w:pPr>
        <w:rPr>
          <w:rFonts w:ascii="Calibri Light" w:hAnsi="Calibri Light" w:cs="Calibri Light"/>
          <w:sz w:val="22"/>
          <w:szCs w:val="22"/>
        </w:rPr>
      </w:pPr>
      <w:r w:rsidRPr="00A436A8">
        <w:rPr>
          <w:rFonts w:ascii="Calibri Light" w:hAnsi="Calibri Light" w:cs="Calibri Light"/>
          <w:sz w:val="22"/>
          <w:szCs w:val="22"/>
        </w:rPr>
        <w:t>Based on these materials, and the review’s Purpose, the MTR team</w:t>
      </w:r>
      <w:r>
        <w:rPr>
          <w:rFonts w:ascii="Calibri Light" w:hAnsi="Calibri Light" w:cs="Calibri Light"/>
          <w:sz w:val="22"/>
          <w:szCs w:val="22"/>
        </w:rPr>
        <w:t>’s</w:t>
      </w:r>
      <w:r w:rsidRPr="00A436A8">
        <w:rPr>
          <w:rFonts w:ascii="Calibri Light" w:hAnsi="Calibri Light" w:cs="Calibri Light"/>
          <w:sz w:val="22"/>
          <w:szCs w:val="22"/>
        </w:rPr>
        <w:t xml:space="preserve"> response to the TOR questions</w:t>
      </w:r>
      <w:r>
        <w:rPr>
          <w:rFonts w:ascii="Calibri Light" w:hAnsi="Calibri Light" w:cs="Calibri Light"/>
          <w:sz w:val="22"/>
          <w:szCs w:val="22"/>
        </w:rPr>
        <w:t xml:space="preserve"> was as follows</w:t>
      </w:r>
      <w:r w:rsidRPr="00A436A8">
        <w:rPr>
          <w:rFonts w:ascii="Calibri Light" w:hAnsi="Calibri Light" w:cs="Calibri Light"/>
          <w:sz w:val="22"/>
          <w:szCs w:val="22"/>
        </w:rPr>
        <w:t xml:space="preserve">:   </w:t>
      </w:r>
    </w:p>
    <w:tbl>
      <w:tblPr>
        <w:tblStyle w:val="TableGrid"/>
        <w:tblW w:w="10348" w:type="dxa"/>
        <w:tblInd w:w="-714" w:type="dxa"/>
        <w:tblLook w:val="04A0" w:firstRow="1" w:lastRow="0" w:firstColumn="1" w:lastColumn="0" w:noHBand="0" w:noVBand="1"/>
      </w:tblPr>
      <w:tblGrid>
        <w:gridCol w:w="2835"/>
        <w:gridCol w:w="7513"/>
      </w:tblGrid>
      <w:tr w:rsidR="00262AFF" w14:paraId="5CBC3C6A" w14:textId="77777777" w:rsidTr="005A3C1F">
        <w:tc>
          <w:tcPr>
            <w:tcW w:w="2835" w:type="dxa"/>
          </w:tcPr>
          <w:p w14:paraId="1F11AEA8" w14:textId="77777777" w:rsidR="00262AFF" w:rsidRPr="00D76E5A" w:rsidRDefault="00262AFF" w:rsidP="005A3C1F">
            <w:pPr>
              <w:rPr>
                <w:b/>
                <w:bCs/>
                <w:sz w:val="16"/>
                <w:szCs w:val="22"/>
              </w:rPr>
            </w:pPr>
            <w:r w:rsidRPr="00D76E5A">
              <w:rPr>
                <w:b/>
                <w:bCs/>
                <w:sz w:val="16"/>
                <w:szCs w:val="22"/>
              </w:rPr>
              <w:t>TOR Qs</w:t>
            </w:r>
          </w:p>
        </w:tc>
        <w:tc>
          <w:tcPr>
            <w:tcW w:w="7513" w:type="dxa"/>
            <w:tcBorders>
              <w:bottom w:val="single" w:sz="4" w:space="0" w:color="auto"/>
            </w:tcBorders>
          </w:tcPr>
          <w:p w14:paraId="04661EE7" w14:textId="77777777" w:rsidR="00262AFF" w:rsidRPr="0086685F" w:rsidRDefault="00262AFF" w:rsidP="005A3C1F">
            <w:pPr>
              <w:rPr>
                <w:rFonts w:ascii="Calibri Light" w:hAnsi="Calibri Light" w:cs="Calibri Light"/>
                <w:b/>
                <w:bCs/>
                <w:sz w:val="16"/>
                <w:szCs w:val="22"/>
              </w:rPr>
            </w:pPr>
            <w:r w:rsidRPr="0086685F">
              <w:rPr>
                <w:rFonts w:ascii="Calibri Light" w:hAnsi="Calibri Light" w:cs="Calibri Light"/>
                <w:b/>
                <w:bCs/>
                <w:sz w:val="16"/>
                <w:szCs w:val="22"/>
              </w:rPr>
              <w:t>MTR response</w:t>
            </w:r>
          </w:p>
        </w:tc>
      </w:tr>
      <w:tr w:rsidR="00262AFF" w14:paraId="72593628" w14:textId="77777777" w:rsidTr="005A3C1F">
        <w:trPr>
          <w:trHeight w:val="852"/>
        </w:trPr>
        <w:tc>
          <w:tcPr>
            <w:tcW w:w="2835" w:type="dxa"/>
          </w:tcPr>
          <w:p w14:paraId="3C6686B3" w14:textId="77777777" w:rsidR="00262AFF" w:rsidRPr="00BF6A46" w:rsidRDefault="00262AFF" w:rsidP="005A3C1F">
            <w:pPr>
              <w:spacing w:before="60" w:after="60"/>
              <w:rPr>
                <w:rFonts w:asciiTheme="majorHAnsi" w:hAnsiTheme="majorHAnsi" w:cstheme="majorHAnsi"/>
                <w:sz w:val="16"/>
                <w:szCs w:val="22"/>
                <w:highlight w:val="yellow"/>
              </w:rPr>
            </w:pPr>
            <w:r w:rsidRPr="00BF6A46">
              <w:rPr>
                <w:rFonts w:ascii="Calibri Light" w:eastAsia="Times New Roman" w:hAnsi="Calibri Light" w:cs="Calibri Light"/>
                <w:sz w:val="16"/>
                <w:szCs w:val="22"/>
                <w:lang w:eastAsia="en-AU"/>
              </w:rPr>
              <w:t>1. How is AIPJ2 targeting and contributing to democratic resilience in Indonesia? Is there scope to do more in the second half of the program?</w:t>
            </w:r>
          </w:p>
        </w:tc>
        <w:tc>
          <w:tcPr>
            <w:tcW w:w="7513" w:type="dxa"/>
            <w:tcBorders>
              <w:bottom w:val="single" w:sz="4" w:space="0" w:color="auto"/>
            </w:tcBorders>
          </w:tcPr>
          <w:p w14:paraId="444A52D9" w14:textId="77777777" w:rsidR="00262AFF" w:rsidRPr="00D76E5A" w:rsidRDefault="00262AFF" w:rsidP="005A3C1F">
            <w:pPr>
              <w:spacing w:before="60" w:after="60"/>
              <w:rPr>
                <w:rFonts w:ascii="Calibri Light" w:hAnsi="Calibri Light" w:cs="Calibri Light"/>
                <w:sz w:val="16"/>
                <w:szCs w:val="22"/>
              </w:rPr>
            </w:pPr>
            <w:r>
              <w:rPr>
                <w:rFonts w:ascii="Calibri Light" w:hAnsi="Calibri Light" w:cs="Calibri Light"/>
                <w:sz w:val="16"/>
                <w:szCs w:val="22"/>
              </w:rPr>
              <w:t xml:space="preserve">The MTR considered </w:t>
            </w:r>
            <w:r w:rsidRPr="00D76E5A">
              <w:rPr>
                <w:rFonts w:ascii="Calibri Light" w:hAnsi="Calibri Light" w:cs="Calibri Light"/>
                <w:sz w:val="16"/>
                <w:szCs w:val="22"/>
              </w:rPr>
              <w:t xml:space="preserve">AIPJ2’s relevance to the concept and the extent to which DFAT itself has a developed a practicable, working definition of the concept. </w:t>
            </w:r>
          </w:p>
        </w:tc>
      </w:tr>
      <w:tr w:rsidR="00262AFF" w14:paraId="10C88B96" w14:textId="77777777" w:rsidTr="005A3C1F">
        <w:tc>
          <w:tcPr>
            <w:tcW w:w="2835" w:type="dxa"/>
          </w:tcPr>
          <w:p w14:paraId="637F88E0" w14:textId="77777777" w:rsidR="00262AFF" w:rsidRPr="00BF6A46" w:rsidRDefault="00262AFF" w:rsidP="005A3C1F">
            <w:pPr>
              <w:spacing w:before="60" w:after="60"/>
              <w:rPr>
                <w:rFonts w:asciiTheme="majorHAnsi" w:hAnsiTheme="majorHAnsi" w:cstheme="majorHAnsi"/>
                <w:sz w:val="16"/>
                <w:szCs w:val="22"/>
              </w:rPr>
            </w:pPr>
            <w:r w:rsidRPr="00BF6A46">
              <w:rPr>
                <w:rFonts w:ascii="Calibri Light" w:eastAsia="Times New Roman" w:hAnsi="Calibri Light" w:cs="Calibri Light"/>
                <w:sz w:val="16"/>
                <w:szCs w:val="22"/>
                <w:lang w:eastAsia="en-AU"/>
              </w:rPr>
              <w:t>2. To what extent is AIPJ2 achieving its intermediate end-of-facility outcomes and making progress towards its end-of-facility outcomes (EOFOs)?</w:t>
            </w:r>
          </w:p>
        </w:tc>
        <w:tc>
          <w:tcPr>
            <w:tcW w:w="7513" w:type="dxa"/>
            <w:tcBorders>
              <w:top w:val="single" w:sz="4" w:space="0" w:color="auto"/>
            </w:tcBorders>
          </w:tcPr>
          <w:p w14:paraId="2EB2EC64" w14:textId="77777777" w:rsidR="00262AFF" w:rsidRDefault="00262AFF" w:rsidP="005A3C1F">
            <w:pPr>
              <w:spacing w:before="60" w:after="60"/>
              <w:rPr>
                <w:rFonts w:ascii="Calibri Light" w:hAnsi="Calibri Light" w:cs="Calibri Light"/>
                <w:sz w:val="16"/>
                <w:szCs w:val="22"/>
              </w:rPr>
            </w:pPr>
            <w:r>
              <w:rPr>
                <w:rFonts w:ascii="Calibri Light" w:hAnsi="Calibri Light" w:cs="Calibri Light"/>
                <w:sz w:val="16"/>
                <w:szCs w:val="22"/>
              </w:rPr>
              <w:t>The MTR did not make its own, separate assessment of outcomes achieved.  Instead it considered:</w:t>
            </w:r>
          </w:p>
          <w:p w14:paraId="21238B33" w14:textId="77777777" w:rsidR="00262AFF" w:rsidRDefault="00262AFF" w:rsidP="00262AFF">
            <w:pPr>
              <w:pStyle w:val="ListParagraph"/>
              <w:numPr>
                <w:ilvl w:val="0"/>
                <w:numId w:val="30"/>
              </w:numPr>
              <w:spacing w:before="60" w:after="60"/>
              <w:ind w:left="314" w:hanging="284"/>
              <w:rPr>
                <w:rFonts w:ascii="Calibri Light" w:hAnsi="Calibri Light" w:cs="Calibri Light"/>
                <w:sz w:val="16"/>
              </w:rPr>
            </w:pPr>
            <w:r w:rsidRPr="00AB7F54">
              <w:rPr>
                <w:rFonts w:ascii="Calibri Light" w:hAnsi="Calibri Light" w:cs="Calibri Light"/>
                <w:sz w:val="16"/>
              </w:rPr>
              <w:t xml:space="preserve">adequacy of </w:t>
            </w:r>
            <w:r>
              <w:rPr>
                <w:rFonts w:ascii="Calibri Light" w:hAnsi="Calibri Light" w:cs="Calibri Light"/>
                <w:sz w:val="16"/>
              </w:rPr>
              <w:t xml:space="preserve">AIPJ2’s </w:t>
            </w:r>
            <w:r w:rsidRPr="00AB7F54">
              <w:rPr>
                <w:rFonts w:ascii="Calibri Light" w:hAnsi="Calibri Light" w:cs="Calibri Light"/>
                <w:sz w:val="16"/>
              </w:rPr>
              <w:t>performance measurement and learning systems;</w:t>
            </w:r>
            <w:r>
              <w:rPr>
                <w:rFonts w:ascii="Calibri Light" w:hAnsi="Calibri Light" w:cs="Calibri Light"/>
                <w:sz w:val="16"/>
              </w:rPr>
              <w:t xml:space="preserve"> </w:t>
            </w:r>
          </w:p>
          <w:p w14:paraId="6B9FF951" w14:textId="77777777" w:rsidR="00262AFF" w:rsidRDefault="00262AFF" w:rsidP="00262AFF">
            <w:pPr>
              <w:pStyle w:val="ListParagraph"/>
              <w:numPr>
                <w:ilvl w:val="0"/>
                <w:numId w:val="30"/>
              </w:numPr>
              <w:spacing w:before="60" w:after="60"/>
              <w:ind w:left="314" w:hanging="284"/>
              <w:rPr>
                <w:rFonts w:ascii="Calibri Light" w:hAnsi="Calibri Light" w:cs="Calibri Light"/>
                <w:sz w:val="16"/>
              </w:rPr>
            </w:pPr>
            <w:r>
              <w:rPr>
                <w:rFonts w:ascii="Calibri Light" w:hAnsi="Calibri Light" w:cs="Calibri Light"/>
                <w:sz w:val="16"/>
              </w:rPr>
              <w:t xml:space="preserve">significance of </w:t>
            </w:r>
            <w:r w:rsidRPr="00AB7F54">
              <w:rPr>
                <w:rFonts w:ascii="Calibri Light" w:hAnsi="Calibri Light" w:cs="Calibri Light"/>
                <w:sz w:val="16"/>
              </w:rPr>
              <w:t>reported achievements</w:t>
            </w:r>
            <w:r>
              <w:rPr>
                <w:rFonts w:ascii="Calibri Light" w:hAnsi="Calibri Light" w:cs="Calibri Light"/>
                <w:sz w:val="16"/>
              </w:rPr>
              <w:t xml:space="preserve"> in a sample of areas of AIPJ2’s work</w:t>
            </w:r>
            <w:r w:rsidRPr="00AB7F54">
              <w:rPr>
                <w:rFonts w:ascii="Calibri Light" w:hAnsi="Calibri Light" w:cs="Calibri Light"/>
                <w:sz w:val="16"/>
              </w:rPr>
              <w:t>;</w:t>
            </w:r>
          </w:p>
          <w:p w14:paraId="732C97CD" w14:textId="77777777" w:rsidR="00262AFF" w:rsidRPr="00053FBD" w:rsidRDefault="00262AFF" w:rsidP="00262AFF">
            <w:pPr>
              <w:pStyle w:val="ListParagraph"/>
              <w:numPr>
                <w:ilvl w:val="0"/>
                <w:numId w:val="30"/>
              </w:numPr>
              <w:spacing w:before="60" w:after="60"/>
              <w:ind w:left="314" w:hanging="284"/>
              <w:rPr>
                <w:rFonts w:ascii="Calibri Light" w:hAnsi="Calibri Light" w:cs="Calibri Light"/>
                <w:sz w:val="16"/>
              </w:rPr>
            </w:pPr>
            <w:r w:rsidRPr="00AB7F54">
              <w:rPr>
                <w:rFonts w:ascii="Calibri Light" w:hAnsi="Calibri Light" w:cs="Calibri Light"/>
                <w:sz w:val="16"/>
              </w:rPr>
              <w:t>prospects of achieving the EOFOs</w:t>
            </w:r>
            <w:r>
              <w:rPr>
                <w:rFonts w:ascii="Calibri Light" w:hAnsi="Calibri Light" w:cs="Calibri Light"/>
                <w:sz w:val="16"/>
              </w:rPr>
              <w:t xml:space="preserve"> in a sample of areas of AIPJ2’s work.</w:t>
            </w:r>
          </w:p>
        </w:tc>
      </w:tr>
      <w:tr w:rsidR="00262AFF" w14:paraId="4316AE07" w14:textId="77777777" w:rsidTr="005A3C1F">
        <w:tc>
          <w:tcPr>
            <w:tcW w:w="2835" w:type="dxa"/>
          </w:tcPr>
          <w:p w14:paraId="789FB38F" w14:textId="77777777" w:rsidR="00262AFF" w:rsidRPr="00053FBD" w:rsidRDefault="00262AFF" w:rsidP="005A3C1F">
            <w:pPr>
              <w:rPr>
                <w:color w:val="2E74B5" w:themeColor="accent5" w:themeShade="BF"/>
                <w:sz w:val="16"/>
                <w:szCs w:val="22"/>
              </w:rPr>
            </w:pPr>
            <w:r w:rsidRPr="00053FBD">
              <w:rPr>
                <w:rFonts w:ascii="Calibri Light" w:eastAsia="Times New Roman" w:hAnsi="Calibri Light" w:cs="Calibri Light"/>
                <w:sz w:val="16"/>
                <w:szCs w:val="22"/>
                <w:lang w:eastAsia="en-AU"/>
              </w:rPr>
              <w:t>3. To what extent is AIPJ2 building Indonesian civil society and government capacity?</w:t>
            </w:r>
          </w:p>
        </w:tc>
        <w:tc>
          <w:tcPr>
            <w:tcW w:w="7513" w:type="dxa"/>
            <w:tcBorders>
              <w:bottom w:val="single" w:sz="4" w:space="0" w:color="auto"/>
            </w:tcBorders>
          </w:tcPr>
          <w:p w14:paraId="21B86C63" w14:textId="77777777" w:rsidR="00262AFF" w:rsidRDefault="00262AFF" w:rsidP="005A3C1F">
            <w:pPr>
              <w:spacing w:before="60" w:after="60"/>
              <w:rPr>
                <w:rFonts w:ascii="Calibri Light" w:hAnsi="Calibri Light" w:cs="Calibri Light"/>
                <w:sz w:val="16"/>
                <w:szCs w:val="22"/>
              </w:rPr>
            </w:pPr>
            <w:r>
              <w:rPr>
                <w:rFonts w:ascii="Calibri Light" w:hAnsi="Calibri Light" w:cs="Calibri Light"/>
                <w:sz w:val="16"/>
                <w:szCs w:val="22"/>
              </w:rPr>
              <w:t>I</w:t>
            </w:r>
            <w:r w:rsidRPr="0059354B">
              <w:rPr>
                <w:rFonts w:ascii="Calibri Light" w:hAnsi="Calibri Light" w:cs="Calibri Light"/>
                <w:sz w:val="16"/>
                <w:szCs w:val="22"/>
              </w:rPr>
              <w:t xml:space="preserve">n the time available, a comprehensive answer to this question </w:t>
            </w:r>
            <w:r>
              <w:rPr>
                <w:rFonts w:ascii="Calibri Light" w:hAnsi="Calibri Light" w:cs="Calibri Light"/>
                <w:sz w:val="16"/>
                <w:szCs w:val="22"/>
              </w:rPr>
              <w:t>was</w:t>
            </w:r>
            <w:r w:rsidRPr="0059354B">
              <w:rPr>
                <w:rFonts w:ascii="Calibri Light" w:hAnsi="Calibri Light" w:cs="Calibri Light"/>
                <w:sz w:val="16"/>
                <w:szCs w:val="22"/>
              </w:rPr>
              <w:t xml:space="preserve"> not feasible</w:t>
            </w:r>
            <w:r>
              <w:rPr>
                <w:rFonts w:ascii="Calibri Light" w:hAnsi="Calibri Light" w:cs="Calibri Light"/>
                <w:sz w:val="16"/>
                <w:szCs w:val="22"/>
              </w:rPr>
              <w:t xml:space="preserve">.   The MTR took a </w:t>
            </w:r>
            <w:r w:rsidRPr="00D76E5A">
              <w:rPr>
                <w:rFonts w:ascii="Calibri Light" w:hAnsi="Calibri Light" w:cs="Calibri Light"/>
                <w:sz w:val="16"/>
                <w:szCs w:val="22"/>
              </w:rPr>
              <w:t>cross-</w:t>
            </w:r>
            <w:r>
              <w:rPr>
                <w:rFonts w:ascii="Calibri Light" w:hAnsi="Calibri Light" w:cs="Calibri Light"/>
                <w:sz w:val="16"/>
                <w:szCs w:val="22"/>
              </w:rPr>
              <w:t>facility</w:t>
            </w:r>
            <w:r w:rsidRPr="00D76E5A">
              <w:rPr>
                <w:rFonts w:ascii="Calibri Light" w:hAnsi="Calibri Light" w:cs="Calibri Light"/>
                <w:sz w:val="16"/>
                <w:szCs w:val="22"/>
              </w:rPr>
              <w:t xml:space="preserve"> look at the </w:t>
            </w:r>
            <w:r w:rsidRPr="0059354B">
              <w:rPr>
                <w:rFonts w:ascii="Calibri Light" w:hAnsi="Calibri Light" w:cs="Calibri Light"/>
                <w:i/>
                <w:iCs/>
                <w:sz w:val="16"/>
                <w:szCs w:val="22"/>
              </w:rPr>
              <w:t>approach(es)</w:t>
            </w:r>
            <w:r w:rsidRPr="00D76E5A">
              <w:rPr>
                <w:rFonts w:ascii="Calibri Light" w:hAnsi="Calibri Light" w:cs="Calibri Light"/>
                <w:sz w:val="16"/>
                <w:szCs w:val="22"/>
              </w:rPr>
              <w:t xml:space="preserve"> AIPJ2 uses to build capacity in CSOs and GOI partners</w:t>
            </w:r>
            <w:r>
              <w:rPr>
                <w:rFonts w:ascii="Calibri Light" w:hAnsi="Calibri Light" w:cs="Calibri Light"/>
                <w:sz w:val="16"/>
                <w:szCs w:val="22"/>
              </w:rPr>
              <w:t xml:space="preserve">.  </w:t>
            </w:r>
          </w:p>
          <w:p w14:paraId="3B22DA1F" w14:textId="77777777" w:rsidR="00262AFF" w:rsidRPr="00D76E5A" w:rsidRDefault="00262AFF" w:rsidP="005A3C1F">
            <w:pPr>
              <w:spacing w:before="60" w:after="60"/>
              <w:rPr>
                <w:rFonts w:ascii="Calibri Light" w:hAnsi="Calibri Light" w:cs="Calibri Light"/>
                <w:sz w:val="16"/>
                <w:szCs w:val="22"/>
              </w:rPr>
            </w:pPr>
            <w:r>
              <w:rPr>
                <w:rFonts w:ascii="Calibri Light" w:hAnsi="Calibri Light" w:cs="Calibri Light"/>
                <w:sz w:val="16"/>
                <w:szCs w:val="22"/>
              </w:rPr>
              <w:t>We expected this would differ across pillars and by type of partner.  We therefore stratified AIPJ2 partners to reflect differences in AIPJ2’s engagement and in the stage of development of different AIPJ2 partners</w:t>
            </w:r>
          </w:p>
        </w:tc>
      </w:tr>
      <w:tr w:rsidR="00262AFF" w14:paraId="15E74811" w14:textId="77777777" w:rsidTr="005A3C1F">
        <w:trPr>
          <w:trHeight w:val="1875"/>
        </w:trPr>
        <w:tc>
          <w:tcPr>
            <w:tcW w:w="2835" w:type="dxa"/>
            <w:vMerge w:val="restart"/>
          </w:tcPr>
          <w:p w14:paraId="581F296B" w14:textId="77777777" w:rsidR="00262AFF" w:rsidRPr="00053FBD" w:rsidRDefault="00262AFF" w:rsidP="005A3C1F">
            <w:pPr>
              <w:rPr>
                <w:rFonts w:asciiTheme="majorHAnsi" w:hAnsiTheme="majorHAnsi" w:cstheme="majorHAnsi"/>
                <w:sz w:val="16"/>
                <w:szCs w:val="22"/>
                <w:highlight w:val="yellow"/>
              </w:rPr>
            </w:pPr>
            <w:r w:rsidRPr="00053FBD">
              <w:rPr>
                <w:rFonts w:ascii="Calibri Light" w:eastAsia="Times New Roman" w:hAnsi="Calibri Light" w:cs="Calibri Light"/>
                <w:sz w:val="16"/>
                <w:szCs w:val="22"/>
                <w:lang w:eastAsia="en-AU"/>
              </w:rPr>
              <w:t>4. Is AIPJ2’s modality and budget appropriate to deliver the end-of -facility outcome?</w:t>
            </w:r>
            <w:r w:rsidRPr="00053FBD">
              <w:rPr>
                <w:rFonts w:asciiTheme="majorHAnsi" w:hAnsiTheme="majorHAnsi" w:cstheme="majorHAnsi"/>
                <w:sz w:val="16"/>
                <w:szCs w:val="22"/>
                <w:highlight w:val="yellow"/>
              </w:rPr>
              <w:t xml:space="preserve"> </w:t>
            </w:r>
          </w:p>
          <w:p w14:paraId="3E84D6C5" w14:textId="77777777" w:rsidR="00262AFF" w:rsidRPr="00053FBD" w:rsidRDefault="00262AFF" w:rsidP="005A3C1F">
            <w:pPr>
              <w:rPr>
                <w:rFonts w:asciiTheme="majorHAnsi" w:hAnsiTheme="majorHAnsi" w:cstheme="majorHAnsi"/>
                <w:sz w:val="16"/>
                <w:szCs w:val="22"/>
              </w:rPr>
            </w:pPr>
          </w:p>
        </w:tc>
        <w:tc>
          <w:tcPr>
            <w:tcW w:w="7513" w:type="dxa"/>
            <w:tcBorders>
              <w:bottom w:val="dotted" w:sz="4" w:space="0" w:color="auto"/>
            </w:tcBorders>
          </w:tcPr>
          <w:p w14:paraId="093028CC" w14:textId="77777777" w:rsidR="00262AFF" w:rsidRDefault="00262AFF" w:rsidP="005A3C1F">
            <w:pPr>
              <w:spacing w:before="60" w:after="60"/>
              <w:rPr>
                <w:rFonts w:ascii="Calibri Light" w:hAnsi="Calibri Light" w:cs="Calibri Light"/>
                <w:sz w:val="16"/>
                <w:szCs w:val="22"/>
              </w:rPr>
            </w:pPr>
            <w:r>
              <w:rPr>
                <w:rFonts w:ascii="Calibri Light" w:hAnsi="Calibri Light" w:cs="Calibri Light"/>
                <w:sz w:val="16"/>
                <w:szCs w:val="22"/>
              </w:rPr>
              <w:t>Forming a view on the appropriateness of AIPJ2’s modality requires an understanding of how the facility model is working in practice.  The MTR addressed the question of</w:t>
            </w:r>
            <w:r w:rsidRPr="00D76E5A">
              <w:rPr>
                <w:rFonts w:ascii="Calibri Light" w:hAnsi="Calibri Light" w:cs="Calibri Light"/>
                <w:sz w:val="16"/>
                <w:szCs w:val="22"/>
              </w:rPr>
              <w:t xml:space="preserve"> AIPJ2’s ‘ways of working’</w:t>
            </w:r>
            <w:r>
              <w:rPr>
                <w:rFonts w:ascii="Calibri Light" w:hAnsi="Calibri Light" w:cs="Calibri Light"/>
                <w:sz w:val="16"/>
                <w:szCs w:val="22"/>
              </w:rPr>
              <w:t xml:space="preserve"> with a cross-facility review of practices.  F</w:t>
            </w:r>
            <w:r>
              <w:rPr>
                <w:rFonts w:ascii="Calibri Light" w:hAnsi="Calibri Light" w:cs="Calibri Light"/>
                <w:sz w:val="16"/>
              </w:rPr>
              <w:t>or a sample of areas of work, the review examined</w:t>
            </w:r>
            <w:r>
              <w:rPr>
                <w:rFonts w:ascii="Calibri Light" w:hAnsi="Calibri Light" w:cs="Calibri Light"/>
                <w:sz w:val="16"/>
                <w:szCs w:val="22"/>
              </w:rPr>
              <w:t>:</w:t>
            </w:r>
          </w:p>
          <w:p w14:paraId="1799DCCC" w14:textId="77777777" w:rsidR="00262AFF" w:rsidRPr="00C126B6" w:rsidRDefault="00262AFF" w:rsidP="00262AFF">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szCs w:val="22"/>
              </w:rPr>
              <w:t>whether</w:t>
            </w:r>
            <w:r w:rsidRPr="00C126B6">
              <w:rPr>
                <w:rFonts w:ascii="Calibri Light" w:hAnsi="Calibri Light" w:cs="Calibri Light"/>
                <w:sz w:val="16"/>
              </w:rPr>
              <w:t xml:space="preserve"> AIPJ2 ha</w:t>
            </w:r>
            <w:r>
              <w:rPr>
                <w:rFonts w:ascii="Calibri Light" w:hAnsi="Calibri Light" w:cs="Calibri Light"/>
                <w:sz w:val="16"/>
              </w:rPr>
              <w:t>s</w:t>
            </w:r>
            <w:r w:rsidRPr="00C126B6">
              <w:rPr>
                <w:rFonts w:ascii="Calibri Light" w:hAnsi="Calibri Light" w:cs="Calibri Light"/>
                <w:sz w:val="16"/>
              </w:rPr>
              <w:t xml:space="preserve"> a clear strategy that</w:t>
            </w:r>
            <w:r>
              <w:rPr>
                <w:rFonts w:ascii="Calibri Light" w:hAnsi="Calibri Light" w:cs="Calibri Light"/>
                <w:sz w:val="16"/>
              </w:rPr>
              <w:t xml:space="preserve"> i</w:t>
            </w:r>
            <w:r w:rsidRPr="00C126B6">
              <w:rPr>
                <w:rFonts w:ascii="Calibri Light" w:hAnsi="Calibri Light" w:cs="Calibri Light"/>
                <w:sz w:val="16"/>
              </w:rPr>
              <w:t>s well-communicated</w:t>
            </w:r>
            <w:r>
              <w:rPr>
                <w:rFonts w:ascii="Calibri Light" w:hAnsi="Calibri Light" w:cs="Calibri Light"/>
                <w:sz w:val="16"/>
              </w:rPr>
              <w:t>;</w:t>
            </w:r>
          </w:p>
          <w:p w14:paraId="04B84AEA" w14:textId="77777777" w:rsidR="00262AFF" w:rsidRPr="005E1A28" w:rsidRDefault="00262AFF" w:rsidP="00262AFF">
            <w:pPr>
              <w:pStyle w:val="ListParagraph"/>
              <w:numPr>
                <w:ilvl w:val="0"/>
                <w:numId w:val="31"/>
              </w:numPr>
              <w:spacing w:before="60" w:after="60"/>
              <w:ind w:left="317" w:hanging="283"/>
              <w:rPr>
                <w:rFonts w:ascii="Calibri Light" w:hAnsi="Calibri Light" w:cs="Calibri Light"/>
                <w:sz w:val="16"/>
                <w:szCs w:val="22"/>
              </w:rPr>
            </w:pPr>
            <w:r w:rsidRPr="005E1A28">
              <w:rPr>
                <w:rFonts w:ascii="Calibri Light" w:hAnsi="Calibri Light" w:cs="Calibri Light"/>
                <w:sz w:val="16"/>
                <w:szCs w:val="22"/>
              </w:rPr>
              <w:t>how has AIPJ2 identified, appraised and selected opportunities it supports;</w:t>
            </w:r>
            <w:r w:rsidRPr="00D76E5A">
              <w:rPr>
                <w:rFonts w:ascii="Calibri Light" w:hAnsi="Calibri Light" w:cs="Calibri Light"/>
                <w:sz w:val="16"/>
                <w:szCs w:val="22"/>
              </w:rPr>
              <w:t xml:space="preserve"> </w:t>
            </w:r>
          </w:p>
          <w:p w14:paraId="2D1EAD74" w14:textId="77777777" w:rsidR="00262AFF" w:rsidRPr="005E1A28" w:rsidRDefault="00262AFF" w:rsidP="00262AFF">
            <w:pPr>
              <w:pStyle w:val="ListParagraph"/>
              <w:numPr>
                <w:ilvl w:val="0"/>
                <w:numId w:val="31"/>
              </w:numPr>
              <w:spacing w:before="60" w:after="60"/>
              <w:ind w:left="317" w:hanging="283"/>
              <w:rPr>
                <w:rFonts w:ascii="Calibri Light" w:hAnsi="Calibri Light" w:cs="Calibri Light"/>
                <w:sz w:val="16"/>
                <w:szCs w:val="22"/>
              </w:rPr>
            </w:pPr>
            <w:r w:rsidRPr="005E1A28">
              <w:rPr>
                <w:rFonts w:ascii="Calibri Light" w:hAnsi="Calibri Light" w:cs="Calibri Light"/>
                <w:sz w:val="16"/>
                <w:szCs w:val="22"/>
              </w:rPr>
              <w:t>how responsive vs. targeted is AIPJ2’s approach in practice and how much flexibility remains at the mid-term point?</w:t>
            </w:r>
          </w:p>
          <w:p w14:paraId="0CF108B2" w14:textId="77777777" w:rsidR="00262AFF" w:rsidRPr="003F0DA3" w:rsidRDefault="00262AFF" w:rsidP="00262AFF">
            <w:pPr>
              <w:pStyle w:val="ListParagraph"/>
              <w:numPr>
                <w:ilvl w:val="0"/>
                <w:numId w:val="31"/>
              </w:numPr>
              <w:spacing w:before="60" w:after="60"/>
              <w:ind w:left="317" w:hanging="283"/>
              <w:rPr>
                <w:rFonts w:ascii="Calibri Light" w:hAnsi="Calibri Light" w:cs="Calibri Light"/>
                <w:i/>
                <w:iCs/>
                <w:sz w:val="16"/>
              </w:rPr>
            </w:pPr>
            <w:r w:rsidRPr="005E1A28">
              <w:rPr>
                <w:rFonts w:ascii="Calibri Light" w:hAnsi="Calibri Light" w:cs="Calibri Light"/>
                <w:sz w:val="16"/>
                <w:szCs w:val="22"/>
              </w:rPr>
              <w:t>how AIPJ2 monitors changes in the operating context and how</w:t>
            </w:r>
            <w:r>
              <w:rPr>
                <w:rFonts w:ascii="Calibri Light" w:hAnsi="Calibri Light" w:cs="Calibri Light"/>
                <w:sz w:val="16"/>
              </w:rPr>
              <w:t xml:space="preserve"> this informs its approach</w:t>
            </w:r>
          </w:p>
        </w:tc>
      </w:tr>
      <w:tr w:rsidR="00262AFF" w14:paraId="166D741A" w14:textId="77777777" w:rsidTr="005A3C1F">
        <w:trPr>
          <w:trHeight w:val="728"/>
        </w:trPr>
        <w:tc>
          <w:tcPr>
            <w:tcW w:w="2835" w:type="dxa"/>
            <w:vMerge/>
          </w:tcPr>
          <w:p w14:paraId="64C47EE1" w14:textId="77777777" w:rsidR="00262AFF" w:rsidRPr="00D76E5A" w:rsidRDefault="00262AFF" w:rsidP="005A3C1F">
            <w:pPr>
              <w:spacing w:line="259" w:lineRule="auto"/>
              <w:rPr>
                <w:b/>
                <w:bCs/>
                <w:color w:val="2E74B5" w:themeColor="accent5" w:themeShade="BF"/>
                <w:sz w:val="16"/>
                <w:szCs w:val="22"/>
              </w:rPr>
            </w:pPr>
          </w:p>
        </w:tc>
        <w:tc>
          <w:tcPr>
            <w:tcW w:w="7513" w:type="dxa"/>
            <w:tcBorders>
              <w:top w:val="dotted" w:sz="4" w:space="0" w:color="auto"/>
              <w:bottom w:val="single" w:sz="4" w:space="0" w:color="auto"/>
            </w:tcBorders>
          </w:tcPr>
          <w:p w14:paraId="61445B3F" w14:textId="77777777" w:rsidR="00262AFF" w:rsidRPr="00735DAE" w:rsidRDefault="00262AFF" w:rsidP="005A3C1F">
            <w:pPr>
              <w:spacing w:before="60" w:after="60"/>
              <w:rPr>
                <w:rFonts w:ascii="Calibri Light" w:hAnsi="Calibri Light" w:cs="Calibri Light"/>
                <w:sz w:val="16"/>
                <w:szCs w:val="22"/>
              </w:rPr>
            </w:pPr>
            <w:r w:rsidRPr="00735DAE">
              <w:rPr>
                <w:rFonts w:ascii="Calibri Light" w:hAnsi="Calibri Light" w:cs="Calibri Light"/>
                <w:sz w:val="16"/>
                <w:szCs w:val="22"/>
              </w:rPr>
              <w:t>The MTR assume</w:t>
            </w:r>
            <w:r>
              <w:rPr>
                <w:rFonts w:ascii="Calibri Light" w:hAnsi="Calibri Light" w:cs="Calibri Light"/>
                <w:sz w:val="16"/>
                <w:szCs w:val="22"/>
              </w:rPr>
              <w:t>d</w:t>
            </w:r>
            <w:r w:rsidRPr="00735DAE">
              <w:rPr>
                <w:rFonts w:ascii="Calibri Light" w:hAnsi="Calibri Light" w:cs="Calibri Light"/>
                <w:sz w:val="16"/>
                <w:szCs w:val="22"/>
              </w:rPr>
              <w:t xml:space="preserve"> that AIPJ2’s budget remains largely fixed for the remainder of the phase and so focus</w:t>
            </w:r>
            <w:r>
              <w:rPr>
                <w:rFonts w:ascii="Calibri Light" w:hAnsi="Calibri Light" w:cs="Calibri Light"/>
                <w:sz w:val="16"/>
                <w:szCs w:val="22"/>
              </w:rPr>
              <w:t xml:space="preserve">ed </w:t>
            </w:r>
            <w:r w:rsidRPr="00735DAE">
              <w:rPr>
                <w:rFonts w:ascii="Calibri Light" w:hAnsi="Calibri Light" w:cs="Calibri Light"/>
                <w:sz w:val="16"/>
                <w:szCs w:val="22"/>
              </w:rPr>
              <w:t xml:space="preserve">on the relative distribution of resources between its main areas of work </w:t>
            </w:r>
          </w:p>
        </w:tc>
      </w:tr>
      <w:tr w:rsidR="00262AFF" w14:paraId="7F73A465" w14:textId="77777777" w:rsidTr="005A3C1F">
        <w:trPr>
          <w:trHeight w:val="1975"/>
        </w:trPr>
        <w:tc>
          <w:tcPr>
            <w:tcW w:w="2835" w:type="dxa"/>
          </w:tcPr>
          <w:p w14:paraId="000BD8B9" w14:textId="77777777" w:rsidR="00262AFF" w:rsidRPr="0086685F" w:rsidRDefault="00262AFF" w:rsidP="005A3C1F">
            <w:pPr>
              <w:spacing w:line="259" w:lineRule="auto"/>
              <w:rPr>
                <w:rFonts w:ascii="Calibri Light" w:eastAsia="Times New Roman" w:hAnsi="Calibri Light" w:cs="Calibri Light"/>
                <w:sz w:val="16"/>
                <w:szCs w:val="22"/>
                <w:lang w:eastAsia="en-AU"/>
              </w:rPr>
            </w:pPr>
            <w:r w:rsidRPr="0086685F">
              <w:rPr>
                <w:rFonts w:ascii="Calibri Light" w:eastAsia="Times New Roman" w:hAnsi="Calibri Light" w:cs="Calibri Light"/>
                <w:sz w:val="16"/>
                <w:szCs w:val="22"/>
                <w:lang w:eastAsia="en-AU"/>
              </w:rPr>
              <w:t>4a. Is the facility achieving value for money?</w:t>
            </w:r>
          </w:p>
        </w:tc>
        <w:tc>
          <w:tcPr>
            <w:tcW w:w="7513" w:type="dxa"/>
          </w:tcPr>
          <w:p w14:paraId="6185EB6D" w14:textId="77777777" w:rsidR="00262AFF" w:rsidRPr="00D76E5A" w:rsidRDefault="00262AFF" w:rsidP="005A3C1F">
            <w:pPr>
              <w:spacing w:before="60" w:after="60"/>
              <w:rPr>
                <w:rFonts w:ascii="Calibri Light" w:hAnsi="Calibri Light" w:cs="Calibri Light"/>
                <w:sz w:val="16"/>
                <w:szCs w:val="22"/>
              </w:rPr>
            </w:pPr>
            <w:r>
              <w:rPr>
                <w:rFonts w:ascii="Calibri Light" w:hAnsi="Calibri Light" w:cs="Calibri Light"/>
                <w:sz w:val="16"/>
                <w:szCs w:val="22"/>
              </w:rPr>
              <w:t xml:space="preserve">The MTR could not provide a </w:t>
            </w:r>
            <w:r w:rsidRPr="00D76E5A">
              <w:rPr>
                <w:rFonts w:ascii="Calibri Light" w:hAnsi="Calibri Light" w:cs="Calibri Light"/>
                <w:sz w:val="16"/>
                <w:szCs w:val="22"/>
              </w:rPr>
              <w:t xml:space="preserve">definitive conclusion on VFM (or whether AIPJ2 priorities offer the best VFM).  </w:t>
            </w:r>
          </w:p>
          <w:p w14:paraId="69A5939B" w14:textId="77777777" w:rsidR="00262AFF" w:rsidRDefault="00262AFF" w:rsidP="005A3C1F">
            <w:pPr>
              <w:spacing w:before="60" w:after="60"/>
              <w:rPr>
                <w:rFonts w:ascii="Calibri Light" w:hAnsi="Calibri Light" w:cs="Calibri Light"/>
                <w:sz w:val="16"/>
                <w:szCs w:val="22"/>
              </w:rPr>
            </w:pPr>
            <w:r w:rsidRPr="00D76E5A">
              <w:rPr>
                <w:rFonts w:ascii="Calibri Light" w:hAnsi="Calibri Light" w:cs="Calibri Light"/>
                <w:sz w:val="16"/>
                <w:szCs w:val="22"/>
              </w:rPr>
              <w:t>However,</w:t>
            </w:r>
            <w:r>
              <w:rPr>
                <w:rFonts w:ascii="Calibri Light" w:hAnsi="Calibri Light" w:cs="Calibri Light"/>
                <w:sz w:val="16"/>
                <w:szCs w:val="22"/>
              </w:rPr>
              <w:t xml:space="preserve"> the MTR did investigate the question from a number of perspectives:</w:t>
            </w:r>
          </w:p>
          <w:p w14:paraId="101C9513" w14:textId="77777777" w:rsidR="00262AFF" w:rsidRDefault="00262AFF" w:rsidP="00262AFF">
            <w:pPr>
              <w:pStyle w:val="ListParagraph"/>
              <w:numPr>
                <w:ilvl w:val="0"/>
                <w:numId w:val="31"/>
              </w:numPr>
              <w:spacing w:before="60" w:after="60"/>
              <w:ind w:left="317" w:hanging="283"/>
              <w:rPr>
                <w:rFonts w:ascii="Calibri Light" w:hAnsi="Calibri Light" w:cs="Calibri Light"/>
                <w:sz w:val="16"/>
              </w:rPr>
            </w:pPr>
            <w:r w:rsidRPr="00F31D8D">
              <w:rPr>
                <w:rFonts w:ascii="Calibri Light" w:hAnsi="Calibri Light" w:cs="Calibri Light"/>
                <w:sz w:val="16"/>
              </w:rPr>
              <w:t xml:space="preserve">examine </w:t>
            </w:r>
            <w:r>
              <w:rPr>
                <w:rFonts w:ascii="Calibri Light" w:hAnsi="Calibri Light" w:cs="Calibri Light"/>
                <w:sz w:val="16"/>
              </w:rPr>
              <w:t xml:space="preserve">stakeholder </w:t>
            </w:r>
            <w:r w:rsidRPr="00F31D8D">
              <w:rPr>
                <w:rFonts w:ascii="Calibri Light" w:hAnsi="Calibri Light" w:cs="Calibri Light"/>
                <w:sz w:val="16"/>
              </w:rPr>
              <w:t xml:space="preserve">perceptions about the ‘value’ generated by different aspects of AIPJ2’s work, </w:t>
            </w:r>
          </w:p>
          <w:p w14:paraId="338FC5BB" w14:textId="77777777" w:rsidR="00262AFF" w:rsidRDefault="00262AFF" w:rsidP="00262AFF">
            <w:pPr>
              <w:pStyle w:val="ListParagraph"/>
              <w:numPr>
                <w:ilvl w:val="0"/>
                <w:numId w:val="31"/>
              </w:numPr>
              <w:spacing w:before="60" w:after="60"/>
              <w:ind w:left="317" w:hanging="283"/>
              <w:rPr>
                <w:rFonts w:ascii="Calibri Light" w:hAnsi="Calibri Light" w:cs="Calibri Light"/>
                <w:sz w:val="16"/>
              </w:rPr>
            </w:pPr>
            <w:r w:rsidRPr="00F31D8D">
              <w:rPr>
                <w:rFonts w:ascii="Calibri Light" w:hAnsi="Calibri Light" w:cs="Calibri Light"/>
                <w:sz w:val="16"/>
              </w:rPr>
              <w:t>the main VFM risks facing AIPJ2</w:t>
            </w:r>
            <w:r>
              <w:rPr>
                <w:rFonts w:ascii="Calibri Light" w:hAnsi="Calibri Light" w:cs="Calibri Light"/>
                <w:sz w:val="16"/>
              </w:rPr>
              <w:t xml:space="preserve"> and risk management strategies</w:t>
            </w:r>
            <w:r w:rsidRPr="00F31D8D">
              <w:rPr>
                <w:rFonts w:ascii="Calibri Light" w:hAnsi="Calibri Light" w:cs="Calibri Light"/>
                <w:sz w:val="16"/>
              </w:rPr>
              <w:t xml:space="preserve"> </w:t>
            </w:r>
          </w:p>
          <w:p w14:paraId="2DA169E1" w14:textId="77777777" w:rsidR="00262AFF" w:rsidRDefault="00262AFF" w:rsidP="00262AFF">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the extent to which VFM considerations informed AIPJ2 selection of options for support and partners</w:t>
            </w:r>
          </w:p>
          <w:p w14:paraId="2467B980" w14:textId="77777777" w:rsidR="00262AFF" w:rsidRDefault="00262AFF" w:rsidP="00262AFF">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 xml:space="preserve">the extent to which key VFM drivers are being addressed:  </w:t>
            </w:r>
          </w:p>
          <w:p w14:paraId="3A443865" w14:textId="77777777" w:rsidR="00262AFF" w:rsidRPr="008A79B0" w:rsidRDefault="00262AFF" w:rsidP="00262AFF">
            <w:pPr>
              <w:pStyle w:val="ListParagraph"/>
              <w:numPr>
                <w:ilvl w:val="1"/>
                <w:numId w:val="31"/>
              </w:numPr>
              <w:spacing w:before="60" w:after="60"/>
              <w:ind w:left="459" w:hanging="142"/>
              <w:rPr>
                <w:rFonts w:ascii="Calibri Light" w:hAnsi="Calibri Light" w:cs="Calibri Light"/>
                <w:sz w:val="16"/>
              </w:rPr>
            </w:pPr>
            <w:r w:rsidRPr="008A79B0">
              <w:rPr>
                <w:rFonts w:ascii="Calibri Light" w:hAnsi="Calibri Light" w:cs="Calibri Light"/>
                <w:sz w:val="16"/>
              </w:rPr>
              <w:t>potential linkages/synergies within AIPJ2</w:t>
            </w:r>
            <w:r>
              <w:rPr>
                <w:rFonts w:ascii="Calibri Light" w:hAnsi="Calibri Light" w:cs="Calibri Light"/>
                <w:sz w:val="16"/>
              </w:rPr>
              <w:t>;</w:t>
            </w:r>
          </w:p>
          <w:p w14:paraId="66344CD0" w14:textId="77777777" w:rsidR="00262AFF" w:rsidRPr="0086685F" w:rsidRDefault="00262AFF" w:rsidP="00262AFF">
            <w:pPr>
              <w:pStyle w:val="ListParagraph"/>
              <w:numPr>
                <w:ilvl w:val="1"/>
                <w:numId w:val="31"/>
              </w:numPr>
              <w:spacing w:before="60" w:after="60"/>
              <w:ind w:left="459" w:hanging="142"/>
              <w:rPr>
                <w:rFonts w:ascii="Calibri Light" w:hAnsi="Calibri Light" w:cs="Calibri Light"/>
                <w:sz w:val="16"/>
              </w:rPr>
            </w:pPr>
            <w:r>
              <w:rPr>
                <w:rFonts w:ascii="Calibri Light" w:hAnsi="Calibri Light" w:cs="Calibri Light"/>
                <w:sz w:val="16"/>
              </w:rPr>
              <w:t>coordination and cooperation with other DFAT programs;</w:t>
            </w:r>
          </w:p>
        </w:tc>
      </w:tr>
      <w:tr w:rsidR="00262AFF" w14:paraId="25A2D2F0" w14:textId="77777777" w:rsidTr="005A3C1F">
        <w:tc>
          <w:tcPr>
            <w:tcW w:w="2835" w:type="dxa"/>
          </w:tcPr>
          <w:p w14:paraId="1276B8EB" w14:textId="77777777" w:rsidR="00262AFF" w:rsidRPr="0086685F" w:rsidRDefault="00262AFF" w:rsidP="005A3C1F">
            <w:pPr>
              <w:rPr>
                <w:rFonts w:ascii="Calibri Light" w:eastAsia="Times New Roman" w:hAnsi="Calibri Light" w:cs="Calibri Light"/>
                <w:sz w:val="16"/>
                <w:lang w:eastAsia="en-AU"/>
              </w:rPr>
            </w:pPr>
            <w:r w:rsidRPr="0086685F">
              <w:rPr>
                <w:rFonts w:ascii="Calibri Light" w:eastAsia="Times New Roman" w:hAnsi="Calibri Light" w:cs="Calibri Light"/>
                <w:sz w:val="16"/>
                <w:szCs w:val="22"/>
                <w:lang w:eastAsia="en-AU"/>
              </w:rPr>
              <w:t>5. Is the facility well equipped to deal with changes in Australian and/or Indonesian government policy?</w:t>
            </w:r>
          </w:p>
        </w:tc>
        <w:tc>
          <w:tcPr>
            <w:tcW w:w="7513" w:type="dxa"/>
          </w:tcPr>
          <w:p w14:paraId="6FA0DD85" w14:textId="77777777" w:rsidR="00262AFF" w:rsidRDefault="00262AFF" w:rsidP="005A3C1F">
            <w:pPr>
              <w:spacing w:before="60" w:after="60"/>
              <w:rPr>
                <w:rFonts w:ascii="Calibri Light" w:hAnsi="Calibri Light" w:cs="Calibri Light"/>
                <w:sz w:val="16"/>
                <w:szCs w:val="22"/>
              </w:rPr>
            </w:pPr>
            <w:r>
              <w:rPr>
                <w:rFonts w:ascii="Calibri Light" w:hAnsi="Calibri Light" w:cs="Calibri Light"/>
                <w:sz w:val="16"/>
                <w:szCs w:val="22"/>
              </w:rPr>
              <w:t xml:space="preserve">The MTR used this question to look forward at </w:t>
            </w:r>
            <w:r w:rsidRPr="000C38DB">
              <w:rPr>
                <w:rFonts w:ascii="Calibri Light" w:hAnsi="Calibri Light" w:cs="Calibri Light"/>
                <w:sz w:val="16"/>
                <w:szCs w:val="22"/>
              </w:rPr>
              <w:t>what – if anything – might be done differently in the remainder of Phase 2</w:t>
            </w:r>
            <w:r>
              <w:rPr>
                <w:rFonts w:ascii="Calibri Light" w:hAnsi="Calibri Light" w:cs="Calibri Light"/>
                <w:sz w:val="16"/>
                <w:szCs w:val="22"/>
              </w:rPr>
              <w:t xml:space="preserve">.  It considered </w:t>
            </w:r>
          </w:p>
          <w:p w14:paraId="095F2278" w14:textId="77777777" w:rsidR="00262AFF" w:rsidRDefault="00262AFF" w:rsidP="00262AFF">
            <w:pPr>
              <w:pStyle w:val="ListParagraph"/>
              <w:numPr>
                <w:ilvl w:val="0"/>
                <w:numId w:val="31"/>
              </w:numPr>
              <w:spacing w:before="60" w:after="60"/>
              <w:ind w:left="317" w:hanging="283"/>
              <w:rPr>
                <w:rFonts w:ascii="Calibri Light" w:hAnsi="Calibri Light" w:cs="Calibri Light"/>
                <w:sz w:val="16"/>
              </w:rPr>
            </w:pPr>
            <w:r w:rsidRPr="00F903DB">
              <w:rPr>
                <w:rFonts w:ascii="Calibri Light" w:hAnsi="Calibri Light" w:cs="Calibri Light"/>
                <w:sz w:val="16"/>
              </w:rPr>
              <w:t>the alignment of AIPJ2’s forward program with the (latest) objectives of both GOA and GOI as well as those of other key actors (including donors) operating the same work areas</w:t>
            </w:r>
          </w:p>
          <w:p w14:paraId="21B9FF7B" w14:textId="77777777" w:rsidR="00262AFF" w:rsidRPr="00603802" w:rsidRDefault="00262AFF" w:rsidP="00262AFF">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t</w:t>
            </w:r>
            <w:r w:rsidRPr="00F903DB">
              <w:rPr>
                <w:rFonts w:ascii="Calibri Light" w:hAnsi="Calibri Light" w:cs="Calibri Light"/>
                <w:sz w:val="16"/>
              </w:rPr>
              <w:t>he need for any rebalancing of AIPJ2’s strategy, specifically in terms of choices regarding</w:t>
            </w:r>
            <w:r>
              <w:rPr>
                <w:rFonts w:ascii="Calibri Light" w:hAnsi="Calibri Light" w:cs="Calibri Light"/>
                <w:sz w:val="16"/>
              </w:rPr>
              <w:t xml:space="preserve"> DFAT’s questions </w:t>
            </w:r>
            <w:r w:rsidRPr="00603802">
              <w:rPr>
                <w:rFonts w:ascii="Calibri Light" w:hAnsi="Calibri Light" w:cs="Calibri Light"/>
                <w:sz w:val="16"/>
              </w:rPr>
              <w:t>relating, variously, to:</w:t>
            </w:r>
          </w:p>
          <w:p w14:paraId="778AD9C3" w14:textId="77777777" w:rsidR="00262AFF" w:rsidRPr="00F903DB" w:rsidRDefault="00262AFF" w:rsidP="00262AFF">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breadth of engagement versus degree of focus</w:t>
            </w:r>
          </w:p>
          <w:p w14:paraId="24D10401" w14:textId="77777777" w:rsidR="00262AFF" w:rsidRPr="00F903DB" w:rsidRDefault="00262AFF" w:rsidP="00262AFF">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 xml:space="preserve">responsiveness/opportunism of the approach versus degree of direction/targeting </w:t>
            </w:r>
          </w:p>
          <w:p w14:paraId="01935F14" w14:textId="77777777" w:rsidR="00262AFF" w:rsidRPr="00F903DB" w:rsidRDefault="00262AFF" w:rsidP="00262AFF">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partners and partnering mechanisms</w:t>
            </w:r>
          </w:p>
          <w:p w14:paraId="0DB32509" w14:textId="77777777" w:rsidR="00262AFF" w:rsidRPr="00F903DB" w:rsidRDefault="00262AFF" w:rsidP="00262AFF">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promoting coherence between and within pillars</w:t>
            </w:r>
          </w:p>
          <w:p w14:paraId="2CA0888A" w14:textId="77777777" w:rsidR="00262AFF" w:rsidRPr="00657BEE" w:rsidRDefault="00262AFF" w:rsidP="00262AFF">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allocation of resources between pillars/activities</w:t>
            </w:r>
          </w:p>
        </w:tc>
      </w:tr>
    </w:tbl>
    <w:p w14:paraId="7283173D" w14:textId="77777777" w:rsidR="00262AFF" w:rsidRPr="000738EA" w:rsidRDefault="00262AFF" w:rsidP="00262AFF">
      <w:pPr>
        <w:pStyle w:val="Heading1"/>
        <w:rPr>
          <w:color w:val="00B0F0"/>
        </w:rPr>
      </w:pPr>
      <w:r w:rsidRPr="000738EA">
        <w:rPr>
          <w:color w:val="00B0F0"/>
        </w:rPr>
        <w:t>Scope</w:t>
      </w:r>
    </w:p>
    <w:p w14:paraId="2A1F83BF"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Given the breadth of activities under AIPJ2 and the time available for the MTR, the review could not address the issues of importance to DFAT at the same depth for all AIPJ2’s work areas.  Figure 1 sets out the how different elements of AIPJ2 were examined to inform the MTR’s judgement with respect to the issues.</w:t>
      </w:r>
    </w:p>
    <w:p w14:paraId="160E0CEF" w14:textId="77777777" w:rsidR="00262AFF" w:rsidRPr="007059A5" w:rsidRDefault="00262AFF" w:rsidP="00262AFF">
      <w:pPr>
        <w:spacing w:after="0" w:line="240" w:lineRule="auto"/>
        <w:rPr>
          <w:b/>
          <w:bCs/>
        </w:rPr>
      </w:pPr>
      <w:r>
        <w:rPr>
          <w:noProof/>
          <w:lang w:val="en-AU" w:eastAsia="en-AU"/>
        </w:rPr>
        <mc:AlternateContent>
          <mc:Choice Requires="wpg">
            <w:drawing>
              <wp:anchor distT="0" distB="0" distL="114300" distR="114300" simplePos="0" relativeHeight="251673600" behindDoc="0" locked="0" layoutInCell="1" allowOverlap="1" wp14:anchorId="186C9664" wp14:editId="18D246E8">
                <wp:simplePos x="0" y="0"/>
                <wp:positionH relativeFrom="column">
                  <wp:posOffset>-525780</wp:posOffset>
                </wp:positionH>
                <wp:positionV relativeFrom="paragraph">
                  <wp:posOffset>238760</wp:posOffset>
                </wp:positionV>
                <wp:extent cx="4366895" cy="4382770"/>
                <wp:effectExtent l="0" t="0" r="14605" b="17780"/>
                <wp:wrapSquare wrapText="bothSides"/>
                <wp:docPr id="2" name="Group 2"/>
                <wp:cNvGraphicFramePr/>
                <a:graphic xmlns:a="http://schemas.openxmlformats.org/drawingml/2006/main">
                  <a:graphicData uri="http://schemas.microsoft.com/office/word/2010/wordprocessingGroup">
                    <wpg:wgp>
                      <wpg:cNvGrpSpPr/>
                      <wpg:grpSpPr>
                        <a:xfrm>
                          <a:off x="0" y="0"/>
                          <a:ext cx="4366895" cy="4382770"/>
                          <a:chOff x="0" y="0"/>
                          <a:chExt cx="4533900" cy="5667375"/>
                        </a:xfrm>
                      </wpg:grpSpPr>
                      <wps:wsp>
                        <wps:cNvPr id="15" name="Oval 15"/>
                        <wps:cNvSpPr/>
                        <wps:spPr>
                          <a:xfrm>
                            <a:off x="238125" y="628650"/>
                            <a:ext cx="1104900" cy="47625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18BD62AC"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Clarity of strategies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Oval 16"/>
                        <wps:cNvSpPr/>
                        <wps:spPr>
                          <a:xfrm>
                            <a:off x="238125" y="1123950"/>
                            <a:ext cx="1104900" cy="57150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0E32A7BE"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Appropriateness of partners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Oval 17"/>
                        <wps:cNvSpPr/>
                        <wps:spPr>
                          <a:xfrm>
                            <a:off x="238125" y="1704975"/>
                            <a:ext cx="1104900" cy="57150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3CBAF7FF"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Linkages with other pillars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Oval 18"/>
                        <wps:cNvSpPr/>
                        <wps:spPr>
                          <a:xfrm>
                            <a:off x="180975" y="2286000"/>
                            <a:ext cx="1257300" cy="70485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0FDFA842"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Value of achievements and prospects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Oval 19"/>
                        <wps:cNvSpPr/>
                        <wps:spPr>
                          <a:xfrm>
                            <a:off x="238125" y="3009900"/>
                            <a:ext cx="1209675" cy="561975"/>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38718D0F"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Alignment GOA / GOI priorities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Oval 20"/>
                        <wps:cNvSpPr/>
                        <wps:spPr>
                          <a:xfrm>
                            <a:off x="333375" y="5238750"/>
                            <a:ext cx="1209675" cy="428625"/>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037715FE"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M&amp;E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Oval 21"/>
                        <wps:cNvSpPr/>
                        <wps:spPr>
                          <a:xfrm>
                            <a:off x="285750" y="3571875"/>
                            <a:ext cx="1209675" cy="57150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55F9CF7D"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capacity building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Oval 22"/>
                        <wps:cNvSpPr/>
                        <wps:spPr>
                          <a:xfrm>
                            <a:off x="333375" y="4619625"/>
                            <a:ext cx="1162050" cy="609600"/>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0467DF27" w14:textId="77777777" w:rsidR="00172B2A" w:rsidRPr="007059A5" w:rsidRDefault="00172B2A" w:rsidP="00262AFF">
                              <w:pPr>
                                <w:spacing w:before="0" w:after="0" w:line="240" w:lineRule="auto"/>
                                <w:jc w:val="center"/>
                                <w:rPr>
                                  <w:color w:val="000000" w:themeColor="text1"/>
                                  <w:sz w:val="15"/>
                                  <w:szCs w:val="15"/>
                                </w:rPr>
                              </w:pPr>
                              <w:r w:rsidRPr="007059A5">
                                <w:rPr>
                                  <w:rFonts w:ascii="Calibri Light" w:hAnsi="Calibri Light" w:cs="Calibri Light"/>
                                  <w:color w:val="000000" w:themeColor="text1"/>
                                  <w:sz w:val="15"/>
                                  <w:szCs w:val="15"/>
                                </w:rPr>
                                <w:t>Approach to adaptive programming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Oval 23"/>
                        <wps:cNvSpPr/>
                        <wps:spPr>
                          <a:xfrm>
                            <a:off x="285750" y="4181475"/>
                            <a:ext cx="1209675" cy="428625"/>
                          </a:xfrm>
                          <a:prstGeom prst="ellipse">
                            <a:avLst/>
                          </a:prstGeom>
                          <a:gradFill>
                            <a:gsLst>
                              <a:gs pos="0">
                                <a:schemeClr val="bg1">
                                  <a:lumMod val="95000"/>
                                </a:schemeClr>
                              </a:gs>
                              <a:gs pos="84000">
                                <a:schemeClr val="accent3">
                                  <a:satMod val="110000"/>
                                  <a:lumMod val="100000"/>
                                  <a:shade val="100000"/>
                                </a:schemeClr>
                              </a:gs>
                              <a:gs pos="100000">
                                <a:schemeClr val="accent3">
                                  <a:lumMod val="99000"/>
                                  <a:satMod val="120000"/>
                                  <a:shade val="78000"/>
                                </a:schemeClr>
                              </a:gs>
                            </a:gsLst>
                          </a:gradFill>
                          <a:ln/>
                        </wps:spPr>
                        <wps:style>
                          <a:lnRef idx="1">
                            <a:schemeClr val="accent3"/>
                          </a:lnRef>
                          <a:fillRef idx="3">
                            <a:schemeClr val="accent3"/>
                          </a:fillRef>
                          <a:effectRef idx="2">
                            <a:schemeClr val="accent3"/>
                          </a:effectRef>
                          <a:fontRef idx="minor">
                            <a:schemeClr val="lt1"/>
                          </a:fontRef>
                        </wps:style>
                        <wps:txbx>
                          <w:txbxContent>
                            <w:p w14:paraId="3695AE8C"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gender equality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Oval 24"/>
                        <wps:cNvSpPr/>
                        <wps:spPr>
                          <a:xfrm>
                            <a:off x="0" y="0"/>
                            <a:ext cx="1495425" cy="60007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14:paraId="2958988C" w14:textId="77777777" w:rsidR="00172B2A" w:rsidRPr="00A72518" w:rsidRDefault="00172B2A" w:rsidP="00262AFF">
                              <w:pPr>
                                <w:spacing w:before="0" w:after="0" w:line="240" w:lineRule="auto"/>
                                <w:jc w:val="center"/>
                                <w:rPr>
                                  <w:b/>
                                  <w:bCs/>
                                  <w:sz w:val="32"/>
                                  <w:szCs w:val="32"/>
                                </w:rPr>
                              </w:pPr>
                              <w:r w:rsidRPr="00A72518">
                                <w:rPr>
                                  <w:rFonts w:ascii="Calibri Light" w:hAnsi="Calibri Light" w:cs="Calibri Light"/>
                                  <w:b/>
                                  <w:bCs/>
                                  <w:sz w:val="22"/>
                                  <w:szCs w:val="22"/>
                                </w:rPr>
                                <w:t>Key issues of interest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Rounded Corners 25"/>
                        <wps:cNvSpPr/>
                        <wps:spPr>
                          <a:xfrm>
                            <a:off x="1771650" y="28575"/>
                            <a:ext cx="2724150" cy="600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19D0D1D" w14:textId="77777777" w:rsidR="00172B2A" w:rsidRPr="00A72518" w:rsidRDefault="00172B2A" w:rsidP="00262AFF">
                              <w:pPr>
                                <w:spacing w:before="0" w:after="0" w:line="240" w:lineRule="auto"/>
                                <w:jc w:val="center"/>
                                <w:rPr>
                                  <w:rFonts w:ascii="Calibri Light" w:hAnsi="Calibri Light" w:cs="Calibri Light"/>
                                  <w:b/>
                                  <w:bCs/>
                                  <w:sz w:val="22"/>
                                  <w:szCs w:val="22"/>
                                </w:rPr>
                              </w:pPr>
                              <w:r w:rsidRPr="00A72518">
                                <w:rPr>
                                  <w:rFonts w:ascii="Calibri Light" w:hAnsi="Calibri Light" w:cs="Calibri Light"/>
                                  <w:b/>
                                  <w:bCs/>
                                  <w:sz w:val="22"/>
                                  <w:szCs w:val="22"/>
                                </w:rPr>
                                <w:t>Area of AIPJ2 examined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Rectangle: Rounded Corners 26"/>
                        <wps:cNvSpPr/>
                        <wps:spPr>
                          <a:xfrm>
                            <a:off x="1771650" y="1453120"/>
                            <a:ext cx="2724150" cy="75287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9693FA2"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5BAEE69"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2</w:t>
                              </w:r>
                            </w:p>
                            <w:p w14:paraId="2F5913B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3</w:t>
                              </w:r>
                            </w:p>
                            <w:p w14:paraId="0755A6E7"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27" name="Rectangle: Rounded Corners 27"/>
                        <wps:cNvSpPr/>
                        <wps:spPr>
                          <a:xfrm>
                            <a:off x="1771650" y="762000"/>
                            <a:ext cx="2724150" cy="552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8AF9C68"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64102283"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28" name="Straight Connector 28"/>
                        <wps:cNvCnPr/>
                        <wps:spPr>
                          <a:xfrm>
                            <a:off x="1343025" y="904875"/>
                            <a:ext cx="428625" cy="85725"/>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1257300" y="1123950"/>
                            <a:ext cx="514350" cy="142875"/>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1343025" y="1971675"/>
                            <a:ext cx="428625" cy="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1" name="Rectangle: Rounded Corners 31"/>
                        <wps:cNvSpPr/>
                        <wps:spPr>
                          <a:xfrm>
                            <a:off x="1809750" y="2295525"/>
                            <a:ext cx="2724150" cy="55462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2CDADA8"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78BD05C"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3 (Utilising recent AIPJ2 internal review of Pillar 3)</w:t>
                              </w:r>
                            </w:p>
                            <w:p w14:paraId="59C53A7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32" name="Straight Connector 32"/>
                        <wps:cNvCnPr/>
                        <wps:spPr>
                          <a:xfrm flipV="1">
                            <a:off x="1438275" y="2590800"/>
                            <a:ext cx="428625" cy="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3" name="Rectangle: Rounded Corners 33"/>
                        <wps:cNvSpPr/>
                        <wps:spPr>
                          <a:xfrm>
                            <a:off x="1809750" y="3063546"/>
                            <a:ext cx="2724150" cy="43957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E6F8FB"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7EAA773"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34" name="Rectangle: Rounded Corners 34"/>
                        <wps:cNvSpPr/>
                        <wps:spPr>
                          <a:xfrm>
                            <a:off x="1809750" y="3676650"/>
                            <a:ext cx="2724150" cy="3524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9BB1EF1" w14:textId="77777777" w:rsidR="00172B2A" w:rsidRPr="007059A5" w:rsidRDefault="00172B2A" w:rsidP="00262AFF">
                              <w:pPr>
                                <w:spacing w:before="0" w:after="0" w:line="240" w:lineRule="auto"/>
                                <w:ind w:left="567" w:hanging="567"/>
                                <w:rPr>
                                  <w:rFonts w:ascii="Calibri Light" w:hAnsi="Calibri Light" w:cs="Calibri Light"/>
                                  <w:sz w:val="15"/>
                                  <w:szCs w:val="15"/>
                                </w:rPr>
                              </w:pPr>
                              <w:r w:rsidRPr="007059A5">
                                <w:rPr>
                                  <w:rFonts w:ascii="Calibri Light" w:hAnsi="Calibri Light" w:cs="Calibri Light"/>
                                  <w:sz w:val="14"/>
                                  <w:szCs w:val="14"/>
                                </w:rPr>
                                <w:t>Sample</w:t>
                              </w:r>
                              <w:r w:rsidRPr="007059A5">
                                <w:rPr>
                                  <w:rFonts w:ascii="Calibri Light" w:hAnsi="Calibri Light" w:cs="Calibri Light"/>
                                  <w:sz w:val="15"/>
                                  <w:szCs w:val="15"/>
                                </w:rPr>
                                <w:t xml:space="preserve"> of partners under Pillars 1,3 and 4</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35" name="Rectangle: Rounded Corners 35"/>
                        <wps:cNvSpPr/>
                        <wps:spPr>
                          <a:xfrm>
                            <a:off x="1809750" y="4772025"/>
                            <a:ext cx="2724150" cy="314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AF0BEE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Cross-Pillar</w:t>
                              </w:r>
                            </w:p>
                          </w:txbxContent>
                        </wps:txbx>
                        <wps:bodyPr rot="0" spcFirstLastPara="0" vertOverflow="overflow" horzOverflow="overflow" vert="horz" wrap="square" lIns="72000" tIns="0" rIns="0" bIns="36000" numCol="1" spcCol="0" rtlCol="0" fromWordArt="0" anchor="ctr" anchorCtr="0" forceAA="0" compatLnSpc="1">
                          <a:prstTxWarp prst="textNoShape">
                            <a:avLst/>
                          </a:prstTxWarp>
                          <a:noAutofit/>
                        </wps:bodyPr>
                      </wps:wsp>
                      <wps:wsp>
                        <wps:cNvPr id="36" name="Straight Connector 36"/>
                        <wps:cNvCnPr/>
                        <wps:spPr>
                          <a:xfrm>
                            <a:off x="1495426" y="4924425"/>
                            <a:ext cx="314324" cy="4763"/>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1447800" y="3286125"/>
                            <a:ext cx="428625" cy="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1485900" y="3848100"/>
                            <a:ext cx="342900" cy="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461564" y="4467225"/>
                            <a:ext cx="361950" cy="30480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1447800" y="5086350"/>
                            <a:ext cx="380999" cy="24765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6C9664" id="Group 2" o:spid="_x0000_s1036" style="position:absolute;margin-left:-41.4pt;margin-top:18.8pt;width:343.85pt;height:345.1pt;z-index:251673600;mso-width-relative:margin;mso-height-relative:margin" coordsize="45339,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">
                <v:oval id="Oval 15" o:spid="_x0000_s1037" style="position:absolute;left:2381;top:6286;width:11049;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" fillcolor="#f2f2f2 [3052]" strokecolor="#a5a5a5 [3206]" strokeweight=".5pt">
                  <v:fill color2="#a3a3a3 [3174]" rotate="t" colors="0 #f2f2f2;55050f #a5a5a5;1 #929292" focus="100%" type="gradient">
                    <o:fill v:ext="view" type="gradientUnscaled"/>
                  </v:fill>
                  <v:stroke joinstyle="miter"/>
                  <v:textbox inset="0,0,0,0">
                    <w:txbxContent>
                      <w:p w14:paraId="18BD62AC"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Clarity of strategies</w:t>
                        </w:r>
                      </w:p>
                    </w:txbxContent>
                  </v:textbox>
                </v:oval>
                <v:oval id="Oval 16" o:spid="_x0000_s1038" style="position:absolute;left:2381;top:11239;width:1104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" fillcolor="#f2f2f2 [3052]" strokecolor="#a5a5a5 [3206]" strokeweight=".5pt">
                  <v:fill color2="#a3a3a3 [3174]" rotate="t" colors="0 #f2f2f2;55050f #a5a5a5;1 #929292" focus="100%" type="gradient">
                    <o:fill v:ext="view" type="gradientUnscaled"/>
                  </v:fill>
                  <v:stroke joinstyle="miter"/>
                  <v:textbox inset="0,0,0,0">
                    <w:txbxContent>
                      <w:p w14:paraId="0E32A7BE"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Appropriateness of partners</w:t>
                        </w:r>
                      </w:p>
                    </w:txbxContent>
                  </v:textbox>
                </v:oval>
                <v:oval id="Oval 17" o:spid="_x0000_s1039" style="position:absolute;left:2381;top:17049;width:1104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" fillcolor="#f2f2f2 [3052]" strokecolor="#a5a5a5 [3206]" strokeweight=".5pt">
                  <v:fill color2="#a3a3a3 [3174]" rotate="t" colors="0 #f2f2f2;55050f #a5a5a5;1 #929292" focus="100%" type="gradient">
                    <o:fill v:ext="view" type="gradientUnscaled"/>
                  </v:fill>
                  <v:stroke joinstyle="miter"/>
                  <v:textbox inset="0,0,0,0">
                    <w:txbxContent>
                      <w:p w14:paraId="3CBAF7FF"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Linkages with other pillars</w:t>
                        </w:r>
                      </w:p>
                    </w:txbxContent>
                  </v:textbox>
                </v:oval>
                <v:oval id="Oval 18" o:spid="_x0000_s1040" style="position:absolute;left:1809;top:22860;width:1257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" fillcolor="#f2f2f2 [3052]" strokecolor="#a5a5a5 [3206]" strokeweight=".5pt">
                  <v:fill color2="#a3a3a3 [3174]" rotate="t" colors="0 #f2f2f2;55050f #a5a5a5;1 #929292" focus="100%" type="gradient">
                    <o:fill v:ext="view" type="gradientUnscaled"/>
                  </v:fill>
                  <v:stroke joinstyle="miter"/>
                  <v:textbox inset="0,0,0,0">
                    <w:txbxContent>
                      <w:p w14:paraId="0FDFA842"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Value of achievements and prospects</w:t>
                        </w:r>
                      </w:p>
                    </w:txbxContent>
                  </v:textbox>
                </v:oval>
                <v:oval id="Oval 19" o:spid="_x0000_s1041" style="position:absolute;left:2381;top:30099;width:12097;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" fillcolor="#f2f2f2 [3052]" strokecolor="#a5a5a5 [3206]" strokeweight=".5pt">
                  <v:fill color2="#a3a3a3 [3174]" rotate="t" colors="0 #f2f2f2;55050f #a5a5a5;1 #929292" focus="100%" type="gradient">
                    <o:fill v:ext="view" type="gradientUnscaled"/>
                  </v:fill>
                  <v:stroke joinstyle="miter"/>
                  <v:textbox inset="0,0,0,0">
                    <w:txbxContent>
                      <w:p w14:paraId="38718D0F"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Alignment GOA / GOI priorities</w:t>
                        </w:r>
                      </w:p>
                    </w:txbxContent>
                  </v:textbox>
                </v:oval>
                <v:oval id="Oval 20" o:spid="_x0000_s1042" style="position:absolute;left:3333;top:52387;width:1209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" fillcolor="#f2f2f2 [3052]" strokecolor="#a5a5a5 [3206]" strokeweight=".5pt">
                  <v:fill color2="#a3a3a3 [3174]" rotate="t" colors="0 #f2f2f2;55050f #a5a5a5;1 #929292" focus="100%" type="gradient">
                    <o:fill v:ext="view" type="gradientUnscaled"/>
                  </v:fill>
                  <v:stroke joinstyle="miter"/>
                  <v:textbox inset="0,0,0,0">
                    <w:txbxContent>
                      <w:p w14:paraId="037715FE"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M&amp;E</w:t>
                        </w:r>
                      </w:p>
                    </w:txbxContent>
                  </v:textbox>
                </v:oval>
                <v:oval id="Oval 21" o:spid="_x0000_s1043" style="position:absolute;left:2857;top:35718;width:12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" fillcolor="#f2f2f2 [3052]" strokecolor="#a5a5a5 [3206]" strokeweight=".5pt">
                  <v:fill color2="#a3a3a3 [3174]" rotate="t" colors="0 #f2f2f2;55050f #a5a5a5;1 #929292" focus="100%" type="gradient">
                    <o:fill v:ext="view" type="gradientUnscaled"/>
                  </v:fill>
                  <v:stroke joinstyle="miter"/>
                  <v:textbox inset="0,0,0,0">
                    <w:txbxContent>
                      <w:p w14:paraId="55F9CF7D"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capacity building</w:t>
                        </w:r>
                      </w:p>
                    </w:txbxContent>
                  </v:textbox>
                </v:oval>
                <v:oval id="Oval 22" o:spid="_x0000_s1044" style="position:absolute;left:3333;top:46196;width:1162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" fillcolor="#f2f2f2 [3052]" strokecolor="#a5a5a5 [3206]" strokeweight=".5pt">
                  <v:fill color2="#a3a3a3 [3174]" rotate="t" colors="0 #f2f2f2;55050f #a5a5a5;1 #929292" focus="100%" type="gradient">
                    <o:fill v:ext="view" type="gradientUnscaled"/>
                  </v:fill>
                  <v:stroke joinstyle="miter"/>
                  <v:textbox inset="0,0,0,0">
                    <w:txbxContent>
                      <w:p w14:paraId="0467DF27" w14:textId="77777777" w:rsidR="00172B2A" w:rsidRPr="007059A5" w:rsidRDefault="00172B2A" w:rsidP="00262AFF">
                        <w:pPr>
                          <w:spacing w:before="0" w:after="0" w:line="240" w:lineRule="auto"/>
                          <w:jc w:val="center"/>
                          <w:rPr>
                            <w:color w:val="000000" w:themeColor="text1"/>
                            <w:sz w:val="15"/>
                            <w:szCs w:val="15"/>
                          </w:rPr>
                        </w:pPr>
                        <w:r w:rsidRPr="007059A5">
                          <w:rPr>
                            <w:rFonts w:ascii="Calibri Light" w:hAnsi="Calibri Light" w:cs="Calibri Light"/>
                            <w:color w:val="000000" w:themeColor="text1"/>
                            <w:sz w:val="15"/>
                            <w:szCs w:val="15"/>
                          </w:rPr>
                          <w:t>Approach to adaptive programming</w:t>
                        </w:r>
                      </w:p>
                    </w:txbxContent>
                  </v:textbox>
                </v:oval>
                <v:oval id="Oval 23" o:spid="_x0000_s1045" style="position:absolute;left:2857;top:41814;width:12097;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" fillcolor="#f2f2f2 [3052]" strokecolor="#a5a5a5 [3206]" strokeweight=".5pt">
                  <v:fill color2="#a3a3a3 [3174]" rotate="t" colors="0 #f2f2f2;55050f #a5a5a5;1 #929292" focus="100%" type="gradient">
                    <o:fill v:ext="view" type="gradientUnscaled"/>
                  </v:fill>
                  <v:stroke joinstyle="miter"/>
                  <v:textbox inset="0,0,0,0">
                    <w:txbxContent>
                      <w:p w14:paraId="3695AE8C" w14:textId="77777777" w:rsidR="00172B2A" w:rsidRPr="007059A5" w:rsidRDefault="00172B2A" w:rsidP="00262AFF">
                        <w:pPr>
                          <w:spacing w:before="0" w:after="0" w:line="240" w:lineRule="auto"/>
                          <w:jc w:val="center"/>
                          <w:rPr>
                            <w:color w:val="000000" w:themeColor="text1"/>
                            <w:sz w:val="22"/>
                            <w:szCs w:val="22"/>
                          </w:rPr>
                        </w:pPr>
                        <w:r w:rsidRPr="007059A5">
                          <w:rPr>
                            <w:rFonts w:ascii="Calibri Light" w:hAnsi="Calibri Light" w:cs="Calibri Light"/>
                            <w:color w:val="000000" w:themeColor="text1"/>
                            <w:sz w:val="16"/>
                            <w:szCs w:val="16"/>
                          </w:rPr>
                          <w:t>Approach to gender equality</w:t>
                        </w:r>
                      </w:p>
                    </w:txbxContent>
                  </v:textbox>
                </v:oval>
                <v:oval id="Oval 24" o:spid="_x0000_s1046" style="position:absolute;width:14954;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" fillcolor="#c3c3c3 [2166]" strokecolor="#a5a5a5 [3206]" strokeweight=".5pt">
                  <v:fill color2="#b6b6b6 [2614]" rotate="t" colors="0 #d2d2d2;.5 #c8c8c8;1 silver" focus="100%" type="gradient">
                    <o:fill v:ext="view" type="gradientUnscaled"/>
                  </v:fill>
                  <v:stroke joinstyle="miter"/>
                  <v:textbox inset="0,0,0,0">
                    <w:txbxContent>
                      <w:p w14:paraId="2958988C" w14:textId="77777777" w:rsidR="00172B2A" w:rsidRPr="00A72518" w:rsidRDefault="00172B2A" w:rsidP="00262AFF">
                        <w:pPr>
                          <w:spacing w:before="0" w:after="0" w:line="240" w:lineRule="auto"/>
                          <w:jc w:val="center"/>
                          <w:rPr>
                            <w:b/>
                            <w:bCs/>
                            <w:sz w:val="32"/>
                            <w:szCs w:val="32"/>
                          </w:rPr>
                        </w:pPr>
                        <w:r w:rsidRPr="00A72518">
                          <w:rPr>
                            <w:rFonts w:ascii="Calibri Light" w:hAnsi="Calibri Light" w:cs="Calibri Light"/>
                            <w:b/>
                            <w:bCs/>
                            <w:sz w:val="22"/>
                            <w:szCs w:val="22"/>
                          </w:rPr>
                          <w:t>Key issues of interest</w:t>
                        </w:r>
                      </w:p>
                    </w:txbxContent>
                  </v:textbox>
                </v:oval>
                <v:roundrect id="Rectangle: Rounded Corners 25" o:spid="_x0000_s1047" style="position:absolute;left:17716;top:285;width:27242;height:6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" fillcolor="#82a0d7 [2164]" strokecolor="#4472c4 [3204]" strokeweight=".5pt">
                  <v:fill color2="#678ccf [2612]" rotate="t" colors="0 #a8b7df;.5 #9aabd9;1 #879ed7" focus="100%" type="gradient">
                    <o:fill v:ext="view" type="gradientUnscaled"/>
                  </v:fill>
                  <v:stroke joinstyle="miter"/>
                  <v:textbox inset="0,0,0,0">
                    <w:txbxContent>
                      <w:p w14:paraId="419D0D1D" w14:textId="77777777" w:rsidR="00172B2A" w:rsidRPr="00A72518" w:rsidRDefault="00172B2A" w:rsidP="00262AFF">
                        <w:pPr>
                          <w:spacing w:before="0" w:after="0" w:line="240" w:lineRule="auto"/>
                          <w:jc w:val="center"/>
                          <w:rPr>
                            <w:rFonts w:ascii="Calibri Light" w:hAnsi="Calibri Light" w:cs="Calibri Light"/>
                            <w:b/>
                            <w:bCs/>
                            <w:sz w:val="22"/>
                            <w:szCs w:val="22"/>
                          </w:rPr>
                        </w:pPr>
                        <w:r w:rsidRPr="00A72518">
                          <w:rPr>
                            <w:rFonts w:ascii="Calibri Light" w:hAnsi="Calibri Light" w:cs="Calibri Light"/>
                            <w:b/>
                            <w:bCs/>
                            <w:sz w:val="22"/>
                            <w:szCs w:val="22"/>
                          </w:rPr>
                          <w:t>Area of AIPJ2 examined</w:t>
                        </w:r>
                      </w:p>
                    </w:txbxContent>
                  </v:textbox>
                </v:roundrect>
                <v:roundrect id="Rectangle: Rounded Corners 26" o:spid="_x0000_s1048" style="position:absolute;left:17716;top:14531;width:27242;height:7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inset="2mm,0,0,1mm">
                    <w:txbxContent>
                      <w:p w14:paraId="29693FA2"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5BAEE69"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2</w:t>
                        </w:r>
                      </w:p>
                      <w:p w14:paraId="2F5913B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3</w:t>
                        </w:r>
                      </w:p>
                      <w:p w14:paraId="0755A6E7"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v:textbox>
                </v:roundrect>
                <v:roundrect id="Rectangle: Rounded Corners 27" o:spid="_x0000_s1049" style="position:absolute;left:17716;top:7620;width:2724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inset="2mm,0,0,1mm">
                    <w:txbxContent>
                      <w:p w14:paraId="58AF9C68"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64102283"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v:textbox>
                </v:roundrect>
                <v:line id="Straight Connector 28" o:spid="_x0000_s1050" style="position:absolute;visibility:visible;mso-wrap-style:square" from="13430,9048" to="17716,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" strokecolor="#8eaadb [1940]" strokeweight="2pt">
                  <v:stroke joinstyle="miter"/>
                </v:line>
                <v:line id="Straight Connector 29" o:spid="_x0000_s1051" style="position:absolute;flip:y;visibility:visible;mso-wrap-style:square" from="12573,11239" to="17716,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" strokecolor="#8eaadb [1940]" strokeweight="2pt">
                  <v:stroke joinstyle="miter"/>
                </v:line>
                <v:line id="Straight Connector 30" o:spid="_x0000_s1052" style="position:absolute;flip:y;visibility:visible;mso-wrap-style:square" from="13430,19716" to="17716,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" strokecolor="#8eaadb [1940]" strokeweight="2pt">
                  <v:stroke joinstyle="miter"/>
                </v:line>
                <v:roundrect id="Rectangle: Rounded Corners 31" o:spid="_x0000_s1053" style="position:absolute;left:18097;top:22955;width:27242;height:55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inset="2mm,0,0,1mm">
                    <w:txbxContent>
                      <w:p w14:paraId="22CDADA8"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78BD05C"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3 (Utilising recent AIPJ2 internal review of Pillar 3)</w:t>
                        </w:r>
                      </w:p>
                      <w:p w14:paraId="59C53A7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v:textbox>
                </v:roundrect>
                <v:line id="Straight Connector 32" o:spid="_x0000_s1054" style="position:absolute;flip:y;visibility:visible;mso-wrap-style:square" from="14382,25908" to="18669,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" strokecolor="#8eaadb [1940]" strokeweight="2pt">
                  <v:stroke joinstyle="miter"/>
                </v:line>
                <v:roundrect id="Rectangle: Rounded Corners 33" o:spid="_x0000_s1055" style="position:absolute;left:18097;top:30635;width:27242;height:4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" fillcolor="#82a0d7 [2164]" strokecolor="#4472c4 [3204]" strokeweight=".5pt">
                  <v:fill color2="#678ccf [2612]" rotate="t" colors="0 #a8b7df;.5 #9aabd9;1 #879ed7" focus="100%" type="gradient">
                    <o:fill v:ext="view" type="gradientUnscaled"/>
                  </v:fill>
                  <v:stroke joinstyle="miter"/>
                  <v:textbox inset="2mm,0,0,1mm">
                    <w:txbxContent>
                      <w:p w14:paraId="50E6F8FB"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1 (Court reform; Anti-corruption; Prevention of child marriage)</w:t>
                        </w:r>
                      </w:p>
                      <w:p w14:paraId="47EAA773"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Pillar 4 (Corrections reform)</w:t>
                        </w:r>
                      </w:p>
                    </w:txbxContent>
                  </v:textbox>
                </v:roundrect>
                <v:roundrect id="Rectangle: Rounded Corners 34" o:spid="_x0000_s1056" style="position:absolute;left:18097;top:36766;width:27242;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" fillcolor="#82a0d7 [2164]" strokecolor="#4472c4 [3204]" strokeweight=".5pt">
                  <v:fill color2="#678ccf [2612]" rotate="t" colors="0 #a8b7df;.5 #9aabd9;1 #879ed7" focus="100%" type="gradient">
                    <o:fill v:ext="view" type="gradientUnscaled"/>
                  </v:fill>
                  <v:stroke joinstyle="miter"/>
                  <v:textbox inset="2mm,0,0,1mm">
                    <w:txbxContent>
                      <w:p w14:paraId="39BB1EF1" w14:textId="77777777" w:rsidR="00172B2A" w:rsidRPr="007059A5" w:rsidRDefault="00172B2A" w:rsidP="00262AFF">
                        <w:pPr>
                          <w:spacing w:before="0" w:after="0" w:line="240" w:lineRule="auto"/>
                          <w:ind w:left="567" w:hanging="567"/>
                          <w:rPr>
                            <w:rFonts w:ascii="Calibri Light" w:hAnsi="Calibri Light" w:cs="Calibri Light"/>
                            <w:sz w:val="15"/>
                            <w:szCs w:val="15"/>
                          </w:rPr>
                        </w:pPr>
                        <w:r w:rsidRPr="007059A5">
                          <w:rPr>
                            <w:rFonts w:ascii="Calibri Light" w:hAnsi="Calibri Light" w:cs="Calibri Light"/>
                            <w:sz w:val="14"/>
                            <w:szCs w:val="14"/>
                          </w:rPr>
                          <w:t>Sample</w:t>
                        </w:r>
                        <w:r w:rsidRPr="007059A5">
                          <w:rPr>
                            <w:rFonts w:ascii="Calibri Light" w:hAnsi="Calibri Light" w:cs="Calibri Light"/>
                            <w:sz w:val="15"/>
                            <w:szCs w:val="15"/>
                          </w:rPr>
                          <w:t xml:space="preserve"> of partners under Pillars 1,3 and 4</w:t>
                        </w:r>
                      </w:p>
                    </w:txbxContent>
                  </v:textbox>
                </v:roundrect>
                <v:roundrect id="Rectangle: Rounded Corners 35" o:spid="_x0000_s1057" style="position:absolute;left:18097;top:47720;width:27242;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" fillcolor="#82a0d7 [2164]" strokecolor="#4472c4 [3204]" strokeweight=".5pt">
                  <v:fill color2="#678ccf [2612]" rotate="t" colors="0 #a8b7df;.5 #9aabd9;1 #879ed7" focus="100%" type="gradient">
                    <o:fill v:ext="view" type="gradientUnscaled"/>
                  </v:fill>
                  <v:stroke joinstyle="miter"/>
                  <v:textbox inset="2mm,0,0,1mm">
                    <w:txbxContent>
                      <w:p w14:paraId="1AF0BEE4" w14:textId="77777777" w:rsidR="00172B2A" w:rsidRPr="007059A5" w:rsidRDefault="00172B2A" w:rsidP="00262AFF">
                        <w:pPr>
                          <w:spacing w:before="0" w:after="0" w:line="240" w:lineRule="auto"/>
                          <w:ind w:left="567" w:hanging="567"/>
                          <w:rPr>
                            <w:rFonts w:ascii="Calibri Light" w:hAnsi="Calibri Light" w:cs="Calibri Light"/>
                            <w:sz w:val="14"/>
                            <w:szCs w:val="14"/>
                          </w:rPr>
                        </w:pPr>
                        <w:r w:rsidRPr="007059A5">
                          <w:rPr>
                            <w:rFonts w:ascii="Calibri Light" w:hAnsi="Calibri Light" w:cs="Calibri Light"/>
                            <w:sz w:val="14"/>
                            <w:szCs w:val="14"/>
                          </w:rPr>
                          <w:t>Cross-Pillar</w:t>
                        </w:r>
                      </w:p>
                    </w:txbxContent>
                  </v:textbox>
                </v:roundrect>
                <v:line id="Straight Connector 36" o:spid="_x0000_s1058" style="position:absolute;visibility:visible;mso-wrap-style:square" from="14954,49244" to="18097,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" strokecolor="#8eaadb [1940]" strokeweight="2pt">
                  <v:stroke joinstyle="miter"/>
                </v:line>
                <v:line id="Straight Connector 37" o:spid="_x0000_s1059" style="position:absolute;flip:y;visibility:visible;mso-wrap-style:square" from="14478,32861" to="18764,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" strokecolor="#8eaadb [1940]" strokeweight="2pt">
                  <v:stroke joinstyle="miter"/>
                </v:line>
                <v:line id="Straight Connector 38" o:spid="_x0000_s1060" style="position:absolute;flip:y;visibility:visible;mso-wrap-style:square" from="14859,38481" to="18288,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" strokecolor="#8eaadb [1940]" strokeweight="2pt">
                  <v:stroke joinstyle="miter"/>
                </v:line>
                <v:line id="Straight Connector 39" o:spid="_x0000_s1061" style="position:absolute;visibility:visible;mso-wrap-style:square" from="14615,44672" to="18235,4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" strokecolor="#8eaadb [1940]" strokeweight="2pt">
                  <v:stroke joinstyle="miter"/>
                </v:line>
                <v:line id="Straight Connector 40" o:spid="_x0000_s1062" style="position:absolute;flip:y;visibility:visible;mso-wrap-style:square" from="14478,50863" to="18287,5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" strokecolor="#8eaadb [1940]" strokeweight="2pt">
                  <v:stroke joinstyle="miter"/>
                </v:line>
                <w10:wrap type="square"/>
              </v:group>
            </w:pict>
          </mc:Fallback>
        </mc:AlternateContent>
      </w:r>
      <w:r>
        <w:rPr>
          <w:b/>
          <w:bCs/>
        </w:rPr>
        <w:t>Figure 1:   Areas of AIPJ2 selected to inform key issues</w:t>
      </w:r>
    </w:p>
    <w:p w14:paraId="3412D86F" w14:textId="77777777" w:rsidR="00262AFF" w:rsidRPr="000738EA" w:rsidRDefault="00262AFF" w:rsidP="00262AFF">
      <w:pPr>
        <w:pStyle w:val="Heading1"/>
        <w:rPr>
          <w:color w:val="00B0F0"/>
        </w:rPr>
      </w:pPr>
      <w:r w:rsidRPr="000738EA">
        <w:rPr>
          <w:color w:val="00B0F0"/>
        </w:rPr>
        <w:t>Data collection and analysis</w:t>
      </w:r>
    </w:p>
    <w:p w14:paraId="5205E939" w14:textId="77777777" w:rsidR="00262AFF" w:rsidRPr="00085EA5" w:rsidRDefault="00262AFF" w:rsidP="00262AFF">
      <w:pPr>
        <w:pStyle w:val="Heading2"/>
      </w:pPr>
      <w:r>
        <w:t>Data sources</w:t>
      </w:r>
    </w:p>
    <w:p w14:paraId="47D113D0"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 xml:space="preserve">The review </w:t>
      </w:r>
      <w:r>
        <w:rPr>
          <w:rFonts w:ascii="Calibri Light" w:hAnsi="Calibri Light" w:cs="Calibri Light"/>
          <w:sz w:val="22"/>
          <w:szCs w:val="22"/>
        </w:rPr>
        <w:t>drew</w:t>
      </w:r>
      <w:r w:rsidRPr="007059A5">
        <w:rPr>
          <w:rFonts w:ascii="Calibri Light" w:hAnsi="Calibri Light" w:cs="Calibri Light"/>
          <w:sz w:val="22"/>
          <w:szCs w:val="22"/>
        </w:rPr>
        <w:t xml:space="preserve"> on primary and secondary sources of data.  Primary data </w:t>
      </w:r>
      <w:r>
        <w:rPr>
          <w:rFonts w:ascii="Calibri Light" w:hAnsi="Calibri Light" w:cs="Calibri Light"/>
          <w:sz w:val="22"/>
          <w:szCs w:val="22"/>
        </w:rPr>
        <w:t xml:space="preserve">was </w:t>
      </w:r>
      <w:r w:rsidRPr="007059A5">
        <w:rPr>
          <w:rFonts w:ascii="Calibri Light" w:hAnsi="Calibri Light" w:cs="Calibri Light"/>
          <w:sz w:val="22"/>
          <w:szCs w:val="22"/>
        </w:rPr>
        <w:t xml:space="preserve">collected from three main sources: </w:t>
      </w:r>
    </w:p>
    <w:p w14:paraId="3AF1DFD0" w14:textId="77777777" w:rsidR="00262AFF" w:rsidRPr="007059A5" w:rsidRDefault="00262AFF" w:rsidP="00262AFF">
      <w:pPr>
        <w:pStyle w:val="ListParagraph"/>
        <w:numPr>
          <w:ilvl w:val="0"/>
          <w:numId w:val="33"/>
        </w:numPr>
        <w:rPr>
          <w:rFonts w:ascii="Calibri Light" w:hAnsi="Calibri Light" w:cs="Calibri Light"/>
          <w:sz w:val="22"/>
          <w:szCs w:val="22"/>
        </w:rPr>
      </w:pPr>
      <w:r w:rsidRPr="007059A5">
        <w:rPr>
          <w:rFonts w:ascii="Calibri Light" w:hAnsi="Calibri Light" w:cs="Calibri Light"/>
          <w:sz w:val="22"/>
          <w:szCs w:val="22"/>
        </w:rPr>
        <w:t>AIPJ2 staff and relevant GOA (including DFAT) staff</w:t>
      </w:r>
    </w:p>
    <w:p w14:paraId="6C2412D0" w14:textId="77777777" w:rsidR="00262AFF" w:rsidRPr="007059A5" w:rsidRDefault="00262AFF" w:rsidP="00262AFF">
      <w:pPr>
        <w:pStyle w:val="ListParagraph"/>
        <w:numPr>
          <w:ilvl w:val="0"/>
          <w:numId w:val="33"/>
        </w:numPr>
        <w:rPr>
          <w:rFonts w:ascii="Calibri Light" w:hAnsi="Calibri Light" w:cs="Calibri Light"/>
          <w:sz w:val="22"/>
          <w:szCs w:val="22"/>
        </w:rPr>
      </w:pPr>
      <w:r w:rsidRPr="007059A5">
        <w:rPr>
          <w:rFonts w:ascii="Calibri Light" w:hAnsi="Calibri Light" w:cs="Calibri Light"/>
          <w:sz w:val="22"/>
          <w:szCs w:val="22"/>
        </w:rPr>
        <w:t>AIPJ2 government and civil society partners</w:t>
      </w:r>
    </w:p>
    <w:p w14:paraId="3EF2B71D" w14:textId="77777777" w:rsidR="00262AFF" w:rsidRPr="007059A5" w:rsidRDefault="00262AFF" w:rsidP="00262AFF">
      <w:pPr>
        <w:pStyle w:val="ListParagraph"/>
        <w:numPr>
          <w:ilvl w:val="0"/>
          <w:numId w:val="33"/>
        </w:numPr>
        <w:rPr>
          <w:rFonts w:ascii="Calibri Light" w:hAnsi="Calibri Light" w:cs="Calibri Light"/>
          <w:sz w:val="22"/>
          <w:szCs w:val="22"/>
        </w:rPr>
      </w:pPr>
      <w:r w:rsidRPr="007059A5">
        <w:rPr>
          <w:rFonts w:ascii="Calibri Light" w:hAnsi="Calibri Light" w:cs="Calibri Light"/>
          <w:sz w:val="22"/>
          <w:szCs w:val="22"/>
        </w:rPr>
        <w:t>Knowledgeable informants who are not directly / permanently engaged in from civil society, academia and other donors</w:t>
      </w:r>
    </w:p>
    <w:p w14:paraId="0067AFA0"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 xml:space="preserve">Data collection </w:t>
      </w:r>
      <w:r>
        <w:rPr>
          <w:rFonts w:ascii="Calibri Light" w:hAnsi="Calibri Light" w:cs="Calibri Light"/>
          <w:sz w:val="22"/>
          <w:szCs w:val="22"/>
        </w:rPr>
        <w:t xml:space="preserve">was </w:t>
      </w:r>
      <w:r w:rsidRPr="007059A5">
        <w:rPr>
          <w:rFonts w:ascii="Calibri Light" w:hAnsi="Calibri Light" w:cs="Calibri Light"/>
          <w:sz w:val="22"/>
          <w:szCs w:val="22"/>
        </w:rPr>
        <w:t xml:space="preserve">primarily through individual interviews using semi-structured questionnaires.  However, </w:t>
      </w:r>
      <w:r>
        <w:rPr>
          <w:rFonts w:ascii="Calibri Light" w:hAnsi="Calibri Light" w:cs="Calibri Light"/>
          <w:sz w:val="22"/>
          <w:szCs w:val="22"/>
        </w:rPr>
        <w:t xml:space="preserve">some focus group discussions were held with </w:t>
      </w:r>
      <w:r w:rsidRPr="007059A5">
        <w:rPr>
          <w:rFonts w:ascii="Calibri Light" w:hAnsi="Calibri Light" w:cs="Calibri Light"/>
          <w:sz w:val="22"/>
          <w:szCs w:val="22"/>
        </w:rPr>
        <w:t xml:space="preserve">civil society partners to explore questions relating to capacity-building.  Interviews </w:t>
      </w:r>
      <w:r>
        <w:rPr>
          <w:rFonts w:ascii="Calibri Light" w:hAnsi="Calibri Light" w:cs="Calibri Light"/>
          <w:sz w:val="22"/>
          <w:szCs w:val="22"/>
        </w:rPr>
        <w:t>were</w:t>
      </w:r>
      <w:r w:rsidRPr="007059A5">
        <w:rPr>
          <w:rFonts w:ascii="Calibri Light" w:hAnsi="Calibri Light" w:cs="Calibri Light"/>
          <w:sz w:val="22"/>
          <w:szCs w:val="22"/>
        </w:rPr>
        <w:t xml:space="preserve"> conducted in line with standard ethical protocols, with confidentiality and anonymity assured, and information used on a non-disclosive basis unless otherwise agreed.  </w:t>
      </w:r>
    </w:p>
    <w:p w14:paraId="24C949AB"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 xml:space="preserve">Secondary data (document review) </w:t>
      </w:r>
      <w:r>
        <w:rPr>
          <w:rFonts w:ascii="Calibri Light" w:hAnsi="Calibri Light" w:cs="Calibri Light"/>
          <w:sz w:val="22"/>
          <w:szCs w:val="22"/>
        </w:rPr>
        <w:t xml:space="preserve">was </w:t>
      </w:r>
      <w:r w:rsidRPr="007059A5">
        <w:rPr>
          <w:rFonts w:ascii="Calibri Light" w:hAnsi="Calibri Light" w:cs="Calibri Light"/>
          <w:sz w:val="22"/>
          <w:szCs w:val="22"/>
        </w:rPr>
        <w:t xml:space="preserve">primarily in the form of </w:t>
      </w:r>
    </w:p>
    <w:p w14:paraId="591BF5F8" w14:textId="77777777" w:rsidR="00262AFF" w:rsidRPr="007059A5" w:rsidRDefault="00262AFF" w:rsidP="00262AFF">
      <w:pPr>
        <w:pStyle w:val="ListParagraph"/>
        <w:numPr>
          <w:ilvl w:val="0"/>
          <w:numId w:val="34"/>
        </w:numPr>
        <w:rPr>
          <w:rFonts w:ascii="Calibri Light" w:hAnsi="Calibri Light" w:cs="Calibri Light"/>
          <w:sz w:val="22"/>
          <w:szCs w:val="22"/>
        </w:rPr>
      </w:pPr>
      <w:r w:rsidRPr="007059A5">
        <w:rPr>
          <w:rFonts w:ascii="Calibri Light" w:hAnsi="Calibri Light" w:cs="Calibri Light"/>
          <w:sz w:val="22"/>
          <w:szCs w:val="22"/>
        </w:rPr>
        <w:t xml:space="preserve">AIPJ2 reports, briefs and strategies, </w:t>
      </w:r>
    </w:p>
    <w:p w14:paraId="20B812F2" w14:textId="77777777" w:rsidR="00262AFF" w:rsidRPr="007059A5" w:rsidRDefault="00262AFF" w:rsidP="00262AFF">
      <w:pPr>
        <w:pStyle w:val="ListParagraph"/>
        <w:numPr>
          <w:ilvl w:val="0"/>
          <w:numId w:val="34"/>
        </w:numPr>
        <w:rPr>
          <w:rFonts w:ascii="Calibri Light" w:hAnsi="Calibri Light" w:cs="Calibri Light"/>
          <w:sz w:val="22"/>
          <w:szCs w:val="22"/>
        </w:rPr>
      </w:pPr>
      <w:r w:rsidRPr="007059A5">
        <w:rPr>
          <w:rFonts w:ascii="Calibri Light" w:hAnsi="Calibri Light" w:cs="Calibri Light"/>
          <w:sz w:val="22"/>
          <w:szCs w:val="22"/>
        </w:rPr>
        <w:t>AIPJ2 management data held by DFAT / Cardno (e.g. expenditure data)</w:t>
      </w:r>
    </w:p>
    <w:p w14:paraId="50BB9E50" w14:textId="77777777" w:rsidR="00262AFF" w:rsidRPr="007059A5" w:rsidRDefault="00262AFF" w:rsidP="00262AFF">
      <w:pPr>
        <w:pStyle w:val="ListParagraph"/>
        <w:numPr>
          <w:ilvl w:val="0"/>
          <w:numId w:val="34"/>
        </w:numPr>
        <w:rPr>
          <w:rFonts w:ascii="Calibri Light" w:hAnsi="Calibri Light" w:cs="Calibri Light"/>
          <w:sz w:val="22"/>
          <w:szCs w:val="22"/>
        </w:rPr>
      </w:pPr>
      <w:r w:rsidRPr="007059A5">
        <w:rPr>
          <w:rFonts w:ascii="Calibri Light" w:hAnsi="Calibri Light" w:cs="Calibri Light"/>
          <w:sz w:val="22"/>
          <w:szCs w:val="22"/>
        </w:rPr>
        <w:t xml:space="preserve">AIPJ2 partner reports; and </w:t>
      </w:r>
    </w:p>
    <w:p w14:paraId="48B53914" w14:textId="77777777" w:rsidR="00262AFF" w:rsidRPr="007059A5" w:rsidRDefault="00262AFF" w:rsidP="00262AFF">
      <w:pPr>
        <w:pStyle w:val="ListParagraph"/>
        <w:numPr>
          <w:ilvl w:val="0"/>
          <w:numId w:val="34"/>
        </w:numPr>
        <w:spacing w:line="271" w:lineRule="auto"/>
        <w:rPr>
          <w:sz w:val="22"/>
          <w:szCs w:val="22"/>
        </w:rPr>
      </w:pPr>
      <w:r w:rsidRPr="007059A5">
        <w:rPr>
          <w:rFonts w:ascii="Calibri Light" w:hAnsi="Calibri Light" w:cs="Calibri Light"/>
          <w:sz w:val="22"/>
          <w:szCs w:val="22"/>
        </w:rPr>
        <w:t>relevant evaluations (of AIPJ2 and other initiatives)</w:t>
      </w:r>
    </w:p>
    <w:p w14:paraId="6B5BA22F" w14:textId="77777777" w:rsidR="00262AFF" w:rsidRPr="000738EA" w:rsidRDefault="00262AFF" w:rsidP="00262AFF">
      <w:pPr>
        <w:pStyle w:val="Heading2"/>
      </w:pPr>
      <w:r w:rsidRPr="000738EA">
        <w:t>Sampling</w:t>
      </w:r>
    </w:p>
    <w:p w14:paraId="3569D0D2"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As indicated above (see Scope), the MTR examine</w:t>
      </w:r>
      <w:r>
        <w:rPr>
          <w:rFonts w:ascii="Calibri Light" w:hAnsi="Calibri Light" w:cs="Calibri Light"/>
          <w:sz w:val="22"/>
          <w:szCs w:val="22"/>
        </w:rPr>
        <w:t>d</w:t>
      </w:r>
      <w:r w:rsidRPr="007059A5">
        <w:rPr>
          <w:rFonts w:ascii="Calibri Light" w:hAnsi="Calibri Light" w:cs="Calibri Light"/>
          <w:sz w:val="22"/>
          <w:szCs w:val="22"/>
        </w:rPr>
        <w:t xml:space="preserve"> a sample of AIPJ2 work areas and engage</w:t>
      </w:r>
      <w:r>
        <w:rPr>
          <w:rFonts w:ascii="Calibri Light" w:hAnsi="Calibri Light" w:cs="Calibri Light"/>
          <w:sz w:val="22"/>
          <w:szCs w:val="22"/>
        </w:rPr>
        <w:t>d</w:t>
      </w:r>
      <w:r w:rsidRPr="007059A5">
        <w:rPr>
          <w:rFonts w:ascii="Calibri Light" w:hAnsi="Calibri Light" w:cs="Calibri Light"/>
          <w:sz w:val="22"/>
          <w:szCs w:val="22"/>
        </w:rPr>
        <w:t xml:space="preserve"> with a sample of AIPJ2 partners.    Given the small numbers involved and the unique nature of work areas and partners’ roles, random sampling methods </w:t>
      </w:r>
      <w:r>
        <w:rPr>
          <w:rFonts w:ascii="Calibri Light" w:hAnsi="Calibri Light" w:cs="Calibri Light"/>
          <w:sz w:val="22"/>
          <w:szCs w:val="22"/>
        </w:rPr>
        <w:t xml:space="preserve">were </w:t>
      </w:r>
      <w:r w:rsidRPr="007059A5">
        <w:rPr>
          <w:rFonts w:ascii="Calibri Light" w:hAnsi="Calibri Light" w:cs="Calibri Light"/>
          <w:sz w:val="22"/>
          <w:szCs w:val="22"/>
        </w:rPr>
        <w:t xml:space="preserve">not appropriate.  Instead, sample selection </w:t>
      </w:r>
      <w:r>
        <w:rPr>
          <w:rFonts w:ascii="Calibri Light" w:hAnsi="Calibri Light" w:cs="Calibri Light"/>
          <w:sz w:val="22"/>
          <w:szCs w:val="22"/>
        </w:rPr>
        <w:t xml:space="preserve">was </w:t>
      </w:r>
      <w:r w:rsidRPr="007059A5">
        <w:rPr>
          <w:rFonts w:ascii="Calibri Light" w:hAnsi="Calibri Light" w:cs="Calibri Light"/>
          <w:sz w:val="22"/>
          <w:szCs w:val="22"/>
        </w:rPr>
        <w:t xml:space="preserve">purposive and designed to achieve ‘situational’ (rather than statistical) representativeness.   However, the MTR’s sampling approach </w:t>
      </w:r>
      <w:r>
        <w:rPr>
          <w:rFonts w:ascii="Calibri Light" w:hAnsi="Calibri Light" w:cs="Calibri Light"/>
          <w:sz w:val="22"/>
          <w:szCs w:val="22"/>
        </w:rPr>
        <w:t xml:space="preserve">was </w:t>
      </w:r>
      <w:r w:rsidRPr="007059A5">
        <w:rPr>
          <w:rFonts w:ascii="Calibri Light" w:hAnsi="Calibri Light" w:cs="Calibri Light"/>
          <w:sz w:val="22"/>
          <w:szCs w:val="22"/>
        </w:rPr>
        <w:t>informed by good practice (e.g. use of stratification).</w:t>
      </w:r>
    </w:p>
    <w:p w14:paraId="377CE9EC" w14:textId="77777777" w:rsidR="00262AFF" w:rsidRPr="000738EA" w:rsidRDefault="00262AFF" w:rsidP="00262AFF">
      <w:pPr>
        <w:pStyle w:val="Heading2"/>
      </w:pPr>
      <w:r w:rsidRPr="000738EA">
        <w:t>Analysis, synthesis and drawing conclusions</w:t>
      </w:r>
    </w:p>
    <w:p w14:paraId="4E26D036"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 xml:space="preserve">The MTR’s overall approach to drawing inferences </w:t>
      </w:r>
      <w:r>
        <w:rPr>
          <w:rFonts w:ascii="Calibri Light" w:hAnsi="Calibri Light" w:cs="Calibri Light"/>
          <w:sz w:val="22"/>
          <w:szCs w:val="22"/>
        </w:rPr>
        <w:t xml:space="preserve">was </w:t>
      </w:r>
      <w:r w:rsidRPr="007059A5">
        <w:rPr>
          <w:rFonts w:ascii="Calibri Light" w:hAnsi="Calibri Light" w:cs="Calibri Light"/>
          <w:sz w:val="22"/>
          <w:szCs w:val="22"/>
        </w:rPr>
        <w:t xml:space="preserve">qualitative.  However, within that, both quantitative and qualitative analysis </w:t>
      </w:r>
      <w:r>
        <w:rPr>
          <w:rFonts w:ascii="Calibri Light" w:hAnsi="Calibri Light" w:cs="Calibri Light"/>
          <w:sz w:val="22"/>
          <w:szCs w:val="22"/>
        </w:rPr>
        <w:t xml:space="preserve">was </w:t>
      </w:r>
      <w:r w:rsidRPr="007059A5">
        <w:rPr>
          <w:rFonts w:ascii="Calibri Light" w:hAnsi="Calibri Light" w:cs="Calibri Light"/>
          <w:sz w:val="22"/>
          <w:szCs w:val="22"/>
        </w:rPr>
        <w:t>carried out as part of the assessment.  The MTR employ</w:t>
      </w:r>
      <w:r>
        <w:rPr>
          <w:rFonts w:ascii="Calibri Light" w:hAnsi="Calibri Light" w:cs="Calibri Light"/>
          <w:sz w:val="22"/>
          <w:szCs w:val="22"/>
        </w:rPr>
        <w:t>ed</w:t>
      </w:r>
      <w:r w:rsidRPr="007059A5">
        <w:rPr>
          <w:rFonts w:ascii="Calibri Light" w:hAnsi="Calibri Light" w:cs="Calibri Light"/>
          <w:sz w:val="22"/>
          <w:szCs w:val="22"/>
        </w:rPr>
        <w:t xml:space="preserve"> a mixed-methods approach, using multiple lines of both quantitative and qualitative evidence drawn from both primary and secondary sources: interviews and focus group discussions, document and administrative data review, content analysis, trend and comparative analysis (‘before-after’). </w:t>
      </w:r>
    </w:p>
    <w:p w14:paraId="420E7A6A" w14:textId="77777777" w:rsidR="00262AFF" w:rsidRPr="007059A5" w:rsidRDefault="00262AFF" w:rsidP="00262AFF">
      <w:pPr>
        <w:rPr>
          <w:rFonts w:ascii="Calibri Light" w:hAnsi="Calibri Light" w:cs="Calibri Light"/>
          <w:sz w:val="22"/>
          <w:szCs w:val="22"/>
        </w:rPr>
      </w:pPr>
      <w:r w:rsidRPr="007059A5">
        <w:rPr>
          <w:rFonts w:ascii="Calibri Light" w:hAnsi="Calibri Light" w:cs="Calibri Light"/>
          <w:sz w:val="22"/>
          <w:szCs w:val="22"/>
        </w:rPr>
        <w:t xml:space="preserve">Findings reported by AIPJ2 in interviews and reports </w:t>
      </w:r>
      <w:r>
        <w:rPr>
          <w:rFonts w:ascii="Calibri Light" w:hAnsi="Calibri Light" w:cs="Calibri Light"/>
          <w:sz w:val="22"/>
          <w:szCs w:val="22"/>
        </w:rPr>
        <w:t xml:space="preserve">were </w:t>
      </w:r>
      <w:r w:rsidRPr="007059A5">
        <w:rPr>
          <w:rFonts w:ascii="Calibri Light" w:hAnsi="Calibri Light" w:cs="Calibri Light"/>
          <w:sz w:val="22"/>
          <w:szCs w:val="22"/>
        </w:rPr>
        <w:t xml:space="preserve">triangulated with the views of partners for corroboration or challenge.   Interviews with knowledgeable informants </w:t>
      </w:r>
      <w:r>
        <w:rPr>
          <w:rFonts w:ascii="Calibri Light" w:hAnsi="Calibri Light" w:cs="Calibri Light"/>
          <w:sz w:val="22"/>
          <w:szCs w:val="22"/>
        </w:rPr>
        <w:t xml:space="preserve">were </w:t>
      </w:r>
      <w:r w:rsidRPr="007059A5">
        <w:rPr>
          <w:rFonts w:ascii="Calibri Light" w:hAnsi="Calibri Light" w:cs="Calibri Light"/>
          <w:sz w:val="22"/>
          <w:szCs w:val="22"/>
        </w:rPr>
        <w:t>used to test the reasonableness of assumptions underpinning the design logic of key areas of AIPJ2’s work, AIPJ2’s interpretation of the context and AIPJ’s views on prospects for achieving the end-of-facility outcomes.</w:t>
      </w:r>
    </w:p>
    <w:p w14:paraId="407B0355" w14:textId="77777777" w:rsidR="00262AFF" w:rsidRPr="000738EA" w:rsidRDefault="00262AFF" w:rsidP="00262AFF">
      <w:pPr>
        <w:pStyle w:val="BodyText"/>
        <w:spacing w:before="60" w:line="271" w:lineRule="auto"/>
        <w:jc w:val="both"/>
        <w:rPr>
          <w:rFonts w:ascii="Calibri Light" w:eastAsiaTheme="minorHAnsi" w:hAnsi="Calibri Light" w:cs="Calibri Light"/>
          <w:lang w:val="en-GB" w:eastAsia="en-US"/>
        </w:rPr>
      </w:pPr>
      <w:r w:rsidRPr="007059A5">
        <w:rPr>
          <w:rFonts w:ascii="Calibri Light" w:eastAsiaTheme="minorHAnsi" w:hAnsi="Calibri Light" w:cs="Calibri Light"/>
          <w:lang w:val="en-GB" w:eastAsia="en-US"/>
        </w:rPr>
        <w:t>The MTR use</w:t>
      </w:r>
      <w:r>
        <w:rPr>
          <w:rFonts w:ascii="Calibri Light" w:eastAsiaTheme="minorHAnsi" w:hAnsi="Calibri Light" w:cs="Calibri Light"/>
          <w:lang w:val="en-GB" w:eastAsia="en-US"/>
        </w:rPr>
        <w:t>d</w:t>
      </w:r>
      <w:r w:rsidRPr="007059A5">
        <w:rPr>
          <w:rFonts w:ascii="Calibri Light" w:eastAsiaTheme="minorHAnsi" w:hAnsi="Calibri Light" w:cs="Calibri Light"/>
          <w:lang w:val="en-GB" w:eastAsia="en-US"/>
        </w:rPr>
        <w:t xml:space="preserve"> thematic analysis techniques to analyse results of interviews and focus groups, in order to identify common patterns or themes within and across AIPJ2 pillars.  Specifically, Framework Analysis, which is a qualitative method appropriate to mixed-methods/ interdisciplinary research with “specific questions, a limited time frame, a pre-designed sample (e.g. professional participants) and a priori issues (that need to be dealt with”)</w:t>
      </w:r>
      <w:r w:rsidRPr="007059A5">
        <w:rPr>
          <w:rFonts w:ascii="Calibri Light" w:eastAsiaTheme="minorHAnsi" w:hAnsi="Calibri Light" w:cs="Calibri Light"/>
          <w:vertAlign w:val="superscript"/>
          <w:lang w:eastAsia="en-US"/>
        </w:rPr>
        <w:footnoteReference w:id="17"/>
      </w:r>
      <w:r w:rsidRPr="007059A5">
        <w:rPr>
          <w:rFonts w:ascii="Calibri Light" w:eastAsiaTheme="minorHAnsi" w:hAnsi="Calibri Light" w:cs="Calibri Light"/>
          <w:lang w:val="en-GB" w:eastAsia="en-US"/>
        </w:rPr>
        <w:t xml:space="preserve">.  </w:t>
      </w:r>
    </w:p>
    <w:p w14:paraId="4A3BB104" w14:textId="77777777" w:rsidR="00262AFF" w:rsidRPr="000738EA" w:rsidRDefault="00262AFF" w:rsidP="00262AFF">
      <w:pPr>
        <w:pStyle w:val="Heading1"/>
        <w:rPr>
          <w:color w:val="00B0F0"/>
        </w:rPr>
      </w:pPr>
      <w:r>
        <w:rPr>
          <w:color w:val="00B0F0"/>
        </w:rPr>
        <w:t>Limitations</w:t>
      </w:r>
    </w:p>
    <w:p w14:paraId="6F02B7D3" w14:textId="77777777" w:rsidR="00262AFF" w:rsidRPr="000738EA" w:rsidRDefault="00262AFF" w:rsidP="00262AFF">
      <w:pPr>
        <w:spacing w:before="240"/>
        <w:rPr>
          <w:rFonts w:ascii="Calibri Light" w:hAnsi="Calibri Light" w:cs="Calibri Light"/>
          <w:sz w:val="22"/>
          <w:szCs w:val="22"/>
        </w:rPr>
      </w:pPr>
      <w:r w:rsidRPr="000738EA">
        <w:rPr>
          <w:rFonts w:ascii="Calibri Light" w:hAnsi="Calibri Light" w:cs="Calibri Light"/>
          <w:sz w:val="22"/>
          <w:szCs w:val="22"/>
        </w:rPr>
        <w:t>As set out above, AIPJ2’s scope mean the MTR had to be selective which in turn affected the nature of the enquiry possible:</w:t>
      </w:r>
    </w:p>
    <w:p w14:paraId="5652FD88" w14:textId="77777777" w:rsidR="00262AFF" w:rsidRPr="000738EA" w:rsidRDefault="00262AFF" w:rsidP="00262AFF">
      <w:pPr>
        <w:pStyle w:val="ListParagraph"/>
        <w:numPr>
          <w:ilvl w:val="0"/>
          <w:numId w:val="33"/>
        </w:numPr>
        <w:spacing w:before="0" w:after="160" w:line="259" w:lineRule="auto"/>
        <w:rPr>
          <w:rFonts w:ascii="Calibri Light" w:eastAsia="Times New Roman" w:hAnsi="Calibri Light" w:cs="Calibri Light"/>
          <w:sz w:val="22"/>
          <w:szCs w:val="22"/>
          <w:lang w:eastAsia="en-AU"/>
        </w:rPr>
      </w:pPr>
      <w:r w:rsidRPr="000738EA">
        <w:rPr>
          <w:rFonts w:ascii="Calibri Light" w:hAnsi="Calibri Light" w:cs="Calibri Light"/>
          <w:b/>
          <w:sz w:val="22"/>
          <w:szCs w:val="22"/>
        </w:rPr>
        <w:t>The MTR did not make a separate, independent assessment of outcome achievement</w:t>
      </w:r>
      <w:r w:rsidRPr="000738EA">
        <w:rPr>
          <w:rFonts w:ascii="Calibri Light" w:hAnsi="Calibri Light" w:cs="Calibri Light"/>
          <w:sz w:val="22"/>
          <w:szCs w:val="22"/>
        </w:rPr>
        <w:t xml:space="preserve">   but rather sought to validate reported achievements.  On the grounds that</w:t>
      </w:r>
    </w:p>
    <w:p w14:paraId="48D52931" w14:textId="77777777" w:rsidR="00262AFF" w:rsidRPr="000738EA" w:rsidRDefault="00262AFF" w:rsidP="00262AFF">
      <w:pPr>
        <w:pStyle w:val="ListParagraph"/>
        <w:numPr>
          <w:ilvl w:val="1"/>
          <w:numId w:val="33"/>
        </w:numPr>
        <w:spacing w:before="0" w:after="160" w:line="259" w:lineRule="auto"/>
        <w:rPr>
          <w:rFonts w:ascii="Calibri Light" w:eastAsia="Times New Roman" w:hAnsi="Calibri Light" w:cs="Calibri Light"/>
          <w:sz w:val="22"/>
          <w:szCs w:val="22"/>
          <w:lang w:eastAsia="en-AU"/>
        </w:rPr>
      </w:pPr>
      <w:r w:rsidRPr="000738EA">
        <w:rPr>
          <w:rFonts w:ascii="Calibri Light" w:eastAsia="Times New Roman" w:hAnsi="Calibri Light" w:cs="Calibri Light"/>
          <w:sz w:val="22"/>
          <w:szCs w:val="22"/>
          <w:lang w:eastAsia="en-AU"/>
        </w:rPr>
        <w:t>AIPJ2 is already considered to perform well on effectiveness – high AQC ratings</w:t>
      </w:r>
    </w:p>
    <w:p w14:paraId="349A0E06" w14:textId="77777777" w:rsidR="00262AFF" w:rsidRPr="000738EA" w:rsidRDefault="00262AFF" w:rsidP="00262AFF">
      <w:pPr>
        <w:pStyle w:val="ListParagraph"/>
        <w:numPr>
          <w:ilvl w:val="1"/>
          <w:numId w:val="33"/>
        </w:numPr>
        <w:spacing w:before="0" w:after="160" w:line="259" w:lineRule="auto"/>
        <w:rPr>
          <w:rFonts w:ascii="Calibri Light" w:eastAsia="Times New Roman" w:hAnsi="Calibri Light" w:cs="Calibri Light"/>
          <w:sz w:val="22"/>
          <w:szCs w:val="22"/>
          <w:lang w:eastAsia="en-AU"/>
        </w:rPr>
      </w:pPr>
      <w:r w:rsidRPr="000738EA">
        <w:rPr>
          <w:rFonts w:ascii="Calibri Light" w:eastAsia="Times New Roman" w:hAnsi="Calibri Light" w:cs="Calibri Light"/>
          <w:sz w:val="22"/>
          <w:szCs w:val="22"/>
          <w:lang w:eastAsia="en-AU"/>
        </w:rPr>
        <w:t>DFAT’s interest is predominantly formative – on questions of process and ‘strategy’ (choices/ options etc.)</w:t>
      </w:r>
    </w:p>
    <w:p w14:paraId="1518D220" w14:textId="77777777" w:rsidR="00262AFF" w:rsidRPr="000738EA" w:rsidRDefault="00262AFF" w:rsidP="00262AFF">
      <w:pPr>
        <w:pStyle w:val="ListParagraph"/>
        <w:numPr>
          <w:ilvl w:val="1"/>
          <w:numId w:val="33"/>
        </w:numPr>
        <w:spacing w:before="0" w:after="160" w:line="259" w:lineRule="auto"/>
        <w:ind w:left="1434" w:hanging="357"/>
        <w:contextualSpacing w:val="0"/>
        <w:rPr>
          <w:rFonts w:ascii="Calibri Light" w:eastAsia="Times New Roman" w:hAnsi="Calibri Light" w:cs="Calibri Light"/>
          <w:sz w:val="22"/>
          <w:szCs w:val="22"/>
          <w:lang w:eastAsia="en-AU"/>
        </w:rPr>
      </w:pPr>
      <w:r w:rsidRPr="000738EA">
        <w:rPr>
          <w:rFonts w:ascii="Calibri Light" w:eastAsia="Times New Roman" w:hAnsi="Calibri Light" w:cs="Calibri Light"/>
          <w:sz w:val="22"/>
          <w:szCs w:val="22"/>
          <w:lang w:eastAsia="en-AU"/>
        </w:rPr>
        <w:t xml:space="preserve">Interest was predominantly in the MTR’s reflections on a) the adequacy of the facility’s performance measurement and learning systems;  b) how meaningful are the reported achievements;  c) what are the prospects of achieving the EOFOs. </w:t>
      </w:r>
    </w:p>
    <w:p w14:paraId="7441D636" w14:textId="77777777" w:rsidR="00262AFF" w:rsidRPr="000738EA" w:rsidRDefault="00262AFF" w:rsidP="00262AFF">
      <w:pPr>
        <w:pStyle w:val="ListParagraph"/>
        <w:numPr>
          <w:ilvl w:val="0"/>
          <w:numId w:val="32"/>
        </w:numPr>
        <w:spacing w:before="0" w:after="160" w:line="259" w:lineRule="auto"/>
        <w:ind w:left="714" w:hanging="357"/>
        <w:contextualSpacing w:val="0"/>
        <w:rPr>
          <w:rFonts w:ascii="Calibri Light" w:hAnsi="Calibri Light" w:cs="Calibri Light"/>
          <w:b/>
          <w:sz w:val="22"/>
          <w:szCs w:val="22"/>
        </w:rPr>
      </w:pPr>
      <w:r w:rsidRPr="000738EA">
        <w:rPr>
          <w:rFonts w:ascii="Calibri Light" w:hAnsi="Calibri Light" w:cs="Calibri Light"/>
          <w:b/>
          <w:sz w:val="22"/>
          <w:szCs w:val="22"/>
        </w:rPr>
        <w:t xml:space="preserve">Similarly, the MTR did not assess the extent to which capacity has been built in CSOs and GOI agencies </w:t>
      </w:r>
      <w:r w:rsidRPr="000738EA">
        <w:rPr>
          <w:rFonts w:ascii="Calibri Light" w:hAnsi="Calibri Light" w:cs="Calibri Light"/>
          <w:sz w:val="22"/>
          <w:szCs w:val="22"/>
        </w:rPr>
        <w:t xml:space="preserve">but whether AIPJ2’s approach is valued by partners and producing promising signs. </w:t>
      </w:r>
    </w:p>
    <w:p w14:paraId="1CC3C57D" w14:textId="77777777" w:rsidR="00262AFF" w:rsidRPr="000738EA" w:rsidRDefault="00262AFF" w:rsidP="00262AFF">
      <w:pPr>
        <w:pStyle w:val="ListParagraph"/>
        <w:numPr>
          <w:ilvl w:val="0"/>
          <w:numId w:val="32"/>
        </w:numPr>
        <w:spacing w:before="0" w:after="160" w:line="259" w:lineRule="auto"/>
        <w:ind w:left="714" w:hanging="357"/>
        <w:contextualSpacing w:val="0"/>
        <w:rPr>
          <w:rFonts w:ascii="Calibri Light" w:hAnsi="Calibri Light" w:cs="Calibri Light"/>
          <w:b/>
          <w:sz w:val="22"/>
          <w:szCs w:val="22"/>
        </w:rPr>
      </w:pPr>
      <w:r w:rsidRPr="000738EA">
        <w:rPr>
          <w:rFonts w:ascii="Calibri Light" w:hAnsi="Calibri Light" w:cs="Calibri Light"/>
          <w:b/>
          <w:sz w:val="22"/>
          <w:szCs w:val="22"/>
        </w:rPr>
        <w:t xml:space="preserve">The MTR did not provide a definitive conclusion on whether AIPJ2 offers VFM (or whether AIPJ2’s priorities provide the best value) </w:t>
      </w:r>
      <w:r w:rsidRPr="000738EA">
        <w:rPr>
          <w:rFonts w:ascii="Calibri Light" w:hAnsi="Calibri Light" w:cs="Calibri Light"/>
          <w:sz w:val="22"/>
          <w:szCs w:val="22"/>
        </w:rPr>
        <w:t xml:space="preserve"> but did look at drivers of / risks to VFM and see how they are being managed.</w:t>
      </w:r>
    </w:p>
    <w:p w14:paraId="1D7C073B" w14:textId="77777777" w:rsidR="00262AFF" w:rsidRPr="000738EA" w:rsidRDefault="00262AFF" w:rsidP="00262AFF">
      <w:pPr>
        <w:pStyle w:val="ListParagraph"/>
        <w:numPr>
          <w:ilvl w:val="0"/>
          <w:numId w:val="32"/>
        </w:numPr>
        <w:spacing w:before="0" w:after="160" w:line="259" w:lineRule="auto"/>
        <w:ind w:left="714" w:hanging="357"/>
        <w:contextualSpacing w:val="0"/>
        <w:rPr>
          <w:rFonts w:ascii="Calibri Light" w:hAnsi="Calibri Light" w:cs="Calibri Light"/>
          <w:sz w:val="22"/>
          <w:szCs w:val="22"/>
        </w:rPr>
      </w:pPr>
      <w:r w:rsidRPr="000738EA">
        <w:rPr>
          <w:rFonts w:ascii="Calibri Light" w:hAnsi="Calibri Light" w:cs="Calibri Light"/>
          <w:b/>
          <w:sz w:val="22"/>
          <w:szCs w:val="22"/>
        </w:rPr>
        <w:t>The MTR did not look specifically /in detail at the GEDSI work</w:t>
      </w:r>
      <w:r w:rsidRPr="000738EA">
        <w:rPr>
          <w:rFonts w:ascii="Calibri Light" w:hAnsi="Calibri Light" w:cs="Calibri Light"/>
          <w:sz w:val="22"/>
          <w:szCs w:val="22"/>
        </w:rPr>
        <w:t xml:space="preserve">  - though it did address gender elements in the areas examined and consider opportunities for addressing gender concerns across the pillars more broadly and how these had been addressed to date.   </w:t>
      </w:r>
    </w:p>
    <w:p w14:paraId="3A2E2C77" w14:textId="77777777" w:rsidR="00262AFF" w:rsidRPr="000738EA" w:rsidRDefault="00262AFF" w:rsidP="00262AFF">
      <w:pPr>
        <w:pStyle w:val="ListParagraph"/>
        <w:numPr>
          <w:ilvl w:val="0"/>
          <w:numId w:val="32"/>
        </w:numPr>
        <w:spacing w:before="0" w:after="160" w:line="259" w:lineRule="auto"/>
        <w:ind w:left="714" w:hanging="357"/>
        <w:contextualSpacing w:val="0"/>
        <w:rPr>
          <w:rFonts w:ascii="Calibri Light" w:hAnsi="Calibri Light" w:cs="Calibri Light"/>
          <w:b/>
          <w:bCs/>
          <w:sz w:val="22"/>
          <w:szCs w:val="22"/>
        </w:rPr>
      </w:pPr>
      <w:r w:rsidRPr="000738EA">
        <w:rPr>
          <w:rFonts w:ascii="Calibri Light" w:hAnsi="Calibri Light" w:cs="Calibri Light"/>
          <w:b/>
          <w:sz w:val="22"/>
          <w:szCs w:val="22"/>
        </w:rPr>
        <w:t>The MTR did not look specifically at the knowledge hub</w:t>
      </w:r>
      <w:r w:rsidRPr="000738EA">
        <w:rPr>
          <w:rFonts w:ascii="Calibri Light" w:hAnsi="Calibri Light" w:cs="Calibri Light"/>
          <w:sz w:val="22"/>
          <w:szCs w:val="22"/>
        </w:rPr>
        <w:t xml:space="preserve">   This is an interesting innovation but was only getting started and was not a priority for the review.  However the review did consider how it fits in the AIPJ2 theory of change and its potential to support capacity development.</w:t>
      </w:r>
    </w:p>
    <w:p w14:paraId="1875A00E" w14:textId="77777777" w:rsidR="00262AFF" w:rsidRDefault="00262AFF" w:rsidP="009617CD">
      <w:pPr>
        <w:spacing w:before="240" w:after="240"/>
        <w:rPr>
          <w:rFonts w:asciiTheme="majorHAnsi" w:hAnsiTheme="majorHAnsi" w:cstheme="majorHAnsi"/>
          <w:b/>
          <w:bCs/>
          <w:color w:val="00B0F0"/>
          <w:sz w:val="32"/>
          <w:szCs w:val="32"/>
          <w:lang w:val="en-AU"/>
        </w:rPr>
      </w:pPr>
    </w:p>
    <w:p w14:paraId="5DA8CD88" w14:textId="2FE1D55D" w:rsidR="009617CD" w:rsidRDefault="009617CD" w:rsidP="009617CD">
      <w:pPr>
        <w:spacing w:before="240" w:after="240"/>
        <w:rPr>
          <w:rFonts w:asciiTheme="majorHAnsi" w:hAnsiTheme="majorHAnsi" w:cstheme="majorHAnsi"/>
          <w:b/>
          <w:bCs/>
          <w:color w:val="00B0F0"/>
          <w:sz w:val="32"/>
          <w:szCs w:val="32"/>
          <w:lang w:val="en-AU"/>
        </w:rPr>
      </w:pPr>
    </w:p>
    <w:p w14:paraId="7C64CC4C" w14:textId="77777777" w:rsidR="009617CD" w:rsidRDefault="009617CD" w:rsidP="009617CD">
      <w:pPr>
        <w:spacing w:before="240" w:after="240"/>
        <w:rPr>
          <w:rFonts w:asciiTheme="majorHAnsi" w:hAnsiTheme="majorHAnsi" w:cstheme="majorHAnsi"/>
          <w:b/>
          <w:bCs/>
          <w:color w:val="00B0F0"/>
          <w:sz w:val="32"/>
          <w:szCs w:val="32"/>
          <w:lang w:val="en-AU"/>
        </w:rPr>
        <w:sectPr w:rsidR="009617CD" w:rsidSect="00416A5A">
          <w:headerReference w:type="even" r:id="rId33"/>
          <w:headerReference w:type="default" r:id="rId34"/>
          <w:footerReference w:type="default" r:id="rId35"/>
          <w:headerReference w:type="first" r:id="rId36"/>
          <w:pgSz w:w="11900" w:h="16840"/>
          <w:pgMar w:top="1482" w:right="1440" w:bottom="1440" w:left="1440" w:header="708" w:footer="708" w:gutter="0"/>
          <w:pgNumType w:start="1"/>
          <w:cols w:space="708"/>
          <w:docGrid w:linePitch="360"/>
        </w:sectPr>
      </w:pPr>
    </w:p>
    <w:p w14:paraId="2BB16903" w14:textId="3BEEF423" w:rsidR="009617CD" w:rsidRPr="009617CD" w:rsidRDefault="009617CD" w:rsidP="009617CD">
      <w:pPr>
        <w:spacing w:before="240" w:after="240"/>
        <w:rPr>
          <w:rFonts w:asciiTheme="majorHAnsi" w:hAnsiTheme="majorHAnsi" w:cstheme="majorHAnsi"/>
          <w:b/>
          <w:bCs/>
          <w:color w:val="00B0F0"/>
          <w:sz w:val="32"/>
          <w:szCs w:val="32"/>
          <w:lang w:val="en-AU"/>
        </w:rPr>
      </w:pPr>
      <w:r w:rsidRPr="009617CD">
        <w:rPr>
          <w:rFonts w:asciiTheme="majorHAnsi" w:hAnsiTheme="majorHAnsi" w:cstheme="majorHAnsi"/>
          <w:b/>
          <w:bCs/>
          <w:color w:val="00B0F0"/>
          <w:sz w:val="32"/>
          <w:szCs w:val="32"/>
          <w:lang w:val="en-AU"/>
        </w:rPr>
        <w:t xml:space="preserve">Annex </w:t>
      </w:r>
      <w:r w:rsidR="00262AFF">
        <w:rPr>
          <w:rFonts w:asciiTheme="majorHAnsi" w:hAnsiTheme="majorHAnsi" w:cstheme="majorHAnsi"/>
          <w:b/>
          <w:bCs/>
          <w:color w:val="00B0F0"/>
          <w:sz w:val="32"/>
          <w:szCs w:val="32"/>
          <w:lang w:val="en-AU"/>
        </w:rPr>
        <w:t>3</w:t>
      </w:r>
      <w:r w:rsidRPr="009617CD">
        <w:rPr>
          <w:rFonts w:asciiTheme="majorHAnsi" w:hAnsiTheme="majorHAnsi" w:cstheme="majorHAnsi"/>
          <w:b/>
          <w:bCs/>
          <w:color w:val="00B0F0"/>
          <w:sz w:val="32"/>
          <w:szCs w:val="32"/>
          <w:lang w:val="en-AU"/>
        </w:rPr>
        <w:t>:</w:t>
      </w:r>
      <w:r w:rsidR="00A16179">
        <w:rPr>
          <w:rFonts w:asciiTheme="majorHAnsi" w:hAnsiTheme="majorHAnsi" w:cstheme="majorHAnsi"/>
          <w:b/>
          <w:bCs/>
          <w:color w:val="00B0F0"/>
          <w:sz w:val="32"/>
          <w:szCs w:val="32"/>
          <w:lang w:val="en-AU"/>
        </w:rPr>
        <w:t xml:space="preserve"> </w:t>
      </w:r>
      <w:r w:rsidRPr="009617CD">
        <w:rPr>
          <w:rFonts w:asciiTheme="majorHAnsi" w:hAnsiTheme="majorHAnsi" w:cstheme="majorHAnsi"/>
          <w:b/>
          <w:bCs/>
          <w:color w:val="00B0F0"/>
          <w:sz w:val="32"/>
          <w:szCs w:val="32"/>
          <w:lang w:val="en-AU"/>
        </w:rPr>
        <w:t xml:space="preserve">Mid-term </w:t>
      </w:r>
      <w:r w:rsidR="00262AFF">
        <w:rPr>
          <w:rFonts w:asciiTheme="majorHAnsi" w:hAnsiTheme="majorHAnsi" w:cstheme="majorHAnsi"/>
          <w:b/>
          <w:bCs/>
          <w:color w:val="00B0F0"/>
          <w:sz w:val="32"/>
          <w:szCs w:val="32"/>
          <w:lang w:val="en-AU"/>
        </w:rPr>
        <w:t>r</w:t>
      </w:r>
      <w:r w:rsidRPr="009617CD">
        <w:rPr>
          <w:rFonts w:asciiTheme="majorHAnsi" w:hAnsiTheme="majorHAnsi" w:cstheme="majorHAnsi"/>
          <w:b/>
          <w:bCs/>
          <w:color w:val="00B0F0"/>
          <w:sz w:val="32"/>
          <w:szCs w:val="32"/>
          <w:lang w:val="en-AU"/>
        </w:rPr>
        <w:t xml:space="preserve">eview </w:t>
      </w:r>
      <w:r w:rsidR="00262AFF">
        <w:rPr>
          <w:rFonts w:asciiTheme="majorHAnsi" w:hAnsiTheme="majorHAnsi" w:cstheme="majorHAnsi"/>
          <w:b/>
          <w:bCs/>
          <w:color w:val="00B0F0"/>
          <w:sz w:val="32"/>
          <w:szCs w:val="32"/>
          <w:lang w:val="en-AU"/>
        </w:rPr>
        <w:t>c</w:t>
      </w:r>
      <w:r w:rsidRPr="009617CD">
        <w:rPr>
          <w:rFonts w:asciiTheme="majorHAnsi" w:hAnsiTheme="majorHAnsi" w:cstheme="majorHAnsi"/>
          <w:b/>
          <w:bCs/>
          <w:color w:val="00B0F0"/>
          <w:sz w:val="32"/>
          <w:szCs w:val="32"/>
          <w:lang w:val="en-AU"/>
        </w:rPr>
        <w:t>onsultations</w:t>
      </w:r>
    </w:p>
    <w:tbl>
      <w:tblPr>
        <w:tblStyle w:val="TableGrid"/>
        <w:tblW w:w="906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507"/>
        <w:gridCol w:w="7560"/>
      </w:tblGrid>
      <w:tr w:rsidR="009617CD" w:rsidRPr="00287D46" w14:paraId="58CBFE85" w14:textId="77777777" w:rsidTr="008573F5">
        <w:tc>
          <w:tcPr>
            <w:tcW w:w="1507" w:type="dxa"/>
          </w:tcPr>
          <w:p w14:paraId="0831A83B"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DFAT</w:t>
            </w:r>
          </w:p>
          <w:p w14:paraId="740F9BF9" w14:textId="77777777" w:rsidR="009617CD" w:rsidRPr="00287D46" w:rsidRDefault="009617CD" w:rsidP="008573F5">
            <w:pPr>
              <w:spacing w:before="40" w:after="40"/>
              <w:rPr>
                <w:rFonts w:ascii="Calibri Light" w:hAnsi="Calibri Light" w:cs="Calibri Light"/>
                <w:sz w:val="21"/>
                <w:szCs w:val="21"/>
              </w:rPr>
            </w:pPr>
          </w:p>
        </w:tc>
        <w:tc>
          <w:tcPr>
            <w:tcW w:w="7560" w:type="dxa"/>
          </w:tcPr>
          <w:p w14:paraId="15DF96AC"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Deputy Head of Mission</w:t>
            </w:r>
          </w:p>
          <w:p w14:paraId="3DA3F7A9"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Political and strategic communications section, Jakarta</w:t>
            </w:r>
          </w:p>
          <w:p w14:paraId="5660EA8E"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 xml:space="preserve">Justice and democratic governance team, Jakarta </w:t>
            </w:r>
          </w:p>
          <w:p w14:paraId="5F133375"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Governance and Human Development, Jakarta</w:t>
            </w:r>
          </w:p>
          <w:p w14:paraId="7EAA0297"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Economic investment and infrastructure, Jakarta</w:t>
            </w:r>
          </w:p>
          <w:p w14:paraId="5B325B0E"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Quality and Performance Unit, Jakarta</w:t>
            </w:r>
          </w:p>
          <w:p w14:paraId="35DC2032" w14:textId="77777777" w:rsidR="009617CD" w:rsidRPr="00287D46" w:rsidRDefault="009617CD" w:rsidP="008573F5">
            <w:pPr>
              <w:spacing w:before="40" w:after="120"/>
              <w:rPr>
                <w:rFonts w:ascii="Calibri Light" w:hAnsi="Calibri Light" w:cs="Calibri Light"/>
                <w:sz w:val="21"/>
                <w:szCs w:val="21"/>
              </w:rPr>
            </w:pPr>
            <w:r w:rsidRPr="00287D46">
              <w:rPr>
                <w:rFonts w:ascii="Calibri Light" w:hAnsi="Calibri Light" w:cs="Calibri Light"/>
                <w:sz w:val="21"/>
                <w:szCs w:val="21"/>
              </w:rPr>
              <w:t xml:space="preserve">Indonesia </w:t>
            </w:r>
            <w:r>
              <w:rPr>
                <w:rFonts w:ascii="Calibri Light" w:hAnsi="Calibri Light" w:cs="Calibri Light"/>
                <w:sz w:val="21"/>
                <w:szCs w:val="21"/>
              </w:rPr>
              <w:t>branch</w:t>
            </w:r>
            <w:r w:rsidRPr="00287D46">
              <w:rPr>
                <w:rFonts w:ascii="Calibri Light" w:hAnsi="Calibri Light" w:cs="Calibri Light"/>
                <w:sz w:val="21"/>
                <w:szCs w:val="21"/>
              </w:rPr>
              <w:t>, Canberra</w:t>
            </w:r>
          </w:p>
        </w:tc>
      </w:tr>
      <w:tr w:rsidR="009617CD" w:rsidRPr="00287D46" w14:paraId="08EB5F9F" w14:textId="77777777" w:rsidTr="008573F5">
        <w:tc>
          <w:tcPr>
            <w:tcW w:w="1507" w:type="dxa"/>
          </w:tcPr>
          <w:p w14:paraId="24F024C9" w14:textId="77777777" w:rsidR="009617CD" w:rsidRPr="00287D46"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 xml:space="preserve">AIPJ2 </w:t>
            </w:r>
            <w:r>
              <w:rPr>
                <w:rFonts w:ascii="Calibri Light" w:hAnsi="Calibri Light" w:cs="Calibri Light"/>
                <w:sz w:val="21"/>
                <w:szCs w:val="21"/>
              </w:rPr>
              <w:t>team</w:t>
            </w:r>
          </w:p>
        </w:tc>
        <w:tc>
          <w:tcPr>
            <w:tcW w:w="7560" w:type="dxa"/>
          </w:tcPr>
          <w:p w14:paraId="2BBFFF26" w14:textId="77777777" w:rsidR="009617CD" w:rsidRDefault="009617CD" w:rsidP="008573F5">
            <w:pPr>
              <w:spacing w:before="40" w:after="40"/>
              <w:rPr>
                <w:rFonts w:ascii="Calibri Light" w:hAnsi="Calibri Light" w:cs="Calibri Light"/>
                <w:sz w:val="21"/>
                <w:szCs w:val="21"/>
              </w:rPr>
            </w:pPr>
            <w:r w:rsidRPr="00287D46">
              <w:rPr>
                <w:rFonts w:ascii="Calibri Light" w:hAnsi="Calibri Light" w:cs="Calibri Light"/>
                <w:sz w:val="21"/>
                <w:szCs w:val="21"/>
              </w:rPr>
              <w:t>Staff and advisers (x 1</w:t>
            </w:r>
            <w:r>
              <w:rPr>
                <w:rFonts w:ascii="Calibri Light" w:hAnsi="Calibri Light" w:cs="Calibri Light"/>
                <w:sz w:val="21"/>
                <w:szCs w:val="21"/>
              </w:rPr>
              <w:t>6</w:t>
            </w:r>
            <w:r w:rsidRPr="00287D46">
              <w:rPr>
                <w:rFonts w:ascii="Calibri Light" w:hAnsi="Calibri Light" w:cs="Calibri Light"/>
                <w:sz w:val="21"/>
                <w:szCs w:val="21"/>
              </w:rPr>
              <w:t>)</w:t>
            </w:r>
          </w:p>
          <w:p w14:paraId="4FA55E55" w14:textId="77777777" w:rsidR="009617CD" w:rsidRDefault="009617CD" w:rsidP="00830ABC">
            <w:pPr>
              <w:spacing w:before="40" w:after="120"/>
              <w:rPr>
                <w:rFonts w:ascii="Calibri Light" w:hAnsi="Calibri Light" w:cs="Calibri Light"/>
                <w:sz w:val="21"/>
                <w:szCs w:val="21"/>
              </w:rPr>
            </w:pPr>
            <w:r>
              <w:rPr>
                <w:rFonts w:ascii="Calibri Light" w:hAnsi="Calibri Light" w:cs="Calibri Light"/>
                <w:sz w:val="21"/>
                <w:szCs w:val="21"/>
              </w:rPr>
              <w:t>Cardno (managing contractor)</w:t>
            </w:r>
          </w:p>
          <w:p w14:paraId="7FAC1D42" w14:textId="56E8EFD4" w:rsidR="009617CD" w:rsidRPr="00287D46" w:rsidRDefault="006160C5" w:rsidP="008573F5">
            <w:pPr>
              <w:spacing w:before="40" w:after="120"/>
              <w:rPr>
                <w:rFonts w:ascii="Calibri Light" w:hAnsi="Calibri Light" w:cs="Calibri Light"/>
                <w:sz w:val="21"/>
                <w:szCs w:val="21"/>
              </w:rPr>
            </w:pPr>
            <w:r>
              <w:rPr>
                <w:rFonts w:ascii="Calibri Light" w:hAnsi="Calibri Light" w:cs="Calibri Light"/>
                <w:sz w:val="21"/>
                <w:szCs w:val="21"/>
              </w:rPr>
              <w:t xml:space="preserve">Law and Development Partners </w:t>
            </w:r>
            <w:r w:rsidR="0004595A">
              <w:rPr>
                <w:rFonts w:ascii="Calibri Light" w:hAnsi="Calibri Light" w:cs="Calibri Light"/>
                <w:sz w:val="21"/>
                <w:szCs w:val="21"/>
              </w:rPr>
              <w:t>(implementing partner)</w:t>
            </w:r>
          </w:p>
        </w:tc>
      </w:tr>
      <w:tr w:rsidR="009617CD" w:rsidRPr="00287D46" w14:paraId="79B22DAE" w14:textId="77777777" w:rsidTr="008573F5">
        <w:tc>
          <w:tcPr>
            <w:tcW w:w="1507" w:type="dxa"/>
          </w:tcPr>
          <w:p w14:paraId="48C006F1" w14:textId="77777777" w:rsidR="009617CD" w:rsidRPr="00287D46" w:rsidRDefault="009617CD" w:rsidP="008573F5">
            <w:pPr>
              <w:spacing w:before="40" w:after="40"/>
              <w:rPr>
                <w:rFonts w:ascii="Calibri Light" w:hAnsi="Calibri Light" w:cs="Calibri Light"/>
                <w:sz w:val="21"/>
                <w:szCs w:val="21"/>
              </w:rPr>
            </w:pPr>
            <w:r>
              <w:rPr>
                <w:rFonts w:ascii="Calibri Light" w:hAnsi="Calibri Light" w:cs="Calibri Light"/>
                <w:sz w:val="21"/>
                <w:szCs w:val="21"/>
              </w:rPr>
              <w:t>Indonesian State organisations</w:t>
            </w:r>
          </w:p>
        </w:tc>
        <w:tc>
          <w:tcPr>
            <w:tcW w:w="7560" w:type="dxa"/>
          </w:tcPr>
          <w:p w14:paraId="09D71D87"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Bappenas: Law and Regulation directorate</w:t>
            </w:r>
          </w:p>
          <w:p w14:paraId="1C946C95"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Bappenas: Politics and communications directorate</w:t>
            </w:r>
          </w:p>
          <w:p w14:paraId="05164DE0" w14:textId="4EC62CF4"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Directorate of Corrections: IT and cooperation;</w:t>
            </w:r>
            <w:r w:rsidR="00A16179">
              <w:rPr>
                <w:rFonts w:ascii="Calibri Light" w:hAnsi="Calibri Light" w:cs="Calibri Light"/>
                <w:sz w:val="21"/>
                <w:szCs w:val="21"/>
              </w:rPr>
              <w:t xml:space="preserve"> </w:t>
            </w:r>
            <w:r>
              <w:rPr>
                <w:rFonts w:ascii="Calibri Light" w:hAnsi="Calibri Light" w:cs="Calibri Light"/>
                <w:sz w:val="21"/>
                <w:szCs w:val="21"/>
              </w:rPr>
              <w:t>international relations</w:t>
            </w:r>
          </w:p>
          <w:p w14:paraId="43B63143"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National agency for combatting terrorism: regional and multilateral cooperation directorate</w:t>
            </w:r>
          </w:p>
          <w:p w14:paraId="3F8CBB98" w14:textId="37D38B67" w:rsidR="009617CD" w:rsidRPr="007471DE" w:rsidRDefault="009617CD" w:rsidP="008573F5">
            <w:pPr>
              <w:spacing w:before="40" w:after="40"/>
              <w:rPr>
                <w:rFonts w:ascii="Calibri Light" w:hAnsi="Calibri Light" w:cs="Calibri Light"/>
                <w:sz w:val="21"/>
                <w:szCs w:val="21"/>
                <w:lang w:val="fr-FR"/>
              </w:rPr>
            </w:pPr>
            <w:r w:rsidRPr="007471DE">
              <w:rPr>
                <w:rFonts w:ascii="Calibri Light" w:hAnsi="Calibri Light" w:cs="Calibri Light"/>
                <w:sz w:val="21"/>
                <w:szCs w:val="21"/>
                <w:lang w:val="fr-FR"/>
              </w:rPr>
              <w:t>Corruption Eradication Commission</w:t>
            </w:r>
            <w:r w:rsidR="00B80605" w:rsidRPr="007471DE">
              <w:rPr>
                <w:rFonts w:ascii="Calibri Light" w:hAnsi="Calibri Light" w:cs="Calibri Light"/>
                <w:sz w:val="21"/>
                <w:szCs w:val="21"/>
                <w:lang w:val="fr-FR"/>
              </w:rPr>
              <w:t xml:space="preserve"> (</w:t>
            </w:r>
            <w:r w:rsidR="00D94603" w:rsidRPr="007471DE">
              <w:rPr>
                <w:rFonts w:ascii="Calibri Light" w:hAnsi="Calibri Light" w:cs="Calibri Light"/>
                <w:sz w:val="21"/>
                <w:szCs w:val="21"/>
                <w:lang w:val="fr-FR"/>
              </w:rPr>
              <w:t>KPK</w:t>
            </w:r>
            <w:r w:rsidR="00B80605" w:rsidRPr="007471DE">
              <w:rPr>
                <w:rFonts w:ascii="Calibri Light" w:hAnsi="Calibri Light" w:cs="Calibri Light"/>
                <w:sz w:val="21"/>
                <w:szCs w:val="21"/>
                <w:lang w:val="fr-FR"/>
              </w:rPr>
              <w:t>)</w:t>
            </w:r>
            <w:r w:rsidRPr="007471DE">
              <w:rPr>
                <w:rFonts w:ascii="Calibri Light" w:hAnsi="Calibri Light" w:cs="Calibri Light"/>
                <w:sz w:val="21"/>
                <w:szCs w:val="21"/>
                <w:lang w:val="fr-FR"/>
              </w:rPr>
              <w:t xml:space="preserve">: Corruption prevention </w:t>
            </w:r>
          </w:p>
          <w:p w14:paraId="15059169" w14:textId="213049BA"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Supreme Court</w:t>
            </w:r>
            <w:r w:rsidR="00B80605">
              <w:rPr>
                <w:rFonts w:ascii="Calibri Light" w:hAnsi="Calibri Light" w:cs="Calibri Light"/>
                <w:sz w:val="21"/>
                <w:szCs w:val="21"/>
              </w:rPr>
              <w:t xml:space="preserve"> (</w:t>
            </w:r>
            <w:r w:rsidR="0071098B">
              <w:rPr>
                <w:rFonts w:ascii="Calibri Light" w:hAnsi="Calibri Light" w:cs="Calibri Light"/>
                <w:sz w:val="21"/>
                <w:szCs w:val="21"/>
              </w:rPr>
              <w:t>MA</w:t>
            </w:r>
            <w:r w:rsidR="00B80605">
              <w:rPr>
                <w:rFonts w:ascii="Calibri Light" w:hAnsi="Calibri Light" w:cs="Calibri Light"/>
                <w:sz w:val="21"/>
                <w:szCs w:val="21"/>
              </w:rPr>
              <w:t>)</w:t>
            </w:r>
            <w:r>
              <w:rPr>
                <w:rFonts w:ascii="Calibri Light" w:hAnsi="Calibri Light" w:cs="Calibri Light"/>
                <w:sz w:val="21"/>
                <w:szCs w:val="21"/>
              </w:rPr>
              <w:t>: development chamber and judicial reform coordination</w:t>
            </w:r>
          </w:p>
          <w:p w14:paraId="11A81ECC" w14:textId="26EF7A63" w:rsidR="009617CD" w:rsidRPr="00287D46" w:rsidRDefault="009617CD" w:rsidP="008573F5">
            <w:pPr>
              <w:spacing w:before="40" w:after="120"/>
              <w:rPr>
                <w:rFonts w:ascii="Calibri Light" w:hAnsi="Calibri Light" w:cs="Calibri Light"/>
                <w:sz w:val="21"/>
                <w:szCs w:val="21"/>
              </w:rPr>
            </w:pPr>
            <w:r>
              <w:rPr>
                <w:rFonts w:ascii="Calibri Light" w:hAnsi="Calibri Light" w:cs="Calibri Light"/>
                <w:sz w:val="21"/>
                <w:szCs w:val="21"/>
              </w:rPr>
              <w:t>Supreme Court</w:t>
            </w:r>
            <w:r w:rsidR="00B80605">
              <w:rPr>
                <w:rFonts w:ascii="Calibri Light" w:hAnsi="Calibri Light" w:cs="Calibri Light"/>
                <w:sz w:val="21"/>
                <w:szCs w:val="21"/>
              </w:rPr>
              <w:t xml:space="preserve"> (</w:t>
            </w:r>
            <w:r w:rsidR="0071098B">
              <w:rPr>
                <w:rFonts w:ascii="Calibri Light" w:hAnsi="Calibri Light" w:cs="Calibri Light"/>
                <w:sz w:val="21"/>
                <w:szCs w:val="21"/>
              </w:rPr>
              <w:t>MA</w:t>
            </w:r>
            <w:r w:rsidR="00B80605">
              <w:rPr>
                <w:rFonts w:ascii="Calibri Light" w:hAnsi="Calibri Light" w:cs="Calibri Light"/>
                <w:sz w:val="21"/>
                <w:szCs w:val="21"/>
              </w:rPr>
              <w:t>)</w:t>
            </w:r>
            <w:r>
              <w:rPr>
                <w:rFonts w:ascii="Calibri Light" w:hAnsi="Calibri Light" w:cs="Calibri Light"/>
                <w:sz w:val="21"/>
                <w:szCs w:val="21"/>
              </w:rPr>
              <w:t>: court administration</w:t>
            </w:r>
          </w:p>
        </w:tc>
      </w:tr>
      <w:tr w:rsidR="009617CD" w:rsidRPr="00287D46" w14:paraId="4A990F25" w14:textId="77777777" w:rsidTr="008573F5">
        <w:tc>
          <w:tcPr>
            <w:tcW w:w="1507" w:type="dxa"/>
          </w:tcPr>
          <w:p w14:paraId="438F678B"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Australian State organisations</w:t>
            </w:r>
          </w:p>
        </w:tc>
        <w:tc>
          <w:tcPr>
            <w:tcW w:w="7560" w:type="dxa"/>
          </w:tcPr>
          <w:p w14:paraId="6F8418BC"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AUSTRAC</w:t>
            </w:r>
          </w:p>
          <w:p w14:paraId="39B5CAF3"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Australian Border Force</w:t>
            </w:r>
          </w:p>
          <w:p w14:paraId="0E37A06D"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Australian Federal Police</w:t>
            </w:r>
          </w:p>
          <w:p w14:paraId="5EA4B0BD"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Home Affairs (aviation and maritime security)</w:t>
            </w:r>
          </w:p>
          <w:p w14:paraId="6F1D1AC6" w14:textId="77777777" w:rsidR="009617CD" w:rsidRDefault="009617CD" w:rsidP="008573F5">
            <w:pPr>
              <w:spacing w:before="40" w:after="120"/>
              <w:rPr>
                <w:rFonts w:ascii="Calibri Light" w:hAnsi="Calibri Light" w:cs="Calibri Light"/>
                <w:sz w:val="21"/>
                <w:szCs w:val="21"/>
              </w:rPr>
            </w:pPr>
            <w:r>
              <w:rPr>
                <w:rFonts w:ascii="Calibri Light" w:hAnsi="Calibri Light" w:cs="Calibri Light"/>
                <w:sz w:val="21"/>
                <w:szCs w:val="21"/>
              </w:rPr>
              <w:t>Home Affairs (transnational crime prevention and counter-terrorism)</w:t>
            </w:r>
          </w:p>
        </w:tc>
      </w:tr>
      <w:tr w:rsidR="009617CD" w:rsidRPr="00287D46" w14:paraId="21A72639" w14:textId="77777777" w:rsidTr="008573F5">
        <w:tc>
          <w:tcPr>
            <w:tcW w:w="1507" w:type="dxa"/>
          </w:tcPr>
          <w:p w14:paraId="6CE6E9F6" w14:textId="77777777" w:rsidR="009617CD" w:rsidRPr="00287D46" w:rsidRDefault="009617CD" w:rsidP="008573F5">
            <w:pPr>
              <w:spacing w:before="40" w:after="40"/>
              <w:rPr>
                <w:rFonts w:ascii="Calibri Light" w:hAnsi="Calibri Light" w:cs="Calibri Light"/>
                <w:sz w:val="21"/>
                <w:szCs w:val="21"/>
              </w:rPr>
            </w:pPr>
            <w:r>
              <w:rPr>
                <w:rFonts w:ascii="Calibri Light" w:hAnsi="Calibri Light" w:cs="Calibri Light"/>
                <w:sz w:val="21"/>
                <w:szCs w:val="21"/>
              </w:rPr>
              <w:t>Civil society partners</w:t>
            </w:r>
          </w:p>
        </w:tc>
        <w:tc>
          <w:tcPr>
            <w:tcW w:w="7560" w:type="dxa"/>
          </w:tcPr>
          <w:p w14:paraId="71AA754E"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 xml:space="preserve">AIDA </w:t>
            </w:r>
          </w:p>
          <w:p w14:paraId="336323C1"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AMAN/WGWC</w:t>
            </w:r>
          </w:p>
          <w:p w14:paraId="7D5F64AC" w14:textId="1A680600"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Centre for Detention Studies</w:t>
            </w:r>
            <w:r w:rsidR="00B80605">
              <w:rPr>
                <w:rFonts w:ascii="Calibri Light" w:hAnsi="Calibri Light" w:cs="Calibri Light"/>
                <w:sz w:val="21"/>
                <w:szCs w:val="21"/>
              </w:rPr>
              <w:t xml:space="preserve"> (C</w:t>
            </w:r>
            <w:r w:rsidR="0071098B">
              <w:rPr>
                <w:rFonts w:ascii="Calibri Light" w:hAnsi="Calibri Light" w:cs="Calibri Light"/>
                <w:sz w:val="21"/>
                <w:szCs w:val="21"/>
              </w:rPr>
              <w:t>DS</w:t>
            </w:r>
            <w:r w:rsidR="00B80605">
              <w:rPr>
                <w:rFonts w:ascii="Calibri Light" w:hAnsi="Calibri Light" w:cs="Calibri Light"/>
                <w:sz w:val="21"/>
                <w:szCs w:val="21"/>
              </w:rPr>
              <w:t>)</w:t>
            </w:r>
          </w:p>
          <w:p w14:paraId="4FA61837"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C-SAVE</w:t>
            </w:r>
          </w:p>
          <w:p w14:paraId="31FBC807"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ICJ</w:t>
            </w:r>
          </w:p>
          <w:p w14:paraId="580BBE20" w14:textId="09714B6B"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KIJ</w:t>
            </w:r>
          </w:p>
          <w:p w14:paraId="216EF8C5" w14:textId="35EF5F31"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LBH Makassar</w:t>
            </w:r>
          </w:p>
          <w:p w14:paraId="3B239BB0" w14:textId="6D709EB6" w:rsidR="0071098B" w:rsidRDefault="0071098B" w:rsidP="008573F5">
            <w:pPr>
              <w:spacing w:before="40" w:after="40"/>
              <w:rPr>
                <w:rFonts w:ascii="Calibri Light" w:hAnsi="Calibri Light" w:cs="Calibri Light"/>
                <w:sz w:val="21"/>
                <w:szCs w:val="21"/>
              </w:rPr>
            </w:pPr>
            <w:r>
              <w:rPr>
                <w:rFonts w:ascii="Calibri Light" w:hAnsi="Calibri Light" w:cs="Calibri Light"/>
                <w:sz w:val="21"/>
                <w:szCs w:val="21"/>
              </w:rPr>
              <w:t>LeIP</w:t>
            </w:r>
          </w:p>
          <w:p w14:paraId="644AF8E6" w14:textId="33736914" w:rsidR="0071098B" w:rsidRDefault="0071098B" w:rsidP="008573F5">
            <w:pPr>
              <w:spacing w:before="40" w:after="40"/>
              <w:rPr>
                <w:rFonts w:ascii="Calibri Light" w:hAnsi="Calibri Light" w:cs="Calibri Light"/>
                <w:sz w:val="21"/>
                <w:szCs w:val="21"/>
              </w:rPr>
            </w:pPr>
            <w:r>
              <w:rPr>
                <w:rFonts w:ascii="Calibri Light" w:hAnsi="Calibri Light" w:cs="Calibri Light"/>
                <w:sz w:val="21"/>
                <w:szCs w:val="21"/>
              </w:rPr>
              <w:t>MaPPI</w:t>
            </w:r>
          </w:p>
          <w:p w14:paraId="394A6426" w14:textId="4B2C7BAF"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Peace Generation</w:t>
            </w:r>
          </w:p>
          <w:p w14:paraId="75F0E3B0" w14:textId="1312BB40"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Pekka</w:t>
            </w:r>
          </w:p>
          <w:p w14:paraId="50A647D0" w14:textId="3BA16EEC" w:rsidR="0071098B" w:rsidRDefault="0071098B" w:rsidP="008573F5">
            <w:pPr>
              <w:spacing w:before="40" w:after="40"/>
              <w:rPr>
                <w:rFonts w:ascii="Calibri Light" w:hAnsi="Calibri Light" w:cs="Calibri Light"/>
                <w:sz w:val="21"/>
                <w:szCs w:val="21"/>
              </w:rPr>
            </w:pPr>
            <w:r>
              <w:rPr>
                <w:rFonts w:ascii="Calibri Light" w:hAnsi="Calibri Light" w:cs="Calibri Light"/>
                <w:sz w:val="21"/>
                <w:szCs w:val="21"/>
              </w:rPr>
              <w:t>PSHK</w:t>
            </w:r>
          </w:p>
          <w:p w14:paraId="355BC7A1"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PUSAD Paramadina</w:t>
            </w:r>
          </w:p>
          <w:p w14:paraId="1D064C86"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Rumah KitaB</w:t>
            </w:r>
          </w:p>
          <w:p w14:paraId="15B26CC6"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Solo Bersimfoni</w:t>
            </w:r>
          </w:p>
          <w:p w14:paraId="7903B554"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SPAK</w:t>
            </w:r>
          </w:p>
          <w:p w14:paraId="1E5049B5"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SOLIDARITAS</w:t>
            </w:r>
          </w:p>
          <w:p w14:paraId="092877B4"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Tanoker</w:t>
            </w:r>
          </w:p>
          <w:p w14:paraId="7084EAC9"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The Asia Foundation</w:t>
            </w:r>
          </w:p>
          <w:p w14:paraId="36301C47" w14:textId="3F74C9FB"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Transparency International</w:t>
            </w:r>
            <w:r w:rsidR="0071098B">
              <w:rPr>
                <w:rFonts w:ascii="Calibri Light" w:hAnsi="Calibri Light" w:cs="Calibri Light"/>
                <w:sz w:val="21"/>
                <w:szCs w:val="21"/>
              </w:rPr>
              <w:t xml:space="preserve"> Indonesia</w:t>
            </w:r>
          </w:p>
          <w:p w14:paraId="6EB9A1FD"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Wahid Foundation</w:t>
            </w:r>
          </w:p>
          <w:p w14:paraId="62884AB6" w14:textId="77777777" w:rsidR="009617CD" w:rsidRPr="00287D46" w:rsidRDefault="009617CD" w:rsidP="008573F5">
            <w:pPr>
              <w:spacing w:before="40" w:after="120"/>
              <w:rPr>
                <w:rFonts w:ascii="Calibri Light" w:hAnsi="Calibri Light" w:cs="Calibri Light"/>
                <w:sz w:val="21"/>
                <w:szCs w:val="21"/>
              </w:rPr>
            </w:pPr>
            <w:r>
              <w:rPr>
                <w:rFonts w:ascii="Calibri Light" w:hAnsi="Calibri Light" w:cs="Calibri Light"/>
                <w:sz w:val="21"/>
                <w:szCs w:val="21"/>
              </w:rPr>
              <w:t>YPP</w:t>
            </w:r>
          </w:p>
        </w:tc>
      </w:tr>
      <w:tr w:rsidR="009617CD" w:rsidRPr="00287D46" w14:paraId="15452F8B" w14:textId="77777777" w:rsidTr="008573F5">
        <w:tc>
          <w:tcPr>
            <w:tcW w:w="1507" w:type="dxa"/>
          </w:tcPr>
          <w:p w14:paraId="24722716"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Other DFAT programs</w:t>
            </w:r>
          </w:p>
        </w:tc>
        <w:tc>
          <w:tcPr>
            <w:tcW w:w="7560" w:type="dxa"/>
          </w:tcPr>
          <w:p w14:paraId="4A522A51"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MAMPU</w:t>
            </w:r>
          </w:p>
          <w:p w14:paraId="4D2E4F86"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PEDULI</w:t>
            </w:r>
          </w:p>
          <w:p w14:paraId="04ADA951" w14:textId="77777777" w:rsidR="009617CD" w:rsidRDefault="009617CD" w:rsidP="008573F5">
            <w:pPr>
              <w:spacing w:before="40" w:after="120"/>
              <w:rPr>
                <w:rFonts w:ascii="Calibri Light" w:hAnsi="Calibri Light" w:cs="Calibri Light"/>
                <w:sz w:val="21"/>
                <w:szCs w:val="21"/>
              </w:rPr>
            </w:pPr>
            <w:r>
              <w:rPr>
                <w:rFonts w:ascii="Calibri Light" w:hAnsi="Calibri Light" w:cs="Calibri Light"/>
                <w:sz w:val="21"/>
                <w:szCs w:val="21"/>
              </w:rPr>
              <w:t>PROSPERA</w:t>
            </w:r>
          </w:p>
        </w:tc>
      </w:tr>
      <w:tr w:rsidR="009617CD" w:rsidRPr="00287D46" w14:paraId="518F3C0F" w14:textId="77777777" w:rsidTr="008573F5">
        <w:tc>
          <w:tcPr>
            <w:tcW w:w="1507" w:type="dxa"/>
          </w:tcPr>
          <w:p w14:paraId="1A3D93EE"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Other donors/ programs</w:t>
            </w:r>
          </w:p>
        </w:tc>
        <w:tc>
          <w:tcPr>
            <w:tcW w:w="7560" w:type="dxa"/>
          </w:tcPr>
          <w:p w14:paraId="4760E049" w14:textId="56CB64FA" w:rsidR="009617CD" w:rsidRDefault="0004595A" w:rsidP="008573F5">
            <w:pPr>
              <w:spacing w:before="40" w:after="40"/>
              <w:rPr>
                <w:rFonts w:ascii="Calibri Light" w:hAnsi="Calibri Light" w:cs="Calibri Light"/>
                <w:sz w:val="21"/>
                <w:szCs w:val="21"/>
              </w:rPr>
            </w:pPr>
            <w:r w:rsidRPr="0004595A">
              <w:rPr>
                <w:rFonts w:ascii="Calibri Light" w:hAnsi="Calibri Light" w:cs="Calibri Light"/>
                <w:sz w:val="21"/>
                <w:szCs w:val="21"/>
                <w:lang w:val="en-AU"/>
              </w:rPr>
              <w:t>Indonesia-Netherlands Rule of Law Fund</w:t>
            </w:r>
            <w:r w:rsidR="0071098B">
              <w:rPr>
                <w:rFonts w:ascii="Calibri Light" w:hAnsi="Calibri Light" w:cs="Calibri Light"/>
                <w:sz w:val="21"/>
                <w:szCs w:val="21"/>
              </w:rPr>
              <w:t xml:space="preserve"> – IDLO</w:t>
            </w:r>
          </w:p>
          <w:p w14:paraId="6A892DA7"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UN Office on Drugs and Crime</w:t>
            </w:r>
          </w:p>
          <w:p w14:paraId="1A8AEE4D"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 xml:space="preserve">US Dept of Justice – ICITAP </w:t>
            </w:r>
          </w:p>
          <w:p w14:paraId="077FEC0C" w14:textId="54D4605A" w:rsidR="009617CD" w:rsidRDefault="009617CD" w:rsidP="00B80605">
            <w:pPr>
              <w:spacing w:before="40" w:after="120"/>
              <w:rPr>
                <w:rFonts w:ascii="Calibri Light" w:hAnsi="Calibri Light" w:cs="Calibri Light"/>
                <w:sz w:val="21"/>
                <w:szCs w:val="21"/>
              </w:rPr>
            </w:pPr>
            <w:r w:rsidRPr="00B80605">
              <w:rPr>
                <w:rFonts w:ascii="Calibri Light" w:hAnsi="Calibri Light" w:cs="Calibri Light"/>
                <w:sz w:val="21"/>
                <w:szCs w:val="21"/>
              </w:rPr>
              <w:t>USAID - CEGAH</w:t>
            </w:r>
            <w:r w:rsidRPr="00F62C4A">
              <w:rPr>
                <w:rFonts w:ascii="Calibri Light" w:hAnsi="Calibri Light" w:cs="Calibri Light"/>
                <w:sz w:val="21"/>
                <w:szCs w:val="21"/>
              </w:rPr>
              <w:t xml:space="preserve"> </w:t>
            </w:r>
          </w:p>
        </w:tc>
      </w:tr>
      <w:tr w:rsidR="009617CD" w:rsidRPr="00287D46" w14:paraId="12DA009C" w14:textId="77777777" w:rsidTr="008573F5">
        <w:tc>
          <w:tcPr>
            <w:tcW w:w="1507" w:type="dxa"/>
          </w:tcPr>
          <w:p w14:paraId="3FD8622B"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Knowledgeable informants</w:t>
            </w:r>
          </w:p>
          <w:p w14:paraId="7EFFF206" w14:textId="3B76F7AE" w:rsidR="0020691D" w:rsidRPr="00287D46" w:rsidRDefault="0020691D" w:rsidP="008573F5">
            <w:pPr>
              <w:spacing w:before="40" w:after="40"/>
              <w:rPr>
                <w:rFonts w:ascii="Calibri Light" w:hAnsi="Calibri Light" w:cs="Calibri Light"/>
                <w:sz w:val="21"/>
                <w:szCs w:val="21"/>
              </w:rPr>
            </w:pPr>
            <w:r>
              <w:rPr>
                <w:rFonts w:ascii="Calibri Light" w:hAnsi="Calibri Light" w:cs="Calibri Light"/>
                <w:sz w:val="21"/>
                <w:szCs w:val="21"/>
              </w:rPr>
              <w:t>from…</w:t>
            </w:r>
          </w:p>
        </w:tc>
        <w:tc>
          <w:tcPr>
            <w:tcW w:w="7560" w:type="dxa"/>
          </w:tcPr>
          <w:p w14:paraId="3BF4C392"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Law Faculty, University of Indonesia</w:t>
            </w:r>
          </w:p>
          <w:p w14:paraId="37FF8764" w14:textId="77777777" w:rsidR="009617CD" w:rsidRDefault="00EF44E8" w:rsidP="008573F5">
            <w:pPr>
              <w:spacing w:before="40" w:after="40"/>
              <w:rPr>
                <w:rFonts w:ascii="Calibri Light" w:hAnsi="Calibri Light" w:cs="Calibri Light"/>
                <w:sz w:val="21"/>
                <w:szCs w:val="21"/>
              </w:rPr>
            </w:pPr>
            <w:r>
              <w:rPr>
                <w:rFonts w:ascii="Calibri Light" w:hAnsi="Calibri Light" w:cs="Calibri Light"/>
                <w:sz w:val="21"/>
                <w:szCs w:val="21"/>
              </w:rPr>
              <w:t xml:space="preserve">School of Regulation and Global Governance, </w:t>
            </w:r>
            <w:r w:rsidR="009617CD">
              <w:rPr>
                <w:rFonts w:ascii="Calibri Light" w:hAnsi="Calibri Light" w:cs="Calibri Light"/>
                <w:sz w:val="21"/>
                <w:szCs w:val="21"/>
              </w:rPr>
              <w:t>Australian National University</w:t>
            </w:r>
          </w:p>
          <w:p w14:paraId="60F9C884" w14:textId="77777777" w:rsidR="009617CD" w:rsidRDefault="009617CD" w:rsidP="008573F5">
            <w:pPr>
              <w:spacing w:before="40" w:after="40"/>
              <w:rPr>
                <w:rFonts w:ascii="Calibri Light" w:hAnsi="Calibri Light" w:cs="Calibri Light"/>
                <w:sz w:val="21"/>
                <w:szCs w:val="21"/>
              </w:rPr>
            </w:pPr>
            <w:r>
              <w:rPr>
                <w:rFonts w:ascii="Calibri Light" w:hAnsi="Calibri Light" w:cs="Calibri Light"/>
                <w:sz w:val="21"/>
                <w:szCs w:val="21"/>
              </w:rPr>
              <w:t>Independent</w:t>
            </w:r>
            <w:r w:rsidR="00EF44E8">
              <w:rPr>
                <w:rFonts w:ascii="Calibri Light" w:hAnsi="Calibri Light" w:cs="Calibri Light"/>
                <w:sz w:val="21"/>
                <w:szCs w:val="21"/>
              </w:rPr>
              <w:t xml:space="preserve"> Indonesian justice sector expert</w:t>
            </w:r>
          </w:p>
          <w:p w14:paraId="698E4AD7" w14:textId="77777777" w:rsidR="009617CD" w:rsidRPr="00287D46" w:rsidRDefault="009617CD" w:rsidP="008573F5">
            <w:pPr>
              <w:spacing w:before="40" w:after="40"/>
              <w:rPr>
                <w:rFonts w:ascii="Calibri Light" w:hAnsi="Calibri Light" w:cs="Calibri Light"/>
                <w:sz w:val="21"/>
                <w:szCs w:val="21"/>
              </w:rPr>
            </w:pPr>
            <w:r>
              <w:rPr>
                <w:rFonts w:ascii="Calibri Light" w:hAnsi="Calibri Light" w:cs="Calibri Light"/>
                <w:sz w:val="21"/>
                <w:szCs w:val="21"/>
              </w:rPr>
              <w:t>State Islamic University</w:t>
            </w:r>
          </w:p>
        </w:tc>
      </w:tr>
    </w:tbl>
    <w:p w14:paraId="505626BB" w14:textId="063904D6" w:rsidR="009617CD" w:rsidRDefault="009617CD" w:rsidP="009617CD">
      <w:pPr>
        <w:rPr>
          <w:rFonts w:ascii="Calibri Light" w:hAnsi="Calibri Light" w:cs="Calibri Light"/>
        </w:rPr>
      </w:pPr>
    </w:p>
    <w:p w14:paraId="552C8F8A" w14:textId="77777777" w:rsidR="00F55407" w:rsidRDefault="00F55407" w:rsidP="009617CD">
      <w:pPr>
        <w:rPr>
          <w:rFonts w:ascii="Calibri Light" w:hAnsi="Calibri Light" w:cs="Calibri Light"/>
        </w:rPr>
        <w:sectPr w:rsidR="00F55407" w:rsidSect="009617CD">
          <w:pgSz w:w="11900" w:h="16840"/>
          <w:pgMar w:top="1482" w:right="1440" w:bottom="1440" w:left="1440" w:header="708" w:footer="708" w:gutter="0"/>
          <w:cols w:space="708"/>
          <w:docGrid w:linePitch="360"/>
        </w:sectPr>
      </w:pPr>
    </w:p>
    <w:p w14:paraId="0E26D871" w14:textId="4171D0E9" w:rsidR="00F55407" w:rsidRPr="009617CD" w:rsidRDefault="00F55407" w:rsidP="00F55407">
      <w:pPr>
        <w:spacing w:before="240" w:after="240"/>
        <w:rPr>
          <w:rFonts w:asciiTheme="majorHAnsi" w:hAnsiTheme="majorHAnsi" w:cstheme="majorHAnsi"/>
          <w:b/>
          <w:bCs/>
          <w:color w:val="00B0F0"/>
          <w:sz w:val="32"/>
          <w:szCs w:val="32"/>
          <w:lang w:val="en-AU"/>
        </w:rPr>
      </w:pPr>
      <w:r w:rsidRPr="00034EED">
        <w:rPr>
          <w:noProof/>
          <w:lang w:val="en-AU" w:eastAsia="en-AU"/>
        </w:rPr>
        <w:drawing>
          <wp:anchor distT="0" distB="0" distL="114300" distR="114300" simplePos="0" relativeHeight="251674624" behindDoc="0" locked="0" layoutInCell="1" allowOverlap="1" wp14:anchorId="6AC716DB" wp14:editId="3145600A">
            <wp:simplePos x="0" y="0"/>
            <wp:positionH relativeFrom="margin">
              <wp:posOffset>0</wp:posOffset>
            </wp:positionH>
            <wp:positionV relativeFrom="line">
              <wp:posOffset>486410</wp:posOffset>
            </wp:positionV>
            <wp:extent cx="6375600" cy="4791600"/>
            <wp:effectExtent l="0" t="0" r="6350" b="9525"/>
            <wp:wrapTopAndBottom/>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75600" cy="47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7CD">
        <w:rPr>
          <w:rFonts w:asciiTheme="majorHAnsi" w:hAnsiTheme="majorHAnsi" w:cstheme="majorHAnsi"/>
          <w:b/>
          <w:bCs/>
          <w:color w:val="00B0F0"/>
          <w:sz w:val="32"/>
          <w:szCs w:val="32"/>
          <w:lang w:val="en-AU"/>
        </w:rPr>
        <w:t xml:space="preserve">Annex </w:t>
      </w:r>
      <w:r w:rsidR="00FF5485">
        <w:rPr>
          <w:rFonts w:asciiTheme="majorHAnsi" w:hAnsiTheme="majorHAnsi" w:cstheme="majorHAnsi"/>
          <w:b/>
          <w:bCs/>
          <w:color w:val="00B0F0"/>
          <w:sz w:val="32"/>
          <w:szCs w:val="32"/>
          <w:lang w:val="en-AU"/>
        </w:rPr>
        <w:t>4</w:t>
      </w:r>
      <w:r w:rsidRPr="009617CD">
        <w:rPr>
          <w:rFonts w:asciiTheme="majorHAnsi" w:hAnsiTheme="majorHAnsi" w:cstheme="majorHAnsi"/>
          <w:b/>
          <w:bCs/>
          <w:color w:val="00B0F0"/>
          <w:sz w:val="32"/>
          <w:szCs w:val="32"/>
          <w:lang w:val="en-AU"/>
        </w:rPr>
        <w:t>:</w:t>
      </w:r>
      <w:r>
        <w:rPr>
          <w:rFonts w:asciiTheme="majorHAnsi" w:hAnsiTheme="majorHAnsi" w:cstheme="majorHAnsi"/>
          <w:b/>
          <w:bCs/>
          <w:color w:val="00B0F0"/>
          <w:sz w:val="32"/>
          <w:szCs w:val="32"/>
          <w:lang w:val="en-AU"/>
        </w:rPr>
        <w:t xml:space="preserve"> </w:t>
      </w:r>
      <w:r w:rsidR="00FF5485">
        <w:rPr>
          <w:rFonts w:asciiTheme="majorHAnsi" w:hAnsiTheme="majorHAnsi" w:cstheme="majorHAnsi"/>
          <w:b/>
          <w:bCs/>
          <w:color w:val="00B0F0"/>
          <w:sz w:val="32"/>
          <w:szCs w:val="32"/>
          <w:lang w:val="en-AU"/>
        </w:rPr>
        <w:t>AIPJ2 theory of change</w:t>
      </w:r>
    </w:p>
    <w:p w14:paraId="6AB988EF" w14:textId="1C3736FB" w:rsidR="00F55407" w:rsidRPr="00AA0319" w:rsidRDefault="00F55407" w:rsidP="00F55407">
      <w:pPr>
        <w:sectPr w:rsidR="00F55407" w:rsidRPr="00AA0319" w:rsidSect="00F55407">
          <w:pgSz w:w="11907" w:h="16840" w:code="9"/>
          <w:pgMar w:top="1418" w:right="1418" w:bottom="1418" w:left="1418" w:header="720" w:footer="720" w:gutter="0"/>
          <w:cols w:space="720"/>
          <w:docGrid w:linePitch="360"/>
        </w:sectPr>
      </w:pPr>
    </w:p>
    <w:p w14:paraId="3D7428A9" w14:textId="2CE475D8" w:rsidR="00F55407" w:rsidRDefault="00FF5485" w:rsidP="00F07D5B">
      <w:pPr>
        <w:spacing w:before="240" w:after="240"/>
        <w:rPr>
          <w:rFonts w:asciiTheme="majorHAnsi" w:hAnsiTheme="majorHAnsi" w:cstheme="majorHAnsi"/>
          <w:b/>
          <w:bCs/>
          <w:color w:val="00B0F0"/>
          <w:sz w:val="32"/>
          <w:szCs w:val="32"/>
          <w:lang w:val="en-AU"/>
        </w:rPr>
      </w:pPr>
      <w:r w:rsidRPr="009617CD">
        <w:rPr>
          <w:rFonts w:asciiTheme="majorHAnsi" w:hAnsiTheme="majorHAnsi" w:cstheme="majorHAnsi"/>
          <w:b/>
          <w:bCs/>
          <w:color w:val="00B0F0"/>
          <w:sz w:val="32"/>
          <w:szCs w:val="32"/>
          <w:lang w:val="en-AU"/>
        </w:rPr>
        <w:t xml:space="preserve">Annex </w:t>
      </w:r>
      <w:r>
        <w:rPr>
          <w:rFonts w:asciiTheme="majorHAnsi" w:hAnsiTheme="majorHAnsi" w:cstheme="majorHAnsi"/>
          <w:b/>
          <w:bCs/>
          <w:color w:val="00B0F0"/>
          <w:sz w:val="32"/>
          <w:szCs w:val="32"/>
          <w:lang w:val="en-AU"/>
        </w:rPr>
        <w:t>5</w:t>
      </w:r>
      <w:r w:rsidRPr="009617CD">
        <w:rPr>
          <w:rFonts w:asciiTheme="majorHAnsi" w:hAnsiTheme="majorHAnsi" w:cstheme="majorHAnsi"/>
          <w:b/>
          <w:bCs/>
          <w:color w:val="00B0F0"/>
          <w:sz w:val="32"/>
          <w:szCs w:val="32"/>
          <w:lang w:val="en-AU"/>
        </w:rPr>
        <w:t>:</w:t>
      </w:r>
      <w:r>
        <w:rPr>
          <w:rFonts w:asciiTheme="majorHAnsi" w:hAnsiTheme="majorHAnsi" w:cstheme="majorHAnsi"/>
          <w:b/>
          <w:bCs/>
          <w:color w:val="00B0F0"/>
          <w:sz w:val="32"/>
          <w:szCs w:val="32"/>
          <w:lang w:val="en-AU"/>
        </w:rPr>
        <w:t xml:space="preserve"> Mid-term review plan</w:t>
      </w:r>
    </w:p>
    <w:p w14:paraId="657CFE88" w14:textId="77777777" w:rsidR="00FF5485" w:rsidRDefault="00FF5485" w:rsidP="00FF5485">
      <w:pPr>
        <w:pStyle w:val="Heading1"/>
      </w:pPr>
      <w:r>
        <w:t>Introduction</w:t>
      </w:r>
    </w:p>
    <w:p w14:paraId="073DA5E4" w14:textId="77777777" w:rsidR="00FF5485" w:rsidRDefault="00FF5485" w:rsidP="00FF5485">
      <w:pPr>
        <w:rPr>
          <w:rFonts w:ascii="Calibri Light" w:hAnsi="Calibri Light" w:cs="Calibri Light"/>
        </w:rPr>
      </w:pPr>
      <w:r w:rsidRPr="00B74C04">
        <w:rPr>
          <w:rFonts w:ascii="Calibri Light" w:hAnsi="Calibri Light" w:cs="Calibri Light"/>
        </w:rPr>
        <w:t xml:space="preserve">The Australia Indonesia Partnership for Justice 2 (AIPJ2) is a </w:t>
      </w:r>
      <w:r>
        <w:rPr>
          <w:rFonts w:ascii="Calibri Light" w:hAnsi="Calibri Light" w:cs="Calibri Light"/>
        </w:rPr>
        <w:t xml:space="preserve">wide-ranging </w:t>
      </w:r>
      <w:r w:rsidRPr="00B74C04">
        <w:rPr>
          <w:rFonts w:ascii="Calibri Light" w:hAnsi="Calibri Light" w:cs="Calibri Light"/>
        </w:rPr>
        <w:t xml:space="preserve">investment </w:t>
      </w:r>
      <w:r>
        <w:rPr>
          <w:rFonts w:ascii="Calibri Light" w:hAnsi="Calibri Light" w:cs="Calibri Light"/>
        </w:rPr>
        <w:t>by</w:t>
      </w:r>
      <w:r w:rsidRPr="00B74C04">
        <w:rPr>
          <w:rFonts w:ascii="Calibri Light" w:hAnsi="Calibri Light" w:cs="Calibri Light"/>
        </w:rPr>
        <w:t xml:space="preserve"> the Department of Foreign Affairs and Trade (DFAT) </w:t>
      </w:r>
      <w:r>
        <w:rPr>
          <w:rFonts w:ascii="Calibri Light" w:hAnsi="Calibri Light" w:cs="Calibri Light"/>
        </w:rPr>
        <w:t xml:space="preserve">designed to </w:t>
      </w:r>
      <w:r w:rsidRPr="00961BA9">
        <w:rPr>
          <w:rFonts w:ascii="Calibri Light" w:hAnsi="Calibri Light" w:cs="Calibri Light"/>
        </w:rPr>
        <w:t>contribute to strong and accessible justice and security institutions that enhance respect for enforceable rights and rules-based governance systems</w:t>
      </w:r>
      <w:r>
        <w:rPr>
          <w:rFonts w:ascii="Calibri Light" w:hAnsi="Calibri Light" w:cs="Calibri Light"/>
        </w:rPr>
        <w:t xml:space="preserve"> and, over time, c</w:t>
      </w:r>
      <w:r w:rsidRPr="00961BA9">
        <w:rPr>
          <w:rFonts w:ascii="Calibri Light" w:hAnsi="Calibri Light" w:cs="Calibri Light"/>
        </w:rPr>
        <w:t>ontribut</w:t>
      </w:r>
      <w:r>
        <w:rPr>
          <w:rFonts w:ascii="Calibri Light" w:hAnsi="Calibri Light" w:cs="Calibri Light"/>
        </w:rPr>
        <w:t>e</w:t>
      </w:r>
      <w:r w:rsidRPr="00961BA9">
        <w:rPr>
          <w:rFonts w:ascii="Calibri Light" w:hAnsi="Calibri Light" w:cs="Calibri Light"/>
        </w:rPr>
        <w:t xml:space="preserve"> to stability and prosperity in Indonesia and the region</w:t>
      </w:r>
      <w:r>
        <w:rPr>
          <w:rFonts w:ascii="Calibri Light" w:hAnsi="Calibri Light" w:cs="Calibri Light"/>
        </w:rPr>
        <w:t>.</w:t>
      </w:r>
    </w:p>
    <w:p w14:paraId="6311C051" w14:textId="77777777" w:rsidR="00FF5485" w:rsidRDefault="00FF5485" w:rsidP="00FF5485">
      <w:pPr>
        <w:rPr>
          <w:rFonts w:ascii="Calibri Light" w:hAnsi="Calibri Light" w:cs="Calibri Light"/>
        </w:rPr>
      </w:pPr>
      <w:r>
        <w:rPr>
          <w:rFonts w:ascii="Calibri Light" w:hAnsi="Calibri Light" w:cs="Calibri Light"/>
        </w:rPr>
        <w:t>T</w:t>
      </w:r>
      <w:r w:rsidRPr="00E95109">
        <w:rPr>
          <w:rFonts w:ascii="Calibri Light" w:hAnsi="Calibri Light" w:cs="Calibri Light"/>
        </w:rPr>
        <w:t>he investment is designed as a flexible facility to enable iterative programming in a dynamic and sensitive sector.</w:t>
      </w:r>
      <w:r>
        <w:rPr>
          <w:rFonts w:ascii="Calibri Light" w:hAnsi="Calibri Light" w:cs="Calibri Light"/>
        </w:rPr>
        <w:t xml:space="preserve">  The facility is relatively small, with </w:t>
      </w:r>
      <w:r w:rsidRPr="00B74C04">
        <w:rPr>
          <w:rFonts w:ascii="Calibri Light" w:hAnsi="Calibri Light" w:cs="Calibri Light"/>
        </w:rPr>
        <w:t>up to AUD 40 million</w:t>
      </w:r>
      <w:r>
        <w:rPr>
          <w:rFonts w:ascii="Calibri Light" w:hAnsi="Calibri Light" w:cs="Calibri Light"/>
        </w:rPr>
        <w:t xml:space="preserve"> committed over a five year period.  AIPJ2 started in April 2017, following a previous phase and transition period, and is due to finish in March 2022.  </w:t>
      </w:r>
    </w:p>
    <w:p w14:paraId="3B0BCEE0" w14:textId="77777777" w:rsidR="00FF5485" w:rsidRDefault="00FF5485" w:rsidP="00FF5485">
      <w:pPr>
        <w:rPr>
          <w:rFonts w:ascii="Calibri Light" w:hAnsi="Calibri Light" w:cs="Calibri Light"/>
        </w:rPr>
      </w:pPr>
      <w:r>
        <w:rPr>
          <w:rFonts w:ascii="Calibri Light" w:hAnsi="Calibri Light" w:cs="Calibri Light"/>
        </w:rPr>
        <w:t>With the halfway point in the investment approaching, DFAT commissioned a mid-term review of AIPJ2.    This review plan sets out the proposed approach to conducting the review.</w:t>
      </w:r>
    </w:p>
    <w:p w14:paraId="4F0C2CFC" w14:textId="77777777" w:rsidR="00FF5485" w:rsidRDefault="00FF5485" w:rsidP="00FF5485">
      <w:pPr>
        <w:pStyle w:val="Heading1"/>
      </w:pPr>
      <w:r>
        <w:t>Purpose</w:t>
      </w:r>
    </w:p>
    <w:p w14:paraId="21268F93" w14:textId="77777777" w:rsidR="00FF5485" w:rsidRDefault="00FF5485" w:rsidP="00FF5485">
      <w:pPr>
        <w:pStyle w:val="Heading2"/>
        <w:spacing w:before="120" w:after="120"/>
      </w:pPr>
      <w:r>
        <w:t>Purpose</w:t>
      </w:r>
    </w:p>
    <w:p w14:paraId="5F5EAD94" w14:textId="77777777" w:rsidR="00FF5485" w:rsidRDefault="00FF5485" w:rsidP="00FF5485">
      <w:pPr>
        <w:rPr>
          <w:rFonts w:ascii="Calibri Light" w:hAnsi="Calibri Light" w:cs="Calibri Light"/>
        </w:rPr>
      </w:pPr>
      <w:r w:rsidRPr="00F818AF">
        <w:rPr>
          <w:rFonts w:ascii="Calibri Light" w:hAnsi="Calibri Light" w:cs="Calibri Light"/>
        </w:rPr>
        <w:t>AIPJ II is a Facility that aims to deliver strategic policy influence to help Indonesia strengthen its justice and security institutions. </w:t>
      </w:r>
      <w:r>
        <w:rPr>
          <w:rFonts w:ascii="Calibri Light" w:hAnsi="Calibri Light" w:cs="Calibri Light"/>
        </w:rPr>
        <w:t xml:space="preserve"> </w:t>
      </w:r>
      <w:r w:rsidRPr="00DB56FF">
        <w:rPr>
          <w:rFonts w:ascii="Calibri Light" w:hAnsi="Calibri Light" w:cs="Calibri Light"/>
        </w:rPr>
        <w:t xml:space="preserve">The primary purpose of the mid-term review is to provide DFAT with an independent assessment of progress to inform the remaining two years of the investment. </w:t>
      </w:r>
      <w:r>
        <w:rPr>
          <w:rFonts w:ascii="Calibri Light" w:hAnsi="Calibri Light" w:cs="Calibri Light"/>
        </w:rPr>
        <w:t xml:space="preserve">The </w:t>
      </w:r>
      <w:r w:rsidRPr="00DB56FF">
        <w:rPr>
          <w:rFonts w:ascii="Calibri Light" w:hAnsi="Calibri Light" w:cs="Calibri Light"/>
        </w:rPr>
        <w:t xml:space="preserve">focus </w:t>
      </w:r>
      <w:r>
        <w:rPr>
          <w:rFonts w:ascii="Calibri Light" w:hAnsi="Calibri Light" w:cs="Calibri Light"/>
        </w:rPr>
        <w:t xml:space="preserve">will be on </w:t>
      </w:r>
      <w:r w:rsidRPr="00DB56FF">
        <w:rPr>
          <w:rFonts w:ascii="Calibri Light" w:hAnsi="Calibri Light" w:cs="Calibri Light"/>
        </w:rPr>
        <w:t>AIPJ2’s approaches to partnership development, capacity building, knowledge generation and policy influence</w:t>
      </w:r>
      <w:r>
        <w:rPr>
          <w:rFonts w:ascii="Calibri Light" w:hAnsi="Calibri Light" w:cs="Calibri Light"/>
        </w:rPr>
        <w:t xml:space="preserve"> – including how it monitors and reports progress – as well as AIPJ2’s overarching strategy and priorities.  In doing so, t</w:t>
      </w:r>
      <w:r w:rsidRPr="00F818AF">
        <w:rPr>
          <w:rFonts w:ascii="Calibri Light" w:hAnsi="Calibri Light" w:cs="Calibri Light"/>
        </w:rPr>
        <w:t>he review will also confirm that the strategic approaches delivered by AIPJ2 are achieving the expected results that track towards the end-of-facility-outcomes.</w:t>
      </w:r>
    </w:p>
    <w:p w14:paraId="4E35E2ED" w14:textId="77777777" w:rsidR="00FF5485" w:rsidRPr="00DB56FF" w:rsidRDefault="00FF5485" w:rsidP="00FF5485">
      <w:pPr>
        <w:rPr>
          <w:rFonts w:ascii="Calibri Light" w:hAnsi="Calibri Light" w:cs="Calibri Light"/>
        </w:rPr>
      </w:pPr>
      <w:r w:rsidRPr="00DB56FF">
        <w:rPr>
          <w:rFonts w:ascii="Calibri Light" w:hAnsi="Calibri Light" w:cs="Calibri Light"/>
        </w:rPr>
        <w:t xml:space="preserve">The </w:t>
      </w:r>
      <w:r>
        <w:rPr>
          <w:rFonts w:ascii="Calibri Light" w:hAnsi="Calibri Light" w:cs="Calibri Light"/>
        </w:rPr>
        <w:t>review</w:t>
      </w:r>
      <w:r w:rsidRPr="00DB56FF">
        <w:rPr>
          <w:rFonts w:ascii="Calibri Light" w:hAnsi="Calibri Light" w:cs="Calibri Light"/>
        </w:rPr>
        <w:t xml:space="preserve"> will contribute to DFAT’s strategic thinking in relation to any future law and justice programming beyond 2022.  </w:t>
      </w:r>
    </w:p>
    <w:p w14:paraId="044F87FA" w14:textId="77777777" w:rsidR="00FF5485" w:rsidRDefault="00FF5485" w:rsidP="00FF5485">
      <w:pPr>
        <w:pStyle w:val="Heading2"/>
        <w:spacing w:before="120" w:after="120"/>
      </w:pPr>
      <w:r>
        <w:t>Target audience</w:t>
      </w:r>
    </w:p>
    <w:p w14:paraId="7A20282E" w14:textId="77777777" w:rsidR="00FF5485" w:rsidRPr="00DB56FF" w:rsidRDefault="00FF5485" w:rsidP="00FF5485">
      <w:pPr>
        <w:rPr>
          <w:rFonts w:ascii="Calibri Light" w:hAnsi="Calibri Light" w:cs="Calibri Light"/>
        </w:rPr>
      </w:pPr>
      <w:r w:rsidRPr="00DB56FF">
        <w:rPr>
          <w:rFonts w:ascii="Calibri Light" w:hAnsi="Calibri Light" w:cs="Calibri Light"/>
        </w:rPr>
        <w:t>The primary audience for the report is DFAT</w:t>
      </w:r>
      <w:r>
        <w:rPr>
          <w:rFonts w:ascii="Calibri Light" w:hAnsi="Calibri Light" w:cs="Calibri Light"/>
        </w:rPr>
        <w:t xml:space="preserve"> and AIPJ2</w:t>
      </w:r>
      <w:r w:rsidRPr="00DB56FF">
        <w:rPr>
          <w:rFonts w:ascii="Calibri Light" w:hAnsi="Calibri Light" w:cs="Calibri Light"/>
        </w:rPr>
        <w:t>; however, the report will also be shared with Bappenas and discussed at the AIPJ2 Annual Partnership Board.</w:t>
      </w:r>
    </w:p>
    <w:p w14:paraId="3EB26CEA" w14:textId="77777777" w:rsidR="00FF5485" w:rsidRPr="00ED0E3E" w:rsidRDefault="00FF5485" w:rsidP="00FF5485">
      <w:pPr>
        <w:pStyle w:val="Heading1"/>
      </w:pPr>
      <w:r>
        <w:t>Key questions</w:t>
      </w:r>
    </w:p>
    <w:p w14:paraId="5E091EC1" w14:textId="77777777" w:rsidR="00FF5485" w:rsidRPr="00B04E48" w:rsidRDefault="00FF5485" w:rsidP="00FF5485">
      <w:pPr>
        <w:rPr>
          <w:rFonts w:ascii="Calibri Light" w:hAnsi="Calibri Light" w:cs="Calibri Light"/>
        </w:rPr>
      </w:pPr>
      <w:r w:rsidRPr="00B04E48">
        <w:rPr>
          <w:rFonts w:ascii="Calibri Light" w:hAnsi="Calibri Light" w:cs="Calibri Light"/>
        </w:rPr>
        <w:t xml:space="preserve">The review TOR sets out the key evaluation questions for development by the MTR team.  A call was held with staff at the embassy in Jakarta to clarify DFAT’s priorities and interests and in addition a list of key issues was also provided by the First Secretary responsible for AIPJ2.  </w:t>
      </w:r>
    </w:p>
    <w:p w14:paraId="1EEDB279" w14:textId="77777777" w:rsidR="00FF5485" w:rsidRDefault="00FF5485" w:rsidP="00FF5485">
      <w:pPr>
        <w:rPr>
          <w:rFonts w:ascii="Calibri Light" w:hAnsi="Calibri Light" w:cs="Calibri Light"/>
        </w:rPr>
      </w:pPr>
      <w:r w:rsidRPr="00B04E48">
        <w:rPr>
          <w:rFonts w:ascii="Calibri Light" w:hAnsi="Calibri Light" w:cs="Calibri Light"/>
        </w:rPr>
        <w:t>Based on these materials, and the review’s Purpose, the MTR team have provided a proposed response to the TOR question</w:t>
      </w:r>
      <w:r>
        <w:rPr>
          <w:rFonts w:ascii="Calibri Light" w:hAnsi="Calibri Light" w:cs="Calibri Light"/>
        </w:rPr>
        <w:t>s:</w:t>
      </w:r>
      <w:r w:rsidRPr="00B04E48">
        <w:rPr>
          <w:rFonts w:ascii="Calibri Light" w:hAnsi="Calibri Light" w:cs="Calibri Light"/>
        </w:rPr>
        <w:t xml:space="preserve">   </w:t>
      </w:r>
    </w:p>
    <w:p w14:paraId="1FE49610" w14:textId="77777777" w:rsidR="00FF5485" w:rsidRDefault="00FF5485" w:rsidP="00FF5485">
      <w:pPr>
        <w:rPr>
          <w:rFonts w:ascii="Calibri Light" w:hAnsi="Calibri Light" w:cs="Calibri Light"/>
        </w:rPr>
      </w:pPr>
    </w:p>
    <w:p w14:paraId="1F5DAFF1" w14:textId="77777777" w:rsidR="00FF5485" w:rsidRDefault="00FF5485" w:rsidP="00FF5485">
      <w:pPr>
        <w:rPr>
          <w:rFonts w:ascii="Calibri Light" w:hAnsi="Calibri Light" w:cs="Calibri Light"/>
        </w:rPr>
      </w:pPr>
    </w:p>
    <w:p w14:paraId="68337901" w14:textId="77777777" w:rsidR="00FF5485" w:rsidRPr="00B04E48" w:rsidRDefault="00FF5485" w:rsidP="00FF5485">
      <w:pPr>
        <w:rPr>
          <w:rFonts w:ascii="Calibri Light" w:hAnsi="Calibri Light" w:cs="Calibri Light"/>
        </w:rPr>
      </w:pPr>
    </w:p>
    <w:tbl>
      <w:tblPr>
        <w:tblStyle w:val="TableGrid"/>
        <w:tblW w:w="10491" w:type="dxa"/>
        <w:tblInd w:w="-572" w:type="dxa"/>
        <w:tblLook w:val="04A0" w:firstRow="1" w:lastRow="0" w:firstColumn="1" w:lastColumn="0" w:noHBand="0" w:noVBand="1"/>
      </w:tblPr>
      <w:tblGrid>
        <w:gridCol w:w="1694"/>
        <w:gridCol w:w="4544"/>
        <w:gridCol w:w="4253"/>
      </w:tblGrid>
      <w:tr w:rsidR="00FF5485" w14:paraId="4BD358BB" w14:textId="77777777" w:rsidTr="00B439C2">
        <w:tc>
          <w:tcPr>
            <w:tcW w:w="1694" w:type="dxa"/>
          </w:tcPr>
          <w:p w14:paraId="19B60E02" w14:textId="77777777" w:rsidR="00FF5485" w:rsidRPr="00D76E5A" w:rsidRDefault="00FF5485" w:rsidP="00B439C2">
            <w:pPr>
              <w:rPr>
                <w:b/>
                <w:bCs/>
                <w:sz w:val="16"/>
                <w:szCs w:val="22"/>
              </w:rPr>
            </w:pPr>
            <w:r w:rsidRPr="00D76E5A">
              <w:rPr>
                <w:b/>
                <w:bCs/>
                <w:sz w:val="16"/>
                <w:szCs w:val="22"/>
              </w:rPr>
              <w:t>TOR Qs</w:t>
            </w:r>
          </w:p>
        </w:tc>
        <w:tc>
          <w:tcPr>
            <w:tcW w:w="4544" w:type="dxa"/>
            <w:tcBorders>
              <w:bottom w:val="single" w:sz="4" w:space="0" w:color="auto"/>
            </w:tcBorders>
          </w:tcPr>
          <w:p w14:paraId="784412C1" w14:textId="77777777" w:rsidR="00FF5485" w:rsidRPr="00CC2058" w:rsidRDefault="00FF5485" w:rsidP="00B439C2">
            <w:pPr>
              <w:rPr>
                <w:sz w:val="16"/>
                <w:szCs w:val="22"/>
              </w:rPr>
            </w:pPr>
            <w:r>
              <w:rPr>
                <w:sz w:val="16"/>
                <w:szCs w:val="22"/>
              </w:rPr>
              <w:t>Additional comments</w:t>
            </w:r>
            <w:r w:rsidRPr="00CC2058">
              <w:rPr>
                <w:sz w:val="16"/>
                <w:szCs w:val="22"/>
              </w:rPr>
              <w:t xml:space="preserve"> by DFAT</w:t>
            </w:r>
          </w:p>
        </w:tc>
        <w:tc>
          <w:tcPr>
            <w:tcW w:w="4253" w:type="dxa"/>
            <w:tcBorders>
              <w:bottom w:val="single" w:sz="4" w:space="0" w:color="auto"/>
            </w:tcBorders>
          </w:tcPr>
          <w:p w14:paraId="66906082" w14:textId="77777777" w:rsidR="00FF5485" w:rsidRPr="00D76E5A" w:rsidRDefault="00FF5485" w:rsidP="00B439C2">
            <w:pPr>
              <w:rPr>
                <w:rFonts w:ascii="Calibri Light" w:hAnsi="Calibri Light" w:cs="Calibri Light"/>
                <w:sz w:val="16"/>
                <w:szCs w:val="22"/>
              </w:rPr>
            </w:pPr>
            <w:r w:rsidRPr="00D76E5A">
              <w:rPr>
                <w:rFonts w:ascii="Calibri Light" w:hAnsi="Calibri Light" w:cs="Calibri Light"/>
                <w:sz w:val="16"/>
                <w:szCs w:val="22"/>
              </w:rPr>
              <w:t xml:space="preserve">MTR proposed </w:t>
            </w:r>
            <w:r>
              <w:rPr>
                <w:rFonts w:ascii="Calibri Light" w:hAnsi="Calibri Light" w:cs="Calibri Light"/>
                <w:sz w:val="16"/>
                <w:szCs w:val="22"/>
              </w:rPr>
              <w:t>elaboration</w:t>
            </w:r>
            <w:r w:rsidRPr="00D76E5A">
              <w:rPr>
                <w:rFonts w:ascii="Calibri Light" w:hAnsi="Calibri Light" w:cs="Calibri Light"/>
                <w:sz w:val="16"/>
                <w:szCs w:val="22"/>
              </w:rPr>
              <w:t xml:space="preserve"> </w:t>
            </w:r>
          </w:p>
        </w:tc>
      </w:tr>
      <w:tr w:rsidR="00FF5485" w14:paraId="2B8EF949" w14:textId="77777777" w:rsidTr="00B439C2">
        <w:trPr>
          <w:trHeight w:val="1219"/>
        </w:trPr>
        <w:tc>
          <w:tcPr>
            <w:tcW w:w="1694" w:type="dxa"/>
          </w:tcPr>
          <w:p w14:paraId="05FFE14B" w14:textId="77777777" w:rsidR="00FF5485" w:rsidRPr="002D5F58" w:rsidRDefault="00FF5485" w:rsidP="00B439C2">
            <w:pPr>
              <w:spacing w:before="60" w:after="60"/>
              <w:rPr>
                <w:rFonts w:asciiTheme="majorHAnsi" w:hAnsiTheme="majorHAnsi" w:cstheme="majorHAnsi"/>
                <w:b/>
                <w:bCs/>
                <w:sz w:val="16"/>
                <w:szCs w:val="22"/>
                <w:highlight w:val="yellow"/>
              </w:rPr>
            </w:pPr>
            <w:r w:rsidRPr="002D5F58">
              <w:rPr>
                <w:rFonts w:ascii="Calibri Light" w:eastAsia="Times New Roman" w:hAnsi="Calibri Light" w:cs="Calibri Light"/>
                <w:b/>
                <w:bCs/>
                <w:sz w:val="16"/>
                <w:szCs w:val="22"/>
                <w:lang w:eastAsia="en-AU"/>
              </w:rPr>
              <w:t>1. How is AIPJ2 targeting and contributing to democratic resilience in Indonesia? Is there scope to do more in the second half of the program?</w:t>
            </w:r>
          </w:p>
        </w:tc>
        <w:tc>
          <w:tcPr>
            <w:tcW w:w="4544" w:type="dxa"/>
            <w:tcBorders>
              <w:bottom w:val="single" w:sz="4" w:space="0" w:color="auto"/>
            </w:tcBorders>
          </w:tcPr>
          <w:p w14:paraId="4472A82D" w14:textId="77777777" w:rsidR="00FF5485" w:rsidRDefault="00FF5485" w:rsidP="00B439C2">
            <w:pPr>
              <w:spacing w:before="60" w:after="60"/>
              <w:rPr>
                <w:rFonts w:ascii="Calibri Light" w:hAnsi="Calibri Light" w:cs="Calibri Light"/>
                <w:sz w:val="16"/>
                <w:szCs w:val="22"/>
              </w:rPr>
            </w:pPr>
            <w:r>
              <w:rPr>
                <w:rFonts w:asciiTheme="majorHAnsi" w:hAnsiTheme="majorHAnsi" w:cstheme="majorHAnsi"/>
                <w:sz w:val="16"/>
                <w:szCs w:val="22"/>
              </w:rPr>
              <w:t>W</w:t>
            </w:r>
            <w:r w:rsidRPr="00CC2058">
              <w:rPr>
                <w:rFonts w:asciiTheme="majorHAnsi" w:hAnsiTheme="majorHAnsi" w:cstheme="majorHAnsi"/>
                <w:sz w:val="16"/>
                <w:szCs w:val="22"/>
              </w:rPr>
              <w:t xml:space="preserve">hat aspects of democratic resilience does AIPJ2 address? Is this appropriate? Is anything missing?  </w:t>
            </w:r>
            <w:r>
              <w:rPr>
                <w:rFonts w:asciiTheme="majorHAnsi" w:hAnsiTheme="majorHAnsi" w:cstheme="majorHAnsi"/>
                <w:sz w:val="16"/>
                <w:szCs w:val="22"/>
              </w:rPr>
              <w:t>(for example,</w:t>
            </w:r>
            <w:r w:rsidRPr="00CC2058">
              <w:rPr>
                <w:rFonts w:asciiTheme="majorHAnsi" w:hAnsiTheme="majorHAnsi" w:cstheme="majorHAnsi"/>
                <w:sz w:val="16"/>
                <w:szCs w:val="22"/>
              </w:rPr>
              <w:t xml:space="preserve">  is there an opportunity for the program to work more/engage better with Parliament?</w:t>
            </w:r>
            <w:r>
              <w:rPr>
                <w:rFonts w:asciiTheme="majorHAnsi" w:hAnsiTheme="majorHAnsi" w:cstheme="majorHAnsi"/>
                <w:sz w:val="16"/>
                <w:szCs w:val="22"/>
              </w:rPr>
              <w:t>)</w:t>
            </w:r>
            <w:r w:rsidRPr="00CC2058">
              <w:rPr>
                <w:rFonts w:ascii="Calibri Light" w:hAnsi="Calibri Light" w:cs="Calibri Light"/>
                <w:sz w:val="16"/>
                <w:szCs w:val="22"/>
              </w:rPr>
              <w:t xml:space="preserve"> </w:t>
            </w:r>
          </w:p>
          <w:p w14:paraId="7DAAAD72" w14:textId="77777777" w:rsidR="00FF5485" w:rsidRPr="0094743D" w:rsidRDefault="00FF5485" w:rsidP="00B439C2">
            <w:pPr>
              <w:spacing w:before="60" w:after="60"/>
              <w:rPr>
                <w:rFonts w:ascii="Calibri Light" w:hAnsi="Calibri Light" w:cs="Calibri Light"/>
                <w:sz w:val="16"/>
                <w:szCs w:val="22"/>
              </w:rPr>
            </w:pPr>
            <w:r w:rsidRPr="00CC2058">
              <w:rPr>
                <w:rFonts w:ascii="Calibri Light" w:hAnsi="Calibri Light" w:cs="Calibri Light"/>
                <w:sz w:val="16"/>
                <w:szCs w:val="22"/>
              </w:rPr>
              <w:t xml:space="preserve">AIPJ2 is difficult to explain – </w:t>
            </w:r>
            <w:r>
              <w:rPr>
                <w:rFonts w:ascii="Calibri Light" w:hAnsi="Calibri Light" w:cs="Calibri Light"/>
                <w:sz w:val="16"/>
                <w:szCs w:val="22"/>
              </w:rPr>
              <w:t>wide-ranging</w:t>
            </w:r>
            <w:r w:rsidRPr="00CC2058">
              <w:rPr>
                <w:rFonts w:ascii="Calibri Light" w:hAnsi="Calibri Light" w:cs="Calibri Light"/>
                <w:sz w:val="16"/>
                <w:szCs w:val="22"/>
              </w:rPr>
              <w:t xml:space="preserve"> and inherently complex.</w:t>
            </w:r>
          </w:p>
        </w:tc>
        <w:tc>
          <w:tcPr>
            <w:tcW w:w="4253" w:type="dxa"/>
            <w:tcBorders>
              <w:bottom w:val="single" w:sz="4" w:space="0" w:color="auto"/>
            </w:tcBorders>
          </w:tcPr>
          <w:p w14:paraId="17CCEC39" w14:textId="77777777" w:rsidR="00FF5485" w:rsidRPr="00D76E5A" w:rsidRDefault="00FF5485" w:rsidP="00B439C2">
            <w:pPr>
              <w:spacing w:before="60" w:after="60"/>
              <w:rPr>
                <w:rFonts w:ascii="Calibri Light" w:hAnsi="Calibri Light" w:cs="Calibri Light"/>
                <w:sz w:val="16"/>
                <w:szCs w:val="22"/>
              </w:rPr>
            </w:pPr>
            <w:r w:rsidRPr="00D76E5A">
              <w:rPr>
                <w:rFonts w:ascii="Calibri Light" w:hAnsi="Calibri Light" w:cs="Calibri Light"/>
                <w:sz w:val="16"/>
                <w:szCs w:val="22"/>
              </w:rPr>
              <w:t xml:space="preserve">The TOR question is clear.  In addition to examining AIPJ2’s relevance to the concept, we will examine whether it provides a coherent, overarching narrative for AIPJ2 and the extent to which DFAT itself has a developed a practicable, working definition of the concept. </w:t>
            </w:r>
          </w:p>
        </w:tc>
      </w:tr>
      <w:tr w:rsidR="00FF5485" w14:paraId="1CA05CBC" w14:textId="77777777" w:rsidTr="00B439C2">
        <w:tc>
          <w:tcPr>
            <w:tcW w:w="1694" w:type="dxa"/>
          </w:tcPr>
          <w:p w14:paraId="26FE304D" w14:textId="77777777" w:rsidR="00FF5485" w:rsidRPr="002D5F58" w:rsidRDefault="00FF5485" w:rsidP="00B439C2">
            <w:pPr>
              <w:spacing w:before="60" w:after="60"/>
              <w:rPr>
                <w:rFonts w:asciiTheme="majorHAnsi" w:hAnsiTheme="majorHAnsi" w:cstheme="majorHAnsi"/>
                <w:b/>
                <w:bCs/>
                <w:sz w:val="16"/>
                <w:szCs w:val="22"/>
              </w:rPr>
            </w:pPr>
            <w:r w:rsidRPr="002D5F58">
              <w:rPr>
                <w:rFonts w:ascii="Calibri Light" w:eastAsia="Times New Roman" w:hAnsi="Calibri Light" w:cs="Calibri Light"/>
                <w:b/>
                <w:bCs/>
                <w:sz w:val="16"/>
                <w:szCs w:val="22"/>
                <w:lang w:eastAsia="en-AU"/>
              </w:rPr>
              <w:t>2. To what extent is AIPJ2 achieving its intermediate end-of-facility outcomes and making progress towards its end-of-facility outcomes</w:t>
            </w:r>
            <w:r>
              <w:rPr>
                <w:rFonts w:ascii="Calibri Light" w:eastAsia="Times New Roman" w:hAnsi="Calibri Light" w:cs="Calibri Light"/>
                <w:b/>
                <w:bCs/>
                <w:sz w:val="16"/>
                <w:szCs w:val="22"/>
                <w:lang w:eastAsia="en-AU"/>
              </w:rPr>
              <w:t xml:space="preserve"> (EOFOs)</w:t>
            </w:r>
            <w:r w:rsidRPr="002D5F58">
              <w:rPr>
                <w:rFonts w:ascii="Calibri Light" w:eastAsia="Times New Roman" w:hAnsi="Calibri Light" w:cs="Calibri Light"/>
                <w:b/>
                <w:bCs/>
                <w:sz w:val="16"/>
                <w:szCs w:val="22"/>
                <w:lang w:eastAsia="en-AU"/>
              </w:rPr>
              <w:t>?</w:t>
            </w:r>
          </w:p>
        </w:tc>
        <w:tc>
          <w:tcPr>
            <w:tcW w:w="4544" w:type="dxa"/>
            <w:tcBorders>
              <w:top w:val="single" w:sz="4" w:space="0" w:color="auto"/>
            </w:tcBorders>
          </w:tcPr>
          <w:p w14:paraId="008FB818" w14:textId="77777777" w:rsidR="00FF5485" w:rsidRPr="00CC2058" w:rsidRDefault="00FF5485" w:rsidP="00B439C2">
            <w:pPr>
              <w:spacing w:before="60" w:after="60"/>
              <w:rPr>
                <w:rFonts w:ascii="Calibri Light" w:hAnsi="Calibri Light" w:cs="Calibri Light"/>
                <w:sz w:val="16"/>
                <w:szCs w:val="22"/>
              </w:rPr>
            </w:pPr>
            <w:r w:rsidRPr="00CC2058">
              <w:rPr>
                <w:rFonts w:ascii="Calibri Light" w:hAnsi="Calibri Light" w:cs="Calibri Light"/>
                <w:sz w:val="16"/>
                <w:szCs w:val="22"/>
              </w:rPr>
              <w:t>A clearer, simpler explanation of the overall prog</w:t>
            </w:r>
            <w:r>
              <w:rPr>
                <w:rFonts w:ascii="Calibri Light" w:hAnsi="Calibri Light" w:cs="Calibri Light"/>
                <w:sz w:val="16"/>
                <w:szCs w:val="22"/>
              </w:rPr>
              <w:t>ram</w:t>
            </w:r>
            <w:r w:rsidRPr="00CC2058">
              <w:rPr>
                <w:rFonts w:ascii="Calibri Light" w:hAnsi="Calibri Light" w:cs="Calibri Light"/>
                <w:sz w:val="16"/>
                <w:szCs w:val="22"/>
              </w:rPr>
              <w:t xml:space="preserve"> and each pillar… would be helpful in defending resources and in explaining </w:t>
            </w:r>
            <w:r>
              <w:rPr>
                <w:rFonts w:ascii="Calibri Light" w:hAnsi="Calibri Light" w:cs="Calibri Light"/>
                <w:sz w:val="16"/>
                <w:szCs w:val="22"/>
              </w:rPr>
              <w:t xml:space="preserve">the work undertaken </w:t>
            </w:r>
            <w:r w:rsidRPr="00CC2058">
              <w:rPr>
                <w:rFonts w:ascii="Calibri Light" w:hAnsi="Calibri Light" w:cs="Calibri Light"/>
                <w:sz w:val="16"/>
                <w:szCs w:val="22"/>
              </w:rPr>
              <w:t xml:space="preserve">to BAPPENAS and </w:t>
            </w:r>
            <w:r>
              <w:rPr>
                <w:rFonts w:ascii="Calibri Light" w:hAnsi="Calibri Light" w:cs="Calibri Light"/>
                <w:sz w:val="16"/>
                <w:szCs w:val="22"/>
              </w:rPr>
              <w:t xml:space="preserve">broader </w:t>
            </w:r>
            <w:r w:rsidRPr="00CC2058">
              <w:rPr>
                <w:rFonts w:ascii="Calibri Light" w:hAnsi="Calibri Light" w:cs="Calibri Light"/>
                <w:sz w:val="16"/>
                <w:szCs w:val="22"/>
              </w:rPr>
              <w:t xml:space="preserve">GOA </w:t>
            </w:r>
          </w:p>
          <w:p w14:paraId="24961416" w14:textId="77777777" w:rsidR="00FF5485" w:rsidRPr="00CC2058" w:rsidRDefault="00FF5485" w:rsidP="00B439C2">
            <w:pPr>
              <w:spacing w:before="60" w:after="60"/>
              <w:rPr>
                <w:rFonts w:ascii="Calibri Light" w:hAnsi="Calibri Light" w:cs="Calibri Light"/>
                <w:sz w:val="16"/>
                <w:szCs w:val="22"/>
              </w:rPr>
            </w:pPr>
            <w:r>
              <w:rPr>
                <w:rFonts w:ascii="Calibri Light" w:hAnsi="Calibri Light" w:cs="Calibri Light"/>
                <w:sz w:val="16"/>
                <w:szCs w:val="22"/>
              </w:rPr>
              <w:t>AIPJ2’s results framework:</w:t>
            </w:r>
            <w:r w:rsidRPr="00CC2058">
              <w:rPr>
                <w:rFonts w:ascii="Calibri Light" w:hAnsi="Calibri Light" w:cs="Calibri Light"/>
                <w:sz w:val="16"/>
                <w:szCs w:val="22"/>
              </w:rPr>
              <w:t xml:space="preserve">  broad and non-specific by design… to enable flexible programming and responsiveness to changing context and</w:t>
            </w:r>
            <w:r>
              <w:rPr>
                <w:rFonts w:ascii="Calibri Light" w:hAnsi="Calibri Light" w:cs="Calibri Light"/>
                <w:sz w:val="16"/>
                <w:szCs w:val="22"/>
              </w:rPr>
              <w:t xml:space="preserve"> </w:t>
            </w:r>
            <w:r w:rsidRPr="00CC2058">
              <w:rPr>
                <w:rFonts w:ascii="Calibri Light" w:hAnsi="Calibri Light" w:cs="Calibri Light"/>
                <w:sz w:val="16"/>
                <w:szCs w:val="22"/>
              </w:rPr>
              <w:t xml:space="preserve">priorities/needs. But we struggle to report on performance … are we set up well enough to monitor progress of the program towards achieving policy reform over the second half of the program’s life? </w:t>
            </w:r>
          </w:p>
          <w:p w14:paraId="2C8D5FA5" w14:textId="77777777" w:rsidR="00FF5485" w:rsidRPr="00CC2058" w:rsidRDefault="00FF5485" w:rsidP="00B439C2">
            <w:pPr>
              <w:spacing w:before="60" w:after="60"/>
              <w:rPr>
                <w:rFonts w:ascii="Calibri Light" w:hAnsi="Calibri Light" w:cs="Calibri Light"/>
                <w:sz w:val="16"/>
                <w:szCs w:val="22"/>
              </w:rPr>
            </w:pPr>
            <w:r w:rsidRPr="00CC2058">
              <w:rPr>
                <w:rFonts w:ascii="Calibri Light" w:hAnsi="Calibri Light" w:cs="Calibri Light"/>
                <w:b/>
                <w:sz w:val="16"/>
                <w:szCs w:val="22"/>
              </w:rPr>
              <w:t xml:space="preserve">P2: </w:t>
            </w:r>
            <w:r w:rsidRPr="00CC2058">
              <w:rPr>
                <w:rFonts w:ascii="Calibri Light" w:hAnsi="Calibri Light" w:cs="Calibri Light"/>
                <w:sz w:val="16"/>
                <w:szCs w:val="22"/>
              </w:rPr>
              <w:t xml:space="preserve">M&amp;E. We already have some strategies in place to improve M&amp;E under Pillar 2, but how could this be further improved?  </w:t>
            </w:r>
          </w:p>
          <w:p w14:paraId="469AFF24" w14:textId="77777777" w:rsidR="00FF5485" w:rsidRPr="00CC2058" w:rsidRDefault="00FF5485" w:rsidP="00B439C2">
            <w:pPr>
              <w:spacing w:before="60" w:after="60"/>
              <w:rPr>
                <w:rFonts w:ascii="Calibri Light" w:hAnsi="Calibri Light" w:cs="Calibri Light"/>
                <w:sz w:val="16"/>
                <w:szCs w:val="22"/>
              </w:rPr>
            </w:pPr>
            <w:r w:rsidRPr="00CC2058">
              <w:rPr>
                <w:rFonts w:ascii="Calibri Light" w:hAnsi="Calibri Light" w:cs="Calibri Light"/>
                <w:b/>
                <w:sz w:val="16"/>
                <w:szCs w:val="22"/>
              </w:rPr>
              <w:t>P3</w:t>
            </w:r>
            <w:r w:rsidRPr="00E8437C">
              <w:rPr>
                <w:rFonts w:ascii="Calibri Light" w:hAnsi="Calibri Light" w:cs="Calibri Light"/>
                <w:bCs/>
                <w:sz w:val="16"/>
                <w:szCs w:val="22"/>
              </w:rPr>
              <w:t xml:space="preserve">: How well are we monitoring and assessing the performance of our CVE CSO partners – not just organisational capacity, but effectiveness?  </w:t>
            </w:r>
          </w:p>
        </w:tc>
        <w:tc>
          <w:tcPr>
            <w:tcW w:w="4253" w:type="dxa"/>
            <w:tcBorders>
              <w:top w:val="single" w:sz="4" w:space="0" w:color="auto"/>
            </w:tcBorders>
          </w:tcPr>
          <w:p w14:paraId="433AE121" w14:textId="77777777" w:rsidR="00FF5485" w:rsidRDefault="00FF5485" w:rsidP="00B439C2">
            <w:pPr>
              <w:spacing w:before="60" w:after="60"/>
              <w:rPr>
                <w:rFonts w:ascii="Calibri Light" w:hAnsi="Calibri Light" w:cs="Calibri Light"/>
                <w:sz w:val="16"/>
                <w:szCs w:val="22"/>
              </w:rPr>
            </w:pPr>
            <w:r>
              <w:rPr>
                <w:rFonts w:ascii="Calibri Light" w:hAnsi="Calibri Light" w:cs="Calibri Light"/>
                <w:sz w:val="16"/>
                <w:szCs w:val="22"/>
              </w:rPr>
              <w:t>The MTR will not make its own, separate assessment of outcomes achieved.  Instead it will consider:</w:t>
            </w:r>
          </w:p>
          <w:p w14:paraId="44DB9770" w14:textId="77777777" w:rsidR="00FF5485" w:rsidRDefault="00FF5485" w:rsidP="00FF5485">
            <w:pPr>
              <w:pStyle w:val="ListParagraph"/>
              <w:numPr>
                <w:ilvl w:val="0"/>
                <w:numId w:val="30"/>
              </w:numPr>
              <w:spacing w:before="60" w:after="60"/>
              <w:ind w:left="314" w:hanging="284"/>
              <w:rPr>
                <w:rFonts w:ascii="Calibri Light" w:hAnsi="Calibri Light" w:cs="Calibri Light"/>
                <w:sz w:val="16"/>
              </w:rPr>
            </w:pPr>
            <w:r w:rsidRPr="00AB7F54">
              <w:rPr>
                <w:rFonts w:ascii="Calibri Light" w:hAnsi="Calibri Light" w:cs="Calibri Light"/>
                <w:sz w:val="16"/>
              </w:rPr>
              <w:t xml:space="preserve">adequacy of </w:t>
            </w:r>
            <w:r>
              <w:rPr>
                <w:rFonts w:ascii="Calibri Light" w:hAnsi="Calibri Light" w:cs="Calibri Light"/>
                <w:sz w:val="16"/>
              </w:rPr>
              <w:t xml:space="preserve">AIPJ2’s </w:t>
            </w:r>
            <w:r w:rsidRPr="00AB7F54">
              <w:rPr>
                <w:rFonts w:ascii="Calibri Light" w:hAnsi="Calibri Light" w:cs="Calibri Light"/>
                <w:sz w:val="16"/>
              </w:rPr>
              <w:t>performance measurement and learning systems;</w:t>
            </w:r>
            <w:r>
              <w:rPr>
                <w:rFonts w:ascii="Calibri Light" w:hAnsi="Calibri Light" w:cs="Calibri Light"/>
                <w:sz w:val="16"/>
              </w:rPr>
              <w:t xml:space="preserve"> </w:t>
            </w:r>
          </w:p>
          <w:p w14:paraId="374D8578" w14:textId="77777777" w:rsidR="00FF5485" w:rsidRDefault="00FF5485" w:rsidP="00FF5485">
            <w:pPr>
              <w:pStyle w:val="ListParagraph"/>
              <w:numPr>
                <w:ilvl w:val="0"/>
                <w:numId w:val="30"/>
              </w:numPr>
              <w:spacing w:before="60" w:after="60"/>
              <w:ind w:left="314" w:hanging="284"/>
              <w:rPr>
                <w:rFonts w:ascii="Calibri Light" w:hAnsi="Calibri Light" w:cs="Calibri Light"/>
                <w:sz w:val="16"/>
              </w:rPr>
            </w:pPr>
            <w:r>
              <w:rPr>
                <w:rFonts w:ascii="Calibri Light" w:hAnsi="Calibri Light" w:cs="Calibri Light"/>
                <w:sz w:val="16"/>
              </w:rPr>
              <w:t xml:space="preserve">significance of </w:t>
            </w:r>
            <w:r w:rsidRPr="00AB7F54">
              <w:rPr>
                <w:rFonts w:ascii="Calibri Light" w:hAnsi="Calibri Light" w:cs="Calibri Light"/>
                <w:sz w:val="16"/>
              </w:rPr>
              <w:t>reported achievements</w:t>
            </w:r>
            <w:r>
              <w:rPr>
                <w:rFonts w:ascii="Calibri Light" w:hAnsi="Calibri Light" w:cs="Calibri Light"/>
                <w:sz w:val="16"/>
              </w:rPr>
              <w:t xml:space="preserve"> in a sample of areas of AIPJ2’s work</w:t>
            </w:r>
            <w:r w:rsidRPr="00AB7F54">
              <w:rPr>
                <w:rFonts w:ascii="Calibri Light" w:hAnsi="Calibri Light" w:cs="Calibri Light"/>
                <w:sz w:val="16"/>
              </w:rPr>
              <w:t>;</w:t>
            </w:r>
          </w:p>
          <w:p w14:paraId="34062802" w14:textId="77777777" w:rsidR="00FF5485" w:rsidRPr="00AB7F54" w:rsidRDefault="00FF5485" w:rsidP="00FF5485">
            <w:pPr>
              <w:pStyle w:val="ListParagraph"/>
              <w:numPr>
                <w:ilvl w:val="0"/>
                <w:numId w:val="30"/>
              </w:numPr>
              <w:spacing w:before="60" w:after="60"/>
              <w:ind w:left="314" w:hanging="284"/>
              <w:rPr>
                <w:rFonts w:ascii="Calibri Light" w:hAnsi="Calibri Light" w:cs="Calibri Light"/>
                <w:sz w:val="16"/>
              </w:rPr>
            </w:pPr>
            <w:r w:rsidRPr="00AB7F54">
              <w:rPr>
                <w:rFonts w:ascii="Calibri Light" w:hAnsi="Calibri Light" w:cs="Calibri Light"/>
                <w:sz w:val="16"/>
              </w:rPr>
              <w:t>prospects of achieving the EOFOs</w:t>
            </w:r>
            <w:r>
              <w:rPr>
                <w:rFonts w:ascii="Calibri Light" w:hAnsi="Calibri Light" w:cs="Calibri Light"/>
                <w:sz w:val="16"/>
              </w:rPr>
              <w:t xml:space="preserve"> in a sample of areas of AIPJ2’s work.</w:t>
            </w:r>
          </w:p>
          <w:p w14:paraId="6B399F47" w14:textId="77777777" w:rsidR="00FF5485" w:rsidRPr="00D76E5A" w:rsidRDefault="00FF5485" w:rsidP="00B439C2">
            <w:pPr>
              <w:spacing w:before="60" w:after="60"/>
              <w:rPr>
                <w:rFonts w:ascii="Calibri Light" w:hAnsi="Calibri Light" w:cs="Calibri Light"/>
                <w:sz w:val="16"/>
                <w:szCs w:val="22"/>
              </w:rPr>
            </w:pPr>
          </w:p>
        </w:tc>
      </w:tr>
      <w:tr w:rsidR="00FF5485" w14:paraId="3458F7CD" w14:textId="77777777" w:rsidTr="00B439C2">
        <w:tc>
          <w:tcPr>
            <w:tcW w:w="1694" w:type="dxa"/>
          </w:tcPr>
          <w:p w14:paraId="4F12482D" w14:textId="77777777" w:rsidR="00FF5485" w:rsidRPr="00D76E5A" w:rsidRDefault="00FF5485" w:rsidP="00B439C2">
            <w:pPr>
              <w:rPr>
                <w:b/>
                <w:bCs/>
                <w:color w:val="2E74B5" w:themeColor="accent5" w:themeShade="BF"/>
                <w:sz w:val="16"/>
                <w:szCs w:val="22"/>
              </w:rPr>
            </w:pPr>
            <w:r w:rsidRPr="00D76E5A">
              <w:rPr>
                <w:rFonts w:ascii="Calibri Light" w:eastAsia="Times New Roman" w:hAnsi="Calibri Light" w:cs="Calibri Light"/>
                <w:b/>
                <w:bCs/>
                <w:sz w:val="16"/>
                <w:szCs w:val="22"/>
                <w:lang w:eastAsia="en-AU"/>
              </w:rPr>
              <w:t>3. To what extent is AIPJ2 building Indonesian civil society and government capacity?</w:t>
            </w:r>
          </w:p>
        </w:tc>
        <w:tc>
          <w:tcPr>
            <w:tcW w:w="4544" w:type="dxa"/>
            <w:tcBorders>
              <w:bottom w:val="single" w:sz="4" w:space="0" w:color="auto"/>
            </w:tcBorders>
          </w:tcPr>
          <w:p w14:paraId="0B67C2D0" w14:textId="77777777" w:rsidR="00FF5485" w:rsidRDefault="00FF5485" w:rsidP="00B439C2">
            <w:pPr>
              <w:spacing w:before="60" w:after="60"/>
              <w:rPr>
                <w:rFonts w:ascii="Calibri Light" w:hAnsi="Calibri Light" w:cs="Calibri Light"/>
                <w:color w:val="000000" w:themeColor="text1"/>
                <w:sz w:val="16"/>
                <w:szCs w:val="22"/>
              </w:rPr>
            </w:pPr>
            <w:r w:rsidRPr="00731E8E">
              <w:rPr>
                <w:rFonts w:ascii="Calibri Light" w:hAnsi="Calibri Light" w:cs="Calibri Light"/>
                <w:color w:val="000000" w:themeColor="text1"/>
                <w:sz w:val="16"/>
                <w:szCs w:val="22"/>
              </w:rPr>
              <w:t xml:space="preserve">Do we have the right, balance between sufficient coverage </w:t>
            </w:r>
            <w:r>
              <w:rPr>
                <w:rFonts w:ascii="Calibri Light" w:hAnsi="Calibri Light" w:cs="Calibri Light"/>
                <w:color w:val="000000" w:themeColor="text1"/>
                <w:sz w:val="16"/>
                <w:szCs w:val="22"/>
              </w:rPr>
              <w:t xml:space="preserve">and </w:t>
            </w:r>
            <w:r w:rsidRPr="00731E8E">
              <w:rPr>
                <w:rFonts w:ascii="Calibri Light" w:hAnsi="Calibri Light" w:cs="Calibri Light"/>
                <w:color w:val="000000" w:themeColor="text1"/>
                <w:sz w:val="16"/>
                <w:szCs w:val="22"/>
              </w:rPr>
              <w:t xml:space="preserve">spreading ourselves too thinly?     Is it now </w:t>
            </w:r>
            <w:r>
              <w:rPr>
                <w:rFonts w:ascii="Calibri Light" w:hAnsi="Calibri Light" w:cs="Calibri Light"/>
                <w:color w:val="000000" w:themeColor="text1"/>
                <w:sz w:val="16"/>
                <w:szCs w:val="22"/>
              </w:rPr>
              <w:t xml:space="preserve">the </w:t>
            </w:r>
            <w:r w:rsidRPr="00731E8E">
              <w:rPr>
                <w:rFonts w:ascii="Calibri Light" w:hAnsi="Calibri Light" w:cs="Calibri Light"/>
                <w:color w:val="000000" w:themeColor="text1"/>
                <w:sz w:val="16"/>
                <w:szCs w:val="22"/>
              </w:rPr>
              <w:t xml:space="preserve">time to consolidate?… </w:t>
            </w:r>
          </w:p>
          <w:p w14:paraId="26A95E96" w14:textId="77777777" w:rsidR="00FF5485" w:rsidRPr="00CC2058" w:rsidRDefault="00FF5485" w:rsidP="00B439C2">
            <w:pPr>
              <w:spacing w:before="60" w:after="60"/>
              <w:rPr>
                <w:rFonts w:ascii="Calibri Light" w:hAnsi="Calibri Light" w:cs="Calibri Light"/>
                <w:sz w:val="16"/>
                <w:szCs w:val="22"/>
              </w:rPr>
            </w:pPr>
            <w:r>
              <w:rPr>
                <w:rFonts w:ascii="Calibri Light" w:hAnsi="Calibri Light" w:cs="Calibri Light"/>
                <w:color w:val="000000" w:themeColor="text1"/>
                <w:sz w:val="16"/>
                <w:szCs w:val="22"/>
              </w:rPr>
              <w:t>A</w:t>
            </w:r>
            <w:r w:rsidRPr="00731E8E">
              <w:rPr>
                <w:rFonts w:ascii="Calibri Light" w:hAnsi="Calibri Light" w:cs="Calibri Light"/>
                <w:color w:val="000000" w:themeColor="text1"/>
                <w:sz w:val="16"/>
                <w:szCs w:val="22"/>
              </w:rPr>
              <w:t>re we helping to create a permanent space</w:t>
            </w:r>
            <w:r>
              <w:rPr>
                <w:rFonts w:ascii="Calibri Light" w:hAnsi="Calibri Light" w:cs="Calibri Light"/>
                <w:color w:val="000000" w:themeColor="text1"/>
                <w:sz w:val="16"/>
                <w:szCs w:val="22"/>
              </w:rPr>
              <w:t xml:space="preserve"> that DFAT can step out of or are we propping up organisations?</w:t>
            </w:r>
          </w:p>
        </w:tc>
        <w:tc>
          <w:tcPr>
            <w:tcW w:w="4253" w:type="dxa"/>
            <w:tcBorders>
              <w:bottom w:val="single" w:sz="4" w:space="0" w:color="auto"/>
            </w:tcBorders>
          </w:tcPr>
          <w:p w14:paraId="4A9E5CBC" w14:textId="77777777" w:rsidR="00FF5485" w:rsidRDefault="00FF5485" w:rsidP="00B439C2">
            <w:pPr>
              <w:spacing w:before="60" w:after="60"/>
              <w:rPr>
                <w:rFonts w:ascii="Calibri Light" w:hAnsi="Calibri Light" w:cs="Calibri Light"/>
                <w:sz w:val="16"/>
                <w:szCs w:val="22"/>
              </w:rPr>
            </w:pPr>
            <w:r>
              <w:rPr>
                <w:rFonts w:ascii="Calibri Light" w:hAnsi="Calibri Light" w:cs="Calibri Light"/>
                <w:sz w:val="16"/>
                <w:szCs w:val="22"/>
              </w:rPr>
              <w:t>I</w:t>
            </w:r>
            <w:r w:rsidRPr="0059354B">
              <w:rPr>
                <w:rFonts w:ascii="Calibri Light" w:hAnsi="Calibri Light" w:cs="Calibri Light"/>
                <w:sz w:val="16"/>
                <w:szCs w:val="22"/>
              </w:rPr>
              <w:t>n the time available, a comprehensive answer to this question is not feasible</w:t>
            </w:r>
            <w:r>
              <w:rPr>
                <w:rFonts w:ascii="Calibri Light" w:hAnsi="Calibri Light" w:cs="Calibri Light"/>
                <w:sz w:val="16"/>
                <w:szCs w:val="22"/>
              </w:rPr>
              <w:t>.   W</w:t>
            </w:r>
            <w:r w:rsidRPr="00D76E5A">
              <w:rPr>
                <w:rFonts w:ascii="Calibri Light" w:hAnsi="Calibri Light" w:cs="Calibri Light"/>
                <w:sz w:val="16"/>
                <w:szCs w:val="22"/>
              </w:rPr>
              <w:t>e will address this TOR Q by a cross-</w:t>
            </w:r>
            <w:r>
              <w:rPr>
                <w:rFonts w:ascii="Calibri Light" w:hAnsi="Calibri Light" w:cs="Calibri Light"/>
                <w:sz w:val="16"/>
                <w:szCs w:val="22"/>
              </w:rPr>
              <w:t>facility</w:t>
            </w:r>
            <w:r w:rsidRPr="00D76E5A">
              <w:rPr>
                <w:rFonts w:ascii="Calibri Light" w:hAnsi="Calibri Light" w:cs="Calibri Light"/>
                <w:sz w:val="16"/>
                <w:szCs w:val="22"/>
              </w:rPr>
              <w:t xml:space="preserve"> look at the </w:t>
            </w:r>
            <w:r w:rsidRPr="0059354B">
              <w:rPr>
                <w:rFonts w:ascii="Calibri Light" w:hAnsi="Calibri Light" w:cs="Calibri Light"/>
                <w:i/>
                <w:iCs/>
                <w:sz w:val="16"/>
                <w:szCs w:val="22"/>
              </w:rPr>
              <w:t>approach(es)</w:t>
            </w:r>
            <w:r w:rsidRPr="00D76E5A">
              <w:rPr>
                <w:rFonts w:ascii="Calibri Light" w:hAnsi="Calibri Light" w:cs="Calibri Light"/>
                <w:sz w:val="16"/>
                <w:szCs w:val="22"/>
              </w:rPr>
              <w:t xml:space="preserve"> AIPJ2 uses to build capacity in CSOs and GOI partners</w:t>
            </w:r>
            <w:r>
              <w:rPr>
                <w:rFonts w:ascii="Calibri Light" w:hAnsi="Calibri Light" w:cs="Calibri Light"/>
                <w:sz w:val="16"/>
                <w:szCs w:val="22"/>
              </w:rPr>
              <w:t xml:space="preserve">.  </w:t>
            </w:r>
          </w:p>
          <w:p w14:paraId="385873A3" w14:textId="77777777" w:rsidR="00FF5485" w:rsidRPr="00D76E5A" w:rsidRDefault="00FF5485" w:rsidP="00B439C2">
            <w:pPr>
              <w:spacing w:before="60" w:after="60"/>
              <w:rPr>
                <w:rFonts w:ascii="Calibri Light" w:hAnsi="Calibri Light" w:cs="Calibri Light"/>
                <w:sz w:val="16"/>
                <w:szCs w:val="22"/>
              </w:rPr>
            </w:pPr>
            <w:r>
              <w:rPr>
                <w:rFonts w:ascii="Calibri Light" w:hAnsi="Calibri Light" w:cs="Calibri Light"/>
                <w:sz w:val="16"/>
                <w:szCs w:val="22"/>
              </w:rPr>
              <w:t>We expect this will differ across pillars and depending on the type of partner.  We will therefore stratify AIPJ2 partners to reflect differences in AIPJ2’s approach and in the stage of development of different AIPJ2 partners</w:t>
            </w:r>
          </w:p>
        </w:tc>
      </w:tr>
      <w:tr w:rsidR="00FF5485" w14:paraId="5144CFE3" w14:textId="77777777" w:rsidTr="00B439C2">
        <w:trPr>
          <w:trHeight w:val="2254"/>
        </w:trPr>
        <w:tc>
          <w:tcPr>
            <w:tcW w:w="1694" w:type="dxa"/>
            <w:vMerge w:val="restart"/>
          </w:tcPr>
          <w:p w14:paraId="5427472B" w14:textId="77777777" w:rsidR="00FF5485" w:rsidRPr="00D76E5A" w:rsidRDefault="00FF5485" w:rsidP="00B439C2">
            <w:pPr>
              <w:rPr>
                <w:rFonts w:asciiTheme="majorHAnsi" w:hAnsiTheme="majorHAnsi" w:cstheme="majorHAnsi"/>
                <w:b/>
                <w:bCs/>
                <w:sz w:val="16"/>
                <w:szCs w:val="22"/>
                <w:highlight w:val="yellow"/>
              </w:rPr>
            </w:pPr>
            <w:r w:rsidRPr="00D76E5A">
              <w:rPr>
                <w:rFonts w:ascii="Calibri Light" w:eastAsia="Times New Roman" w:hAnsi="Calibri Light" w:cs="Calibri Light"/>
                <w:b/>
                <w:bCs/>
                <w:sz w:val="16"/>
                <w:szCs w:val="22"/>
                <w:lang w:eastAsia="en-AU"/>
              </w:rPr>
              <w:t>4. Is AIPJ2’s modality and budget appropriate to deliver the end-of -facility outcome?</w:t>
            </w:r>
            <w:r w:rsidRPr="00D76E5A">
              <w:rPr>
                <w:rFonts w:asciiTheme="majorHAnsi" w:hAnsiTheme="majorHAnsi" w:cstheme="majorHAnsi"/>
                <w:b/>
                <w:bCs/>
                <w:sz w:val="16"/>
                <w:szCs w:val="22"/>
                <w:highlight w:val="yellow"/>
              </w:rPr>
              <w:t xml:space="preserve"> </w:t>
            </w:r>
          </w:p>
          <w:p w14:paraId="01E21258" w14:textId="77777777" w:rsidR="00FF5485" w:rsidRPr="00D76E5A" w:rsidRDefault="00FF5485" w:rsidP="00B439C2">
            <w:pPr>
              <w:rPr>
                <w:rFonts w:asciiTheme="majorHAnsi" w:hAnsiTheme="majorHAnsi" w:cstheme="majorHAnsi"/>
                <w:b/>
                <w:bCs/>
                <w:sz w:val="16"/>
                <w:szCs w:val="22"/>
              </w:rPr>
            </w:pPr>
          </w:p>
        </w:tc>
        <w:tc>
          <w:tcPr>
            <w:tcW w:w="4544" w:type="dxa"/>
            <w:tcBorders>
              <w:bottom w:val="dotted" w:sz="4" w:space="0" w:color="auto"/>
            </w:tcBorders>
          </w:tcPr>
          <w:p w14:paraId="58E665A7" w14:textId="77777777" w:rsidR="00FF5485" w:rsidRPr="00CC2058" w:rsidRDefault="00FF5485" w:rsidP="00B439C2">
            <w:pPr>
              <w:spacing w:before="60" w:after="60"/>
              <w:rPr>
                <w:rFonts w:ascii="Calibri Light" w:hAnsi="Calibri Light" w:cs="Calibri Light"/>
                <w:sz w:val="16"/>
                <w:szCs w:val="22"/>
              </w:rPr>
            </w:pPr>
            <w:r>
              <w:rPr>
                <w:rFonts w:ascii="Calibri Light" w:hAnsi="Calibri Light" w:cs="Calibri Light"/>
                <w:sz w:val="16"/>
                <w:szCs w:val="22"/>
              </w:rPr>
              <w:t>Should AIPJ2</w:t>
            </w:r>
            <w:r w:rsidRPr="00CC2058">
              <w:rPr>
                <w:rFonts w:ascii="Calibri Light" w:hAnsi="Calibri Light" w:cs="Calibri Light"/>
                <w:sz w:val="16"/>
                <w:szCs w:val="22"/>
              </w:rPr>
              <w:t xml:space="preserve"> keep working McKinnsey style… providing excellent advice as priorities emerge or should </w:t>
            </w:r>
            <w:r>
              <w:rPr>
                <w:rFonts w:ascii="Calibri Light" w:hAnsi="Calibri Light" w:cs="Calibri Light"/>
                <w:sz w:val="16"/>
                <w:szCs w:val="22"/>
              </w:rPr>
              <w:t>it</w:t>
            </w:r>
            <w:r w:rsidRPr="00CC2058">
              <w:rPr>
                <w:rFonts w:ascii="Calibri Light" w:hAnsi="Calibri Light" w:cs="Calibri Light"/>
                <w:sz w:val="16"/>
                <w:szCs w:val="22"/>
              </w:rPr>
              <w:t xml:space="preserve"> focus more</w:t>
            </w:r>
            <w:r>
              <w:rPr>
                <w:rFonts w:ascii="Calibri Light" w:hAnsi="Calibri Light" w:cs="Calibri Light"/>
                <w:sz w:val="16"/>
                <w:szCs w:val="22"/>
              </w:rPr>
              <w:t xml:space="preserve"> now</w:t>
            </w:r>
            <w:r w:rsidRPr="00CC2058">
              <w:rPr>
                <w:rFonts w:ascii="Calibri Light" w:hAnsi="Calibri Light" w:cs="Calibri Light"/>
                <w:sz w:val="16"/>
                <w:szCs w:val="22"/>
              </w:rPr>
              <w:t xml:space="preserve"> on [specific] policy reforms?  </w:t>
            </w:r>
          </w:p>
          <w:p w14:paraId="19D68D8A" w14:textId="77777777" w:rsidR="00FF5485" w:rsidRPr="00CC2058" w:rsidRDefault="00FF5485" w:rsidP="00B439C2">
            <w:pPr>
              <w:spacing w:before="60" w:after="60"/>
              <w:rPr>
                <w:rFonts w:ascii="Calibri Light" w:hAnsi="Calibri Light" w:cs="Calibri Light"/>
                <w:iCs/>
                <w:sz w:val="16"/>
                <w:szCs w:val="22"/>
              </w:rPr>
            </w:pPr>
            <w:r w:rsidRPr="00CC2058">
              <w:rPr>
                <w:rFonts w:ascii="Calibri Light" w:hAnsi="Calibri Light" w:cs="Calibri Light"/>
                <w:sz w:val="16"/>
                <w:szCs w:val="22"/>
              </w:rPr>
              <w:t>Is there sufficient analytical capacity within AIPJ2?…</w:t>
            </w:r>
            <w:r w:rsidRPr="00CC2058">
              <w:rPr>
                <w:rFonts w:ascii="Calibri Light" w:hAnsi="Calibri Light" w:cs="Calibri Light"/>
                <w:iCs/>
                <w:sz w:val="16"/>
                <w:szCs w:val="22"/>
              </w:rPr>
              <w:t>has it been responsive to changing political economy</w:t>
            </w:r>
            <w:r>
              <w:rPr>
                <w:rFonts w:ascii="Calibri Light" w:hAnsi="Calibri Light" w:cs="Calibri Light"/>
                <w:iCs/>
                <w:sz w:val="16"/>
                <w:szCs w:val="22"/>
              </w:rPr>
              <w:t>?</w:t>
            </w:r>
          </w:p>
          <w:p w14:paraId="5700B7C1" w14:textId="77777777" w:rsidR="00FF5485" w:rsidRDefault="00FF5485" w:rsidP="00B439C2">
            <w:pPr>
              <w:spacing w:before="60" w:after="60"/>
              <w:rPr>
                <w:rFonts w:ascii="Calibri Light" w:hAnsi="Calibri Light" w:cs="Calibri Light"/>
                <w:sz w:val="16"/>
                <w:szCs w:val="22"/>
              </w:rPr>
            </w:pPr>
            <w:r w:rsidRPr="00CC2058">
              <w:rPr>
                <w:rFonts w:asciiTheme="majorHAnsi" w:hAnsiTheme="majorHAnsi" w:cstheme="majorHAnsi"/>
                <w:iCs/>
                <w:sz w:val="16"/>
                <w:szCs w:val="22"/>
              </w:rPr>
              <w:t xml:space="preserve">Has DFAT provided their wider political judgement clearly enough to enable </w:t>
            </w:r>
            <w:r>
              <w:rPr>
                <w:rFonts w:asciiTheme="majorHAnsi" w:hAnsiTheme="majorHAnsi" w:cstheme="majorHAnsi"/>
                <w:iCs/>
                <w:sz w:val="16"/>
                <w:szCs w:val="22"/>
              </w:rPr>
              <w:t xml:space="preserve">AIPJ2/the Contractor </w:t>
            </w:r>
            <w:r w:rsidRPr="00CC2058">
              <w:rPr>
                <w:rFonts w:asciiTheme="majorHAnsi" w:hAnsiTheme="majorHAnsi" w:cstheme="majorHAnsi"/>
                <w:iCs/>
                <w:sz w:val="16"/>
                <w:szCs w:val="22"/>
              </w:rPr>
              <w:t xml:space="preserve"> to make effective choices?</w:t>
            </w:r>
            <w:r w:rsidRPr="00CC2058">
              <w:rPr>
                <w:rFonts w:ascii="Calibri Light" w:hAnsi="Calibri Light" w:cs="Calibri Light"/>
                <w:sz w:val="16"/>
                <w:szCs w:val="22"/>
              </w:rPr>
              <w:t xml:space="preserve"> </w:t>
            </w:r>
          </w:p>
          <w:p w14:paraId="51965209" w14:textId="77777777" w:rsidR="00FF5485" w:rsidRPr="00CC2058" w:rsidRDefault="00FF5485" w:rsidP="00B439C2">
            <w:pPr>
              <w:spacing w:before="60" w:after="60"/>
              <w:rPr>
                <w:rFonts w:ascii="Calibri Light" w:hAnsi="Calibri Light" w:cs="Calibri Light"/>
                <w:sz w:val="16"/>
                <w:szCs w:val="22"/>
              </w:rPr>
            </w:pPr>
            <w:r>
              <w:rPr>
                <w:rFonts w:ascii="Calibri Light" w:hAnsi="Calibri Light" w:cs="Calibri Light"/>
                <w:sz w:val="16"/>
                <w:szCs w:val="22"/>
              </w:rPr>
              <w:t>Does</w:t>
            </w:r>
            <w:r w:rsidRPr="00CC2058">
              <w:rPr>
                <w:rFonts w:ascii="Calibri Light" w:hAnsi="Calibri Light" w:cs="Calibri Light"/>
                <w:sz w:val="16"/>
                <w:szCs w:val="22"/>
              </w:rPr>
              <w:t xml:space="preserve"> </w:t>
            </w:r>
            <w:r w:rsidRPr="00D76E5A">
              <w:rPr>
                <w:rFonts w:ascii="Calibri Light" w:hAnsi="Calibri Light" w:cs="Calibri Light"/>
                <w:sz w:val="16"/>
                <w:szCs w:val="22"/>
              </w:rPr>
              <w:t>the split between partners - local CSOs</w:t>
            </w:r>
            <w:r w:rsidRPr="00CC2058">
              <w:rPr>
                <w:rFonts w:ascii="Calibri Light" w:hAnsi="Calibri Light" w:cs="Calibri Light"/>
                <w:sz w:val="16"/>
                <w:szCs w:val="22"/>
              </w:rPr>
              <w:t xml:space="preserve"> or GOA agencies… </w:t>
            </w:r>
            <w:r>
              <w:rPr>
                <w:rFonts w:ascii="Calibri Light" w:hAnsi="Calibri Light" w:cs="Calibri Light"/>
                <w:sz w:val="16"/>
                <w:szCs w:val="22"/>
              </w:rPr>
              <w:t>favour</w:t>
            </w:r>
            <w:r w:rsidRPr="00CC2058">
              <w:rPr>
                <w:rFonts w:ascii="Calibri Light" w:hAnsi="Calibri Light" w:cs="Calibri Light"/>
                <w:sz w:val="16"/>
                <w:szCs w:val="22"/>
              </w:rPr>
              <w:t xml:space="preserve"> the best possible prospects for results.</w:t>
            </w:r>
          </w:p>
        </w:tc>
        <w:tc>
          <w:tcPr>
            <w:tcW w:w="4253" w:type="dxa"/>
            <w:tcBorders>
              <w:bottom w:val="dotted" w:sz="4" w:space="0" w:color="auto"/>
            </w:tcBorders>
          </w:tcPr>
          <w:p w14:paraId="0ED604D4" w14:textId="77777777" w:rsidR="00FF5485" w:rsidRDefault="00FF5485" w:rsidP="00B439C2">
            <w:pPr>
              <w:spacing w:before="60" w:after="60"/>
              <w:rPr>
                <w:rFonts w:ascii="Calibri Light" w:hAnsi="Calibri Light" w:cs="Calibri Light"/>
                <w:sz w:val="16"/>
                <w:szCs w:val="22"/>
              </w:rPr>
            </w:pPr>
            <w:r>
              <w:rPr>
                <w:rFonts w:ascii="Calibri Light" w:hAnsi="Calibri Light" w:cs="Calibri Light"/>
                <w:sz w:val="16"/>
                <w:szCs w:val="22"/>
              </w:rPr>
              <w:t>Forming a view on the appropriateness of AIPJ2’s modality requires an understanding of how the facility model is working in practice.  The MTR will address the question of</w:t>
            </w:r>
            <w:r w:rsidRPr="00D76E5A">
              <w:rPr>
                <w:rFonts w:ascii="Calibri Light" w:hAnsi="Calibri Light" w:cs="Calibri Light"/>
                <w:sz w:val="16"/>
                <w:szCs w:val="22"/>
              </w:rPr>
              <w:t xml:space="preserve"> AIPJ2’s ‘ways of working’</w:t>
            </w:r>
            <w:r>
              <w:rPr>
                <w:rFonts w:ascii="Calibri Light" w:hAnsi="Calibri Light" w:cs="Calibri Light"/>
                <w:sz w:val="16"/>
                <w:szCs w:val="22"/>
              </w:rPr>
              <w:t xml:space="preserve"> with a cross-facility review of practices.  F</w:t>
            </w:r>
            <w:r>
              <w:rPr>
                <w:rFonts w:ascii="Calibri Light" w:hAnsi="Calibri Light" w:cs="Calibri Light"/>
                <w:sz w:val="16"/>
              </w:rPr>
              <w:t>or a sample of areas of work examined, the review will examine</w:t>
            </w:r>
            <w:r>
              <w:rPr>
                <w:rFonts w:ascii="Calibri Light" w:hAnsi="Calibri Light" w:cs="Calibri Light"/>
                <w:sz w:val="16"/>
                <w:szCs w:val="22"/>
              </w:rPr>
              <w:t>:</w:t>
            </w:r>
          </w:p>
          <w:p w14:paraId="4383FF86" w14:textId="77777777" w:rsidR="00FF5485" w:rsidRPr="00C126B6" w:rsidRDefault="00FF5485" w:rsidP="00FF5485">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szCs w:val="22"/>
              </w:rPr>
              <w:t>whether</w:t>
            </w:r>
            <w:r w:rsidRPr="00C126B6">
              <w:rPr>
                <w:rFonts w:ascii="Calibri Light" w:hAnsi="Calibri Light" w:cs="Calibri Light"/>
                <w:sz w:val="16"/>
              </w:rPr>
              <w:t xml:space="preserve"> AIPJ2 ha</w:t>
            </w:r>
            <w:r>
              <w:rPr>
                <w:rFonts w:ascii="Calibri Light" w:hAnsi="Calibri Light" w:cs="Calibri Light"/>
                <w:sz w:val="16"/>
              </w:rPr>
              <w:t>s</w:t>
            </w:r>
            <w:r w:rsidRPr="00C126B6">
              <w:rPr>
                <w:rFonts w:ascii="Calibri Light" w:hAnsi="Calibri Light" w:cs="Calibri Light"/>
                <w:sz w:val="16"/>
              </w:rPr>
              <w:t xml:space="preserve"> a clear strategy that</w:t>
            </w:r>
            <w:r>
              <w:rPr>
                <w:rFonts w:ascii="Calibri Light" w:hAnsi="Calibri Light" w:cs="Calibri Light"/>
                <w:sz w:val="16"/>
              </w:rPr>
              <w:t xml:space="preserve"> i</w:t>
            </w:r>
            <w:r w:rsidRPr="00C126B6">
              <w:rPr>
                <w:rFonts w:ascii="Calibri Light" w:hAnsi="Calibri Light" w:cs="Calibri Light"/>
                <w:sz w:val="16"/>
              </w:rPr>
              <w:t>s well-communicated</w:t>
            </w:r>
            <w:r>
              <w:rPr>
                <w:rFonts w:ascii="Calibri Light" w:hAnsi="Calibri Light" w:cs="Calibri Light"/>
                <w:sz w:val="16"/>
              </w:rPr>
              <w:t>;</w:t>
            </w:r>
          </w:p>
          <w:p w14:paraId="39EE8E99" w14:textId="77777777" w:rsidR="00FF5485" w:rsidRPr="005E1A28" w:rsidRDefault="00FF5485" w:rsidP="00FF5485">
            <w:pPr>
              <w:pStyle w:val="ListParagraph"/>
              <w:numPr>
                <w:ilvl w:val="0"/>
                <w:numId w:val="31"/>
              </w:numPr>
              <w:spacing w:before="60" w:after="60"/>
              <w:ind w:left="317" w:hanging="283"/>
              <w:rPr>
                <w:rFonts w:ascii="Calibri Light" w:hAnsi="Calibri Light" w:cs="Calibri Light"/>
                <w:sz w:val="16"/>
                <w:szCs w:val="22"/>
              </w:rPr>
            </w:pPr>
            <w:r w:rsidRPr="005E1A28">
              <w:rPr>
                <w:rFonts w:ascii="Calibri Light" w:hAnsi="Calibri Light" w:cs="Calibri Light"/>
                <w:sz w:val="16"/>
                <w:szCs w:val="22"/>
              </w:rPr>
              <w:t>how has AIPJ2 identified, appraised and selected the opportunities and requests that it supports;</w:t>
            </w:r>
            <w:r w:rsidRPr="00D76E5A">
              <w:rPr>
                <w:rFonts w:ascii="Calibri Light" w:hAnsi="Calibri Light" w:cs="Calibri Light"/>
                <w:sz w:val="16"/>
                <w:szCs w:val="22"/>
              </w:rPr>
              <w:t xml:space="preserve"> </w:t>
            </w:r>
          </w:p>
          <w:p w14:paraId="0FE15209" w14:textId="77777777" w:rsidR="00FF5485" w:rsidRPr="005E1A28" w:rsidRDefault="00FF5485" w:rsidP="00FF5485">
            <w:pPr>
              <w:pStyle w:val="ListParagraph"/>
              <w:numPr>
                <w:ilvl w:val="0"/>
                <w:numId w:val="31"/>
              </w:numPr>
              <w:spacing w:before="60" w:after="60"/>
              <w:ind w:left="317" w:hanging="283"/>
              <w:rPr>
                <w:rFonts w:ascii="Calibri Light" w:hAnsi="Calibri Light" w:cs="Calibri Light"/>
                <w:sz w:val="16"/>
                <w:szCs w:val="22"/>
              </w:rPr>
            </w:pPr>
            <w:r w:rsidRPr="005E1A28">
              <w:rPr>
                <w:rFonts w:ascii="Calibri Light" w:hAnsi="Calibri Light" w:cs="Calibri Light"/>
                <w:sz w:val="16"/>
                <w:szCs w:val="22"/>
              </w:rPr>
              <w:t>how AIPJ2 selects its partners</w:t>
            </w:r>
          </w:p>
          <w:p w14:paraId="5214DD90" w14:textId="77777777" w:rsidR="00FF5485" w:rsidRPr="005E1A28" w:rsidRDefault="00FF5485" w:rsidP="00FF5485">
            <w:pPr>
              <w:pStyle w:val="ListParagraph"/>
              <w:numPr>
                <w:ilvl w:val="0"/>
                <w:numId w:val="31"/>
              </w:numPr>
              <w:spacing w:before="60" w:after="60"/>
              <w:ind w:left="317" w:hanging="283"/>
              <w:rPr>
                <w:rFonts w:ascii="Calibri Light" w:hAnsi="Calibri Light" w:cs="Calibri Light"/>
                <w:sz w:val="16"/>
                <w:szCs w:val="22"/>
              </w:rPr>
            </w:pPr>
            <w:r w:rsidRPr="005E1A28">
              <w:rPr>
                <w:rFonts w:ascii="Calibri Light" w:hAnsi="Calibri Light" w:cs="Calibri Light"/>
                <w:sz w:val="16"/>
                <w:szCs w:val="22"/>
              </w:rPr>
              <w:t>how responsive vs. targeted is AIPJ2’s approach in practice and how much flexibility remains at the mid-term point?</w:t>
            </w:r>
          </w:p>
          <w:p w14:paraId="0584C34B" w14:textId="77777777" w:rsidR="00FF5485" w:rsidRPr="003F0DA3" w:rsidRDefault="00FF5485" w:rsidP="00FF5485">
            <w:pPr>
              <w:pStyle w:val="ListParagraph"/>
              <w:numPr>
                <w:ilvl w:val="0"/>
                <w:numId w:val="31"/>
              </w:numPr>
              <w:spacing w:before="60" w:after="60"/>
              <w:ind w:left="317" w:hanging="283"/>
              <w:rPr>
                <w:rFonts w:ascii="Calibri Light" w:hAnsi="Calibri Light" w:cs="Calibri Light"/>
                <w:i/>
                <w:iCs/>
                <w:sz w:val="16"/>
              </w:rPr>
            </w:pPr>
            <w:r w:rsidRPr="005E1A28">
              <w:rPr>
                <w:rFonts w:ascii="Calibri Light" w:hAnsi="Calibri Light" w:cs="Calibri Light"/>
                <w:sz w:val="16"/>
                <w:szCs w:val="22"/>
              </w:rPr>
              <w:t>how AIPJ2 monitors changes in the operating context and how</w:t>
            </w:r>
            <w:r>
              <w:rPr>
                <w:rFonts w:ascii="Calibri Light" w:hAnsi="Calibri Light" w:cs="Calibri Light"/>
                <w:sz w:val="16"/>
              </w:rPr>
              <w:t xml:space="preserve"> this informs its approach</w:t>
            </w:r>
          </w:p>
        </w:tc>
      </w:tr>
      <w:tr w:rsidR="00FF5485" w14:paraId="28FD4277" w14:textId="77777777" w:rsidTr="00B439C2">
        <w:trPr>
          <w:trHeight w:val="728"/>
        </w:trPr>
        <w:tc>
          <w:tcPr>
            <w:tcW w:w="1694" w:type="dxa"/>
            <w:vMerge/>
          </w:tcPr>
          <w:p w14:paraId="57E827C8" w14:textId="77777777" w:rsidR="00FF5485" w:rsidRPr="00D76E5A" w:rsidRDefault="00FF5485" w:rsidP="00B439C2">
            <w:pPr>
              <w:spacing w:line="259" w:lineRule="auto"/>
              <w:rPr>
                <w:b/>
                <w:bCs/>
                <w:color w:val="2E74B5" w:themeColor="accent5" w:themeShade="BF"/>
                <w:sz w:val="16"/>
                <w:szCs w:val="22"/>
              </w:rPr>
            </w:pPr>
          </w:p>
        </w:tc>
        <w:tc>
          <w:tcPr>
            <w:tcW w:w="4544" w:type="dxa"/>
            <w:tcBorders>
              <w:top w:val="dotted" w:sz="4" w:space="0" w:color="auto"/>
              <w:bottom w:val="single" w:sz="4" w:space="0" w:color="auto"/>
            </w:tcBorders>
          </w:tcPr>
          <w:p w14:paraId="004B0837" w14:textId="77777777" w:rsidR="00FF5485" w:rsidRPr="00735DAE" w:rsidRDefault="00FF5485" w:rsidP="00B439C2">
            <w:pPr>
              <w:spacing w:before="60" w:after="60"/>
              <w:rPr>
                <w:rFonts w:ascii="Calibri Light" w:hAnsi="Calibri Light" w:cs="Calibri Light"/>
                <w:sz w:val="16"/>
                <w:szCs w:val="22"/>
              </w:rPr>
            </w:pPr>
            <w:r w:rsidRPr="00735DAE">
              <w:rPr>
                <w:rFonts w:ascii="Calibri Light" w:hAnsi="Calibri Light" w:cs="Calibri Light"/>
                <w:sz w:val="16"/>
                <w:szCs w:val="22"/>
              </w:rPr>
              <w:t>Have we got the distribution of funding between pillars right?</w:t>
            </w:r>
          </w:p>
          <w:p w14:paraId="5986D050" w14:textId="77777777" w:rsidR="00FF5485" w:rsidRPr="00735DAE" w:rsidRDefault="00FF5485" w:rsidP="00B439C2">
            <w:pPr>
              <w:spacing w:before="60" w:after="60"/>
              <w:rPr>
                <w:rFonts w:ascii="Calibri Light" w:hAnsi="Calibri Light" w:cs="Calibri Light"/>
                <w:sz w:val="16"/>
                <w:szCs w:val="22"/>
              </w:rPr>
            </w:pPr>
            <w:r w:rsidRPr="00735DAE">
              <w:rPr>
                <w:rFonts w:ascii="Calibri Light" w:hAnsi="Calibri Light" w:cs="Calibri Light"/>
                <w:sz w:val="16"/>
                <w:szCs w:val="22"/>
              </w:rPr>
              <w:t>Budget – is the spread of $$ across pillars appropriate? Are any pillars over/under-funded?</w:t>
            </w:r>
          </w:p>
        </w:tc>
        <w:tc>
          <w:tcPr>
            <w:tcW w:w="4253" w:type="dxa"/>
            <w:tcBorders>
              <w:top w:val="dotted" w:sz="4" w:space="0" w:color="auto"/>
              <w:bottom w:val="single" w:sz="4" w:space="0" w:color="auto"/>
            </w:tcBorders>
          </w:tcPr>
          <w:p w14:paraId="23F27EF5" w14:textId="77777777" w:rsidR="00FF5485" w:rsidRPr="00735DAE" w:rsidRDefault="00FF5485" w:rsidP="00B439C2">
            <w:pPr>
              <w:spacing w:before="60" w:after="60"/>
              <w:rPr>
                <w:rFonts w:ascii="Calibri Light" w:hAnsi="Calibri Light" w:cs="Calibri Light"/>
                <w:sz w:val="16"/>
                <w:szCs w:val="22"/>
              </w:rPr>
            </w:pPr>
            <w:r w:rsidRPr="00735DAE">
              <w:rPr>
                <w:rFonts w:ascii="Calibri Light" w:hAnsi="Calibri Light" w:cs="Calibri Light"/>
                <w:sz w:val="16"/>
                <w:szCs w:val="22"/>
              </w:rPr>
              <w:t>The MTR assumes that AIPJ2’s budget remains largely fixed for the remainder of the phase and so will focus on the relative distribution of resources between its main areas of work</w:t>
            </w:r>
            <w:r>
              <w:rPr>
                <w:rFonts w:ascii="Calibri Light" w:hAnsi="Calibri Light" w:cs="Calibri Light"/>
                <w:sz w:val="16"/>
                <w:szCs w:val="22"/>
              </w:rPr>
              <w:t xml:space="preserve">, </w:t>
            </w:r>
            <w:r w:rsidRPr="00735DAE">
              <w:rPr>
                <w:rFonts w:ascii="Calibri Light" w:hAnsi="Calibri Light" w:cs="Calibri Light"/>
                <w:sz w:val="16"/>
                <w:szCs w:val="22"/>
              </w:rPr>
              <w:t xml:space="preserve">informed by findings in relation to other TOR Q’s </w:t>
            </w:r>
          </w:p>
        </w:tc>
      </w:tr>
      <w:tr w:rsidR="00FF5485" w14:paraId="1214B999" w14:textId="77777777" w:rsidTr="00B439C2">
        <w:trPr>
          <w:trHeight w:val="5802"/>
        </w:trPr>
        <w:tc>
          <w:tcPr>
            <w:tcW w:w="1694" w:type="dxa"/>
          </w:tcPr>
          <w:p w14:paraId="16EB9152" w14:textId="77777777" w:rsidR="00FF5485" w:rsidRPr="00D76E5A" w:rsidRDefault="00FF5485" w:rsidP="00B439C2">
            <w:pPr>
              <w:spacing w:line="259" w:lineRule="auto"/>
              <w:rPr>
                <w:rFonts w:ascii="Calibri Light" w:eastAsia="Times New Roman" w:hAnsi="Calibri Light" w:cs="Calibri Light"/>
                <w:b/>
                <w:bCs/>
                <w:sz w:val="16"/>
                <w:szCs w:val="22"/>
                <w:lang w:eastAsia="en-AU"/>
              </w:rPr>
            </w:pPr>
            <w:r w:rsidRPr="00D76E5A">
              <w:rPr>
                <w:rFonts w:ascii="Calibri Light" w:eastAsia="Times New Roman" w:hAnsi="Calibri Light" w:cs="Calibri Light"/>
                <w:b/>
                <w:bCs/>
                <w:sz w:val="16"/>
                <w:szCs w:val="22"/>
                <w:lang w:eastAsia="en-AU"/>
              </w:rPr>
              <w:t>4a. Is the facility achieving value for money?</w:t>
            </w:r>
          </w:p>
        </w:tc>
        <w:tc>
          <w:tcPr>
            <w:tcW w:w="4544" w:type="dxa"/>
          </w:tcPr>
          <w:p w14:paraId="6632B235" w14:textId="77777777" w:rsidR="00FF5485" w:rsidRDefault="00FF5485" w:rsidP="00B439C2">
            <w:pPr>
              <w:spacing w:before="60" w:after="60"/>
              <w:rPr>
                <w:rFonts w:ascii="Calibri Light" w:hAnsi="Calibri Light" w:cs="Calibri Light"/>
                <w:color w:val="000000" w:themeColor="text1"/>
                <w:sz w:val="16"/>
                <w:szCs w:val="22"/>
              </w:rPr>
            </w:pPr>
            <w:r>
              <w:rPr>
                <w:rFonts w:ascii="Calibri Light" w:hAnsi="Calibri Light" w:cs="Calibri Light"/>
                <w:color w:val="000000" w:themeColor="text1"/>
                <w:sz w:val="16"/>
                <w:szCs w:val="22"/>
              </w:rPr>
              <w:t>I</w:t>
            </w:r>
            <w:r w:rsidRPr="00707159">
              <w:rPr>
                <w:rFonts w:ascii="Calibri Light" w:hAnsi="Calibri Light" w:cs="Calibri Light"/>
                <w:color w:val="000000" w:themeColor="text1"/>
                <w:sz w:val="16"/>
                <w:szCs w:val="22"/>
              </w:rPr>
              <w:t>s AIPJ2</w:t>
            </w:r>
          </w:p>
          <w:p w14:paraId="41EB76AB" w14:textId="77777777" w:rsidR="00FF5485" w:rsidRDefault="00FF5485" w:rsidP="00FF5485">
            <w:pPr>
              <w:pStyle w:val="ListParagraph"/>
              <w:numPr>
                <w:ilvl w:val="0"/>
                <w:numId w:val="35"/>
              </w:numPr>
              <w:spacing w:before="60" w:after="60"/>
              <w:ind w:left="213" w:hanging="142"/>
              <w:rPr>
                <w:rFonts w:ascii="Calibri Light" w:hAnsi="Calibri Light" w:cs="Calibri Light"/>
                <w:color w:val="000000" w:themeColor="text1"/>
                <w:sz w:val="16"/>
              </w:rPr>
            </w:pPr>
            <w:r w:rsidRPr="004A3538">
              <w:rPr>
                <w:rFonts w:ascii="Calibri Light" w:hAnsi="Calibri Light" w:cs="Calibri Light"/>
                <w:color w:val="000000" w:themeColor="text1"/>
                <w:sz w:val="16"/>
              </w:rPr>
              <w:t>prioritising where Australia can add the best value and get the best value for money.</w:t>
            </w:r>
          </w:p>
          <w:p w14:paraId="013448AE" w14:textId="77777777" w:rsidR="00FF5485" w:rsidRDefault="00FF5485" w:rsidP="00FF5485">
            <w:pPr>
              <w:pStyle w:val="ListParagraph"/>
              <w:numPr>
                <w:ilvl w:val="0"/>
                <w:numId w:val="35"/>
              </w:numPr>
              <w:spacing w:before="60" w:after="60"/>
              <w:ind w:left="213" w:hanging="142"/>
              <w:rPr>
                <w:rFonts w:ascii="Calibri Light" w:hAnsi="Calibri Light" w:cs="Calibri Light"/>
                <w:color w:val="000000" w:themeColor="text1"/>
                <w:sz w:val="16"/>
              </w:rPr>
            </w:pPr>
            <w:r w:rsidRPr="004A3538">
              <w:rPr>
                <w:rFonts w:ascii="Calibri Light" w:hAnsi="Calibri Light" w:cs="Calibri Light"/>
                <w:color w:val="000000" w:themeColor="text1"/>
                <w:sz w:val="16"/>
              </w:rPr>
              <w:t>Reducing funding for out-dated or less effective activities, prioritising emerging/newer priorities?</w:t>
            </w:r>
          </w:p>
          <w:p w14:paraId="4DD4E46C" w14:textId="77777777" w:rsidR="00FF5485" w:rsidRPr="004A3538" w:rsidRDefault="00FF5485" w:rsidP="00FF5485">
            <w:pPr>
              <w:pStyle w:val="ListParagraph"/>
              <w:numPr>
                <w:ilvl w:val="0"/>
                <w:numId w:val="35"/>
              </w:numPr>
              <w:spacing w:before="60" w:after="60"/>
              <w:ind w:left="213" w:hanging="142"/>
              <w:rPr>
                <w:rFonts w:ascii="Calibri Light" w:hAnsi="Calibri Light" w:cs="Calibri Light"/>
                <w:color w:val="000000" w:themeColor="text1"/>
                <w:sz w:val="16"/>
              </w:rPr>
            </w:pPr>
            <w:r w:rsidRPr="004A3538">
              <w:rPr>
                <w:rFonts w:ascii="Calibri Light" w:hAnsi="Calibri Light" w:cs="Calibri Light"/>
                <w:color w:val="000000" w:themeColor="text1"/>
                <w:sz w:val="16"/>
              </w:rPr>
              <w:t>Filling the appropriate gaps between other Australian Government programs – esp. Prospera, MCBI, Peduli, MAMPU</w:t>
            </w:r>
          </w:p>
          <w:p w14:paraId="7B4BD953" w14:textId="77777777" w:rsidR="00FF5485" w:rsidRPr="00707159" w:rsidRDefault="00FF5485" w:rsidP="00B439C2">
            <w:pPr>
              <w:spacing w:before="60" w:after="60"/>
              <w:rPr>
                <w:rFonts w:ascii="Calibri Light" w:hAnsi="Calibri Light" w:cs="Calibri Light"/>
                <w:color w:val="000000" w:themeColor="text1"/>
                <w:sz w:val="16"/>
                <w:szCs w:val="22"/>
              </w:rPr>
            </w:pPr>
            <w:r>
              <w:rPr>
                <w:rFonts w:ascii="Calibri Light" w:hAnsi="Calibri Light" w:cs="Calibri Light"/>
                <w:color w:val="000000" w:themeColor="text1"/>
                <w:sz w:val="16"/>
                <w:szCs w:val="22"/>
              </w:rPr>
              <w:t xml:space="preserve">DFAT has </w:t>
            </w:r>
            <w:r w:rsidRPr="00707159">
              <w:rPr>
                <w:rFonts w:ascii="Calibri Light" w:hAnsi="Calibri Light" w:cs="Calibri Light"/>
                <w:color w:val="000000" w:themeColor="text1"/>
                <w:sz w:val="16"/>
                <w:szCs w:val="22"/>
              </w:rPr>
              <w:t xml:space="preserve">dedicated </w:t>
            </w:r>
            <w:r>
              <w:rPr>
                <w:rFonts w:ascii="Calibri Light" w:hAnsi="Calibri Light" w:cs="Calibri Light"/>
                <w:color w:val="000000" w:themeColor="text1"/>
                <w:sz w:val="16"/>
                <w:szCs w:val="22"/>
              </w:rPr>
              <w:t>civil society</w:t>
            </w:r>
            <w:r w:rsidRPr="00707159">
              <w:rPr>
                <w:rFonts w:ascii="Calibri Light" w:hAnsi="Calibri Light" w:cs="Calibri Light"/>
                <w:color w:val="000000" w:themeColor="text1"/>
                <w:sz w:val="16"/>
                <w:szCs w:val="22"/>
              </w:rPr>
              <w:t xml:space="preserve"> and </w:t>
            </w:r>
            <w:r>
              <w:rPr>
                <w:rFonts w:ascii="Calibri Light" w:hAnsi="Calibri Light" w:cs="Calibri Light"/>
                <w:color w:val="000000" w:themeColor="text1"/>
                <w:sz w:val="16"/>
                <w:szCs w:val="22"/>
              </w:rPr>
              <w:t>g</w:t>
            </w:r>
            <w:r w:rsidRPr="00707159">
              <w:rPr>
                <w:rFonts w:ascii="Calibri Light" w:hAnsi="Calibri Light" w:cs="Calibri Light"/>
                <w:color w:val="000000" w:themeColor="text1"/>
                <w:sz w:val="16"/>
                <w:szCs w:val="22"/>
              </w:rPr>
              <w:t xml:space="preserve">ender programs.. is AIPJ the best place for these areas as well as..  ? </w:t>
            </w:r>
          </w:p>
          <w:p w14:paraId="27DD4582" w14:textId="77777777" w:rsidR="00FF5485" w:rsidRPr="00BF294C" w:rsidRDefault="00FF5485" w:rsidP="00FF5485">
            <w:pPr>
              <w:pStyle w:val="ListParagraph"/>
              <w:numPr>
                <w:ilvl w:val="0"/>
                <w:numId w:val="35"/>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P3: CVE Are CSOs genuinely working on CVE activities, or democratic resilience or pluralism/tolerance more broadly? Should support for these CSOs be shifted to another program (e.g. Peduli?)</w:t>
            </w:r>
          </w:p>
          <w:p w14:paraId="6EC0458B" w14:textId="77777777" w:rsidR="00FF5485" w:rsidRPr="00C32048" w:rsidRDefault="00FF5485" w:rsidP="00B439C2">
            <w:pPr>
              <w:spacing w:before="60" w:after="60"/>
              <w:rPr>
                <w:rFonts w:ascii="Calibri Light" w:hAnsi="Calibri Light" w:cs="Calibri Light"/>
                <w:color w:val="000000" w:themeColor="text1"/>
                <w:sz w:val="16"/>
                <w:szCs w:val="22"/>
              </w:rPr>
            </w:pPr>
            <w:r w:rsidRPr="00C32048">
              <w:rPr>
                <w:rFonts w:ascii="Calibri Light" w:hAnsi="Calibri Light" w:cs="Calibri Light"/>
                <w:color w:val="000000" w:themeColor="text1"/>
                <w:sz w:val="16"/>
                <w:szCs w:val="22"/>
              </w:rPr>
              <w:t xml:space="preserve">Donor mapping – do we have an adequate understanding of what other donors are doing in the law, justice and security capacity building space, now? </w:t>
            </w:r>
          </w:p>
          <w:p w14:paraId="6138E3F9" w14:textId="77777777" w:rsidR="00FF5485" w:rsidRPr="00C32048" w:rsidRDefault="00FF5485" w:rsidP="00B439C2">
            <w:pPr>
              <w:spacing w:before="60" w:after="60"/>
              <w:rPr>
                <w:rFonts w:ascii="Calibri Light" w:hAnsi="Calibri Light" w:cs="Calibri Light"/>
                <w:color w:val="000000" w:themeColor="text1"/>
                <w:sz w:val="16"/>
                <w:szCs w:val="22"/>
              </w:rPr>
            </w:pPr>
            <w:r w:rsidRPr="00C32048">
              <w:rPr>
                <w:rFonts w:ascii="Calibri Light" w:hAnsi="Calibri Light" w:cs="Calibri Light"/>
                <w:color w:val="000000" w:themeColor="text1"/>
                <w:sz w:val="16"/>
                <w:szCs w:val="22"/>
              </w:rPr>
              <w:t xml:space="preserve">Can AIPJ2 link up work across pillars better to tighten our strategic focus and potential end of program impact - </w:t>
            </w:r>
          </w:p>
          <w:p w14:paraId="5E8EB8AC" w14:textId="77777777" w:rsidR="00FF5485" w:rsidRPr="00BF294C" w:rsidRDefault="00FF5485" w:rsidP="00FF5485">
            <w:pPr>
              <w:pStyle w:val="ListParagraph"/>
              <w:numPr>
                <w:ilvl w:val="0"/>
                <w:numId w:val="36"/>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P1 – P4 linkages : e.g. . improv</w:t>
            </w:r>
            <w:r>
              <w:rPr>
                <w:rFonts w:ascii="Calibri Light" w:hAnsi="Calibri Light" w:cs="Calibri Light"/>
                <w:color w:val="000000" w:themeColor="text1"/>
                <w:sz w:val="16"/>
              </w:rPr>
              <w:t>ing</w:t>
            </w:r>
            <w:r w:rsidRPr="00BF294C">
              <w:rPr>
                <w:rFonts w:ascii="Calibri Light" w:hAnsi="Calibri Light" w:cs="Calibri Light"/>
                <w:color w:val="000000" w:themeColor="text1"/>
                <w:sz w:val="16"/>
              </w:rPr>
              <w:t xml:space="preserve"> court processes/capacity and behaviour to reduce prison overcrowding?</w:t>
            </w:r>
          </w:p>
          <w:p w14:paraId="244F89EF" w14:textId="77777777" w:rsidR="00FF5485" w:rsidRPr="00BF294C" w:rsidRDefault="00FF5485" w:rsidP="00FF5485">
            <w:pPr>
              <w:pStyle w:val="ListParagraph"/>
              <w:numPr>
                <w:ilvl w:val="0"/>
                <w:numId w:val="36"/>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P2: Can the program &amp; P2 be more integrated and f</w:t>
            </w:r>
            <w:r>
              <w:rPr>
                <w:rFonts w:ascii="Calibri Light" w:hAnsi="Calibri Light" w:cs="Calibri Light"/>
                <w:color w:val="000000" w:themeColor="text1"/>
                <w:sz w:val="16"/>
              </w:rPr>
              <w:t>oc</w:t>
            </w:r>
            <w:r w:rsidRPr="00BF294C">
              <w:rPr>
                <w:rFonts w:ascii="Calibri Light" w:hAnsi="Calibri Light" w:cs="Calibri Light"/>
                <w:color w:val="000000" w:themeColor="text1"/>
                <w:sz w:val="16"/>
              </w:rPr>
              <w:t xml:space="preserve">us P2 on transnational crime and security activities only. </w:t>
            </w:r>
          </w:p>
          <w:p w14:paraId="1A6B5B6F" w14:textId="77777777" w:rsidR="00FF5485" w:rsidRPr="00BF294C" w:rsidRDefault="00FF5485" w:rsidP="00FF5485">
            <w:pPr>
              <w:pStyle w:val="ListParagraph"/>
              <w:numPr>
                <w:ilvl w:val="0"/>
                <w:numId w:val="36"/>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 xml:space="preserve">P2-P3 linkages: </w:t>
            </w:r>
            <w:r>
              <w:rPr>
                <w:rFonts w:ascii="Calibri Light" w:hAnsi="Calibri Light" w:cs="Calibri Light"/>
                <w:color w:val="000000" w:themeColor="text1"/>
                <w:sz w:val="16"/>
              </w:rPr>
              <w:t>S</w:t>
            </w:r>
            <w:r w:rsidRPr="00BF294C">
              <w:rPr>
                <w:rFonts w:ascii="Calibri Light" w:hAnsi="Calibri Light" w:cs="Calibri Light"/>
                <w:color w:val="000000" w:themeColor="text1"/>
                <w:sz w:val="16"/>
              </w:rPr>
              <w:t>ome P2 activities</w:t>
            </w:r>
            <w:r>
              <w:rPr>
                <w:rFonts w:ascii="Calibri Light" w:hAnsi="Calibri Light" w:cs="Calibri Light"/>
                <w:color w:val="000000" w:themeColor="text1"/>
                <w:sz w:val="16"/>
              </w:rPr>
              <w:t xml:space="preserve"> may</w:t>
            </w:r>
            <w:r w:rsidRPr="00BF294C">
              <w:rPr>
                <w:rFonts w:ascii="Calibri Light" w:hAnsi="Calibri Light" w:cs="Calibri Light"/>
                <w:color w:val="000000" w:themeColor="text1"/>
                <w:sz w:val="16"/>
              </w:rPr>
              <w:t xml:space="preserve"> fit better under P3 </w:t>
            </w:r>
          </w:p>
          <w:p w14:paraId="239F815A" w14:textId="77777777" w:rsidR="00FF5485" w:rsidRPr="00BF294C" w:rsidRDefault="00FF5485" w:rsidP="00FF5485">
            <w:pPr>
              <w:pStyle w:val="ListParagraph"/>
              <w:numPr>
                <w:ilvl w:val="0"/>
                <w:numId w:val="36"/>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 xml:space="preserve">P2-P4 linkages: </w:t>
            </w:r>
            <w:r>
              <w:rPr>
                <w:rFonts w:ascii="Calibri Light" w:hAnsi="Calibri Light" w:cs="Calibri Light"/>
                <w:color w:val="000000" w:themeColor="text1"/>
                <w:sz w:val="16"/>
              </w:rPr>
              <w:t>S</w:t>
            </w:r>
            <w:r w:rsidRPr="00BF294C">
              <w:rPr>
                <w:rFonts w:ascii="Calibri Light" w:hAnsi="Calibri Light" w:cs="Calibri Light"/>
                <w:color w:val="000000" w:themeColor="text1"/>
                <w:sz w:val="16"/>
              </w:rPr>
              <w:t xml:space="preserve">ome P2 activities fit better under P4 </w:t>
            </w:r>
          </w:p>
          <w:p w14:paraId="39320CDF" w14:textId="77777777" w:rsidR="00FF5485" w:rsidRPr="00BF294C" w:rsidRDefault="00FF5485" w:rsidP="00FF5485">
            <w:pPr>
              <w:pStyle w:val="ListParagraph"/>
              <w:numPr>
                <w:ilvl w:val="0"/>
                <w:numId w:val="36"/>
              </w:numPr>
              <w:spacing w:before="60" w:after="60"/>
              <w:ind w:left="213" w:hanging="142"/>
              <w:rPr>
                <w:rFonts w:ascii="Calibri Light" w:hAnsi="Calibri Light" w:cs="Calibri Light"/>
                <w:color w:val="000000" w:themeColor="text1"/>
                <w:sz w:val="16"/>
              </w:rPr>
            </w:pPr>
            <w:r w:rsidRPr="00BF294C">
              <w:rPr>
                <w:rFonts w:ascii="Calibri Light" w:hAnsi="Calibri Light" w:cs="Calibri Light"/>
                <w:color w:val="000000" w:themeColor="text1"/>
                <w:sz w:val="16"/>
              </w:rPr>
              <w:t xml:space="preserve">P4-P3 linkages: </w:t>
            </w:r>
            <w:r>
              <w:rPr>
                <w:rFonts w:ascii="Calibri Light" w:hAnsi="Calibri Light" w:cs="Calibri Light"/>
                <w:color w:val="000000" w:themeColor="text1"/>
                <w:sz w:val="16"/>
              </w:rPr>
              <w:t>links between p</w:t>
            </w:r>
            <w:r w:rsidRPr="00BF294C">
              <w:rPr>
                <w:rFonts w:ascii="Calibri Light" w:hAnsi="Calibri Light" w:cs="Calibri Light"/>
                <w:color w:val="000000" w:themeColor="text1"/>
                <w:sz w:val="16"/>
              </w:rPr>
              <w:t xml:space="preserve">rison overcrowding, strengthening parole/remissions processes </w:t>
            </w:r>
            <w:r>
              <w:rPr>
                <w:rFonts w:ascii="Calibri Light" w:hAnsi="Calibri Light" w:cs="Calibri Light"/>
                <w:color w:val="000000" w:themeColor="text1"/>
                <w:sz w:val="16"/>
              </w:rPr>
              <w:t>to CVE?</w:t>
            </w:r>
          </w:p>
        </w:tc>
        <w:tc>
          <w:tcPr>
            <w:tcW w:w="4253" w:type="dxa"/>
          </w:tcPr>
          <w:p w14:paraId="5024A32C" w14:textId="77777777" w:rsidR="00FF5485" w:rsidRPr="00D76E5A" w:rsidRDefault="00FF5485" w:rsidP="00B439C2">
            <w:pPr>
              <w:spacing w:before="60" w:after="60"/>
              <w:rPr>
                <w:rFonts w:ascii="Calibri Light" w:hAnsi="Calibri Light" w:cs="Calibri Light"/>
                <w:sz w:val="16"/>
                <w:szCs w:val="22"/>
              </w:rPr>
            </w:pPr>
            <w:r>
              <w:rPr>
                <w:rFonts w:ascii="Calibri Light" w:hAnsi="Calibri Light" w:cs="Calibri Light"/>
                <w:sz w:val="16"/>
                <w:szCs w:val="22"/>
              </w:rPr>
              <w:t xml:space="preserve">The MTR will not provide a </w:t>
            </w:r>
            <w:r w:rsidRPr="00D76E5A">
              <w:rPr>
                <w:rFonts w:ascii="Calibri Light" w:hAnsi="Calibri Light" w:cs="Calibri Light"/>
                <w:sz w:val="16"/>
                <w:szCs w:val="22"/>
              </w:rPr>
              <w:t xml:space="preserve">definitive conclusion on VFM (or whether AIPJ2 priorities offer the best VFM).  </w:t>
            </w:r>
          </w:p>
          <w:p w14:paraId="2894B8DC" w14:textId="77777777" w:rsidR="00FF5485" w:rsidRDefault="00FF5485" w:rsidP="00B439C2">
            <w:pPr>
              <w:spacing w:before="60" w:after="60"/>
              <w:rPr>
                <w:rFonts w:ascii="Calibri Light" w:hAnsi="Calibri Light" w:cs="Calibri Light"/>
                <w:sz w:val="16"/>
                <w:szCs w:val="22"/>
              </w:rPr>
            </w:pPr>
            <w:r w:rsidRPr="00D76E5A">
              <w:rPr>
                <w:rFonts w:ascii="Calibri Light" w:hAnsi="Calibri Light" w:cs="Calibri Light"/>
                <w:sz w:val="16"/>
                <w:szCs w:val="22"/>
              </w:rPr>
              <w:t>However,</w:t>
            </w:r>
            <w:r>
              <w:rPr>
                <w:rFonts w:ascii="Calibri Light" w:hAnsi="Calibri Light" w:cs="Calibri Light"/>
                <w:sz w:val="16"/>
                <w:szCs w:val="22"/>
              </w:rPr>
              <w:t xml:space="preserve"> the MTR will provide insights based on investigating the question from a number of perspectives:</w:t>
            </w:r>
          </w:p>
          <w:p w14:paraId="6C849CA5" w14:textId="77777777" w:rsidR="00FF5485" w:rsidRDefault="00FF5485" w:rsidP="00FF5485">
            <w:pPr>
              <w:pStyle w:val="ListParagraph"/>
              <w:numPr>
                <w:ilvl w:val="0"/>
                <w:numId w:val="31"/>
              </w:numPr>
              <w:spacing w:before="60" w:after="60"/>
              <w:ind w:left="317" w:hanging="283"/>
              <w:rPr>
                <w:rFonts w:ascii="Calibri Light" w:hAnsi="Calibri Light" w:cs="Calibri Light"/>
                <w:sz w:val="16"/>
              </w:rPr>
            </w:pPr>
            <w:r w:rsidRPr="00F31D8D">
              <w:rPr>
                <w:rFonts w:ascii="Calibri Light" w:hAnsi="Calibri Light" w:cs="Calibri Light"/>
                <w:sz w:val="16"/>
              </w:rPr>
              <w:t xml:space="preserve">in discussion with stakeholders and DFAT in particular, examine perceptions about the ‘value’ generated by different aspects of AIPJ2’s work, </w:t>
            </w:r>
          </w:p>
          <w:p w14:paraId="367A6625" w14:textId="77777777" w:rsidR="00FF5485" w:rsidRDefault="00FF5485" w:rsidP="00FF5485">
            <w:pPr>
              <w:pStyle w:val="ListParagraph"/>
              <w:numPr>
                <w:ilvl w:val="0"/>
                <w:numId w:val="31"/>
              </w:numPr>
              <w:spacing w:before="60" w:after="60"/>
              <w:ind w:left="317" w:hanging="283"/>
              <w:rPr>
                <w:rFonts w:ascii="Calibri Light" w:hAnsi="Calibri Light" w:cs="Calibri Light"/>
                <w:sz w:val="16"/>
              </w:rPr>
            </w:pPr>
            <w:r w:rsidRPr="00F31D8D">
              <w:rPr>
                <w:rFonts w:ascii="Calibri Light" w:hAnsi="Calibri Light" w:cs="Calibri Light"/>
                <w:sz w:val="16"/>
              </w:rPr>
              <w:t xml:space="preserve">the main VFM risks facing AIPJ2, including the risk of ‘non-achievement’ and DFAT’s risk appetite with respect to these.  </w:t>
            </w:r>
          </w:p>
          <w:p w14:paraId="10AD6B31" w14:textId="77777777" w:rsidR="00FF5485" w:rsidRDefault="00FF5485" w:rsidP="00FF5485">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the extent to which VFM considerations informed AIPJ2 selection of options for support</w:t>
            </w:r>
          </w:p>
          <w:p w14:paraId="67F5F0CB" w14:textId="77777777" w:rsidR="00FF5485" w:rsidRDefault="00FF5485" w:rsidP="00FF5485">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 xml:space="preserve">the extent to which key VFM drivers are being addressed:  </w:t>
            </w:r>
          </w:p>
          <w:p w14:paraId="61238C36" w14:textId="77777777" w:rsidR="00FF5485" w:rsidRPr="008A79B0" w:rsidRDefault="00FF5485" w:rsidP="00FF5485">
            <w:pPr>
              <w:pStyle w:val="ListParagraph"/>
              <w:numPr>
                <w:ilvl w:val="1"/>
                <w:numId w:val="31"/>
              </w:numPr>
              <w:spacing w:before="60" w:after="60"/>
              <w:ind w:left="459" w:hanging="142"/>
              <w:rPr>
                <w:rFonts w:ascii="Calibri Light" w:hAnsi="Calibri Light" w:cs="Calibri Light"/>
                <w:sz w:val="16"/>
              </w:rPr>
            </w:pPr>
            <w:r w:rsidRPr="008A79B0">
              <w:rPr>
                <w:rFonts w:ascii="Calibri Light" w:hAnsi="Calibri Light" w:cs="Calibri Light"/>
                <w:sz w:val="16"/>
              </w:rPr>
              <w:t>potential linkages/synergies within AIPJ2</w:t>
            </w:r>
            <w:r>
              <w:rPr>
                <w:rFonts w:ascii="Calibri Light" w:hAnsi="Calibri Light" w:cs="Calibri Light"/>
                <w:sz w:val="16"/>
              </w:rPr>
              <w:t>;</w:t>
            </w:r>
          </w:p>
          <w:p w14:paraId="2BC6E61C" w14:textId="77777777" w:rsidR="00FF5485" w:rsidRDefault="00FF5485" w:rsidP="00FF5485">
            <w:pPr>
              <w:pStyle w:val="ListParagraph"/>
              <w:numPr>
                <w:ilvl w:val="1"/>
                <w:numId w:val="31"/>
              </w:numPr>
              <w:spacing w:before="60" w:after="60"/>
              <w:ind w:left="459" w:hanging="142"/>
              <w:rPr>
                <w:rFonts w:ascii="Calibri Light" w:hAnsi="Calibri Light" w:cs="Calibri Light"/>
                <w:sz w:val="16"/>
              </w:rPr>
            </w:pPr>
            <w:r>
              <w:rPr>
                <w:rFonts w:ascii="Calibri Light" w:hAnsi="Calibri Light" w:cs="Calibri Light"/>
                <w:sz w:val="16"/>
              </w:rPr>
              <w:t>coordination and cooperation with other DFAT programs;</w:t>
            </w:r>
          </w:p>
          <w:p w14:paraId="087688A2" w14:textId="77777777" w:rsidR="00FF5485" w:rsidRDefault="00FF5485" w:rsidP="00FF5485">
            <w:pPr>
              <w:pStyle w:val="ListParagraph"/>
              <w:numPr>
                <w:ilvl w:val="1"/>
                <w:numId w:val="31"/>
              </w:numPr>
              <w:spacing w:before="60" w:after="60"/>
              <w:ind w:left="459" w:hanging="142"/>
              <w:rPr>
                <w:rFonts w:ascii="Calibri Light" w:hAnsi="Calibri Light" w:cs="Calibri Light"/>
                <w:sz w:val="16"/>
              </w:rPr>
            </w:pPr>
            <w:r>
              <w:rPr>
                <w:rFonts w:ascii="Calibri Light" w:hAnsi="Calibri Light" w:cs="Calibri Light"/>
                <w:sz w:val="16"/>
              </w:rPr>
              <w:t>coordination and cooperation with other donors’ relevant programs.</w:t>
            </w:r>
          </w:p>
          <w:p w14:paraId="466454C4" w14:textId="77777777" w:rsidR="00FF5485" w:rsidRPr="007C4E17" w:rsidRDefault="00FF5485" w:rsidP="00FF5485">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Depending on available information, it may be possible to compare relative costs of different areas of AIPJ2 work with GOI budget allocations to inform reflections on ‘returns on investment’</w:t>
            </w:r>
          </w:p>
        </w:tc>
      </w:tr>
      <w:tr w:rsidR="00FF5485" w14:paraId="782887BD" w14:textId="77777777" w:rsidTr="00B439C2">
        <w:tc>
          <w:tcPr>
            <w:tcW w:w="1694" w:type="dxa"/>
          </w:tcPr>
          <w:p w14:paraId="4020E69E" w14:textId="77777777" w:rsidR="00FF5485" w:rsidRPr="00D76E5A" w:rsidRDefault="00FF5485" w:rsidP="00B439C2">
            <w:pPr>
              <w:rPr>
                <w:rFonts w:ascii="Calibri Light" w:eastAsia="Times New Roman" w:hAnsi="Calibri Light" w:cs="Calibri Light"/>
                <w:b/>
                <w:bCs/>
                <w:sz w:val="16"/>
                <w:lang w:eastAsia="en-AU"/>
              </w:rPr>
            </w:pPr>
            <w:r w:rsidRPr="00D76E5A">
              <w:rPr>
                <w:rFonts w:ascii="Calibri Light" w:eastAsia="Times New Roman" w:hAnsi="Calibri Light" w:cs="Calibri Light"/>
                <w:b/>
                <w:bCs/>
                <w:sz w:val="16"/>
                <w:szCs w:val="22"/>
                <w:lang w:eastAsia="en-AU"/>
              </w:rPr>
              <w:t>5. Is the facility well equipped to deal with changes in Australian and/or Indonesian government policy?</w:t>
            </w:r>
          </w:p>
        </w:tc>
        <w:tc>
          <w:tcPr>
            <w:tcW w:w="4544" w:type="dxa"/>
          </w:tcPr>
          <w:p w14:paraId="493C128A" w14:textId="77777777" w:rsidR="00FF5485" w:rsidRPr="00886D04" w:rsidRDefault="00FF5485" w:rsidP="00B439C2">
            <w:pPr>
              <w:spacing w:before="60" w:after="60"/>
              <w:rPr>
                <w:rFonts w:ascii="Calibri Light" w:hAnsi="Calibri Light" w:cs="Calibri Light"/>
                <w:sz w:val="16"/>
                <w:szCs w:val="22"/>
              </w:rPr>
            </w:pPr>
            <w:r w:rsidRPr="00111D0B">
              <w:rPr>
                <w:rFonts w:ascii="Calibri Light" w:hAnsi="Calibri Light" w:cs="Calibri Light"/>
                <w:sz w:val="16"/>
                <w:szCs w:val="22"/>
              </w:rPr>
              <w:t xml:space="preserve">Is AIPJ2 optimally aligned with GOI and GOA priorities? … has it been </w:t>
            </w:r>
            <w:r w:rsidRPr="00886D04">
              <w:rPr>
                <w:rFonts w:ascii="Calibri Light" w:hAnsi="Calibri Light" w:cs="Calibri Light"/>
                <w:sz w:val="16"/>
                <w:szCs w:val="22"/>
              </w:rPr>
              <w:t>responsive to … emerging needs from both GOA and GOI</w:t>
            </w:r>
          </w:p>
          <w:p w14:paraId="20A01B7D" w14:textId="77777777" w:rsidR="00FF5485" w:rsidRPr="00886D04" w:rsidRDefault="00FF5485" w:rsidP="00B439C2">
            <w:pPr>
              <w:spacing w:before="60" w:after="60"/>
              <w:rPr>
                <w:rFonts w:ascii="Calibri Light" w:hAnsi="Calibri Light" w:cs="Calibri Light"/>
                <w:sz w:val="16"/>
              </w:rPr>
            </w:pPr>
            <w:r w:rsidRPr="00886D04">
              <w:rPr>
                <w:rFonts w:ascii="Calibri Light" w:hAnsi="Calibri Light" w:cs="Calibri Light"/>
                <w:sz w:val="16"/>
                <w:szCs w:val="22"/>
              </w:rPr>
              <w:t>Are there partners we should or shouldn’t be working with?</w:t>
            </w:r>
          </w:p>
          <w:p w14:paraId="394B5EB5" w14:textId="77777777" w:rsidR="00FF5485" w:rsidRPr="00886D04" w:rsidRDefault="00FF5485" w:rsidP="00B439C2">
            <w:pPr>
              <w:spacing w:before="60" w:after="60"/>
              <w:rPr>
                <w:rFonts w:ascii="Calibri Light" w:hAnsi="Calibri Light" w:cs="Calibri Light"/>
                <w:sz w:val="16"/>
                <w:szCs w:val="22"/>
              </w:rPr>
            </w:pPr>
            <w:r w:rsidRPr="00886D04">
              <w:rPr>
                <w:rFonts w:ascii="Calibri Light" w:hAnsi="Calibri Light" w:cs="Calibri Light"/>
                <w:sz w:val="16"/>
                <w:szCs w:val="22"/>
              </w:rPr>
              <w:t xml:space="preserve">P1: Could P1 increase alignment to GOI and GOA priorities…eg. Economic p/ship (and focus on commercial courts)…  </w:t>
            </w:r>
          </w:p>
          <w:p w14:paraId="1B7D067F" w14:textId="77777777" w:rsidR="00FF5485" w:rsidRPr="00886D04" w:rsidRDefault="00FF5485" w:rsidP="00B439C2">
            <w:pPr>
              <w:spacing w:before="60" w:after="60"/>
              <w:rPr>
                <w:rFonts w:ascii="Calibri Light" w:hAnsi="Calibri Light" w:cs="Calibri Light"/>
                <w:sz w:val="16"/>
                <w:szCs w:val="22"/>
              </w:rPr>
            </w:pPr>
            <w:r w:rsidRPr="00886D04">
              <w:rPr>
                <w:rFonts w:ascii="Calibri Light" w:hAnsi="Calibri Light" w:cs="Calibri Light"/>
                <w:sz w:val="16"/>
                <w:szCs w:val="22"/>
              </w:rPr>
              <w:t>Court reform has been a long-term, big investment… is it the time now to withdraw or is there rationale to continue….?</w:t>
            </w:r>
          </w:p>
          <w:p w14:paraId="266EE737" w14:textId="77777777" w:rsidR="00FF5485" w:rsidRPr="00886D04" w:rsidRDefault="00FF5485" w:rsidP="00B439C2">
            <w:pPr>
              <w:spacing w:before="60" w:after="60"/>
              <w:rPr>
                <w:rFonts w:ascii="Calibri Light" w:hAnsi="Calibri Light" w:cs="Calibri Light"/>
                <w:sz w:val="16"/>
                <w:szCs w:val="22"/>
              </w:rPr>
            </w:pPr>
            <w:r w:rsidRPr="00886D04">
              <w:rPr>
                <w:rFonts w:ascii="Calibri Light" w:hAnsi="Calibri Light" w:cs="Calibri Light"/>
                <w:sz w:val="16"/>
                <w:szCs w:val="22"/>
              </w:rPr>
              <w:t xml:space="preserve">Anti-corruption – policy reform and GOI strategy.. Are there other priority areas under Stranas PK that Australia could support? particularly now SPAK [maturing] and GOI is looking for support   </w:t>
            </w:r>
          </w:p>
          <w:p w14:paraId="07A901D9" w14:textId="77777777" w:rsidR="00FF5485" w:rsidRPr="00886D04" w:rsidRDefault="00FF5485" w:rsidP="00B439C2">
            <w:pPr>
              <w:spacing w:before="60" w:after="60"/>
              <w:rPr>
                <w:rFonts w:ascii="Calibri Light" w:hAnsi="Calibri Light" w:cs="Calibri Light"/>
                <w:sz w:val="16"/>
              </w:rPr>
            </w:pPr>
            <w:r w:rsidRPr="00886D04">
              <w:rPr>
                <w:rFonts w:ascii="Calibri Light" w:hAnsi="Calibri Light" w:cs="Calibri Light"/>
                <w:sz w:val="16"/>
                <w:szCs w:val="22"/>
              </w:rPr>
              <w:t>Have we got the balance right in supporting CSOs vs. GOI bodies/courts?</w:t>
            </w:r>
          </w:p>
          <w:p w14:paraId="79B8A5A4" w14:textId="77777777" w:rsidR="00FF5485" w:rsidRPr="00886D04" w:rsidRDefault="00FF5485" w:rsidP="00B439C2">
            <w:pPr>
              <w:spacing w:before="60" w:after="60"/>
              <w:rPr>
                <w:rFonts w:ascii="Calibri Light" w:hAnsi="Calibri Light" w:cs="Calibri Light"/>
                <w:sz w:val="16"/>
                <w:szCs w:val="22"/>
              </w:rPr>
            </w:pPr>
            <w:r w:rsidRPr="00886D04">
              <w:rPr>
                <w:rFonts w:ascii="Calibri Light" w:hAnsi="Calibri Light" w:cs="Calibri Light"/>
                <w:sz w:val="16"/>
                <w:szCs w:val="22"/>
              </w:rPr>
              <w:t xml:space="preserve">P3:  Are CSOs connected to government and contributing to GOI CVE priorities? </w:t>
            </w:r>
            <w:r>
              <w:rPr>
                <w:rFonts w:ascii="Calibri Light" w:hAnsi="Calibri Light" w:cs="Calibri Light"/>
                <w:sz w:val="16"/>
                <w:szCs w:val="22"/>
              </w:rPr>
              <w:t xml:space="preserve"> </w:t>
            </w:r>
            <w:r w:rsidRPr="00886D04">
              <w:rPr>
                <w:rFonts w:ascii="Calibri Light" w:hAnsi="Calibri Light" w:cs="Calibri Light"/>
                <w:sz w:val="16"/>
                <w:szCs w:val="22"/>
              </w:rPr>
              <w:t>Have we spread ourselves too thinly across 8 CSOs? Is the budget appropriate, or should we reduce the number of CSOs we fund/increase $ to fewer CSOs etc?</w:t>
            </w:r>
          </w:p>
          <w:p w14:paraId="3BB76D2E" w14:textId="77777777" w:rsidR="00FF5485" w:rsidRPr="00CC2058" w:rsidRDefault="00FF5485" w:rsidP="00B439C2">
            <w:pPr>
              <w:spacing w:before="60" w:after="60"/>
              <w:rPr>
                <w:sz w:val="16"/>
              </w:rPr>
            </w:pPr>
            <w:r w:rsidRPr="00886D04">
              <w:rPr>
                <w:rFonts w:ascii="Calibri Light" w:hAnsi="Calibri Light" w:cs="Calibri Light"/>
                <w:sz w:val="16"/>
                <w:szCs w:val="22"/>
              </w:rPr>
              <w:t>P4: Prisons…. is there anything that could/should be revitalised?</w:t>
            </w:r>
          </w:p>
        </w:tc>
        <w:tc>
          <w:tcPr>
            <w:tcW w:w="4253" w:type="dxa"/>
          </w:tcPr>
          <w:p w14:paraId="06E44712" w14:textId="77777777" w:rsidR="00FF5485" w:rsidRDefault="00FF5485" w:rsidP="00B439C2">
            <w:pPr>
              <w:spacing w:before="60" w:after="60"/>
              <w:rPr>
                <w:rFonts w:ascii="Calibri Light" w:hAnsi="Calibri Light" w:cs="Calibri Light"/>
                <w:sz w:val="16"/>
                <w:szCs w:val="22"/>
              </w:rPr>
            </w:pPr>
            <w:r>
              <w:rPr>
                <w:rFonts w:ascii="Calibri Light" w:hAnsi="Calibri Light" w:cs="Calibri Light"/>
                <w:sz w:val="16"/>
                <w:szCs w:val="22"/>
              </w:rPr>
              <w:t xml:space="preserve">The MTR will use this question to look forward at </w:t>
            </w:r>
            <w:r w:rsidRPr="000C38DB">
              <w:rPr>
                <w:rFonts w:ascii="Calibri Light" w:hAnsi="Calibri Light" w:cs="Calibri Light"/>
                <w:sz w:val="16"/>
                <w:szCs w:val="22"/>
              </w:rPr>
              <w:t>what – if anything – might be done differently in the remainder of Phase 2</w:t>
            </w:r>
            <w:r>
              <w:rPr>
                <w:rFonts w:ascii="Calibri Light" w:hAnsi="Calibri Light" w:cs="Calibri Light"/>
                <w:sz w:val="16"/>
                <w:szCs w:val="22"/>
              </w:rPr>
              <w:t xml:space="preserve">.  </w:t>
            </w:r>
          </w:p>
          <w:p w14:paraId="7E872A58" w14:textId="77777777" w:rsidR="00FF5485" w:rsidRDefault="00FF5485" w:rsidP="00B439C2">
            <w:pPr>
              <w:spacing w:before="60" w:after="60"/>
              <w:rPr>
                <w:rFonts w:ascii="Calibri Light" w:hAnsi="Calibri Light" w:cs="Calibri Light"/>
                <w:sz w:val="16"/>
                <w:szCs w:val="22"/>
              </w:rPr>
            </w:pPr>
            <w:r>
              <w:rPr>
                <w:rFonts w:ascii="Calibri Light" w:hAnsi="Calibri Light" w:cs="Calibri Light"/>
                <w:sz w:val="16"/>
                <w:szCs w:val="22"/>
              </w:rPr>
              <w:t xml:space="preserve">It will consider </w:t>
            </w:r>
          </w:p>
          <w:p w14:paraId="227063A3" w14:textId="77777777" w:rsidR="00FF5485" w:rsidRDefault="00FF5485" w:rsidP="00FF5485">
            <w:pPr>
              <w:pStyle w:val="ListParagraph"/>
              <w:numPr>
                <w:ilvl w:val="0"/>
                <w:numId w:val="31"/>
              </w:numPr>
              <w:spacing w:before="60" w:after="60"/>
              <w:ind w:left="317" w:hanging="283"/>
              <w:rPr>
                <w:rFonts w:ascii="Calibri Light" w:hAnsi="Calibri Light" w:cs="Calibri Light"/>
                <w:sz w:val="16"/>
              </w:rPr>
            </w:pPr>
            <w:r w:rsidRPr="00F903DB">
              <w:rPr>
                <w:rFonts w:ascii="Calibri Light" w:hAnsi="Calibri Light" w:cs="Calibri Light"/>
                <w:sz w:val="16"/>
              </w:rPr>
              <w:t>the alignment of AIPJ2’s forward program with the (latest) objectives of both GOA and GOI as well as those of other key actors (including donors) operating the same work areas</w:t>
            </w:r>
          </w:p>
          <w:p w14:paraId="4CAB2CD2" w14:textId="77777777" w:rsidR="00FF5485" w:rsidRPr="00603802" w:rsidRDefault="00FF5485" w:rsidP="00FF5485">
            <w:pPr>
              <w:pStyle w:val="ListParagraph"/>
              <w:numPr>
                <w:ilvl w:val="0"/>
                <w:numId w:val="31"/>
              </w:numPr>
              <w:spacing w:before="60" w:after="60"/>
              <w:ind w:left="317" w:hanging="283"/>
              <w:rPr>
                <w:rFonts w:ascii="Calibri Light" w:hAnsi="Calibri Light" w:cs="Calibri Light"/>
                <w:sz w:val="16"/>
              </w:rPr>
            </w:pPr>
            <w:r>
              <w:rPr>
                <w:rFonts w:ascii="Calibri Light" w:hAnsi="Calibri Light" w:cs="Calibri Light"/>
                <w:sz w:val="16"/>
              </w:rPr>
              <w:t>t</w:t>
            </w:r>
            <w:r w:rsidRPr="00F903DB">
              <w:rPr>
                <w:rFonts w:ascii="Calibri Light" w:hAnsi="Calibri Light" w:cs="Calibri Light"/>
                <w:sz w:val="16"/>
              </w:rPr>
              <w:t>he need for any rebalancing of AIPJ2’s strategy, specifically in terms of choices regarding</w:t>
            </w:r>
            <w:r>
              <w:rPr>
                <w:rFonts w:ascii="Calibri Light" w:hAnsi="Calibri Light" w:cs="Calibri Light"/>
                <w:sz w:val="16"/>
              </w:rPr>
              <w:t xml:space="preserve"> DFAT’s questions </w:t>
            </w:r>
            <w:r w:rsidRPr="00603802">
              <w:rPr>
                <w:rFonts w:ascii="Calibri Light" w:hAnsi="Calibri Light" w:cs="Calibri Light"/>
                <w:sz w:val="16"/>
              </w:rPr>
              <w:t>relating, variously, to:</w:t>
            </w:r>
          </w:p>
          <w:p w14:paraId="5DE34E80" w14:textId="77777777" w:rsidR="00FF5485" w:rsidRPr="00F903DB" w:rsidRDefault="00FF5485" w:rsidP="00FF5485">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breadth of engagement versus degree of focus</w:t>
            </w:r>
          </w:p>
          <w:p w14:paraId="74477903" w14:textId="77777777" w:rsidR="00FF5485" w:rsidRPr="00F903DB" w:rsidRDefault="00FF5485" w:rsidP="00FF5485">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 xml:space="preserve">responsiveness/opportunism of the approach versus degree of direction/targeting </w:t>
            </w:r>
          </w:p>
          <w:p w14:paraId="74FA533C" w14:textId="77777777" w:rsidR="00FF5485" w:rsidRPr="00F903DB" w:rsidRDefault="00FF5485" w:rsidP="00FF5485">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partners and partnering mechanisms</w:t>
            </w:r>
          </w:p>
          <w:p w14:paraId="42581B69" w14:textId="77777777" w:rsidR="00FF5485" w:rsidRPr="00F903DB" w:rsidRDefault="00FF5485" w:rsidP="00FF5485">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promoting coherence between and within pillars</w:t>
            </w:r>
          </w:p>
          <w:p w14:paraId="4920534D" w14:textId="77777777" w:rsidR="00FF5485" w:rsidRPr="00657BEE" w:rsidRDefault="00FF5485" w:rsidP="00FF5485">
            <w:pPr>
              <w:pStyle w:val="ListParagraph"/>
              <w:numPr>
                <w:ilvl w:val="1"/>
                <w:numId w:val="31"/>
              </w:numPr>
              <w:spacing w:before="60" w:after="60"/>
              <w:ind w:left="601" w:hanging="284"/>
              <w:rPr>
                <w:rFonts w:ascii="Calibri Light" w:hAnsi="Calibri Light" w:cs="Calibri Light"/>
                <w:sz w:val="16"/>
              </w:rPr>
            </w:pPr>
            <w:r w:rsidRPr="00F903DB">
              <w:rPr>
                <w:rFonts w:ascii="Calibri Light" w:hAnsi="Calibri Light" w:cs="Calibri Light"/>
                <w:sz w:val="16"/>
              </w:rPr>
              <w:t>allocation of resources between pillars/activities</w:t>
            </w:r>
          </w:p>
        </w:tc>
      </w:tr>
    </w:tbl>
    <w:p w14:paraId="45EC4489" w14:textId="77777777" w:rsidR="00FF5485" w:rsidRDefault="00FF5485" w:rsidP="00FF5485">
      <w:pPr>
        <w:spacing w:after="0" w:line="240" w:lineRule="auto"/>
      </w:pPr>
    </w:p>
    <w:p w14:paraId="140E24BF" w14:textId="77777777" w:rsidR="00FF5485" w:rsidRDefault="00FF5485" w:rsidP="00FF5485">
      <w:pPr>
        <w:pStyle w:val="Heading1"/>
      </w:pPr>
      <w:r>
        <w:t>Approach</w:t>
      </w:r>
    </w:p>
    <w:p w14:paraId="7DA47937" w14:textId="77777777" w:rsidR="00FF5485" w:rsidRDefault="00FF5485" w:rsidP="00FF5485">
      <w:pPr>
        <w:pStyle w:val="Heading2"/>
      </w:pPr>
      <w:r>
        <w:t>Implementation</w:t>
      </w:r>
    </w:p>
    <w:p w14:paraId="29CB3E46" w14:textId="77777777" w:rsidR="00FF5485" w:rsidRDefault="00FF5485" w:rsidP="00FF5485">
      <w:pPr>
        <w:rPr>
          <w:rFonts w:ascii="Calibri Light" w:hAnsi="Calibri Light" w:cs="Calibri Light"/>
        </w:rPr>
      </w:pPr>
      <w:r>
        <w:rPr>
          <w:rFonts w:ascii="Calibri Light" w:hAnsi="Calibri Light" w:cs="Calibri Light"/>
        </w:rPr>
        <w:t>The review will be conducted by a three-person team:  Lisa Denney – a justice and security sector expert, experienced on issues of access to  justice, political economy and adaptive programming;  Simon Henderson – evaluation specialist (team leader); and Binziad Kadafi, a highly experienced Indonesian legal expert, whose work has covered many aspects of AIPJ2’s portfolio.</w:t>
      </w:r>
    </w:p>
    <w:p w14:paraId="7520D0AE" w14:textId="77777777" w:rsidR="00FF5485" w:rsidRDefault="00FF5485" w:rsidP="00FF5485">
      <w:pPr>
        <w:rPr>
          <w:rFonts w:ascii="Calibri Light" w:hAnsi="Calibri Light" w:cs="Calibri Light"/>
        </w:rPr>
      </w:pPr>
      <w:r>
        <w:rPr>
          <w:rFonts w:ascii="Calibri Light" w:hAnsi="Calibri Light" w:cs="Calibri Light"/>
        </w:rPr>
        <w:t xml:space="preserve">The preparatory phase has been conducted over May-June, covering document review, preliminary discussions with DFAT and AIPJ2 and review  planning.  </w:t>
      </w:r>
    </w:p>
    <w:p w14:paraId="06F28778" w14:textId="77777777" w:rsidR="00FF5485" w:rsidRDefault="00FF5485" w:rsidP="00FF5485">
      <w:pPr>
        <w:rPr>
          <w:rFonts w:ascii="Calibri Light" w:hAnsi="Calibri Light" w:cs="Calibri Light"/>
        </w:rPr>
      </w:pPr>
      <w:r>
        <w:rPr>
          <w:rFonts w:ascii="Calibri Light" w:hAnsi="Calibri Light" w:cs="Calibri Light"/>
        </w:rPr>
        <w:t>Fieldwork will take place in Jakarta during the first two weeks of July.   Interviews with respondents based in Jakarta will be held face to face; interviews with those in other regions will be held remotely.</w:t>
      </w:r>
    </w:p>
    <w:p w14:paraId="2143BB92" w14:textId="77777777" w:rsidR="00FF5485" w:rsidRPr="00BB163A" w:rsidRDefault="00FF5485" w:rsidP="00FF5485">
      <w:pPr>
        <w:rPr>
          <w:rFonts w:ascii="Calibri Light" w:hAnsi="Calibri Light" w:cs="Calibri Light"/>
        </w:rPr>
      </w:pPr>
      <w:r>
        <w:rPr>
          <w:rFonts w:ascii="Calibri Light" w:hAnsi="Calibri Light" w:cs="Calibri Light"/>
        </w:rPr>
        <w:t>Report drafting will take place over July-August and a draft final report submitted to DFAT by 7 September.  Subject to DFAT comments, the final report will be submitted by 27 September.</w:t>
      </w:r>
    </w:p>
    <w:p w14:paraId="3E7F93A0" w14:textId="77777777" w:rsidR="00FF5485" w:rsidRDefault="00FF5485" w:rsidP="00FF5485">
      <w:pPr>
        <w:pStyle w:val="Heading2"/>
      </w:pPr>
      <w:r>
        <w:t>Scope</w:t>
      </w:r>
    </w:p>
    <w:p w14:paraId="3F4F34D2" w14:textId="77777777" w:rsidR="00FF5485" w:rsidRPr="00310889" w:rsidRDefault="00FF5485" w:rsidP="00FF5485">
      <w:pPr>
        <w:pStyle w:val="Heading3"/>
      </w:pPr>
      <w:r>
        <w:t>Focus a</w:t>
      </w:r>
      <w:r w:rsidRPr="00310889">
        <w:t>reas</w:t>
      </w:r>
    </w:p>
    <w:p w14:paraId="5CAA3201" w14:textId="77777777" w:rsidR="00FF5485" w:rsidRPr="00310889" w:rsidRDefault="00FF5485" w:rsidP="00FF5485">
      <w:pPr>
        <w:rPr>
          <w:rFonts w:ascii="Calibri Light" w:hAnsi="Calibri Light" w:cs="Calibri Light"/>
        </w:rPr>
      </w:pPr>
      <w:r w:rsidRPr="00310889">
        <w:rPr>
          <w:rFonts w:ascii="Calibri Light" w:hAnsi="Calibri Light" w:cs="Calibri Light"/>
        </w:rPr>
        <w:t xml:space="preserve">Given the breadth of activities under AIPJ2 and the time available for the MTR, the review cannot address the TOR Questions and issues of importance to DFAT at the same depth for all AIPJ’s work areas.  </w:t>
      </w:r>
    </w:p>
    <w:p w14:paraId="084D48C7" w14:textId="77777777" w:rsidR="00FF5485" w:rsidRDefault="00FF5485" w:rsidP="00FF5485">
      <w:pPr>
        <w:spacing w:after="240"/>
        <w:rPr>
          <w:rFonts w:ascii="Calibri Light" w:hAnsi="Calibri Light" w:cs="Calibri Light"/>
        </w:rPr>
      </w:pPr>
      <w:r>
        <w:rPr>
          <w:rFonts w:ascii="Calibri Light" w:hAnsi="Calibri Light" w:cs="Calibri Light"/>
        </w:rPr>
        <w:t>The proposed focus areas is designed to enable the review to address the main areas of interest to DFAT, while still informing DFAT’s understanding of performance across AIPJ2’s pillars.</w:t>
      </w:r>
    </w:p>
    <w:tbl>
      <w:tblPr>
        <w:tblStyle w:val="TableGrid"/>
        <w:tblW w:w="10206" w:type="dxa"/>
        <w:tblInd w:w="-572" w:type="dxa"/>
        <w:tblLook w:val="04A0" w:firstRow="1" w:lastRow="0" w:firstColumn="1" w:lastColumn="0" w:noHBand="0" w:noVBand="1"/>
      </w:tblPr>
      <w:tblGrid>
        <w:gridCol w:w="1696"/>
        <w:gridCol w:w="770"/>
        <w:gridCol w:w="6885"/>
        <w:gridCol w:w="855"/>
      </w:tblGrid>
      <w:tr w:rsidR="00FF5485" w:rsidRPr="002D5F58" w14:paraId="7E1CD8F8" w14:textId="77777777" w:rsidTr="00B439C2">
        <w:tc>
          <w:tcPr>
            <w:tcW w:w="1696" w:type="dxa"/>
          </w:tcPr>
          <w:p w14:paraId="17EDA9CD" w14:textId="77777777" w:rsidR="00FF5485" w:rsidRPr="002D5F58" w:rsidRDefault="00FF5485" w:rsidP="00B439C2">
            <w:pPr>
              <w:spacing w:before="60" w:after="60"/>
              <w:jc w:val="center"/>
              <w:rPr>
                <w:rFonts w:ascii="Calibri Light" w:hAnsi="Calibri Light" w:cs="Calibri Light"/>
                <w:b/>
                <w:bCs/>
                <w:sz w:val="21"/>
                <w:szCs w:val="21"/>
              </w:rPr>
            </w:pPr>
            <w:r>
              <w:rPr>
                <w:rFonts w:ascii="Calibri Light" w:hAnsi="Calibri Light" w:cs="Calibri Light"/>
                <w:b/>
                <w:bCs/>
                <w:sz w:val="21"/>
                <w:szCs w:val="21"/>
              </w:rPr>
              <w:t>MTR focus areas</w:t>
            </w:r>
          </w:p>
        </w:tc>
        <w:tc>
          <w:tcPr>
            <w:tcW w:w="770" w:type="dxa"/>
          </w:tcPr>
          <w:p w14:paraId="1397D718"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b/>
                <w:bCs/>
                <w:sz w:val="21"/>
                <w:szCs w:val="21"/>
              </w:rPr>
              <w:t>Pillar</w:t>
            </w:r>
          </w:p>
        </w:tc>
        <w:tc>
          <w:tcPr>
            <w:tcW w:w="6885" w:type="dxa"/>
          </w:tcPr>
          <w:p w14:paraId="43238158" w14:textId="77777777" w:rsidR="00FF5485" w:rsidRPr="00A3526C" w:rsidRDefault="00FF5485" w:rsidP="00B439C2">
            <w:pPr>
              <w:spacing w:before="60" w:after="60"/>
              <w:rPr>
                <w:rFonts w:ascii="Calibri Light" w:hAnsi="Calibri Light" w:cs="Calibri Light"/>
                <w:b/>
                <w:bCs/>
                <w:sz w:val="21"/>
                <w:szCs w:val="21"/>
              </w:rPr>
            </w:pPr>
            <w:r w:rsidRPr="00A3526C">
              <w:rPr>
                <w:rFonts w:ascii="Calibri Light" w:hAnsi="Calibri Light" w:cs="Calibri Light"/>
                <w:b/>
                <w:bCs/>
                <w:sz w:val="21"/>
                <w:szCs w:val="21"/>
              </w:rPr>
              <w:t>Issues to explore</w:t>
            </w:r>
          </w:p>
        </w:tc>
        <w:tc>
          <w:tcPr>
            <w:tcW w:w="855" w:type="dxa"/>
          </w:tcPr>
          <w:p w14:paraId="4425EDB4" w14:textId="77777777" w:rsidR="00FF5485" w:rsidRPr="00A3526C" w:rsidRDefault="00FF5485" w:rsidP="00B439C2">
            <w:pPr>
              <w:spacing w:before="60" w:after="60"/>
              <w:ind w:left="-77" w:right="-109"/>
              <w:jc w:val="center"/>
              <w:rPr>
                <w:rFonts w:ascii="Calibri Light" w:hAnsi="Calibri Light" w:cs="Calibri Light"/>
                <w:b/>
                <w:bCs/>
                <w:sz w:val="21"/>
                <w:szCs w:val="21"/>
              </w:rPr>
            </w:pPr>
            <w:r w:rsidRPr="00033B89">
              <w:rPr>
                <w:rFonts w:ascii="Calibri Light" w:hAnsi="Calibri Light" w:cs="Calibri Light"/>
                <w:b/>
                <w:bCs/>
                <w:sz w:val="19"/>
                <w:szCs w:val="19"/>
              </w:rPr>
              <w:t>MTR lead</w:t>
            </w:r>
          </w:p>
        </w:tc>
      </w:tr>
      <w:tr w:rsidR="00FF5485" w:rsidRPr="002D5F58" w14:paraId="3B5B20E0" w14:textId="77777777" w:rsidTr="00B439C2">
        <w:tc>
          <w:tcPr>
            <w:tcW w:w="1696" w:type="dxa"/>
          </w:tcPr>
          <w:p w14:paraId="33BCA658" w14:textId="77777777" w:rsidR="00FF5485" w:rsidRPr="0068094F" w:rsidRDefault="00FF5485" w:rsidP="00B439C2">
            <w:pPr>
              <w:spacing w:before="60" w:after="60"/>
              <w:jc w:val="center"/>
              <w:rPr>
                <w:rFonts w:ascii="Calibri Light" w:hAnsi="Calibri Light" w:cs="Calibri Light"/>
                <w:sz w:val="18"/>
                <w:szCs w:val="18"/>
              </w:rPr>
            </w:pPr>
            <w:r w:rsidRPr="0068094F">
              <w:rPr>
                <w:rFonts w:ascii="Calibri Light" w:hAnsi="Calibri Light" w:cs="Calibri Light"/>
                <w:sz w:val="18"/>
                <w:szCs w:val="18"/>
              </w:rPr>
              <w:t>Court reform</w:t>
            </w:r>
          </w:p>
        </w:tc>
        <w:tc>
          <w:tcPr>
            <w:tcW w:w="770" w:type="dxa"/>
          </w:tcPr>
          <w:p w14:paraId="6746485F"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w:t>
            </w:r>
          </w:p>
        </w:tc>
        <w:tc>
          <w:tcPr>
            <w:tcW w:w="6885" w:type="dxa"/>
            <w:vMerge w:val="restart"/>
            <w:vAlign w:val="center"/>
          </w:tcPr>
          <w:p w14:paraId="0E534C84" w14:textId="77777777" w:rsidR="00FF5485" w:rsidRPr="0090409C" w:rsidRDefault="00FF5485" w:rsidP="00B439C2">
            <w:pPr>
              <w:spacing w:before="60" w:after="60"/>
              <w:rPr>
                <w:rFonts w:ascii="Calibri Light" w:hAnsi="Calibri Light" w:cs="Calibri Light"/>
                <w:sz w:val="18"/>
                <w:szCs w:val="18"/>
              </w:rPr>
            </w:pPr>
            <w:r w:rsidRPr="0090409C">
              <w:rPr>
                <w:rFonts w:ascii="Calibri Light" w:hAnsi="Calibri Light" w:cs="Calibri Light"/>
                <w:sz w:val="18"/>
                <w:szCs w:val="18"/>
              </w:rPr>
              <w:t xml:space="preserve">Clarity of strategies,  appropriateness of partners, linkages with other pillars, value of achievements, coordination with other donors; alignment with GOA and GOI priorities;  and prospects /risks for EOFO; </w:t>
            </w:r>
          </w:p>
        </w:tc>
        <w:tc>
          <w:tcPr>
            <w:tcW w:w="855" w:type="dxa"/>
            <w:vMerge w:val="restart"/>
            <w:vAlign w:val="center"/>
          </w:tcPr>
          <w:p w14:paraId="2CAB1BED"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BK</w:t>
            </w:r>
          </w:p>
        </w:tc>
      </w:tr>
      <w:tr w:rsidR="00FF5485" w:rsidRPr="002D5F58" w14:paraId="3894BB68" w14:textId="77777777" w:rsidTr="00B439C2">
        <w:tc>
          <w:tcPr>
            <w:tcW w:w="1696" w:type="dxa"/>
          </w:tcPr>
          <w:p w14:paraId="3208F9AF"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 xml:space="preserve">Anti-corruption </w:t>
            </w:r>
          </w:p>
        </w:tc>
        <w:tc>
          <w:tcPr>
            <w:tcW w:w="770" w:type="dxa"/>
          </w:tcPr>
          <w:p w14:paraId="1D5F6CEB"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 &amp; 2</w:t>
            </w:r>
          </w:p>
        </w:tc>
        <w:tc>
          <w:tcPr>
            <w:tcW w:w="6885" w:type="dxa"/>
            <w:vMerge/>
          </w:tcPr>
          <w:p w14:paraId="70E22BA4" w14:textId="77777777" w:rsidR="00FF5485" w:rsidRPr="0090409C" w:rsidRDefault="00FF5485" w:rsidP="00B439C2">
            <w:pPr>
              <w:spacing w:before="60" w:after="60"/>
              <w:rPr>
                <w:rFonts w:ascii="Calibri Light" w:hAnsi="Calibri Light" w:cs="Calibri Light"/>
                <w:sz w:val="18"/>
                <w:szCs w:val="18"/>
              </w:rPr>
            </w:pPr>
          </w:p>
        </w:tc>
        <w:tc>
          <w:tcPr>
            <w:tcW w:w="855" w:type="dxa"/>
            <w:vMerge/>
            <w:vAlign w:val="center"/>
          </w:tcPr>
          <w:p w14:paraId="2FB11C3A" w14:textId="77777777" w:rsidR="00FF5485" w:rsidRPr="0090409C" w:rsidRDefault="00FF5485" w:rsidP="00B439C2">
            <w:pPr>
              <w:spacing w:before="60" w:after="60"/>
              <w:jc w:val="center"/>
              <w:rPr>
                <w:rFonts w:ascii="Calibri Light" w:hAnsi="Calibri Light" w:cs="Calibri Light"/>
                <w:sz w:val="18"/>
                <w:szCs w:val="18"/>
              </w:rPr>
            </w:pPr>
          </w:p>
        </w:tc>
      </w:tr>
      <w:tr w:rsidR="00FF5485" w:rsidRPr="002D5F58" w14:paraId="68B21519" w14:textId="77777777" w:rsidTr="00B439C2">
        <w:tc>
          <w:tcPr>
            <w:tcW w:w="1696" w:type="dxa"/>
          </w:tcPr>
          <w:p w14:paraId="3CE6528F"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Prevention of child marriage</w:t>
            </w:r>
          </w:p>
        </w:tc>
        <w:tc>
          <w:tcPr>
            <w:tcW w:w="770" w:type="dxa"/>
          </w:tcPr>
          <w:p w14:paraId="6AFA0041"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w:t>
            </w:r>
          </w:p>
        </w:tc>
        <w:tc>
          <w:tcPr>
            <w:tcW w:w="6885" w:type="dxa"/>
            <w:vMerge/>
          </w:tcPr>
          <w:p w14:paraId="13E8A252" w14:textId="77777777" w:rsidR="00FF5485" w:rsidRPr="0090409C" w:rsidRDefault="00FF5485" w:rsidP="00B439C2">
            <w:pPr>
              <w:spacing w:before="60" w:after="60"/>
              <w:rPr>
                <w:rFonts w:ascii="Calibri Light" w:hAnsi="Calibri Light" w:cs="Calibri Light"/>
                <w:sz w:val="18"/>
                <w:szCs w:val="18"/>
              </w:rPr>
            </w:pPr>
          </w:p>
        </w:tc>
        <w:tc>
          <w:tcPr>
            <w:tcW w:w="855" w:type="dxa"/>
            <w:vAlign w:val="center"/>
          </w:tcPr>
          <w:p w14:paraId="5EA7DC0F"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LD</w:t>
            </w:r>
          </w:p>
        </w:tc>
      </w:tr>
      <w:tr w:rsidR="00FF5485" w:rsidRPr="002D5F58" w14:paraId="14A257C7" w14:textId="77777777" w:rsidTr="00B439C2">
        <w:tc>
          <w:tcPr>
            <w:tcW w:w="1696" w:type="dxa"/>
          </w:tcPr>
          <w:p w14:paraId="12E03E45"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Pillar 2</w:t>
            </w:r>
          </w:p>
        </w:tc>
        <w:tc>
          <w:tcPr>
            <w:tcW w:w="770" w:type="dxa"/>
          </w:tcPr>
          <w:p w14:paraId="3FC19CE8"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2</w:t>
            </w:r>
          </w:p>
        </w:tc>
        <w:tc>
          <w:tcPr>
            <w:tcW w:w="6885" w:type="dxa"/>
          </w:tcPr>
          <w:p w14:paraId="01AD40D5" w14:textId="77777777" w:rsidR="00FF5485" w:rsidRPr="0090409C" w:rsidRDefault="00FF5485" w:rsidP="00B439C2">
            <w:pPr>
              <w:spacing w:before="60" w:after="60"/>
              <w:rPr>
                <w:rFonts w:ascii="Calibri Light" w:hAnsi="Calibri Light" w:cs="Calibri Light"/>
                <w:sz w:val="18"/>
                <w:szCs w:val="18"/>
              </w:rPr>
            </w:pPr>
            <w:r w:rsidRPr="0090409C">
              <w:rPr>
                <w:rFonts w:ascii="Calibri Light" w:hAnsi="Calibri Light" w:cs="Calibri Light"/>
                <w:sz w:val="18"/>
                <w:szCs w:val="18"/>
              </w:rPr>
              <w:t xml:space="preserve">Linkages with other pillars;  approach to M&amp;E; </w:t>
            </w:r>
          </w:p>
        </w:tc>
        <w:tc>
          <w:tcPr>
            <w:tcW w:w="855" w:type="dxa"/>
            <w:vAlign w:val="center"/>
          </w:tcPr>
          <w:p w14:paraId="6E9CE8F8"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SH</w:t>
            </w:r>
          </w:p>
        </w:tc>
      </w:tr>
      <w:tr w:rsidR="00FF5485" w:rsidRPr="002D5F58" w14:paraId="14D156C5" w14:textId="77777777" w:rsidTr="00B439C2">
        <w:tc>
          <w:tcPr>
            <w:tcW w:w="1696" w:type="dxa"/>
          </w:tcPr>
          <w:p w14:paraId="330E2411"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Pillar 3</w:t>
            </w:r>
          </w:p>
        </w:tc>
        <w:tc>
          <w:tcPr>
            <w:tcW w:w="770" w:type="dxa"/>
          </w:tcPr>
          <w:p w14:paraId="408A718C"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3</w:t>
            </w:r>
          </w:p>
        </w:tc>
        <w:tc>
          <w:tcPr>
            <w:tcW w:w="6885" w:type="dxa"/>
          </w:tcPr>
          <w:p w14:paraId="1A32EBBE" w14:textId="77777777" w:rsidR="00FF5485" w:rsidRPr="0090409C" w:rsidRDefault="00FF5485" w:rsidP="00B439C2">
            <w:pPr>
              <w:spacing w:before="60" w:after="60"/>
              <w:rPr>
                <w:rFonts w:ascii="Calibri Light" w:hAnsi="Calibri Light" w:cs="Calibri Light"/>
                <w:sz w:val="18"/>
                <w:szCs w:val="18"/>
              </w:rPr>
            </w:pPr>
            <w:r>
              <w:rPr>
                <w:rFonts w:ascii="Calibri Light" w:hAnsi="Calibri Light" w:cs="Calibri Light"/>
                <w:sz w:val="18"/>
                <w:szCs w:val="18"/>
              </w:rPr>
              <w:t>The MTR will draw on the recent pillar review conducted by AIPJ2 enabling a lighter-touch review focused on the c</w:t>
            </w:r>
            <w:r w:rsidRPr="0090409C">
              <w:rPr>
                <w:rFonts w:ascii="Calibri Light" w:hAnsi="Calibri Light" w:cs="Calibri Light"/>
                <w:sz w:val="18"/>
                <w:szCs w:val="18"/>
              </w:rPr>
              <w:t xml:space="preserve">larity of strategies,  linkages with other pillars, </w:t>
            </w:r>
            <w:r>
              <w:rPr>
                <w:rFonts w:ascii="Calibri Light" w:hAnsi="Calibri Light" w:cs="Calibri Light"/>
                <w:sz w:val="18"/>
                <w:szCs w:val="18"/>
              </w:rPr>
              <w:t>and positioning of support for community engagement.</w:t>
            </w:r>
            <w:r w:rsidRPr="0090409C">
              <w:rPr>
                <w:rFonts w:ascii="Calibri Light" w:hAnsi="Calibri Light" w:cs="Calibri Light"/>
                <w:sz w:val="18"/>
                <w:szCs w:val="18"/>
              </w:rPr>
              <w:t xml:space="preserve"> </w:t>
            </w:r>
          </w:p>
        </w:tc>
        <w:tc>
          <w:tcPr>
            <w:tcW w:w="855" w:type="dxa"/>
            <w:vAlign w:val="center"/>
          </w:tcPr>
          <w:p w14:paraId="2E8A905F" w14:textId="77777777" w:rsidR="00FF5485"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SH</w:t>
            </w:r>
          </w:p>
        </w:tc>
      </w:tr>
      <w:tr w:rsidR="00FF5485" w:rsidRPr="002D5F58" w14:paraId="027771CA" w14:textId="77777777" w:rsidTr="00B439C2">
        <w:tc>
          <w:tcPr>
            <w:tcW w:w="1696" w:type="dxa"/>
          </w:tcPr>
          <w:p w14:paraId="3DFA7744"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Reform coordination</w:t>
            </w:r>
          </w:p>
        </w:tc>
        <w:tc>
          <w:tcPr>
            <w:tcW w:w="770" w:type="dxa"/>
          </w:tcPr>
          <w:p w14:paraId="4CBE5248"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4</w:t>
            </w:r>
          </w:p>
        </w:tc>
        <w:tc>
          <w:tcPr>
            <w:tcW w:w="6885" w:type="dxa"/>
            <w:vAlign w:val="center"/>
          </w:tcPr>
          <w:p w14:paraId="3C67612F" w14:textId="77777777" w:rsidR="00FF5485" w:rsidRPr="002D5F58" w:rsidRDefault="00FF5485" w:rsidP="00B439C2">
            <w:pPr>
              <w:spacing w:before="60" w:after="60"/>
              <w:rPr>
                <w:rFonts w:ascii="Calibri Light" w:hAnsi="Calibri Light" w:cs="Calibri Light"/>
                <w:sz w:val="21"/>
                <w:szCs w:val="21"/>
              </w:rPr>
            </w:pPr>
            <w:r w:rsidRPr="0090409C">
              <w:rPr>
                <w:rFonts w:ascii="Calibri Light" w:hAnsi="Calibri Light" w:cs="Calibri Light"/>
                <w:sz w:val="18"/>
                <w:szCs w:val="18"/>
              </w:rPr>
              <w:t xml:space="preserve">Clarity of </w:t>
            </w:r>
            <w:r>
              <w:rPr>
                <w:rFonts w:ascii="Calibri Light" w:hAnsi="Calibri Light" w:cs="Calibri Light"/>
                <w:sz w:val="18"/>
                <w:szCs w:val="18"/>
              </w:rPr>
              <w:t>strategy,</w:t>
            </w:r>
            <w:r w:rsidRPr="0090409C">
              <w:rPr>
                <w:rFonts w:ascii="Calibri Light" w:hAnsi="Calibri Light" w:cs="Calibri Light"/>
                <w:sz w:val="18"/>
                <w:szCs w:val="18"/>
              </w:rPr>
              <w:t xml:space="preserve">  appropriateness of partners, linkages with other pillars, value of achievements, coordination with other donors; alignment with GOA and GOI priorities;  and prospects /risks for EOFO; </w:t>
            </w:r>
          </w:p>
        </w:tc>
        <w:tc>
          <w:tcPr>
            <w:tcW w:w="855" w:type="dxa"/>
            <w:vAlign w:val="center"/>
          </w:tcPr>
          <w:p w14:paraId="6508176C"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BK</w:t>
            </w:r>
          </w:p>
        </w:tc>
      </w:tr>
      <w:tr w:rsidR="00FF5485" w:rsidRPr="002D5F58" w14:paraId="2AD65EE9" w14:textId="77777777" w:rsidTr="00B439C2">
        <w:tc>
          <w:tcPr>
            <w:tcW w:w="1696" w:type="dxa"/>
          </w:tcPr>
          <w:p w14:paraId="3B5506E8"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capacity building</w:t>
            </w:r>
          </w:p>
        </w:tc>
        <w:tc>
          <w:tcPr>
            <w:tcW w:w="770" w:type="dxa"/>
          </w:tcPr>
          <w:p w14:paraId="47F6D8C9"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63E77414" w14:textId="77777777" w:rsidR="00FF5485" w:rsidRPr="00233AEA" w:rsidRDefault="00FF5485" w:rsidP="00B439C2">
            <w:pPr>
              <w:spacing w:before="60" w:after="60"/>
              <w:rPr>
                <w:rFonts w:ascii="Calibri Light" w:hAnsi="Calibri Light" w:cs="Calibri Light"/>
                <w:sz w:val="18"/>
                <w:szCs w:val="18"/>
              </w:rPr>
            </w:pPr>
            <w:r w:rsidRPr="00233AEA">
              <w:rPr>
                <w:rFonts w:ascii="Calibri Light" w:hAnsi="Calibri Light" w:cs="Calibri Light"/>
                <w:sz w:val="18"/>
                <w:szCs w:val="18"/>
              </w:rPr>
              <w:t>The MTR will examine AIPJ2’s approach with a sample of partners across all pillars.  The sample will reflect differences in AIPJ2’s approach in different work areas and also differences between the partners in terms of development/ needs.</w:t>
            </w:r>
          </w:p>
        </w:tc>
        <w:tc>
          <w:tcPr>
            <w:tcW w:w="855" w:type="dxa"/>
            <w:vAlign w:val="center"/>
          </w:tcPr>
          <w:p w14:paraId="415D1408" w14:textId="77777777" w:rsidR="00FF5485" w:rsidRPr="00233AEA"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LD</w:t>
            </w:r>
          </w:p>
        </w:tc>
      </w:tr>
      <w:tr w:rsidR="00FF5485" w:rsidRPr="002D5F58" w14:paraId="19EF32EE" w14:textId="77777777" w:rsidTr="00B439C2">
        <w:tc>
          <w:tcPr>
            <w:tcW w:w="1696" w:type="dxa"/>
          </w:tcPr>
          <w:p w14:paraId="7D03C89D"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adaptive programming</w:t>
            </w:r>
          </w:p>
        </w:tc>
        <w:tc>
          <w:tcPr>
            <w:tcW w:w="770" w:type="dxa"/>
          </w:tcPr>
          <w:p w14:paraId="1534232D"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0C363DCF" w14:textId="77777777" w:rsidR="00FF5485" w:rsidRPr="002D5F58" w:rsidRDefault="00FF5485" w:rsidP="00B439C2">
            <w:pPr>
              <w:spacing w:before="60" w:after="60"/>
              <w:rPr>
                <w:rFonts w:ascii="Calibri Light" w:hAnsi="Calibri Light" w:cs="Calibri Light"/>
                <w:sz w:val="21"/>
                <w:szCs w:val="21"/>
              </w:rPr>
            </w:pPr>
            <w:r w:rsidRPr="00233AEA">
              <w:rPr>
                <w:rFonts w:ascii="Calibri Light" w:hAnsi="Calibri Light" w:cs="Calibri Light"/>
                <w:sz w:val="18"/>
                <w:szCs w:val="18"/>
              </w:rPr>
              <w:t xml:space="preserve">The MTR will examine AIPJ2’s approach </w:t>
            </w:r>
            <w:r>
              <w:rPr>
                <w:rFonts w:ascii="Calibri Light" w:hAnsi="Calibri Light" w:cs="Calibri Light"/>
                <w:sz w:val="18"/>
                <w:szCs w:val="18"/>
              </w:rPr>
              <w:t>in areas selected for MTR focus, examining how well AIPJ2 monitors and adapts to changes in the operating context and whether the program has the right balance between breadth and depth of engagement</w:t>
            </w:r>
            <w:r w:rsidRPr="00233AEA">
              <w:rPr>
                <w:rFonts w:ascii="Calibri Light" w:hAnsi="Calibri Light" w:cs="Calibri Light"/>
                <w:sz w:val="18"/>
                <w:szCs w:val="18"/>
              </w:rPr>
              <w:t xml:space="preserve">.  </w:t>
            </w:r>
          </w:p>
        </w:tc>
        <w:tc>
          <w:tcPr>
            <w:tcW w:w="855" w:type="dxa"/>
            <w:vAlign w:val="center"/>
          </w:tcPr>
          <w:p w14:paraId="17EDD41E" w14:textId="77777777" w:rsidR="00FF5485" w:rsidRPr="00233AEA"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LD</w:t>
            </w:r>
          </w:p>
        </w:tc>
      </w:tr>
      <w:tr w:rsidR="00FF5485" w:rsidRPr="002D5F58" w14:paraId="5EA58600" w14:textId="77777777" w:rsidTr="00B439C2">
        <w:tc>
          <w:tcPr>
            <w:tcW w:w="1696" w:type="dxa"/>
          </w:tcPr>
          <w:p w14:paraId="08819880"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M&amp;E</w:t>
            </w:r>
          </w:p>
        </w:tc>
        <w:tc>
          <w:tcPr>
            <w:tcW w:w="770" w:type="dxa"/>
          </w:tcPr>
          <w:p w14:paraId="6EC41747"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73BDE225" w14:textId="77777777" w:rsidR="00FF5485" w:rsidRPr="002D5F58" w:rsidRDefault="00FF5485" w:rsidP="00B439C2">
            <w:pPr>
              <w:spacing w:before="60" w:after="60"/>
              <w:rPr>
                <w:rFonts w:ascii="Calibri Light" w:hAnsi="Calibri Light" w:cs="Calibri Light"/>
                <w:sz w:val="21"/>
                <w:szCs w:val="21"/>
              </w:rPr>
            </w:pPr>
            <w:r w:rsidRPr="00233AEA">
              <w:rPr>
                <w:rFonts w:ascii="Calibri Light" w:hAnsi="Calibri Light" w:cs="Calibri Light"/>
                <w:sz w:val="18"/>
                <w:szCs w:val="18"/>
              </w:rPr>
              <w:t xml:space="preserve">The MTR will examine AIPJ2’s approach </w:t>
            </w:r>
            <w:r>
              <w:rPr>
                <w:rFonts w:ascii="Calibri Light" w:hAnsi="Calibri Light" w:cs="Calibri Light"/>
                <w:sz w:val="18"/>
                <w:szCs w:val="18"/>
              </w:rPr>
              <w:t>in each of the</w:t>
            </w:r>
            <w:r w:rsidRPr="00233AEA">
              <w:rPr>
                <w:rFonts w:ascii="Calibri Light" w:hAnsi="Calibri Light" w:cs="Calibri Light"/>
                <w:sz w:val="18"/>
                <w:szCs w:val="18"/>
              </w:rPr>
              <w:t xml:space="preserve"> pillars</w:t>
            </w:r>
            <w:r>
              <w:rPr>
                <w:rFonts w:ascii="Calibri Light" w:hAnsi="Calibri Light" w:cs="Calibri Light"/>
                <w:sz w:val="18"/>
                <w:szCs w:val="18"/>
              </w:rPr>
              <w:t xml:space="preserve"> and determine its effectiveness in supporting management decision-making and facility governance.</w:t>
            </w:r>
          </w:p>
        </w:tc>
        <w:tc>
          <w:tcPr>
            <w:tcW w:w="855" w:type="dxa"/>
            <w:vAlign w:val="center"/>
          </w:tcPr>
          <w:p w14:paraId="5699A03F" w14:textId="77777777" w:rsidR="00FF5485" w:rsidRPr="00233AEA"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SH</w:t>
            </w:r>
          </w:p>
        </w:tc>
      </w:tr>
    </w:tbl>
    <w:p w14:paraId="0F12842C" w14:textId="77777777" w:rsidR="00FF5485" w:rsidRDefault="00FF5485" w:rsidP="00FF5485">
      <w:pPr>
        <w:spacing w:before="240"/>
        <w:rPr>
          <w:rFonts w:ascii="Calibri Light" w:hAnsi="Calibri Light" w:cs="Calibri Light"/>
        </w:rPr>
      </w:pPr>
      <w:r>
        <w:rPr>
          <w:rFonts w:ascii="Calibri Light" w:hAnsi="Calibri Light" w:cs="Calibri Light"/>
        </w:rPr>
        <w:t>In order to accommodate this scope, the MTR team will limit the depth / range of enquiry in certain areas:</w:t>
      </w:r>
    </w:p>
    <w:p w14:paraId="54653B1D" w14:textId="77777777" w:rsidR="00FF5485" w:rsidRPr="00654141" w:rsidRDefault="00FF5485" w:rsidP="00FF5485">
      <w:pPr>
        <w:pStyle w:val="ListParagraph"/>
        <w:numPr>
          <w:ilvl w:val="0"/>
          <w:numId w:val="33"/>
        </w:numPr>
        <w:spacing w:before="0" w:after="160" w:line="259" w:lineRule="auto"/>
        <w:rPr>
          <w:rFonts w:ascii="Calibri Light" w:eastAsia="Times New Roman" w:hAnsi="Calibri Light" w:cs="Calibri Light"/>
          <w:lang w:eastAsia="en-AU"/>
        </w:rPr>
      </w:pPr>
      <w:r w:rsidRPr="00654141">
        <w:rPr>
          <w:rFonts w:ascii="Calibri Light" w:hAnsi="Calibri Light" w:cs="Calibri Light"/>
          <w:b/>
        </w:rPr>
        <w:t>The MTR will not make a separate assessment of outcome achievement</w:t>
      </w:r>
      <w:r w:rsidRPr="00654141">
        <w:rPr>
          <w:rFonts w:ascii="Calibri Light" w:hAnsi="Calibri Light" w:cs="Calibri Light"/>
        </w:rPr>
        <w:t xml:space="preserve">   On the grounds that</w:t>
      </w:r>
    </w:p>
    <w:p w14:paraId="4A99AB0A" w14:textId="77777777" w:rsidR="00FF5485" w:rsidRDefault="00FF5485" w:rsidP="00FF5485">
      <w:pPr>
        <w:pStyle w:val="ListParagraph"/>
        <w:numPr>
          <w:ilvl w:val="1"/>
          <w:numId w:val="33"/>
        </w:numPr>
        <w:spacing w:before="0" w:after="160" w:line="259" w:lineRule="auto"/>
        <w:rPr>
          <w:rFonts w:ascii="Calibri Light" w:eastAsia="Times New Roman" w:hAnsi="Calibri Light" w:cs="Calibri Light"/>
          <w:lang w:eastAsia="en-AU"/>
        </w:rPr>
      </w:pPr>
      <w:r>
        <w:rPr>
          <w:rFonts w:ascii="Calibri Light" w:eastAsia="Times New Roman" w:hAnsi="Calibri Light" w:cs="Calibri Light"/>
          <w:lang w:eastAsia="en-AU"/>
        </w:rPr>
        <w:t>AIPJ2 is already considered to perform well on effectiveness – high AQC ratings</w:t>
      </w:r>
    </w:p>
    <w:p w14:paraId="044380DE" w14:textId="77777777" w:rsidR="00FF5485" w:rsidRDefault="00FF5485" w:rsidP="00FF5485">
      <w:pPr>
        <w:pStyle w:val="ListParagraph"/>
        <w:numPr>
          <w:ilvl w:val="1"/>
          <w:numId w:val="33"/>
        </w:numPr>
        <w:spacing w:before="0" w:after="160" w:line="259" w:lineRule="auto"/>
        <w:rPr>
          <w:rFonts w:ascii="Calibri Light" w:eastAsia="Times New Roman" w:hAnsi="Calibri Light" w:cs="Calibri Light"/>
          <w:lang w:eastAsia="en-AU"/>
        </w:rPr>
      </w:pPr>
      <w:r>
        <w:rPr>
          <w:rFonts w:ascii="Calibri Light" w:eastAsia="Times New Roman" w:hAnsi="Calibri Light" w:cs="Calibri Light"/>
          <w:lang w:eastAsia="en-AU"/>
        </w:rPr>
        <w:t>DFAT’s interest is predominantly on questions of process and ‘strategy’ (choices/ options etc.)</w:t>
      </w:r>
    </w:p>
    <w:p w14:paraId="2CB37D25" w14:textId="77777777" w:rsidR="00FF5485" w:rsidRPr="003C0F63" w:rsidRDefault="00FF5485" w:rsidP="00FF5485">
      <w:pPr>
        <w:pStyle w:val="ListParagraph"/>
        <w:numPr>
          <w:ilvl w:val="1"/>
          <w:numId w:val="33"/>
        </w:numPr>
        <w:spacing w:before="0" w:after="160" w:line="259" w:lineRule="auto"/>
        <w:ind w:left="1434" w:hanging="357"/>
        <w:contextualSpacing w:val="0"/>
        <w:rPr>
          <w:rFonts w:ascii="Calibri Light" w:eastAsia="Times New Roman" w:hAnsi="Calibri Light" w:cs="Calibri Light"/>
          <w:lang w:eastAsia="en-AU"/>
        </w:rPr>
      </w:pPr>
      <w:r>
        <w:rPr>
          <w:rFonts w:ascii="Calibri Light" w:eastAsia="Times New Roman" w:hAnsi="Calibri Light" w:cs="Calibri Light"/>
          <w:lang w:eastAsia="en-AU"/>
        </w:rPr>
        <w:t>Interest is greater in the MTR’s reflections on a) the adequacy of the facility’s performance measurement and learning systems;  b) how meaningful are the reported achievements;  c) what are the prospects of achieving the EOFOs.</w:t>
      </w:r>
      <w:r w:rsidRPr="003C0F63">
        <w:rPr>
          <w:rFonts w:ascii="Calibri Light" w:eastAsia="Times New Roman" w:hAnsi="Calibri Light" w:cs="Calibri Light"/>
          <w:lang w:eastAsia="en-AU"/>
        </w:rPr>
        <w:t xml:space="preserve"> </w:t>
      </w:r>
    </w:p>
    <w:p w14:paraId="7CD4CCA1" w14:textId="77777777" w:rsidR="00FF5485" w:rsidRPr="00E1688A" w:rsidRDefault="00FF5485" w:rsidP="00FF5485">
      <w:pPr>
        <w:pStyle w:val="ListParagraph"/>
        <w:numPr>
          <w:ilvl w:val="0"/>
          <w:numId w:val="32"/>
        </w:numPr>
        <w:spacing w:before="0" w:after="160" w:line="259" w:lineRule="auto"/>
        <w:ind w:left="714" w:hanging="357"/>
        <w:contextualSpacing w:val="0"/>
        <w:rPr>
          <w:rFonts w:ascii="Calibri Light" w:hAnsi="Calibri Light" w:cs="Calibri Light"/>
          <w:b/>
        </w:rPr>
      </w:pPr>
      <w:r>
        <w:rPr>
          <w:rFonts w:ascii="Calibri Light" w:hAnsi="Calibri Light" w:cs="Calibri Light"/>
          <w:b/>
        </w:rPr>
        <w:t xml:space="preserve">Similarly, the MTR will not assess the extent to which capacity has been built in CSOs and GOI agencies </w:t>
      </w:r>
      <w:r>
        <w:rPr>
          <w:rFonts w:ascii="Calibri Light" w:hAnsi="Calibri Light" w:cs="Calibri Light"/>
        </w:rPr>
        <w:t xml:space="preserve"> but will look at whether AIPJ2’s approach is valued by partners and producing promising signs. </w:t>
      </w:r>
    </w:p>
    <w:p w14:paraId="0ABB34AD" w14:textId="77777777" w:rsidR="00FF5485" w:rsidRPr="00AE4FAA" w:rsidRDefault="00FF5485" w:rsidP="00FF5485">
      <w:pPr>
        <w:pStyle w:val="ListParagraph"/>
        <w:numPr>
          <w:ilvl w:val="0"/>
          <w:numId w:val="32"/>
        </w:numPr>
        <w:spacing w:before="0" w:after="160" w:line="259" w:lineRule="auto"/>
        <w:rPr>
          <w:rFonts w:ascii="Calibri Light" w:hAnsi="Calibri Light" w:cs="Calibri Light"/>
          <w:b/>
        </w:rPr>
      </w:pPr>
      <w:r>
        <w:rPr>
          <w:rFonts w:ascii="Calibri Light" w:hAnsi="Calibri Light" w:cs="Calibri Light"/>
          <w:b/>
        </w:rPr>
        <w:t>The MTR will not provide a</w:t>
      </w:r>
      <w:r w:rsidRPr="00AE4FAA">
        <w:rPr>
          <w:rFonts w:ascii="Calibri Light" w:hAnsi="Calibri Light" w:cs="Calibri Light"/>
          <w:b/>
        </w:rPr>
        <w:t xml:space="preserve"> definitive conclusion on </w:t>
      </w:r>
      <w:r>
        <w:rPr>
          <w:rFonts w:ascii="Calibri Light" w:hAnsi="Calibri Light" w:cs="Calibri Light"/>
          <w:b/>
        </w:rPr>
        <w:t xml:space="preserve">whether AIPJ2 offers </w:t>
      </w:r>
      <w:r w:rsidRPr="00AE4FAA">
        <w:rPr>
          <w:rFonts w:ascii="Calibri Light" w:hAnsi="Calibri Light" w:cs="Calibri Light"/>
          <w:b/>
        </w:rPr>
        <w:t>VFM (or whether AIPJ2</w:t>
      </w:r>
      <w:r>
        <w:rPr>
          <w:rFonts w:ascii="Calibri Light" w:hAnsi="Calibri Light" w:cs="Calibri Light"/>
          <w:b/>
        </w:rPr>
        <w:t>’s</w:t>
      </w:r>
      <w:r w:rsidRPr="00AE4FAA">
        <w:rPr>
          <w:rFonts w:ascii="Calibri Light" w:hAnsi="Calibri Light" w:cs="Calibri Light"/>
          <w:b/>
        </w:rPr>
        <w:t xml:space="preserve"> priorities </w:t>
      </w:r>
      <w:r>
        <w:rPr>
          <w:rFonts w:ascii="Calibri Light" w:hAnsi="Calibri Light" w:cs="Calibri Light"/>
          <w:b/>
        </w:rPr>
        <w:t xml:space="preserve">provide </w:t>
      </w:r>
      <w:r w:rsidRPr="00AE4FAA">
        <w:rPr>
          <w:rFonts w:ascii="Calibri Light" w:hAnsi="Calibri Light" w:cs="Calibri Light"/>
          <w:b/>
        </w:rPr>
        <w:t>the best</w:t>
      </w:r>
      <w:r>
        <w:rPr>
          <w:rFonts w:ascii="Calibri Light" w:hAnsi="Calibri Light" w:cs="Calibri Light"/>
          <w:b/>
        </w:rPr>
        <w:t xml:space="preserve"> value</w:t>
      </w:r>
      <w:r w:rsidRPr="00AE4FAA">
        <w:rPr>
          <w:rFonts w:ascii="Calibri Light" w:hAnsi="Calibri Light" w:cs="Calibri Light"/>
          <w:b/>
        </w:rPr>
        <w:t>)</w:t>
      </w:r>
      <w:r>
        <w:rPr>
          <w:rFonts w:ascii="Calibri Light" w:hAnsi="Calibri Light" w:cs="Calibri Light"/>
          <w:b/>
        </w:rPr>
        <w:t xml:space="preserve"> </w:t>
      </w:r>
      <w:r>
        <w:rPr>
          <w:rFonts w:ascii="Calibri Light" w:hAnsi="Calibri Light" w:cs="Calibri Light"/>
        </w:rPr>
        <w:t xml:space="preserve"> but we will look at drivers of / risks to VFM and see how they are being managed, including</w:t>
      </w:r>
    </w:p>
    <w:p w14:paraId="4AE091CF" w14:textId="77777777" w:rsidR="00FF5485" w:rsidRPr="00AE4FAA" w:rsidRDefault="00FF5485" w:rsidP="00FF5485">
      <w:pPr>
        <w:pStyle w:val="ListParagraph"/>
        <w:numPr>
          <w:ilvl w:val="1"/>
          <w:numId w:val="32"/>
        </w:numPr>
        <w:spacing w:before="0" w:after="160" w:line="259" w:lineRule="auto"/>
        <w:rPr>
          <w:rFonts w:ascii="Calibri Light" w:hAnsi="Calibri Light" w:cs="Calibri Light"/>
          <w:b/>
        </w:rPr>
      </w:pPr>
      <w:r>
        <w:rPr>
          <w:rFonts w:ascii="Calibri Light" w:hAnsi="Calibri Light" w:cs="Calibri Light"/>
        </w:rPr>
        <w:t>Exploiting synergies/linkages between different activities within and across pillars</w:t>
      </w:r>
    </w:p>
    <w:p w14:paraId="24469E8C" w14:textId="77777777" w:rsidR="00FF5485" w:rsidRPr="00E1688A" w:rsidRDefault="00FF5485" w:rsidP="00FF5485">
      <w:pPr>
        <w:pStyle w:val="ListParagraph"/>
        <w:numPr>
          <w:ilvl w:val="1"/>
          <w:numId w:val="32"/>
        </w:numPr>
        <w:spacing w:before="0" w:after="160" w:line="259" w:lineRule="auto"/>
        <w:rPr>
          <w:rFonts w:ascii="Calibri Light" w:hAnsi="Calibri Light" w:cs="Calibri Light"/>
          <w:b/>
        </w:rPr>
      </w:pPr>
      <w:r>
        <w:rPr>
          <w:rFonts w:ascii="Calibri Light" w:hAnsi="Calibri Light" w:cs="Calibri Light"/>
        </w:rPr>
        <w:t>Ensuring effective coordination / division of responsibilities with other DFAT programs and with other donors.</w:t>
      </w:r>
    </w:p>
    <w:p w14:paraId="443D2D5C" w14:textId="77777777" w:rsidR="00FF5485" w:rsidRDefault="00FF5485" w:rsidP="00FF5485">
      <w:pPr>
        <w:pStyle w:val="ListParagraph"/>
        <w:numPr>
          <w:ilvl w:val="0"/>
          <w:numId w:val="32"/>
        </w:numPr>
        <w:spacing w:before="0" w:after="160" w:line="259" w:lineRule="auto"/>
        <w:rPr>
          <w:rFonts w:ascii="Calibri Light" w:hAnsi="Calibri Light" w:cs="Calibri Light"/>
        </w:rPr>
      </w:pPr>
      <w:r>
        <w:rPr>
          <w:rFonts w:ascii="Calibri Light" w:hAnsi="Calibri Light" w:cs="Calibri Light"/>
          <w:b/>
        </w:rPr>
        <w:t>The MTR will not</w:t>
      </w:r>
      <w:r w:rsidRPr="00E1688A">
        <w:rPr>
          <w:rFonts w:ascii="Calibri Light" w:hAnsi="Calibri Light" w:cs="Calibri Light"/>
          <w:b/>
        </w:rPr>
        <w:t xml:space="preserve"> look specifically /in detail at the GEDSI work</w:t>
      </w:r>
      <w:r w:rsidRPr="00E1688A">
        <w:rPr>
          <w:rFonts w:ascii="Calibri Light" w:hAnsi="Calibri Light" w:cs="Calibri Light"/>
        </w:rPr>
        <w:t xml:space="preserve">  - though we will</w:t>
      </w:r>
      <w:r>
        <w:rPr>
          <w:rFonts w:ascii="Calibri Light" w:hAnsi="Calibri Light" w:cs="Calibri Light"/>
        </w:rPr>
        <w:t xml:space="preserve"> address gender elements</w:t>
      </w:r>
      <w:r w:rsidRPr="00E1688A">
        <w:rPr>
          <w:rFonts w:ascii="Calibri Light" w:hAnsi="Calibri Light" w:cs="Calibri Light"/>
        </w:rPr>
        <w:t xml:space="preserve"> consider the opportunities for addressing GEDSI concerns across the pillars </w:t>
      </w:r>
      <w:r>
        <w:rPr>
          <w:rFonts w:ascii="Calibri Light" w:hAnsi="Calibri Light" w:cs="Calibri Light"/>
        </w:rPr>
        <w:t xml:space="preserve">more broadly </w:t>
      </w:r>
      <w:r w:rsidRPr="00E1688A">
        <w:rPr>
          <w:rFonts w:ascii="Calibri Light" w:hAnsi="Calibri Light" w:cs="Calibri Light"/>
        </w:rPr>
        <w:t xml:space="preserve">and comment on how effectively this is being done to date.  </w:t>
      </w:r>
      <w:r>
        <w:rPr>
          <w:rFonts w:ascii="Calibri Light" w:hAnsi="Calibri Light" w:cs="Calibri Light"/>
        </w:rPr>
        <w:t xml:space="preserve"> </w:t>
      </w:r>
    </w:p>
    <w:p w14:paraId="7A020DB7" w14:textId="77777777" w:rsidR="00FF5485" w:rsidRPr="00861A67" w:rsidRDefault="00FF5485" w:rsidP="00FF5485">
      <w:pPr>
        <w:pStyle w:val="ListParagraph"/>
        <w:numPr>
          <w:ilvl w:val="0"/>
          <w:numId w:val="33"/>
        </w:numPr>
        <w:spacing w:before="0" w:after="160" w:line="259" w:lineRule="auto"/>
        <w:rPr>
          <w:rFonts w:ascii="Calibri Light" w:hAnsi="Calibri Light" w:cs="Calibri Light"/>
        </w:rPr>
      </w:pPr>
      <w:r>
        <w:rPr>
          <w:rFonts w:ascii="Calibri Light" w:hAnsi="Calibri Light" w:cs="Calibri Light"/>
          <w:b/>
        </w:rPr>
        <w:t>The MTR will not look specifically</w:t>
      </w:r>
      <w:r w:rsidRPr="005F475A">
        <w:rPr>
          <w:rFonts w:ascii="Calibri Light" w:hAnsi="Calibri Light" w:cs="Calibri Light"/>
          <w:b/>
        </w:rPr>
        <w:t xml:space="preserve"> at the knowledge hub</w:t>
      </w:r>
      <w:r>
        <w:rPr>
          <w:rFonts w:ascii="Calibri Light" w:hAnsi="Calibri Light" w:cs="Calibri Light"/>
        </w:rPr>
        <w:t xml:space="preserve">   </w:t>
      </w:r>
      <w:r w:rsidRPr="005F475A">
        <w:rPr>
          <w:rFonts w:ascii="Calibri Light" w:hAnsi="Calibri Light" w:cs="Calibri Light"/>
        </w:rPr>
        <w:t>This is an interesting innovation but is only getting started</w:t>
      </w:r>
      <w:r>
        <w:rPr>
          <w:rFonts w:ascii="Calibri Light" w:hAnsi="Calibri Light" w:cs="Calibri Light"/>
        </w:rPr>
        <w:t xml:space="preserve"> and is not a priority for the review</w:t>
      </w:r>
      <w:r w:rsidRPr="005F475A">
        <w:rPr>
          <w:rFonts w:ascii="Calibri Light" w:hAnsi="Calibri Light" w:cs="Calibri Light"/>
        </w:rPr>
        <w:t>.</w:t>
      </w:r>
      <w:r>
        <w:rPr>
          <w:rFonts w:ascii="Calibri Light" w:hAnsi="Calibri Light" w:cs="Calibri Light"/>
        </w:rPr>
        <w:t xml:space="preserve">  However the review will consider </w:t>
      </w:r>
      <w:r w:rsidRPr="00F818AF">
        <w:rPr>
          <w:rFonts w:ascii="Calibri Light" w:hAnsi="Calibri Light" w:cs="Calibri Light"/>
        </w:rPr>
        <w:t>how it fits in the AIPJ2 theory of change and its potential to support capacity development.</w:t>
      </w:r>
    </w:p>
    <w:p w14:paraId="3BD529E1" w14:textId="77777777" w:rsidR="00FF5485" w:rsidRPr="00310889" w:rsidRDefault="00FF5485" w:rsidP="00FF5485">
      <w:pPr>
        <w:pStyle w:val="Heading3"/>
      </w:pPr>
      <w:r w:rsidRPr="00310889">
        <w:t>AIPJ2 partners for engagement</w:t>
      </w:r>
    </w:p>
    <w:p w14:paraId="7BB47513" w14:textId="77777777" w:rsidR="00FF5485" w:rsidRPr="009A5E28" w:rsidRDefault="00FF5485" w:rsidP="00FF5485">
      <w:pPr>
        <w:spacing w:after="240"/>
      </w:pPr>
      <w:r>
        <w:rPr>
          <w:rFonts w:ascii="Calibri Light" w:hAnsi="Calibri Light" w:cs="Calibri Light"/>
        </w:rPr>
        <w:t>AIPJ2 engages a wide range of partners to varying degrees of involvement</w:t>
      </w:r>
      <w:r w:rsidRPr="008118BC">
        <w:rPr>
          <w:rFonts w:ascii="Calibri Light" w:hAnsi="Calibri Light" w:cs="Calibri Light"/>
        </w:rPr>
        <w:t xml:space="preserve">.  </w:t>
      </w:r>
      <w:r>
        <w:rPr>
          <w:rFonts w:ascii="Calibri Light" w:hAnsi="Calibri Light" w:cs="Calibri Light"/>
        </w:rPr>
        <w:t>The following table sets out the partners identified for the MTR areas of focus.  These may be subject to further discussion/ refinement but are offered here to assist DFAT’s initial preparations for the July visit.</w:t>
      </w:r>
    </w:p>
    <w:tbl>
      <w:tblPr>
        <w:tblStyle w:val="TableGrid"/>
        <w:tblW w:w="9351" w:type="dxa"/>
        <w:tblLook w:val="04A0" w:firstRow="1" w:lastRow="0" w:firstColumn="1" w:lastColumn="0" w:noHBand="0" w:noVBand="1"/>
      </w:tblPr>
      <w:tblGrid>
        <w:gridCol w:w="1696"/>
        <w:gridCol w:w="770"/>
        <w:gridCol w:w="6885"/>
      </w:tblGrid>
      <w:tr w:rsidR="00FF5485" w:rsidRPr="00A3526C" w14:paraId="0EDAAA15" w14:textId="77777777" w:rsidTr="00B439C2">
        <w:tc>
          <w:tcPr>
            <w:tcW w:w="1696" w:type="dxa"/>
          </w:tcPr>
          <w:p w14:paraId="54FC6006" w14:textId="77777777" w:rsidR="00FF5485" w:rsidRPr="002D5F58" w:rsidRDefault="00FF5485" w:rsidP="00B439C2">
            <w:pPr>
              <w:spacing w:before="60" w:after="60"/>
              <w:jc w:val="center"/>
              <w:rPr>
                <w:rFonts w:ascii="Calibri Light" w:hAnsi="Calibri Light" w:cs="Calibri Light"/>
                <w:b/>
                <w:bCs/>
                <w:sz w:val="21"/>
                <w:szCs w:val="21"/>
              </w:rPr>
            </w:pPr>
            <w:r>
              <w:rPr>
                <w:rFonts w:ascii="Calibri Light" w:hAnsi="Calibri Light" w:cs="Calibri Light"/>
                <w:b/>
                <w:bCs/>
                <w:sz w:val="21"/>
                <w:szCs w:val="21"/>
              </w:rPr>
              <w:t>MTR focus</w:t>
            </w:r>
          </w:p>
        </w:tc>
        <w:tc>
          <w:tcPr>
            <w:tcW w:w="770" w:type="dxa"/>
          </w:tcPr>
          <w:p w14:paraId="70FCA569"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b/>
                <w:bCs/>
                <w:sz w:val="21"/>
                <w:szCs w:val="21"/>
              </w:rPr>
              <w:t>Pillar</w:t>
            </w:r>
          </w:p>
        </w:tc>
        <w:tc>
          <w:tcPr>
            <w:tcW w:w="6885" w:type="dxa"/>
          </w:tcPr>
          <w:p w14:paraId="2762A82E" w14:textId="77777777" w:rsidR="00FF5485" w:rsidRPr="00A3526C" w:rsidRDefault="00FF5485" w:rsidP="00B439C2">
            <w:pPr>
              <w:spacing w:before="60" w:after="60"/>
              <w:rPr>
                <w:rFonts w:ascii="Calibri Light" w:hAnsi="Calibri Light" w:cs="Calibri Light"/>
                <w:b/>
                <w:bCs/>
                <w:sz w:val="21"/>
                <w:szCs w:val="21"/>
              </w:rPr>
            </w:pPr>
            <w:r>
              <w:rPr>
                <w:rFonts w:ascii="Calibri Light" w:hAnsi="Calibri Light" w:cs="Calibri Light"/>
                <w:b/>
                <w:bCs/>
                <w:sz w:val="21"/>
                <w:szCs w:val="21"/>
              </w:rPr>
              <w:t>Partners for interviews</w:t>
            </w:r>
          </w:p>
        </w:tc>
      </w:tr>
      <w:tr w:rsidR="00FF5485" w:rsidRPr="0090409C" w14:paraId="40365277" w14:textId="77777777" w:rsidTr="00B439C2">
        <w:tc>
          <w:tcPr>
            <w:tcW w:w="1696" w:type="dxa"/>
          </w:tcPr>
          <w:p w14:paraId="75BB9209" w14:textId="77777777" w:rsidR="00FF5485" w:rsidRPr="0068094F" w:rsidRDefault="00FF5485" w:rsidP="00B439C2">
            <w:pPr>
              <w:spacing w:before="60" w:after="60"/>
              <w:jc w:val="center"/>
              <w:rPr>
                <w:rFonts w:ascii="Calibri Light" w:hAnsi="Calibri Light" w:cs="Calibri Light"/>
                <w:sz w:val="18"/>
                <w:szCs w:val="18"/>
              </w:rPr>
            </w:pPr>
            <w:r w:rsidRPr="0068094F">
              <w:rPr>
                <w:rFonts w:ascii="Calibri Light" w:hAnsi="Calibri Light" w:cs="Calibri Light"/>
                <w:sz w:val="18"/>
                <w:szCs w:val="18"/>
              </w:rPr>
              <w:t>Court reform</w:t>
            </w:r>
          </w:p>
        </w:tc>
        <w:tc>
          <w:tcPr>
            <w:tcW w:w="770" w:type="dxa"/>
          </w:tcPr>
          <w:p w14:paraId="37DE5C21"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w:t>
            </w:r>
          </w:p>
        </w:tc>
        <w:tc>
          <w:tcPr>
            <w:tcW w:w="6885" w:type="dxa"/>
            <w:vAlign w:val="center"/>
          </w:tcPr>
          <w:p w14:paraId="68813760" w14:textId="77777777" w:rsidR="00FF5485" w:rsidRPr="0090409C" w:rsidRDefault="00FF5485" w:rsidP="00B439C2">
            <w:pPr>
              <w:spacing w:before="60" w:after="60"/>
              <w:rPr>
                <w:rFonts w:ascii="Calibri Light" w:hAnsi="Calibri Light" w:cs="Calibri Light"/>
                <w:sz w:val="18"/>
                <w:szCs w:val="18"/>
              </w:rPr>
            </w:pPr>
            <w:r w:rsidRPr="00A91B7D">
              <w:rPr>
                <w:rFonts w:ascii="Calibri Light" w:hAnsi="Calibri Light" w:cs="Calibri Light"/>
                <w:sz w:val="18"/>
                <w:szCs w:val="18"/>
              </w:rPr>
              <w:t>Bappenas</w:t>
            </w:r>
            <w:r>
              <w:rPr>
                <w:rFonts w:ascii="Calibri Light" w:hAnsi="Calibri Light" w:cs="Calibri Light"/>
                <w:sz w:val="18"/>
                <w:szCs w:val="18"/>
              </w:rPr>
              <w:t xml:space="preserve">; </w:t>
            </w:r>
            <w:r w:rsidRPr="00A91B7D">
              <w:rPr>
                <w:rFonts w:ascii="Calibri Light" w:hAnsi="Calibri Light" w:cs="Calibri Light"/>
                <w:sz w:val="18"/>
                <w:szCs w:val="18"/>
              </w:rPr>
              <w:t xml:space="preserve"> Supreme Court</w:t>
            </w:r>
            <w:r>
              <w:rPr>
                <w:rFonts w:ascii="Calibri Light" w:hAnsi="Calibri Light" w:cs="Calibri Light"/>
                <w:sz w:val="18"/>
                <w:szCs w:val="18"/>
              </w:rPr>
              <w:t xml:space="preserve">;  </w:t>
            </w:r>
            <w:r w:rsidRPr="00F31236">
              <w:rPr>
                <w:rFonts w:ascii="Calibri Light" w:hAnsi="Calibri Light" w:cs="Calibri Light"/>
                <w:sz w:val="18"/>
                <w:szCs w:val="18"/>
              </w:rPr>
              <w:t>LeIP</w:t>
            </w:r>
            <w:r>
              <w:rPr>
                <w:rFonts w:ascii="Calibri Light" w:hAnsi="Calibri Light" w:cs="Calibri Light"/>
                <w:sz w:val="18"/>
                <w:szCs w:val="18"/>
              </w:rPr>
              <w:t xml:space="preserve">;  </w:t>
            </w:r>
            <w:r w:rsidRPr="00F31236">
              <w:rPr>
                <w:rFonts w:ascii="Calibri Light" w:hAnsi="Calibri Light" w:cs="Calibri Light"/>
                <w:sz w:val="18"/>
                <w:szCs w:val="18"/>
              </w:rPr>
              <w:t>MaPPI</w:t>
            </w:r>
            <w:r>
              <w:rPr>
                <w:rFonts w:ascii="Calibri Light" w:hAnsi="Calibri Light" w:cs="Calibri Light"/>
                <w:sz w:val="18"/>
                <w:szCs w:val="18"/>
              </w:rPr>
              <w:t>;  Dutch aid</w:t>
            </w:r>
          </w:p>
        </w:tc>
      </w:tr>
      <w:tr w:rsidR="00FF5485" w:rsidRPr="0090409C" w14:paraId="15B48293" w14:textId="77777777" w:rsidTr="00B439C2">
        <w:tc>
          <w:tcPr>
            <w:tcW w:w="1696" w:type="dxa"/>
          </w:tcPr>
          <w:p w14:paraId="7F066AFB"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 xml:space="preserve">Anti-corruption </w:t>
            </w:r>
          </w:p>
        </w:tc>
        <w:tc>
          <w:tcPr>
            <w:tcW w:w="770" w:type="dxa"/>
          </w:tcPr>
          <w:p w14:paraId="34431186"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 &amp; 2</w:t>
            </w:r>
          </w:p>
        </w:tc>
        <w:tc>
          <w:tcPr>
            <w:tcW w:w="6885" w:type="dxa"/>
          </w:tcPr>
          <w:p w14:paraId="0C0422B7" w14:textId="77777777" w:rsidR="00FF5485" w:rsidRPr="0090409C" w:rsidRDefault="00FF5485" w:rsidP="00B439C2">
            <w:pPr>
              <w:spacing w:before="60" w:after="60"/>
              <w:rPr>
                <w:rFonts w:ascii="Calibri Light" w:hAnsi="Calibri Light" w:cs="Calibri Light"/>
                <w:sz w:val="18"/>
                <w:szCs w:val="18"/>
              </w:rPr>
            </w:pPr>
            <w:r w:rsidRPr="00954FC2">
              <w:rPr>
                <w:rFonts w:ascii="Calibri Light" w:hAnsi="Calibri Light" w:cs="Calibri Light"/>
                <w:sz w:val="18"/>
                <w:szCs w:val="18"/>
              </w:rPr>
              <w:t>KPK</w:t>
            </w:r>
            <w:r>
              <w:rPr>
                <w:rFonts w:ascii="Calibri Light" w:hAnsi="Calibri Light" w:cs="Calibri Light"/>
                <w:sz w:val="18"/>
                <w:szCs w:val="18"/>
              </w:rPr>
              <w:t xml:space="preserve">;  </w:t>
            </w:r>
            <w:r w:rsidRPr="00954FC2">
              <w:rPr>
                <w:rFonts w:ascii="Calibri Light" w:hAnsi="Calibri Light" w:cs="Calibri Light"/>
                <w:sz w:val="18"/>
                <w:szCs w:val="18"/>
              </w:rPr>
              <w:t>Bappenas</w:t>
            </w:r>
            <w:r>
              <w:rPr>
                <w:rFonts w:ascii="Calibri Light" w:hAnsi="Calibri Light" w:cs="Calibri Light"/>
                <w:sz w:val="18"/>
                <w:szCs w:val="18"/>
              </w:rPr>
              <w:t xml:space="preserve">;  </w:t>
            </w:r>
            <w:r w:rsidRPr="00954FC2">
              <w:rPr>
                <w:rFonts w:ascii="Calibri Light" w:hAnsi="Calibri Light" w:cs="Calibri Light"/>
                <w:sz w:val="18"/>
                <w:szCs w:val="18"/>
              </w:rPr>
              <w:t>Transparency International Indonesia</w:t>
            </w:r>
            <w:r>
              <w:rPr>
                <w:rFonts w:ascii="Calibri Light" w:hAnsi="Calibri Light" w:cs="Calibri Light"/>
                <w:sz w:val="18"/>
                <w:szCs w:val="18"/>
              </w:rPr>
              <w:t>;  PSHK;  Attorney-General’s Office;  AFP;   USAID-</w:t>
            </w:r>
            <w:r w:rsidRPr="00007A96">
              <w:rPr>
                <w:rFonts w:ascii="Calibri Light" w:hAnsi="Calibri Light" w:cs="Calibri Light"/>
                <w:sz w:val="18"/>
                <w:szCs w:val="18"/>
              </w:rPr>
              <w:t>CEGAH</w:t>
            </w:r>
          </w:p>
        </w:tc>
      </w:tr>
      <w:tr w:rsidR="00FF5485" w:rsidRPr="0090409C" w14:paraId="211E323B" w14:textId="77777777" w:rsidTr="00B439C2">
        <w:tc>
          <w:tcPr>
            <w:tcW w:w="1696" w:type="dxa"/>
          </w:tcPr>
          <w:p w14:paraId="49020ECE"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Prevention of child marriage</w:t>
            </w:r>
          </w:p>
        </w:tc>
        <w:tc>
          <w:tcPr>
            <w:tcW w:w="770" w:type="dxa"/>
          </w:tcPr>
          <w:p w14:paraId="6EFEC0A9"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1</w:t>
            </w:r>
          </w:p>
        </w:tc>
        <w:tc>
          <w:tcPr>
            <w:tcW w:w="6885" w:type="dxa"/>
          </w:tcPr>
          <w:p w14:paraId="3E320CB4" w14:textId="77777777" w:rsidR="00FF5485" w:rsidRPr="00E017B1" w:rsidRDefault="00FF5485" w:rsidP="00B439C2">
            <w:pPr>
              <w:spacing w:before="60" w:after="60"/>
              <w:rPr>
                <w:rFonts w:ascii="Calibri Light" w:hAnsi="Calibri Light" w:cs="Calibri Light"/>
                <w:sz w:val="18"/>
                <w:szCs w:val="18"/>
              </w:rPr>
            </w:pPr>
            <w:r w:rsidRPr="00E017B1">
              <w:rPr>
                <w:rFonts w:ascii="Calibri Light" w:hAnsi="Calibri Light" w:cs="Calibri Light"/>
                <w:sz w:val="18"/>
                <w:szCs w:val="18"/>
              </w:rPr>
              <w:t>Supreme Court</w:t>
            </w:r>
            <w:r>
              <w:rPr>
                <w:rFonts w:ascii="Calibri Light" w:hAnsi="Calibri Light" w:cs="Calibri Light"/>
                <w:sz w:val="18"/>
                <w:szCs w:val="18"/>
              </w:rPr>
              <w:t xml:space="preserve">; </w:t>
            </w:r>
            <w:r w:rsidRPr="00E017B1">
              <w:rPr>
                <w:rFonts w:ascii="Calibri Light" w:hAnsi="Calibri Light" w:cs="Calibri Light"/>
                <w:sz w:val="18"/>
                <w:szCs w:val="18"/>
              </w:rPr>
              <w:t xml:space="preserve"> </w:t>
            </w:r>
            <w:r w:rsidRPr="00DE2BDB">
              <w:rPr>
                <w:rFonts w:ascii="Calibri Light" w:hAnsi="Calibri Light" w:cs="Calibri Light"/>
                <w:sz w:val="18"/>
                <w:szCs w:val="18"/>
              </w:rPr>
              <w:t>Rumah KitaB</w:t>
            </w:r>
            <w:r>
              <w:rPr>
                <w:rFonts w:ascii="Calibri Light" w:hAnsi="Calibri Light" w:cs="Calibri Light"/>
                <w:sz w:val="18"/>
                <w:szCs w:val="18"/>
              </w:rPr>
              <w:t xml:space="preserve">; </w:t>
            </w:r>
            <w:r w:rsidRPr="00DE2BDB">
              <w:rPr>
                <w:rFonts w:ascii="Calibri Light" w:hAnsi="Calibri Light" w:cs="Calibri Light"/>
                <w:sz w:val="18"/>
                <w:szCs w:val="18"/>
              </w:rPr>
              <w:t>ICJ</w:t>
            </w:r>
            <w:r>
              <w:rPr>
                <w:rFonts w:ascii="Calibri Light" w:hAnsi="Calibri Light" w:cs="Calibri Light"/>
                <w:sz w:val="18"/>
                <w:szCs w:val="18"/>
              </w:rPr>
              <w:t>; PEKKA</w:t>
            </w:r>
          </w:p>
        </w:tc>
      </w:tr>
      <w:tr w:rsidR="00FF5485" w:rsidRPr="0090409C" w14:paraId="64FB41A0" w14:textId="77777777" w:rsidTr="00B439C2">
        <w:tc>
          <w:tcPr>
            <w:tcW w:w="1696" w:type="dxa"/>
          </w:tcPr>
          <w:p w14:paraId="1E79B6EF"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Pillar 2</w:t>
            </w:r>
          </w:p>
        </w:tc>
        <w:tc>
          <w:tcPr>
            <w:tcW w:w="770" w:type="dxa"/>
          </w:tcPr>
          <w:p w14:paraId="3E6BBCD3"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2</w:t>
            </w:r>
          </w:p>
        </w:tc>
        <w:tc>
          <w:tcPr>
            <w:tcW w:w="6885" w:type="dxa"/>
          </w:tcPr>
          <w:p w14:paraId="4637C7DD" w14:textId="77777777" w:rsidR="00FF5485" w:rsidRPr="0090409C" w:rsidRDefault="00FF5485" w:rsidP="00B439C2">
            <w:pPr>
              <w:spacing w:before="60" w:after="60"/>
              <w:rPr>
                <w:rFonts w:ascii="Calibri Light" w:hAnsi="Calibri Light" w:cs="Calibri Light"/>
                <w:sz w:val="18"/>
                <w:szCs w:val="18"/>
              </w:rPr>
            </w:pPr>
            <w:r>
              <w:rPr>
                <w:rFonts w:ascii="Calibri Light" w:hAnsi="Calibri Light" w:cs="Calibri Light"/>
                <w:sz w:val="18"/>
                <w:szCs w:val="18"/>
              </w:rPr>
              <w:t>AFP;  AG-O; Home Affairs;  AUSTRAC</w:t>
            </w:r>
            <w:r w:rsidRPr="0090409C">
              <w:rPr>
                <w:rFonts w:ascii="Calibri Light" w:hAnsi="Calibri Light" w:cs="Calibri Light"/>
                <w:sz w:val="18"/>
                <w:szCs w:val="18"/>
              </w:rPr>
              <w:t xml:space="preserve"> </w:t>
            </w:r>
          </w:p>
        </w:tc>
      </w:tr>
      <w:tr w:rsidR="00FF5485" w:rsidRPr="0090409C" w14:paraId="18E72872" w14:textId="77777777" w:rsidTr="00B439C2">
        <w:tc>
          <w:tcPr>
            <w:tcW w:w="1696" w:type="dxa"/>
          </w:tcPr>
          <w:p w14:paraId="161176E3"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Pillar 3</w:t>
            </w:r>
          </w:p>
        </w:tc>
        <w:tc>
          <w:tcPr>
            <w:tcW w:w="770" w:type="dxa"/>
          </w:tcPr>
          <w:p w14:paraId="370A9B30" w14:textId="77777777" w:rsidR="00FF5485" w:rsidRPr="0090409C" w:rsidRDefault="00FF5485" w:rsidP="00B439C2">
            <w:pPr>
              <w:spacing w:before="60" w:after="60"/>
              <w:jc w:val="center"/>
              <w:rPr>
                <w:rFonts w:ascii="Calibri Light" w:hAnsi="Calibri Light" w:cs="Calibri Light"/>
                <w:sz w:val="18"/>
                <w:szCs w:val="18"/>
              </w:rPr>
            </w:pPr>
            <w:r w:rsidRPr="0090409C">
              <w:rPr>
                <w:rFonts w:ascii="Calibri Light" w:hAnsi="Calibri Light" w:cs="Calibri Light"/>
                <w:sz w:val="18"/>
                <w:szCs w:val="18"/>
              </w:rPr>
              <w:t>3</w:t>
            </w:r>
          </w:p>
        </w:tc>
        <w:tc>
          <w:tcPr>
            <w:tcW w:w="6885" w:type="dxa"/>
          </w:tcPr>
          <w:p w14:paraId="2CF0472C" w14:textId="77777777" w:rsidR="00FF5485" w:rsidRPr="0090409C" w:rsidRDefault="00FF5485" w:rsidP="00B439C2">
            <w:pPr>
              <w:spacing w:before="60" w:after="60"/>
              <w:rPr>
                <w:rFonts w:ascii="Calibri Light" w:hAnsi="Calibri Light" w:cs="Calibri Light"/>
                <w:sz w:val="18"/>
                <w:szCs w:val="18"/>
              </w:rPr>
            </w:pPr>
            <w:r w:rsidRPr="009929CA">
              <w:rPr>
                <w:rFonts w:ascii="Calibri Light" w:hAnsi="Calibri Light" w:cs="Calibri Light"/>
                <w:sz w:val="18"/>
                <w:szCs w:val="18"/>
              </w:rPr>
              <w:t>Bappenas</w:t>
            </w:r>
            <w:r>
              <w:rPr>
                <w:rFonts w:ascii="Calibri Light" w:hAnsi="Calibri Light" w:cs="Calibri Light"/>
                <w:sz w:val="18"/>
                <w:szCs w:val="18"/>
              </w:rPr>
              <w:t xml:space="preserve">;  </w:t>
            </w:r>
            <w:r w:rsidRPr="00711644">
              <w:rPr>
                <w:rFonts w:ascii="Calibri Light" w:hAnsi="Calibri Light" w:cs="Calibri Light"/>
                <w:sz w:val="18"/>
                <w:szCs w:val="18"/>
              </w:rPr>
              <w:t>BNPT (through Bappenas)</w:t>
            </w:r>
            <w:r>
              <w:rPr>
                <w:rFonts w:ascii="Calibri Light" w:hAnsi="Calibri Light" w:cs="Calibri Light"/>
                <w:sz w:val="18"/>
                <w:szCs w:val="18"/>
              </w:rPr>
              <w:t>;  Wahid Foundation;  CSAVE;  YPP;  AIDA;  USAID-HARMONI;  UNODC;  EU</w:t>
            </w:r>
          </w:p>
        </w:tc>
      </w:tr>
      <w:tr w:rsidR="00FF5485" w:rsidRPr="002D5F58" w14:paraId="3F93E78A" w14:textId="77777777" w:rsidTr="00B439C2">
        <w:tc>
          <w:tcPr>
            <w:tcW w:w="1696" w:type="dxa"/>
          </w:tcPr>
          <w:p w14:paraId="77075F7F"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Reform coordination</w:t>
            </w:r>
          </w:p>
        </w:tc>
        <w:tc>
          <w:tcPr>
            <w:tcW w:w="770" w:type="dxa"/>
          </w:tcPr>
          <w:p w14:paraId="70E79347"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4</w:t>
            </w:r>
          </w:p>
        </w:tc>
        <w:tc>
          <w:tcPr>
            <w:tcW w:w="6885" w:type="dxa"/>
            <w:vAlign w:val="center"/>
          </w:tcPr>
          <w:p w14:paraId="7F0A0CA4" w14:textId="77777777" w:rsidR="00FF5485" w:rsidRPr="00711644" w:rsidRDefault="00FF5485" w:rsidP="00B439C2">
            <w:pPr>
              <w:spacing w:before="60" w:after="60"/>
              <w:rPr>
                <w:rFonts w:ascii="Calibri Light" w:hAnsi="Calibri Light" w:cs="Calibri Light"/>
                <w:sz w:val="18"/>
                <w:szCs w:val="18"/>
              </w:rPr>
            </w:pPr>
            <w:r w:rsidRPr="00711644">
              <w:rPr>
                <w:rFonts w:ascii="Calibri Light" w:hAnsi="Calibri Light" w:cs="Calibri Light"/>
                <w:sz w:val="18"/>
                <w:szCs w:val="18"/>
              </w:rPr>
              <w:t xml:space="preserve">Ministry of Law and Human Rights;  Bappenas;  </w:t>
            </w:r>
            <w:r w:rsidRPr="003004F2">
              <w:rPr>
                <w:rFonts w:ascii="Calibri Light" w:hAnsi="Calibri Light" w:cs="Calibri Light"/>
                <w:sz w:val="18"/>
                <w:szCs w:val="18"/>
              </w:rPr>
              <w:t>BNPT (through Corrections)</w:t>
            </w:r>
            <w:r>
              <w:rPr>
                <w:rFonts w:ascii="Calibri Light" w:hAnsi="Calibri Light" w:cs="Calibri Light"/>
                <w:sz w:val="18"/>
                <w:szCs w:val="18"/>
              </w:rPr>
              <w:t xml:space="preserve">;  TAF;  </w:t>
            </w:r>
            <w:r w:rsidRPr="00711644">
              <w:rPr>
                <w:rFonts w:ascii="Calibri Light" w:hAnsi="Calibri Light" w:cs="Calibri Light"/>
                <w:sz w:val="18"/>
                <w:szCs w:val="18"/>
              </w:rPr>
              <w:t>CDS</w:t>
            </w:r>
            <w:r>
              <w:rPr>
                <w:rFonts w:ascii="Calibri Light" w:hAnsi="Calibri Light" w:cs="Calibri Light"/>
                <w:sz w:val="18"/>
                <w:szCs w:val="18"/>
              </w:rPr>
              <w:t>; UNODC</w:t>
            </w:r>
          </w:p>
        </w:tc>
      </w:tr>
      <w:tr w:rsidR="00FF5485" w:rsidRPr="00233AEA" w14:paraId="54C44E97" w14:textId="77777777" w:rsidTr="00B439C2">
        <w:tc>
          <w:tcPr>
            <w:tcW w:w="1696" w:type="dxa"/>
          </w:tcPr>
          <w:p w14:paraId="28266BA1"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capacity building*</w:t>
            </w:r>
          </w:p>
        </w:tc>
        <w:tc>
          <w:tcPr>
            <w:tcW w:w="770" w:type="dxa"/>
          </w:tcPr>
          <w:p w14:paraId="64FBD8CD"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2CB91E18" w14:textId="77777777" w:rsidR="00FF5485" w:rsidRPr="00233AEA" w:rsidRDefault="00FF5485" w:rsidP="00B439C2">
            <w:pPr>
              <w:spacing w:before="60" w:after="60"/>
              <w:rPr>
                <w:rFonts w:ascii="Calibri Light" w:hAnsi="Calibri Light" w:cs="Calibri Light"/>
                <w:sz w:val="18"/>
                <w:szCs w:val="18"/>
              </w:rPr>
            </w:pPr>
            <w:r w:rsidRPr="00233AEA">
              <w:rPr>
                <w:rFonts w:ascii="Calibri Light" w:hAnsi="Calibri Light" w:cs="Calibri Light"/>
                <w:sz w:val="18"/>
                <w:szCs w:val="18"/>
              </w:rPr>
              <w:t>The sample s</w:t>
            </w:r>
            <w:r>
              <w:rPr>
                <w:rFonts w:ascii="Calibri Light" w:hAnsi="Calibri Light" w:cs="Calibri Light"/>
                <w:sz w:val="18"/>
                <w:szCs w:val="18"/>
              </w:rPr>
              <w:t>elected is set out below</w:t>
            </w:r>
            <w:r w:rsidRPr="00233AEA">
              <w:rPr>
                <w:rFonts w:ascii="Calibri Light" w:hAnsi="Calibri Light" w:cs="Calibri Light"/>
                <w:sz w:val="18"/>
                <w:szCs w:val="18"/>
              </w:rPr>
              <w:t>.</w:t>
            </w:r>
          </w:p>
        </w:tc>
      </w:tr>
      <w:tr w:rsidR="00FF5485" w:rsidRPr="002D5F58" w14:paraId="24124072" w14:textId="77777777" w:rsidTr="00B439C2">
        <w:tc>
          <w:tcPr>
            <w:tcW w:w="1696" w:type="dxa"/>
          </w:tcPr>
          <w:p w14:paraId="0A07E8D3"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adaptive programming</w:t>
            </w:r>
          </w:p>
        </w:tc>
        <w:tc>
          <w:tcPr>
            <w:tcW w:w="770" w:type="dxa"/>
          </w:tcPr>
          <w:p w14:paraId="6C7BA4B1"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5E6A036C" w14:textId="77777777" w:rsidR="00FF5485" w:rsidRPr="002D5F58" w:rsidRDefault="00FF5485" w:rsidP="00B439C2">
            <w:pPr>
              <w:spacing w:before="60" w:after="60"/>
              <w:rPr>
                <w:rFonts w:ascii="Calibri Light" w:hAnsi="Calibri Light" w:cs="Calibri Light"/>
                <w:sz w:val="21"/>
                <w:szCs w:val="21"/>
              </w:rPr>
            </w:pPr>
            <w:r>
              <w:rPr>
                <w:rFonts w:ascii="Calibri Light" w:hAnsi="Calibri Light" w:cs="Calibri Light"/>
                <w:sz w:val="18"/>
                <w:szCs w:val="18"/>
              </w:rPr>
              <w:t>No additional selections required.</w:t>
            </w:r>
          </w:p>
        </w:tc>
      </w:tr>
      <w:tr w:rsidR="00FF5485" w:rsidRPr="002D5F58" w14:paraId="6156728F" w14:textId="77777777" w:rsidTr="00B439C2">
        <w:tc>
          <w:tcPr>
            <w:tcW w:w="1696" w:type="dxa"/>
          </w:tcPr>
          <w:p w14:paraId="6B3F12B4" w14:textId="77777777" w:rsidR="00FF5485" w:rsidRPr="0090409C" w:rsidRDefault="00FF5485" w:rsidP="00B439C2">
            <w:pPr>
              <w:spacing w:before="60" w:after="60"/>
              <w:jc w:val="center"/>
              <w:rPr>
                <w:rFonts w:ascii="Calibri Light" w:hAnsi="Calibri Light" w:cs="Calibri Light"/>
                <w:sz w:val="18"/>
                <w:szCs w:val="18"/>
              </w:rPr>
            </w:pPr>
            <w:r>
              <w:rPr>
                <w:rFonts w:ascii="Calibri Light" w:hAnsi="Calibri Light" w:cs="Calibri Light"/>
                <w:sz w:val="18"/>
                <w:szCs w:val="18"/>
              </w:rPr>
              <w:t>Approach to M&amp;E</w:t>
            </w:r>
          </w:p>
        </w:tc>
        <w:tc>
          <w:tcPr>
            <w:tcW w:w="770" w:type="dxa"/>
          </w:tcPr>
          <w:p w14:paraId="6DBD738E" w14:textId="77777777" w:rsidR="00FF5485" w:rsidRPr="002D5F58" w:rsidRDefault="00FF5485" w:rsidP="00B439C2">
            <w:pPr>
              <w:spacing w:before="60" w:after="60"/>
              <w:jc w:val="center"/>
              <w:rPr>
                <w:rFonts w:ascii="Calibri Light" w:hAnsi="Calibri Light" w:cs="Calibri Light"/>
                <w:sz w:val="21"/>
                <w:szCs w:val="21"/>
              </w:rPr>
            </w:pPr>
            <w:r>
              <w:rPr>
                <w:rFonts w:ascii="Calibri Light" w:hAnsi="Calibri Light" w:cs="Calibri Light"/>
                <w:sz w:val="21"/>
                <w:szCs w:val="21"/>
              </w:rPr>
              <w:t>x-AIPJ2</w:t>
            </w:r>
          </w:p>
        </w:tc>
        <w:tc>
          <w:tcPr>
            <w:tcW w:w="6885" w:type="dxa"/>
          </w:tcPr>
          <w:p w14:paraId="18070BA5" w14:textId="77777777" w:rsidR="00FF5485" w:rsidRPr="002D5F58" w:rsidRDefault="00FF5485" w:rsidP="00B439C2">
            <w:pPr>
              <w:spacing w:before="60" w:after="60"/>
              <w:rPr>
                <w:rFonts w:ascii="Calibri Light" w:hAnsi="Calibri Light" w:cs="Calibri Light"/>
                <w:sz w:val="21"/>
                <w:szCs w:val="21"/>
              </w:rPr>
            </w:pPr>
            <w:r w:rsidRPr="00E92DC7">
              <w:rPr>
                <w:rFonts w:ascii="Calibri Light" w:hAnsi="Calibri Light" w:cs="Calibri Light"/>
                <w:sz w:val="18"/>
                <w:szCs w:val="18"/>
              </w:rPr>
              <w:t>In addition to those above</w:t>
            </w:r>
            <w:r>
              <w:rPr>
                <w:rFonts w:ascii="Calibri Light" w:hAnsi="Calibri Light" w:cs="Calibri Light"/>
                <w:sz w:val="18"/>
                <w:szCs w:val="18"/>
              </w:rPr>
              <w:t>:</w:t>
            </w:r>
            <w:r w:rsidRPr="00E92DC7">
              <w:rPr>
                <w:rFonts w:ascii="Calibri Light" w:hAnsi="Calibri Light" w:cs="Calibri Light"/>
                <w:sz w:val="18"/>
                <w:szCs w:val="18"/>
              </w:rPr>
              <w:t xml:space="preserve"> Solidaritas</w:t>
            </w:r>
          </w:p>
        </w:tc>
      </w:tr>
    </w:tbl>
    <w:p w14:paraId="4C75CBF0" w14:textId="77777777" w:rsidR="00FF5485" w:rsidRPr="006C166C" w:rsidRDefault="00FF5485" w:rsidP="00FF5485">
      <w:pPr>
        <w:rPr>
          <w:rFonts w:ascii="Calibri Light" w:hAnsi="Calibri Light" w:cs="Calibri Light"/>
          <w:sz w:val="16"/>
          <w:szCs w:val="16"/>
        </w:rPr>
      </w:pPr>
      <w:r w:rsidRPr="006C166C">
        <w:rPr>
          <w:rFonts w:ascii="Calibri Light" w:hAnsi="Calibri Light" w:cs="Calibri Light"/>
          <w:sz w:val="16"/>
          <w:szCs w:val="16"/>
        </w:rPr>
        <w:t xml:space="preserve">* </w:t>
      </w:r>
      <w:r>
        <w:rPr>
          <w:rFonts w:ascii="Calibri Light" w:hAnsi="Calibri Light" w:cs="Calibri Light"/>
          <w:sz w:val="16"/>
          <w:szCs w:val="16"/>
        </w:rPr>
        <w:t>Subject to DFAT/AIPJ2 advice, we anticipate conducting separate enquiries with CSO partners to explore specifically capacity building.  These will be in addition to interviews regarding the substance and effectiveness of AIPJ2’s work.</w:t>
      </w:r>
    </w:p>
    <w:p w14:paraId="5E1D96EB" w14:textId="77777777" w:rsidR="00FF5485" w:rsidRDefault="00FF5485" w:rsidP="00FF5485">
      <w:pPr>
        <w:spacing w:before="240"/>
        <w:rPr>
          <w:rFonts w:ascii="Calibri Light" w:hAnsi="Calibri Light" w:cs="Calibri Light"/>
        </w:rPr>
      </w:pPr>
      <w:r>
        <w:rPr>
          <w:rFonts w:ascii="Calibri Light" w:hAnsi="Calibri Light" w:cs="Calibri Light"/>
        </w:rPr>
        <w:t>AIPJ2’s approach to capacity building will be explored specifically through a series of interviews/focus group discussions (FGDs) and assessed in light of what is known about effective approaches to capacity development.  The MTR will explore differences in (and effectiveness of) approach according to the level of organisational development among the CSOs, and the fit between the approach and intended outcomes.  The following sample of  CSO partners is proposed for the purposes of examining AIPJ2’s approach to capacity building  (numbers in parentheses indicate AIPJ2 pillar):</w:t>
      </w:r>
    </w:p>
    <w:tbl>
      <w:tblPr>
        <w:tblStyle w:val="TableGrid"/>
        <w:tblW w:w="6946" w:type="dxa"/>
        <w:tblLook w:val="04A0" w:firstRow="1" w:lastRow="0" w:firstColumn="1" w:lastColumn="0" w:noHBand="0" w:noVBand="1"/>
      </w:tblPr>
      <w:tblGrid>
        <w:gridCol w:w="1418"/>
        <w:gridCol w:w="850"/>
        <w:gridCol w:w="1276"/>
        <w:gridCol w:w="1881"/>
        <w:gridCol w:w="1521"/>
      </w:tblGrid>
      <w:tr w:rsidR="00FF5485" w:rsidRPr="00020891" w14:paraId="69971B5C" w14:textId="77777777" w:rsidTr="00B439C2">
        <w:tc>
          <w:tcPr>
            <w:tcW w:w="1418" w:type="dxa"/>
            <w:tcBorders>
              <w:top w:val="nil"/>
              <w:left w:val="nil"/>
              <w:bottom w:val="nil"/>
              <w:right w:val="nil"/>
            </w:tcBorders>
          </w:tcPr>
          <w:p w14:paraId="3033A251" w14:textId="77777777" w:rsidR="00FF5485" w:rsidRDefault="00FF5485" w:rsidP="00B439C2">
            <w:pPr>
              <w:spacing w:before="40" w:after="40"/>
              <w:jc w:val="right"/>
              <w:rPr>
                <w:rFonts w:ascii="Calibri Light" w:hAnsi="Calibri Light" w:cs="Calibri Light"/>
                <w:sz w:val="20"/>
                <w:szCs w:val="20"/>
              </w:rPr>
            </w:pPr>
          </w:p>
        </w:tc>
        <w:tc>
          <w:tcPr>
            <w:tcW w:w="850" w:type="dxa"/>
            <w:tcBorders>
              <w:top w:val="nil"/>
              <w:left w:val="nil"/>
              <w:bottom w:val="nil"/>
              <w:right w:val="nil"/>
            </w:tcBorders>
          </w:tcPr>
          <w:p w14:paraId="47E6DB50" w14:textId="77777777" w:rsidR="00FF5485" w:rsidRDefault="00FF5485" w:rsidP="00B439C2">
            <w:pPr>
              <w:spacing w:before="40" w:after="40"/>
              <w:jc w:val="right"/>
              <w:rPr>
                <w:rFonts w:ascii="Calibri Light" w:hAnsi="Calibri Light" w:cs="Calibri Light"/>
                <w:sz w:val="20"/>
                <w:szCs w:val="20"/>
              </w:rPr>
            </w:pPr>
          </w:p>
        </w:tc>
        <w:tc>
          <w:tcPr>
            <w:tcW w:w="4678" w:type="dxa"/>
            <w:gridSpan w:val="3"/>
            <w:tcBorders>
              <w:top w:val="nil"/>
              <w:left w:val="nil"/>
              <w:bottom w:val="single" w:sz="4" w:space="0" w:color="auto"/>
              <w:right w:val="nil"/>
            </w:tcBorders>
          </w:tcPr>
          <w:p w14:paraId="7E785663" w14:textId="77777777" w:rsidR="00FF5485" w:rsidRPr="00EC65F2" w:rsidRDefault="00FF5485" w:rsidP="00B439C2">
            <w:pPr>
              <w:spacing w:before="40" w:after="40"/>
              <w:jc w:val="center"/>
              <w:rPr>
                <w:rFonts w:ascii="Calibri Light" w:hAnsi="Calibri Light" w:cs="Calibri Light"/>
                <w:b/>
                <w:bCs/>
                <w:i/>
                <w:iCs/>
                <w:sz w:val="18"/>
                <w:szCs w:val="18"/>
              </w:rPr>
            </w:pPr>
            <w:r>
              <w:rPr>
                <w:rFonts w:ascii="Calibri Light" w:hAnsi="Calibri Light" w:cs="Calibri Light"/>
                <w:b/>
                <w:bCs/>
                <w:sz w:val="18"/>
                <w:szCs w:val="18"/>
              </w:rPr>
              <w:t>Relative level of partner’s organisational development</w:t>
            </w:r>
          </w:p>
        </w:tc>
      </w:tr>
      <w:tr w:rsidR="00FF5485" w:rsidRPr="00EC65F2" w14:paraId="6A7C422D" w14:textId="77777777" w:rsidTr="00B439C2">
        <w:tc>
          <w:tcPr>
            <w:tcW w:w="1418" w:type="dxa"/>
            <w:tcBorders>
              <w:top w:val="nil"/>
              <w:left w:val="nil"/>
              <w:bottom w:val="nil"/>
              <w:right w:val="nil"/>
            </w:tcBorders>
          </w:tcPr>
          <w:p w14:paraId="65017AF3" w14:textId="77777777" w:rsidR="00FF5485" w:rsidRPr="00020891" w:rsidRDefault="00FF5485" w:rsidP="00B439C2">
            <w:pPr>
              <w:spacing w:before="40" w:after="40"/>
              <w:jc w:val="right"/>
              <w:rPr>
                <w:rFonts w:ascii="Calibri Light" w:hAnsi="Calibri Light" w:cs="Calibri Light"/>
                <w:sz w:val="20"/>
                <w:szCs w:val="20"/>
              </w:rPr>
            </w:pPr>
          </w:p>
        </w:tc>
        <w:tc>
          <w:tcPr>
            <w:tcW w:w="850" w:type="dxa"/>
            <w:tcBorders>
              <w:top w:val="nil"/>
              <w:left w:val="nil"/>
              <w:bottom w:val="nil"/>
              <w:right w:val="nil"/>
            </w:tcBorders>
          </w:tcPr>
          <w:p w14:paraId="04D6B704" w14:textId="77777777" w:rsidR="00FF5485" w:rsidRPr="00020891" w:rsidRDefault="00FF5485" w:rsidP="00B439C2">
            <w:pPr>
              <w:spacing w:before="40" w:after="40"/>
              <w:jc w:val="right"/>
              <w:rPr>
                <w:rFonts w:ascii="Calibri Light" w:hAnsi="Calibri Light" w:cs="Calibri Light"/>
                <w:sz w:val="20"/>
                <w:szCs w:val="20"/>
              </w:rPr>
            </w:pPr>
          </w:p>
        </w:tc>
        <w:tc>
          <w:tcPr>
            <w:tcW w:w="1276" w:type="dxa"/>
            <w:tcBorders>
              <w:top w:val="nil"/>
              <w:left w:val="nil"/>
              <w:bottom w:val="nil"/>
              <w:right w:val="nil"/>
            </w:tcBorders>
          </w:tcPr>
          <w:p w14:paraId="3C37B5CC" w14:textId="77777777" w:rsidR="00FF5485" w:rsidRPr="00EC65F2" w:rsidRDefault="00FF5485" w:rsidP="00B439C2">
            <w:pPr>
              <w:spacing w:before="40" w:after="40"/>
              <w:jc w:val="right"/>
              <w:rPr>
                <w:rFonts w:ascii="Calibri Light" w:hAnsi="Calibri Light" w:cs="Calibri Light"/>
                <w:i/>
                <w:iCs/>
                <w:sz w:val="16"/>
                <w:szCs w:val="16"/>
              </w:rPr>
            </w:pPr>
            <w:r w:rsidRPr="00EC65F2">
              <w:rPr>
                <w:rFonts w:ascii="Calibri Light" w:hAnsi="Calibri Light" w:cs="Calibri Light"/>
                <w:i/>
                <w:iCs/>
                <w:sz w:val="16"/>
                <w:szCs w:val="16"/>
              </w:rPr>
              <w:t xml:space="preserve">Higher </w:t>
            </w:r>
          </w:p>
        </w:tc>
        <w:tc>
          <w:tcPr>
            <w:tcW w:w="1881" w:type="dxa"/>
            <w:tcBorders>
              <w:top w:val="nil"/>
              <w:left w:val="nil"/>
              <w:bottom w:val="nil"/>
              <w:right w:val="nil"/>
            </w:tcBorders>
          </w:tcPr>
          <w:p w14:paraId="4046266E" w14:textId="77777777" w:rsidR="00FF5485" w:rsidRPr="00EC65F2" w:rsidRDefault="00FF5485" w:rsidP="00B439C2">
            <w:pPr>
              <w:spacing w:before="40" w:after="40"/>
              <w:jc w:val="right"/>
              <w:rPr>
                <w:rFonts w:ascii="Calibri Light" w:hAnsi="Calibri Light" w:cs="Calibri Light"/>
                <w:i/>
                <w:iCs/>
                <w:sz w:val="16"/>
                <w:szCs w:val="16"/>
              </w:rPr>
            </w:pPr>
            <w:r w:rsidRPr="00EC65F2">
              <w:rPr>
                <w:rFonts w:ascii="Calibri Light" w:hAnsi="Calibri Light" w:cs="Calibri Light"/>
                <w:i/>
                <w:iCs/>
                <w:sz w:val="16"/>
                <w:szCs w:val="16"/>
              </w:rPr>
              <w:t>Medium</w:t>
            </w:r>
          </w:p>
        </w:tc>
        <w:tc>
          <w:tcPr>
            <w:tcW w:w="1521" w:type="dxa"/>
            <w:tcBorders>
              <w:top w:val="nil"/>
              <w:left w:val="nil"/>
              <w:bottom w:val="nil"/>
              <w:right w:val="nil"/>
            </w:tcBorders>
          </w:tcPr>
          <w:p w14:paraId="5E3D2333" w14:textId="77777777" w:rsidR="00FF5485" w:rsidRPr="00EC65F2" w:rsidRDefault="00FF5485" w:rsidP="00B439C2">
            <w:pPr>
              <w:spacing w:before="40" w:after="40"/>
              <w:jc w:val="right"/>
              <w:rPr>
                <w:rFonts w:ascii="Calibri Light" w:hAnsi="Calibri Light" w:cs="Calibri Light"/>
                <w:i/>
                <w:iCs/>
                <w:sz w:val="16"/>
                <w:szCs w:val="16"/>
              </w:rPr>
            </w:pPr>
            <w:r w:rsidRPr="00EC65F2">
              <w:rPr>
                <w:rFonts w:ascii="Calibri Light" w:hAnsi="Calibri Light" w:cs="Calibri Light"/>
                <w:i/>
                <w:iCs/>
                <w:sz w:val="16"/>
                <w:szCs w:val="16"/>
              </w:rPr>
              <w:t>Lower</w:t>
            </w:r>
          </w:p>
        </w:tc>
      </w:tr>
      <w:tr w:rsidR="00FF5485" w:rsidRPr="00020891" w14:paraId="65D8BC13" w14:textId="77777777" w:rsidTr="00B439C2">
        <w:tc>
          <w:tcPr>
            <w:tcW w:w="1418" w:type="dxa"/>
            <w:vMerge w:val="restart"/>
            <w:tcBorders>
              <w:top w:val="nil"/>
              <w:left w:val="nil"/>
              <w:bottom w:val="nil"/>
              <w:right w:val="single" w:sz="4" w:space="0" w:color="auto"/>
            </w:tcBorders>
          </w:tcPr>
          <w:p w14:paraId="3C03B2B5" w14:textId="77777777" w:rsidR="00FF5485" w:rsidRPr="00E72BA5" w:rsidRDefault="00FF5485" w:rsidP="00B439C2">
            <w:pPr>
              <w:spacing w:before="40" w:after="40"/>
              <w:jc w:val="right"/>
              <w:rPr>
                <w:rFonts w:ascii="Calibri Light" w:hAnsi="Calibri Light" w:cs="Calibri Light"/>
                <w:b/>
                <w:bCs/>
                <w:sz w:val="6"/>
                <w:szCs w:val="6"/>
              </w:rPr>
            </w:pPr>
          </w:p>
          <w:p w14:paraId="74EB94FB" w14:textId="77777777" w:rsidR="00FF5485" w:rsidRDefault="00FF5485" w:rsidP="00B439C2">
            <w:pPr>
              <w:spacing w:before="40" w:after="40"/>
              <w:jc w:val="right"/>
              <w:rPr>
                <w:rFonts w:ascii="Calibri Light" w:hAnsi="Calibri Light" w:cs="Calibri Light"/>
                <w:b/>
                <w:bCs/>
                <w:sz w:val="18"/>
                <w:szCs w:val="18"/>
              </w:rPr>
            </w:pPr>
          </w:p>
          <w:p w14:paraId="0CBF491D" w14:textId="77777777" w:rsidR="00FF5485" w:rsidRPr="00D71AA8" w:rsidRDefault="00FF5485" w:rsidP="00B439C2">
            <w:pPr>
              <w:spacing w:before="40" w:after="40"/>
              <w:jc w:val="right"/>
              <w:rPr>
                <w:rFonts w:ascii="Calibri Light" w:hAnsi="Calibri Light" w:cs="Calibri Light"/>
                <w:b/>
                <w:bCs/>
                <w:sz w:val="18"/>
                <w:szCs w:val="18"/>
              </w:rPr>
            </w:pPr>
            <w:r w:rsidRPr="00EC65F2">
              <w:rPr>
                <w:rFonts w:ascii="Calibri Light" w:hAnsi="Calibri Light" w:cs="Calibri Light"/>
                <w:b/>
                <w:bCs/>
                <w:sz w:val="18"/>
                <w:szCs w:val="18"/>
              </w:rPr>
              <w:t>Intensity of AIPJ2 approach</w:t>
            </w:r>
          </w:p>
        </w:tc>
        <w:tc>
          <w:tcPr>
            <w:tcW w:w="850" w:type="dxa"/>
            <w:tcBorders>
              <w:top w:val="nil"/>
              <w:left w:val="single" w:sz="4" w:space="0" w:color="auto"/>
              <w:bottom w:val="nil"/>
            </w:tcBorders>
          </w:tcPr>
          <w:p w14:paraId="21648E9E" w14:textId="77777777" w:rsidR="00FF5485" w:rsidRPr="00A10ABC" w:rsidRDefault="00FF5485" w:rsidP="00B439C2">
            <w:pPr>
              <w:spacing w:before="40" w:after="40"/>
              <w:jc w:val="right"/>
              <w:rPr>
                <w:rFonts w:ascii="Calibri Light" w:hAnsi="Calibri Light" w:cs="Calibri Light"/>
                <w:i/>
                <w:iCs/>
                <w:sz w:val="18"/>
                <w:szCs w:val="18"/>
              </w:rPr>
            </w:pPr>
            <w:r w:rsidRPr="00A10ABC">
              <w:rPr>
                <w:rFonts w:ascii="Calibri Light" w:hAnsi="Calibri Light" w:cs="Calibri Light"/>
                <w:i/>
                <w:iCs/>
                <w:sz w:val="18"/>
                <w:szCs w:val="18"/>
              </w:rPr>
              <w:t>Higher</w:t>
            </w:r>
          </w:p>
        </w:tc>
        <w:tc>
          <w:tcPr>
            <w:tcW w:w="1276" w:type="dxa"/>
          </w:tcPr>
          <w:p w14:paraId="29BFF5E7" w14:textId="77777777" w:rsidR="00FF5485" w:rsidRDefault="00FF5485" w:rsidP="00B439C2">
            <w:pPr>
              <w:jc w:val="right"/>
              <w:rPr>
                <w:rFonts w:ascii="Calibri Light" w:hAnsi="Calibri Light" w:cs="Calibri Light"/>
                <w:sz w:val="18"/>
                <w:szCs w:val="18"/>
              </w:rPr>
            </w:pPr>
            <w:r w:rsidRPr="00EC65F2">
              <w:rPr>
                <w:rFonts w:ascii="Calibri Light" w:hAnsi="Calibri Light" w:cs="Calibri Light"/>
                <w:sz w:val="18"/>
                <w:szCs w:val="18"/>
              </w:rPr>
              <w:t xml:space="preserve">MaPPI (1) </w:t>
            </w:r>
          </w:p>
          <w:p w14:paraId="444962BA" w14:textId="77777777" w:rsidR="00FF5485" w:rsidRPr="00EC65F2" w:rsidRDefault="00FF5485" w:rsidP="00B439C2">
            <w:pPr>
              <w:jc w:val="right"/>
              <w:rPr>
                <w:rFonts w:ascii="Calibri Light" w:hAnsi="Calibri Light" w:cs="Calibri Light"/>
                <w:sz w:val="18"/>
                <w:szCs w:val="18"/>
              </w:rPr>
            </w:pPr>
            <w:r w:rsidRPr="00EC65F2">
              <w:rPr>
                <w:rFonts w:ascii="Calibri Light" w:hAnsi="Calibri Light" w:cs="Calibri Light"/>
                <w:sz w:val="18"/>
                <w:szCs w:val="18"/>
              </w:rPr>
              <w:t>AIDA  (3)</w:t>
            </w:r>
          </w:p>
          <w:p w14:paraId="4E5D622B" w14:textId="77777777" w:rsidR="00FF5485" w:rsidRPr="00EC65F2" w:rsidRDefault="00FF5485" w:rsidP="00B439C2">
            <w:pPr>
              <w:jc w:val="right"/>
              <w:rPr>
                <w:rFonts w:ascii="Calibri Light" w:hAnsi="Calibri Light" w:cs="Calibri Light"/>
                <w:sz w:val="18"/>
                <w:szCs w:val="18"/>
              </w:rPr>
            </w:pPr>
            <w:r w:rsidRPr="00EC65F2">
              <w:rPr>
                <w:rFonts w:ascii="Calibri Light" w:hAnsi="Calibri Light" w:cs="Calibri Light"/>
                <w:sz w:val="18"/>
                <w:szCs w:val="18"/>
              </w:rPr>
              <w:t>YPP (3)</w:t>
            </w:r>
          </w:p>
        </w:tc>
        <w:tc>
          <w:tcPr>
            <w:tcW w:w="1881" w:type="dxa"/>
          </w:tcPr>
          <w:p w14:paraId="6F8BFB56" w14:textId="77777777" w:rsidR="00FF5485" w:rsidRDefault="00FF5485" w:rsidP="00B439C2">
            <w:pPr>
              <w:jc w:val="right"/>
              <w:rPr>
                <w:rFonts w:ascii="Calibri Light" w:hAnsi="Calibri Light" w:cs="Calibri Light"/>
                <w:sz w:val="18"/>
                <w:szCs w:val="18"/>
              </w:rPr>
            </w:pPr>
            <w:r>
              <w:rPr>
                <w:rFonts w:ascii="Calibri Light" w:hAnsi="Calibri Light" w:cs="Calibri Light"/>
                <w:sz w:val="18"/>
                <w:szCs w:val="18"/>
              </w:rPr>
              <w:t>SPAK (1)</w:t>
            </w:r>
          </w:p>
          <w:p w14:paraId="68360BC6" w14:textId="77777777" w:rsidR="00FF5485" w:rsidRDefault="00FF5485" w:rsidP="00B439C2">
            <w:pPr>
              <w:jc w:val="right"/>
              <w:rPr>
                <w:rFonts w:ascii="Calibri Light" w:hAnsi="Calibri Light" w:cs="Calibri Light"/>
                <w:sz w:val="18"/>
                <w:szCs w:val="18"/>
              </w:rPr>
            </w:pPr>
            <w:r>
              <w:rPr>
                <w:rFonts w:ascii="Calibri Light" w:hAnsi="Calibri Light" w:cs="Calibri Light"/>
                <w:sz w:val="18"/>
                <w:szCs w:val="18"/>
              </w:rPr>
              <w:t>Wahid Foundation (1)</w:t>
            </w:r>
          </w:p>
          <w:p w14:paraId="7C6E9CBE" w14:textId="77777777" w:rsidR="00FF5485" w:rsidRDefault="00FF5485" w:rsidP="00B439C2">
            <w:pPr>
              <w:jc w:val="right"/>
              <w:rPr>
                <w:rFonts w:ascii="Calibri Light" w:hAnsi="Calibri Light" w:cs="Calibri Light"/>
                <w:sz w:val="18"/>
                <w:szCs w:val="18"/>
              </w:rPr>
            </w:pPr>
            <w:r>
              <w:rPr>
                <w:rFonts w:ascii="Calibri Light" w:hAnsi="Calibri Light" w:cs="Calibri Light"/>
                <w:sz w:val="18"/>
                <w:szCs w:val="18"/>
              </w:rPr>
              <w:t>Peace Generation (3)</w:t>
            </w:r>
          </w:p>
          <w:p w14:paraId="3A8021DB" w14:textId="77777777" w:rsidR="00FF5485" w:rsidRPr="00EC65F2" w:rsidRDefault="00FF5485" w:rsidP="00B439C2">
            <w:pPr>
              <w:jc w:val="right"/>
              <w:rPr>
                <w:rFonts w:ascii="Calibri Light" w:hAnsi="Calibri Light" w:cs="Calibri Light"/>
                <w:sz w:val="18"/>
                <w:szCs w:val="18"/>
              </w:rPr>
            </w:pPr>
            <w:r>
              <w:rPr>
                <w:rFonts w:ascii="Calibri Light" w:hAnsi="Calibri Light" w:cs="Calibri Light"/>
                <w:sz w:val="18"/>
                <w:szCs w:val="18"/>
              </w:rPr>
              <w:t>CDS (4)</w:t>
            </w:r>
          </w:p>
        </w:tc>
        <w:tc>
          <w:tcPr>
            <w:tcW w:w="1521" w:type="dxa"/>
          </w:tcPr>
          <w:p w14:paraId="609F99B6" w14:textId="77777777" w:rsidR="00FF5485" w:rsidRPr="00EC65F2" w:rsidRDefault="00FF5485" w:rsidP="00B439C2">
            <w:pPr>
              <w:jc w:val="right"/>
              <w:rPr>
                <w:rFonts w:ascii="Calibri Light" w:hAnsi="Calibri Light" w:cs="Calibri Light"/>
                <w:sz w:val="18"/>
                <w:szCs w:val="18"/>
              </w:rPr>
            </w:pPr>
            <w:r w:rsidRPr="00EC65F2">
              <w:rPr>
                <w:rFonts w:ascii="Calibri Light" w:hAnsi="Calibri Light" w:cs="Calibri Light"/>
                <w:sz w:val="18"/>
                <w:szCs w:val="18"/>
              </w:rPr>
              <w:t>SIGAB (1)</w:t>
            </w:r>
          </w:p>
        </w:tc>
      </w:tr>
      <w:tr w:rsidR="00FF5485" w:rsidRPr="00020891" w14:paraId="58C079A4" w14:textId="77777777" w:rsidTr="00B439C2">
        <w:tc>
          <w:tcPr>
            <w:tcW w:w="1418" w:type="dxa"/>
            <w:vMerge/>
            <w:tcBorders>
              <w:left w:val="nil"/>
              <w:bottom w:val="nil"/>
              <w:right w:val="single" w:sz="4" w:space="0" w:color="auto"/>
            </w:tcBorders>
          </w:tcPr>
          <w:p w14:paraId="46B40064" w14:textId="77777777" w:rsidR="00FF5485" w:rsidRPr="00A10ABC" w:rsidRDefault="00FF5485" w:rsidP="00B439C2">
            <w:pPr>
              <w:spacing w:before="40" w:after="40"/>
              <w:jc w:val="right"/>
              <w:rPr>
                <w:rFonts w:ascii="Calibri Light" w:hAnsi="Calibri Light" w:cs="Calibri Light"/>
                <w:i/>
                <w:iCs/>
                <w:sz w:val="18"/>
                <w:szCs w:val="18"/>
              </w:rPr>
            </w:pPr>
          </w:p>
        </w:tc>
        <w:tc>
          <w:tcPr>
            <w:tcW w:w="850" w:type="dxa"/>
            <w:tcBorders>
              <w:top w:val="nil"/>
              <w:left w:val="single" w:sz="4" w:space="0" w:color="auto"/>
              <w:bottom w:val="nil"/>
            </w:tcBorders>
          </w:tcPr>
          <w:p w14:paraId="027FCDDB" w14:textId="77777777" w:rsidR="00FF5485" w:rsidRPr="00A10ABC" w:rsidRDefault="00FF5485" w:rsidP="00B439C2">
            <w:pPr>
              <w:spacing w:before="40" w:after="40"/>
              <w:jc w:val="right"/>
              <w:rPr>
                <w:rFonts w:ascii="Calibri Light" w:hAnsi="Calibri Light" w:cs="Calibri Light"/>
                <w:i/>
                <w:iCs/>
                <w:sz w:val="18"/>
                <w:szCs w:val="18"/>
              </w:rPr>
            </w:pPr>
            <w:r>
              <w:rPr>
                <w:rFonts w:ascii="Calibri Light" w:hAnsi="Calibri Light" w:cs="Calibri Light"/>
                <w:i/>
                <w:iCs/>
                <w:sz w:val="18"/>
                <w:szCs w:val="18"/>
              </w:rPr>
              <w:t>Lower</w:t>
            </w:r>
          </w:p>
        </w:tc>
        <w:tc>
          <w:tcPr>
            <w:tcW w:w="1276" w:type="dxa"/>
          </w:tcPr>
          <w:p w14:paraId="7C08EFA5" w14:textId="77777777" w:rsidR="00FF5485" w:rsidRPr="00EC65F2" w:rsidRDefault="00FF5485" w:rsidP="00B439C2">
            <w:pPr>
              <w:jc w:val="right"/>
              <w:rPr>
                <w:rFonts w:ascii="Calibri Light" w:hAnsi="Calibri Light" w:cs="Calibri Light"/>
                <w:sz w:val="18"/>
                <w:szCs w:val="18"/>
              </w:rPr>
            </w:pPr>
            <w:r w:rsidRPr="00EC65F2">
              <w:rPr>
                <w:rFonts w:ascii="Calibri Light" w:hAnsi="Calibri Light" w:cs="Calibri Light"/>
                <w:sz w:val="18"/>
                <w:szCs w:val="18"/>
              </w:rPr>
              <w:t>LeIP (1)</w:t>
            </w:r>
          </w:p>
          <w:p w14:paraId="7DDE89C5" w14:textId="77777777" w:rsidR="00FF5485" w:rsidRPr="00EC65F2" w:rsidRDefault="00FF5485" w:rsidP="00B439C2">
            <w:pPr>
              <w:spacing w:after="60"/>
              <w:jc w:val="right"/>
              <w:rPr>
                <w:rFonts w:ascii="Calibri Light" w:hAnsi="Calibri Light" w:cs="Calibri Light"/>
                <w:sz w:val="18"/>
                <w:szCs w:val="18"/>
              </w:rPr>
            </w:pPr>
            <w:r w:rsidRPr="00EC65F2">
              <w:rPr>
                <w:rFonts w:ascii="Calibri Light" w:hAnsi="Calibri Light" w:cs="Calibri Light"/>
                <w:sz w:val="18"/>
                <w:szCs w:val="18"/>
              </w:rPr>
              <w:t>CSAVE (3)</w:t>
            </w:r>
          </w:p>
        </w:tc>
        <w:tc>
          <w:tcPr>
            <w:tcW w:w="1881" w:type="dxa"/>
          </w:tcPr>
          <w:p w14:paraId="5D585302" w14:textId="77777777" w:rsidR="00FF5485" w:rsidRDefault="00FF5485" w:rsidP="00B439C2">
            <w:pPr>
              <w:jc w:val="right"/>
              <w:rPr>
                <w:rFonts w:ascii="Calibri Light" w:hAnsi="Calibri Light" w:cs="Calibri Light"/>
                <w:sz w:val="18"/>
                <w:szCs w:val="18"/>
              </w:rPr>
            </w:pPr>
            <w:r>
              <w:rPr>
                <w:rFonts w:ascii="Calibri Light" w:hAnsi="Calibri Light" w:cs="Calibri Light"/>
                <w:sz w:val="18"/>
                <w:szCs w:val="18"/>
              </w:rPr>
              <w:t>AMAN (3)</w:t>
            </w:r>
          </w:p>
          <w:p w14:paraId="20756B17" w14:textId="77777777" w:rsidR="00FF5485" w:rsidRPr="00EC65F2" w:rsidRDefault="00FF5485" w:rsidP="00B439C2">
            <w:pPr>
              <w:jc w:val="right"/>
              <w:rPr>
                <w:rFonts w:ascii="Calibri Light" w:hAnsi="Calibri Light" w:cs="Calibri Light"/>
                <w:sz w:val="18"/>
                <w:szCs w:val="18"/>
              </w:rPr>
            </w:pPr>
            <w:r>
              <w:rPr>
                <w:rFonts w:ascii="Calibri Light" w:hAnsi="Calibri Light" w:cs="Calibri Light"/>
                <w:sz w:val="18"/>
                <w:szCs w:val="18"/>
              </w:rPr>
              <w:t xml:space="preserve">Rumah KITAB (1) </w:t>
            </w:r>
          </w:p>
        </w:tc>
        <w:tc>
          <w:tcPr>
            <w:tcW w:w="1521" w:type="dxa"/>
          </w:tcPr>
          <w:p w14:paraId="539A1264" w14:textId="77777777" w:rsidR="00FF5485" w:rsidRPr="00EC65F2" w:rsidRDefault="00FF5485" w:rsidP="00B439C2">
            <w:pPr>
              <w:jc w:val="right"/>
              <w:rPr>
                <w:rFonts w:ascii="Calibri Light" w:hAnsi="Calibri Light" w:cs="Calibri Light"/>
                <w:sz w:val="18"/>
                <w:szCs w:val="18"/>
              </w:rPr>
            </w:pPr>
            <w:r>
              <w:rPr>
                <w:rFonts w:ascii="Calibri Light" w:hAnsi="Calibri Light" w:cs="Calibri Light"/>
                <w:sz w:val="18"/>
                <w:szCs w:val="18"/>
              </w:rPr>
              <w:t>LBH Makassar (3)</w:t>
            </w:r>
          </w:p>
        </w:tc>
      </w:tr>
    </w:tbl>
    <w:p w14:paraId="6B077752" w14:textId="77777777" w:rsidR="00FF5485" w:rsidRDefault="00FF5485" w:rsidP="00FF5485">
      <w:pPr>
        <w:spacing w:before="240"/>
        <w:rPr>
          <w:rFonts w:ascii="Calibri Light" w:hAnsi="Calibri Light" w:cs="Calibri Light"/>
        </w:rPr>
      </w:pPr>
      <w:r>
        <w:rPr>
          <w:rFonts w:ascii="Calibri Light" w:hAnsi="Calibri Light" w:cs="Calibri Light"/>
        </w:rPr>
        <w:t>The MTR team is considering the value/feasibility of organising a small number of focus group discussions to explore capacity development issues collectively with partners.  However,  the variation in AIPJ2 approach, level of engagement, in the role of the partner and in their level of organisational development suggests individual interviews may be more effective.  At this point, the MTR team is working on this assumption.</w:t>
      </w:r>
    </w:p>
    <w:p w14:paraId="18797077" w14:textId="77777777" w:rsidR="00FF5485" w:rsidRDefault="00FF5485" w:rsidP="00FF5485">
      <w:pPr>
        <w:spacing w:before="240"/>
        <w:rPr>
          <w:rFonts w:ascii="Calibri Light" w:hAnsi="Calibri Light" w:cs="Calibri Light"/>
        </w:rPr>
      </w:pPr>
      <w:r>
        <w:rPr>
          <w:rFonts w:ascii="Calibri Light" w:hAnsi="Calibri Light" w:cs="Calibri Light"/>
        </w:rPr>
        <w:t xml:space="preserve">In addition, the MTR would like to interview expert commentators knowledgeable in the focus areas.  These commentators may not have a direct/permanent relationship with AIPJ2 but will have  insights about the broader trajectories of reform (including prospects) and the role (actual/ potential) of Australian assistance. Individuals will be agreed in discussion with DFAT but suggestions are: </w:t>
      </w:r>
    </w:p>
    <w:p w14:paraId="05DC3976" w14:textId="77777777" w:rsidR="00FF5485" w:rsidRPr="002C4AEF"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2C4AEF">
        <w:rPr>
          <w:rFonts w:ascii="Calibri Light" w:hAnsi="Calibri Light" w:cs="Calibri Light"/>
        </w:rPr>
        <w:t>Gregory Churchill</w:t>
      </w:r>
      <w:r>
        <w:rPr>
          <w:rFonts w:ascii="Calibri Light" w:hAnsi="Calibri Light" w:cs="Calibri Light"/>
        </w:rPr>
        <w:t xml:space="preserve"> - f</w:t>
      </w:r>
      <w:r w:rsidRPr="002C4AEF">
        <w:rPr>
          <w:rFonts w:ascii="Calibri Light" w:hAnsi="Calibri Light" w:cs="Calibri Light"/>
        </w:rPr>
        <w:t xml:space="preserve">ormer senior consultant in </w:t>
      </w:r>
      <w:r>
        <w:rPr>
          <w:rFonts w:ascii="Calibri Light" w:hAnsi="Calibri Light" w:cs="Calibri Light"/>
        </w:rPr>
        <w:t xml:space="preserve">the </w:t>
      </w:r>
      <w:r w:rsidRPr="002C4AEF">
        <w:rPr>
          <w:rFonts w:ascii="Calibri Light" w:hAnsi="Calibri Light" w:cs="Calibri Light"/>
        </w:rPr>
        <w:t xml:space="preserve">Indonesian law and justice sector. </w:t>
      </w:r>
    </w:p>
    <w:p w14:paraId="6C950821" w14:textId="77777777" w:rsidR="00FF5485" w:rsidRPr="00552C4B"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2C4AEF">
        <w:rPr>
          <w:rFonts w:ascii="Calibri Light" w:hAnsi="Calibri Light" w:cs="Calibri Light"/>
        </w:rPr>
        <w:t>Prof. Topo Santoso</w:t>
      </w:r>
      <w:r>
        <w:rPr>
          <w:rFonts w:ascii="Calibri Light" w:hAnsi="Calibri Light" w:cs="Calibri Light"/>
        </w:rPr>
        <w:t xml:space="preserve"> – </w:t>
      </w:r>
      <w:r w:rsidRPr="002C4AEF">
        <w:rPr>
          <w:rFonts w:ascii="Calibri Light" w:hAnsi="Calibri Light" w:cs="Calibri Light"/>
        </w:rPr>
        <w:t>criminal</w:t>
      </w:r>
      <w:r>
        <w:rPr>
          <w:rFonts w:ascii="Calibri Light" w:hAnsi="Calibri Light" w:cs="Calibri Light"/>
        </w:rPr>
        <w:t xml:space="preserve"> </w:t>
      </w:r>
      <w:r w:rsidRPr="002C4AEF">
        <w:rPr>
          <w:rFonts w:ascii="Calibri Light" w:hAnsi="Calibri Light" w:cs="Calibri Light"/>
        </w:rPr>
        <w:t>law expert, former dean of Faculty of Law University of Indonesia</w:t>
      </w:r>
    </w:p>
    <w:p w14:paraId="2C65D6E5" w14:textId="77777777" w:rsidR="00FF5485" w:rsidRPr="001864DC"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1864DC">
        <w:rPr>
          <w:rFonts w:ascii="Calibri Light" w:hAnsi="Calibri Light" w:cs="Calibri Light"/>
        </w:rPr>
        <w:t>Leo Sudar</w:t>
      </w:r>
      <w:r>
        <w:rPr>
          <w:rFonts w:ascii="Calibri Light" w:hAnsi="Calibri Light" w:cs="Calibri Light"/>
        </w:rPr>
        <w:t>y</w:t>
      </w:r>
      <w:r w:rsidRPr="001864DC">
        <w:rPr>
          <w:rFonts w:ascii="Calibri Light" w:hAnsi="Calibri Light" w:cs="Calibri Light"/>
        </w:rPr>
        <w:t>an</w:t>
      </w:r>
      <w:r>
        <w:rPr>
          <w:rFonts w:ascii="Calibri Light" w:hAnsi="Calibri Light" w:cs="Calibri Light"/>
        </w:rPr>
        <w:t>t</w:t>
      </w:r>
      <w:r w:rsidRPr="001864DC">
        <w:rPr>
          <w:rFonts w:ascii="Calibri Light" w:hAnsi="Calibri Light" w:cs="Calibri Light"/>
        </w:rPr>
        <w:t>o</w:t>
      </w:r>
      <w:r>
        <w:rPr>
          <w:rFonts w:ascii="Calibri Light" w:hAnsi="Calibri Light" w:cs="Calibri Light"/>
        </w:rPr>
        <w:t xml:space="preserve"> – </w:t>
      </w:r>
      <w:r w:rsidRPr="001864DC">
        <w:rPr>
          <w:rFonts w:ascii="Calibri Light" w:hAnsi="Calibri Light" w:cs="Calibri Light"/>
        </w:rPr>
        <w:t>PhD</w:t>
      </w:r>
      <w:r>
        <w:rPr>
          <w:rFonts w:ascii="Calibri Light" w:hAnsi="Calibri Light" w:cs="Calibri Light"/>
        </w:rPr>
        <w:t xml:space="preserve"> </w:t>
      </w:r>
      <w:r w:rsidRPr="001864DC">
        <w:rPr>
          <w:rFonts w:ascii="Calibri Light" w:hAnsi="Calibri Light" w:cs="Calibri Light"/>
        </w:rPr>
        <w:t xml:space="preserve">student at ANU </w:t>
      </w:r>
      <w:r>
        <w:rPr>
          <w:rFonts w:ascii="Calibri Light" w:hAnsi="Calibri Light" w:cs="Calibri Light"/>
        </w:rPr>
        <w:t xml:space="preserve">and led </w:t>
      </w:r>
      <w:r w:rsidRPr="001864DC">
        <w:rPr>
          <w:rFonts w:ascii="Calibri Light" w:hAnsi="Calibri Light" w:cs="Calibri Light"/>
        </w:rPr>
        <w:t xml:space="preserve">TAF’s prison reform work for a long time. </w:t>
      </w:r>
    </w:p>
    <w:p w14:paraId="59F1E13D" w14:textId="77777777" w:rsidR="00FF5485" w:rsidRPr="005D1B75"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5D1B75">
        <w:rPr>
          <w:rFonts w:ascii="Calibri Light" w:hAnsi="Calibri Light" w:cs="Calibri Light"/>
        </w:rPr>
        <w:t xml:space="preserve">Leisha Lister – advisor to the Australian Family Court’s work on child marriage. </w:t>
      </w:r>
    </w:p>
    <w:p w14:paraId="2F5AB708" w14:textId="77777777" w:rsidR="00FF5485" w:rsidRPr="005D1B75"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5D1B75">
        <w:rPr>
          <w:rFonts w:ascii="Calibri Light" w:hAnsi="Calibri Light" w:cs="Calibri Light"/>
        </w:rPr>
        <w:t>Veronica Taylor, ANU</w:t>
      </w:r>
    </w:p>
    <w:p w14:paraId="462C6787" w14:textId="77777777" w:rsidR="00FF5485"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1864DC">
        <w:rPr>
          <w:rFonts w:ascii="Calibri Light" w:hAnsi="Calibri Light" w:cs="Calibri Light"/>
        </w:rPr>
        <w:t>Dean of Law, Islamic University, Jakarta</w:t>
      </w:r>
      <w:r w:rsidRPr="002737CA">
        <w:rPr>
          <w:rFonts w:ascii="Calibri Light" w:hAnsi="Calibri Light" w:cs="Calibri Light"/>
        </w:rPr>
        <w:t xml:space="preserve"> </w:t>
      </w:r>
    </w:p>
    <w:p w14:paraId="308C73AC" w14:textId="77777777" w:rsidR="00FF5485" w:rsidRPr="002737CA" w:rsidRDefault="00FF5485" w:rsidP="00FF5485">
      <w:pPr>
        <w:pStyle w:val="ListParagraph"/>
        <w:numPr>
          <w:ilvl w:val="0"/>
          <w:numId w:val="37"/>
        </w:numPr>
        <w:spacing w:before="0" w:after="0" w:line="240" w:lineRule="auto"/>
        <w:ind w:left="284" w:hanging="284"/>
        <w:contextualSpacing w:val="0"/>
        <w:rPr>
          <w:rFonts w:ascii="Calibri Light" w:hAnsi="Calibri Light" w:cs="Calibri Light"/>
        </w:rPr>
      </w:pPr>
      <w:r w:rsidRPr="002737CA">
        <w:rPr>
          <w:rFonts w:ascii="Calibri Light" w:hAnsi="Calibri Light" w:cs="Calibri Light"/>
        </w:rPr>
        <w:t>Part-time AIPJ2 advisers PVE: on PVE are Jamhari Makruf (coordination and education), Solahudin Hartman (high risk), Ruby Kholifah (women and PVE), Mohammed Wildan (Yogyakarta and Solo).</w:t>
      </w:r>
    </w:p>
    <w:p w14:paraId="173E47DB" w14:textId="77777777" w:rsidR="00FF5485" w:rsidRDefault="00FF5485" w:rsidP="00FF5485">
      <w:pPr>
        <w:pStyle w:val="Heading2"/>
      </w:pPr>
    </w:p>
    <w:p w14:paraId="4B576324" w14:textId="77777777" w:rsidR="00FF5485" w:rsidRDefault="00FF5485" w:rsidP="00FF5485">
      <w:pPr>
        <w:pStyle w:val="Heading2"/>
      </w:pPr>
      <w:r>
        <w:t>Data collection and analysis</w:t>
      </w:r>
    </w:p>
    <w:p w14:paraId="728339F6" w14:textId="77777777" w:rsidR="00FF5485" w:rsidRPr="00085EA5" w:rsidRDefault="00FF5485" w:rsidP="00FF5485">
      <w:pPr>
        <w:pStyle w:val="Heading3"/>
        <w:spacing w:before="240"/>
      </w:pPr>
      <w:r>
        <w:t>Data sources</w:t>
      </w:r>
    </w:p>
    <w:p w14:paraId="2F538310" w14:textId="77777777" w:rsidR="00FF5485" w:rsidRPr="00A01563" w:rsidRDefault="00FF5485" w:rsidP="00FF5485">
      <w:pPr>
        <w:rPr>
          <w:rFonts w:ascii="Calibri Light" w:hAnsi="Calibri Light" w:cs="Calibri Light"/>
        </w:rPr>
      </w:pPr>
      <w:r w:rsidRPr="00A01563">
        <w:rPr>
          <w:rFonts w:ascii="Calibri Light" w:hAnsi="Calibri Light" w:cs="Calibri Light"/>
        </w:rPr>
        <w:t xml:space="preserve">The </w:t>
      </w:r>
      <w:r>
        <w:rPr>
          <w:rFonts w:ascii="Calibri Light" w:hAnsi="Calibri Light" w:cs="Calibri Light"/>
        </w:rPr>
        <w:t xml:space="preserve">review will draw on </w:t>
      </w:r>
      <w:r w:rsidRPr="00A01563">
        <w:rPr>
          <w:rFonts w:ascii="Calibri Light" w:hAnsi="Calibri Light" w:cs="Calibri Light"/>
        </w:rPr>
        <w:t xml:space="preserve">primary and secondary sources of data.  Primary data </w:t>
      </w:r>
      <w:r>
        <w:rPr>
          <w:rFonts w:ascii="Calibri Light" w:hAnsi="Calibri Light" w:cs="Calibri Light"/>
        </w:rPr>
        <w:t>will be collected from three main sources:</w:t>
      </w:r>
      <w:r w:rsidRPr="00A01563">
        <w:rPr>
          <w:rFonts w:ascii="Calibri Light" w:hAnsi="Calibri Light" w:cs="Calibri Light"/>
        </w:rPr>
        <w:t xml:space="preserve"> </w:t>
      </w:r>
    </w:p>
    <w:p w14:paraId="31D7B77C" w14:textId="77777777" w:rsidR="00FF5485" w:rsidRPr="007E25CF" w:rsidRDefault="00FF5485" w:rsidP="00FF5485">
      <w:pPr>
        <w:pStyle w:val="ListParagraph"/>
        <w:numPr>
          <w:ilvl w:val="0"/>
          <w:numId w:val="33"/>
        </w:numPr>
        <w:rPr>
          <w:rFonts w:ascii="Calibri Light" w:hAnsi="Calibri Light" w:cs="Calibri Light"/>
        </w:rPr>
      </w:pPr>
      <w:r>
        <w:rPr>
          <w:rFonts w:ascii="Calibri Light" w:hAnsi="Calibri Light" w:cs="Calibri Light"/>
        </w:rPr>
        <w:t>AIPJ2 staff and relevant GOA (including DFAT)</w:t>
      </w:r>
      <w:r w:rsidRPr="004C5109">
        <w:rPr>
          <w:rFonts w:ascii="Calibri Light" w:hAnsi="Calibri Light" w:cs="Calibri Light"/>
        </w:rPr>
        <w:t xml:space="preserve"> </w:t>
      </w:r>
      <w:r>
        <w:rPr>
          <w:rFonts w:ascii="Calibri Light" w:hAnsi="Calibri Light" w:cs="Calibri Light"/>
        </w:rPr>
        <w:t>staff</w:t>
      </w:r>
    </w:p>
    <w:p w14:paraId="3BA6CC24" w14:textId="77777777" w:rsidR="00FF5485" w:rsidRDefault="00FF5485" w:rsidP="00FF5485">
      <w:pPr>
        <w:pStyle w:val="ListParagraph"/>
        <w:numPr>
          <w:ilvl w:val="0"/>
          <w:numId w:val="33"/>
        </w:numPr>
        <w:rPr>
          <w:rFonts w:ascii="Calibri Light" w:hAnsi="Calibri Light" w:cs="Calibri Light"/>
        </w:rPr>
      </w:pPr>
      <w:r>
        <w:rPr>
          <w:rFonts w:ascii="Calibri Light" w:hAnsi="Calibri Light" w:cs="Calibri Light"/>
        </w:rPr>
        <w:t>AIPJ2 government and civil society partners</w:t>
      </w:r>
    </w:p>
    <w:p w14:paraId="08F24E7C" w14:textId="77777777" w:rsidR="00FF5485" w:rsidRDefault="00FF5485" w:rsidP="00FF5485">
      <w:pPr>
        <w:pStyle w:val="ListParagraph"/>
        <w:numPr>
          <w:ilvl w:val="0"/>
          <w:numId w:val="33"/>
        </w:numPr>
        <w:rPr>
          <w:rFonts w:ascii="Calibri Light" w:hAnsi="Calibri Light" w:cs="Calibri Light"/>
        </w:rPr>
      </w:pPr>
      <w:r>
        <w:rPr>
          <w:rFonts w:ascii="Calibri Light" w:hAnsi="Calibri Light" w:cs="Calibri Light"/>
        </w:rPr>
        <w:t>Knowledgeable informants who are not directly / permanently engaged in from civil society, academia and other donors</w:t>
      </w:r>
    </w:p>
    <w:p w14:paraId="52B99083" w14:textId="77777777" w:rsidR="00FF5485" w:rsidRPr="00A01563" w:rsidRDefault="00FF5485" w:rsidP="00FF5485">
      <w:pPr>
        <w:rPr>
          <w:rFonts w:ascii="Calibri Light" w:hAnsi="Calibri Light" w:cs="Calibri Light"/>
        </w:rPr>
      </w:pPr>
      <w:r>
        <w:rPr>
          <w:rFonts w:ascii="Calibri Light" w:hAnsi="Calibri Light" w:cs="Calibri Light"/>
        </w:rPr>
        <w:t>Data collection will be primarily through individual interviews using semi-structured questionnaires.  However, the possibility of conducting focus group discussions with civil society partners is currently being considered and, if appropriate, will be used</w:t>
      </w:r>
      <w:r w:rsidRPr="00EB52FE">
        <w:rPr>
          <w:rFonts w:ascii="Calibri Light" w:hAnsi="Calibri Light" w:cs="Calibri Light"/>
        </w:rPr>
        <w:t xml:space="preserve"> </w:t>
      </w:r>
      <w:r>
        <w:rPr>
          <w:rFonts w:ascii="Calibri Light" w:hAnsi="Calibri Light" w:cs="Calibri Light"/>
        </w:rPr>
        <w:t xml:space="preserve">to explore questions relating to capacity-building.  </w:t>
      </w:r>
      <w:r w:rsidRPr="00A01563">
        <w:rPr>
          <w:rFonts w:ascii="Calibri Light" w:hAnsi="Calibri Light" w:cs="Calibri Light"/>
        </w:rPr>
        <w:t xml:space="preserve">Interviews </w:t>
      </w:r>
      <w:r>
        <w:rPr>
          <w:rFonts w:ascii="Calibri Light" w:hAnsi="Calibri Light" w:cs="Calibri Light"/>
        </w:rPr>
        <w:t>will be</w:t>
      </w:r>
      <w:r w:rsidRPr="00A01563">
        <w:rPr>
          <w:rFonts w:ascii="Calibri Light" w:hAnsi="Calibri Light" w:cs="Calibri Light"/>
        </w:rPr>
        <w:t xml:space="preserve"> conducted in line with standard ethical protocols, with confidentiality and anonymity assured, and information used on a non-disclosive basis</w:t>
      </w:r>
      <w:r>
        <w:rPr>
          <w:rFonts w:ascii="Calibri Light" w:hAnsi="Calibri Light" w:cs="Calibri Light"/>
        </w:rPr>
        <w:t xml:space="preserve"> unless otherwise agreed</w:t>
      </w:r>
      <w:r w:rsidRPr="00A01563">
        <w:rPr>
          <w:rFonts w:ascii="Calibri Light" w:hAnsi="Calibri Light" w:cs="Calibri Light"/>
        </w:rPr>
        <w:t xml:space="preserve">.  </w:t>
      </w:r>
    </w:p>
    <w:p w14:paraId="33E9C489" w14:textId="77777777" w:rsidR="00FF5485" w:rsidRDefault="00FF5485" w:rsidP="00FF5485">
      <w:pPr>
        <w:rPr>
          <w:rFonts w:ascii="Calibri Light" w:hAnsi="Calibri Light" w:cs="Calibri Light"/>
        </w:rPr>
      </w:pPr>
      <w:r>
        <w:rPr>
          <w:rFonts w:ascii="Calibri Light" w:hAnsi="Calibri Light" w:cs="Calibri Light"/>
        </w:rPr>
        <w:t xml:space="preserve">Secondary data (document review) will be primarily in the form of </w:t>
      </w:r>
    </w:p>
    <w:p w14:paraId="2A259888" w14:textId="77777777" w:rsidR="00FF5485" w:rsidRDefault="00FF5485" w:rsidP="00FF5485">
      <w:pPr>
        <w:pStyle w:val="ListParagraph"/>
        <w:numPr>
          <w:ilvl w:val="0"/>
          <w:numId w:val="34"/>
        </w:numPr>
        <w:rPr>
          <w:rFonts w:ascii="Calibri Light" w:hAnsi="Calibri Light" w:cs="Calibri Light"/>
        </w:rPr>
      </w:pPr>
      <w:r w:rsidRPr="00F352C6">
        <w:rPr>
          <w:rFonts w:ascii="Calibri Light" w:hAnsi="Calibri Light" w:cs="Calibri Light"/>
        </w:rPr>
        <w:t xml:space="preserve">AIPJ2 reports, briefs and strategies, </w:t>
      </w:r>
    </w:p>
    <w:p w14:paraId="7F596E4C" w14:textId="77777777" w:rsidR="00FF5485" w:rsidRDefault="00FF5485" w:rsidP="00FF5485">
      <w:pPr>
        <w:pStyle w:val="ListParagraph"/>
        <w:numPr>
          <w:ilvl w:val="0"/>
          <w:numId w:val="34"/>
        </w:numPr>
        <w:rPr>
          <w:rFonts w:ascii="Calibri Light" w:hAnsi="Calibri Light" w:cs="Calibri Light"/>
        </w:rPr>
      </w:pPr>
      <w:r>
        <w:rPr>
          <w:rFonts w:ascii="Calibri Light" w:hAnsi="Calibri Light" w:cs="Calibri Light"/>
        </w:rPr>
        <w:t>AIPJ2 management data held by DFAT / Cardno (e.g. expenditure data)</w:t>
      </w:r>
    </w:p>
    <w:p w14:paraId="24E95219" w14:textId="77777777" w:rsidR="00FF5485" w:rsidRDefault="00FF5485" w:rsidP="00FF5485">
      <w:pPr>
        <w:pStyle w:val="ListParagraph"/>
        <w:numPr>
          <w:ilvl w:val="0"/>
          <w:numId w:val="34"/>
        </w:numPr>
        <w:rPr>
          <w:rFonts w:ascii="Calibri Light" w:hAnsi="Calibri Light" w:cs="Calibri Light"/>
        </w:rPr>
      </w:pPr>
      <w:r>
        <w:rPr>
          <w:rFonts w:ascii="Calibri Light" w:hAnsi="Calibri Light" w:cs="Calibri Light"/>
        </w:rPr>
        <w:t xml:space="preserve">AIPJ2 partner reports; and </w:t>
      </w:r>
    </w:p>
    <w:p w14:paraId="25FF3F8F" w14:textId="77777777" w:rsidR="00FF5485" w:rsidRDefault="00FF5485" w:rsidP="00FF5485">
      <w:pPr>
        <w:pStyle w:val="ListParagraph"/>
        <w:numPr>
          <w:ilvl w:val="0"/>
          <w:numId w:val="34"/>
        </w:numPr>
        <w:spacing w:line="271" w:lineRule="auto"/>
      </w:pPr>
      <w:r w:rsidRPr="00B92164">
        <w:rPr>
          <w:rFonts w:ascii="Calibri Light" w:hAnsi="Calibri Light" w:cs="Calibri Light"/>
        </w:rPr>
        <w:t>relevant evaluations (of AIPJ2 and other initiatives)</w:t>
      </w:r>
    </w:p>
    <w:p w14:paraId="4C360673" w14:textId="77777777" w:rsidR="00FF5485" w:rsidRDefault="00FF5485" w:rsidP="00FF5485">
      <w:pPr>
        <w:pStyle w:val="Heading3"/>
        <w:spacing w:before="240"/>
      </w:pPr>
      <w:r>
        <w:t>Sampling</w:t>
      </w:r>
    </w:p>
    <w:p w14:paraId="4FA237C7" w14:textId="77777777" w:rsidR="00FF5485" w:rsidRPr="00B32476" w:rsidRDefault="00FF5485" w:rsidP="00FF5485">
      <w:pPr>
        <w:rPr>
          <w:rFonts w:ascii="Calibri Light" w:hAnsi="Calibri Light" w:cs="Calibri Light"/>
        </w:rPr>
      </w:pPr>
      <w:r>
        <w:rPr>
          <w:rFonts w:ascii="Calibri Light" w:hAnsi="Calibri Light" w:cs="Calibri Light"/>
        </w:rPr>
        <w:t>As indicated above (see Scope), the MTR will examine a sample of AIPJ2 work areas and engage with a sample of AIPJ2 partners.    Given the small numbers involved and the unique nature of work areas and partners’ roles, random sampling methods are not appropriate.  Instead, sample selection is purposive  and designed to achieve ‘situational’ (rather than statistical) representativeness.   However, the MTR’s sampling approach will be informed by good practice (e.g. use of stratification).</w:t>
      </w:r>
    </w:p>
    <w:p w14:paraId="1D42AA82" w14:textId="77777777" w:rsidR="00FF5485" w:rsidRDefault="00FF5485" w:rsidP="00FF5485">
      <w:pPr>
        <w:pStyle w:val="Heading3"/>
        <w:spacing w:before="240"/>
      </w:pPr>
      <w:r>
        <w:t>Analysis, synthesis and drawing conclusions</w:t>
      </w:r>
    </w:p>
    <w:p w14:paraId="2193EF35" w14:textId="77777777" w:rsidR="00FF5485" w:rsidRPr="00B32476" w:rsidRDefault="00FF5485" w:rsidP="00FF5485">
      <w:pPr>
        <w:rPr>
          <w:rFonts w:ascii="Calibri Light" w:hAnsi="Calibri Light" w:cs="Calibri Light"/>
        </w:rPr>
      </w:pPr>
      <w:r>
        <w:rPr>
          <w:rFonts w:ascii="Calibri Light" w:hAnsi="Calibri Light" w:cs="Calibri Light"/>
        </w:rPr>
        <w:t>The MTR’s</w:t>
      </w:r>
      <w:r w:rsidRPr="00B32476">
        <w:rPr>
          <w:rFonts w:ascii="Calibri Light" w:hAnsi="Calibri Light" w:cs="Calibri Light"/>
        </w:rPr>
        <w:t xml:space="preserve"> overall approach to</w:t>
      </w:r>
      <w:r>
        <w:rPr>
          <w:rFonts w:ascii="Calibri Light" w:hAnsi="Calibri Light" w:cs="Calibri Light"/>
        </w:rPr>
        <w:t xml:space="preserve"> </w:t>
      </w:r>
      <w:r w:rsidRPr="00B32476">
        <w:rPr>
          <w:rFonts w:ascii="Calibri Light" w:hAnsi="Calibri Light" w:cs="Calibri Light"/>
        </w:rPr>
        <w:t xml:space="preserve">drawing inferences </w:t>
      </w:r>
      <w:r>
        <w:rPr>
          <w:rFonts w:ascii="Calibri Light" w:hAnsi="Calibri Light" w:cs="Calibri Light"/>
        </w:rPr>
        <w:t>is</w:t>
      </w:r>
      <w:r w:rsidRPr="00B32476">
        <w:rPr>
          <w:rFonts w:ascii="Calibri Light" w:hAnsi="Calibri Light" w:cs="Calibri Light"/>
        </w:rPr>
        <w:t xml:space="preserve"> qualitative.  However, within that, both quantitative and qualitative analysis </w:t>
      </w:r>
      <w:r>
        <w:rPr>
          <w:rFonts w:ascii="Calibri Light" w:hAnsi="Calibri Light" w:cs="Calibri Light"/>
        </w:rPr>
        <w:t>will be</w:t>
      </w:r>
      <w:r w:rsidRPr="00B32476">
        <w:rPr>
          <w:rFonts w:ascii="Calibri Light" w:hAnsi="Calibri Light" w:cs="Calibri Light"/>
        </w:rPr>
        <w:t xml:space="preserve"> </w:t>
      </w:r>
      <w:r>
        <w:rPr>
          <w:rFonts w:ascii="Calibri Light" w:hAnsi="Calibri Light" w:cs="Calibri Light"/>
        </w:rPr>
        <w:t>carried out</w:t>
      </w:r>
      <w:r w:rsidRPr="00B32476">
        <w:rPr>
          <w:rFonts w:ascii="Calibri Light" w:hAnsi="Calibri Light" w:cs="Calibri Light"/>
        </w:rPr>
        <w:t xml:space="preserve"> as part of the assessment.</w:t>
      </w:r>
      <w:r>
        <w:rPr>
          <w:rFonts w:ascii="Calibri Light" w:hAnsi="Calibri Light" w:cs="Calibri Light"/>
        </w:rPr>
        <w:t xml:space="preserve">  The MTR will employ a </w:t>
      </w:r>
      <w:r w:rsidRPr="00B32476">
        <w:rPr>
          <w:rFonts w:ascii="Calibri Light" w:hAnsi="Calibri Light" w:cs="Calibri Light"/>
        </w:rPr>
        <w:t xml:space="preserve">mixed-methods approach, using multiple lines of both quantitative and qualitative evidence drawn from both primary and secondary sources: interviews and focus group discussions, document and administrative data review, content analysis, trend and comparative analysis (‘before-after’). </w:t>
      </w:r>
    </w:p>
    <w:p w14:paraId="434C7DA6" w14:textId="77777777" w:rsidR="00FF5485" w:rsidRPr="00A13D59" w:rsidRDefault="00FF5485" w:rsidP="00FF5485">
      <w:pPr>
        <w:rPr>
          <w:rFonts w:ascii="Calibri Light" w:hAnsi="Calibri Light" w:cs="Calibri Light"/>
        </w:rPr>
      </w:pPr>
      <w:r>
        <w:rPr>
          <w:rFonts w:ascii="Calibri Light" w:hAnsi="Calibri Light" w:cs="Calibri Light"/>
        </w:rPr>
        <w:t>Findings reported by AIPJ2 in i</w:t>
      </w:r>
      <w:r w:rsidRPr="00B32476">
        <w:rPr>
          <w:rFonts w:ascii="Calibri Light" w:hAnsi="Calibri Light" w:cs="Calibri Light"/>
        </w:rPr>
        <w:t xml:space="preserve">nterviews and </w:t>
      </w:r>
      <w:r>
        <w:rPr>
          <w:rFonts w:ascii="Calibri Light" w:hAnsi="Calibri Light" w:cs="Calibri Light"/>
        </w:rPr>
        <w:t xml:space="preserve">reports will be triangulated with the views of partners for corroboration or challenge.   Interviews with knowledgeable informants will be used to test </w:t>
      </w:r>
      <w:r w:rsidRPr="00A13D59">
        <w:rPr>
          <w:rFonts w:ascii="Calibri Light" w:hAnsi="Calibri Light" w:cs="Calibri Light"/>
        </w:rPr>
        <w:t>the reasonableness of assumptions underpinning the design logic of key areas of AIPJ2’s work</w:t>
      </w:r>
      <w:r>
        <w:rPr>
          <w:rFonts w:ascii="Calibri Light" w:hAnsi="Calibri Light" w:cs="Calibri Light"/>
        </w:rPr>
        <w:t xml:space="preserve">, AIPJ2’s interpretation of the context and </w:t>
      </w:r>
      <w:r w:rsidRPr="00A13D59">
        <w:rPr>
          <w:rFonts w:ascii="Calibri Light" w:hAnsi="Calibri Light" w:cs="Calibri Light"/>
        </w:rPr>
        <w:t xml:space="preserve">AIPJ’s views on prospects </w:t>
      </w:r>
      <w:r>
        <w:rPr>
          <w:rFonts w:ascii="Calibri Light" w:hAnsi="Calibri Light" w:cs="Calibri Light"/>
        </w:rPr>
        <w:t>for achieving the end-of-facility outcomes.</w:t>
      </w:r>
    </w:p>
    <w:p w14:paraId="5389B8A2" w14:textId="687D2863" w:rsidR="00FF5485" w:rsidRPr="009617CD" w:rsidRDefault="00FF5485" w:rsidP="00FF5485">
      <w:pPr>
        <w:spacing w:before="240" w:after="240"/>
        <w:rPr>
          <w:rFonts w:asciiTheme="majorHAnsi" w:hAnsiTheme="majorHAnsi" w:cstheme="majorHAnsi"/>
          <w:b/>
          <w:bCs/>
          <w:color w:val="00B0F0"/>
          <w:sz w:val="32"/>
          <w:szCs w:val="32"/>
          <w:lang w:val="en-AU"/>
        </w:rPr>
      </w:pPr>
      <w:r>
        <w:rPr>
          <w:rFonts w:ascii="Calibri Light" w:eastAsiaTheme="minorHAnsi" w:hAnsi="Calibri Light" w:cs="Calibri Light"/>
          <w:lang w:eastAsia="en-US"/>
        </w:rPr>
        <w:t>The MTR will</w:t>
      </w:r>
      <w:r w:rsidRPr="008F723F">
        <w:rPr>
          <w:rFonts w:ascii="Calibri Light" w:eastAsiaTheme="minorHAnsi" w:hAnsi="Calibri Light" w:cs="Calibri Light"/>
          <w:lang w:eastAsia="en-US"/>
        </w:rPr>
        <w:t xml:space="preserve"> use thematic analysis </w:t>
      </w:r>
      <w:r>
        <w:rPr>
          <w:rFonts w:ascii="Calibri Light" w:eastAsiaTheme="minorHAnsi" w:hAnsi="Calibri Light" w:cs="Calibri Light"/>
          <w:lang w:eastAsia="en-US"/>
        </w:rPr>
        <w:t xml:space="preserve">techniques </w:t>
      </w:r>
      <w:r w:rsidRPr="008F723F">
        <w:rPr>
          <w:rFonts w:ascii="Calibri Light" w:eastAsiaTheme="minorHAnsi" w:hAnsi="Calibri Light" w:cs="Calibri Light"/>
          <w:lang w:eastAsia="en-US"/>
        </w:rPr>
        <w:t>to analyse results of interviews</w:t>
      </w:r>
      <w:r>
        <w:rPr>
          <w:rFonts w:ascii="Calibri Light" w:eastAsiaTheme="minorHAnsi" w:hAnsi="Calibri Light" w:cs="Calibri Light"/>
          <w:lang w:eastAsia="en-US"/>
        </w:rPr>
        <w:t xml:space="preserve"> and focus groups</w:t>
      </w:r>
      <w:r w:rsidRPr="008F723F">
        <w:rPr>
          <w:rFonts w:ascii="Calibri Light" w:eastAsiaTheme="minorHAnsi" w:hAnsi="Calibri Light" w:cs="Calibri Light"/>
          <w:lang w:eastAsia="en-US"/>
        </w:rPr>
        <w:t xml:space="preserve">, in order to identify common patterns or themes within and across </w:t>
      </w:r>
      <w:r>
        <w:rPr>
          <w:rFonts w:ascii="Calibri Light" w:eastAsiaTheme="minorHAnsi" w:hAnsi="Calibri Light" w:cs="Calibri Light"/>
          <w:lang w:eastAsia="en-US"/>
        </w:rPr>
        <w:t>AIPJ2 pillars</w:t>
      </w:r>
      <w:r w:rsidRPr="008F723F">
        <w:rPr>
          <w:rFonts w:ascii="Calibri Light" w:eastAsiaTheme="minorHAnsi" w:hAnsi="Calibri Light" w:cs="Calibri Light"/>
          <w:lang w:eastAsia="en-US"/>
        </w:rPr>
        <w:t xml:space="preserve">.  Specifically, we </w:t>
      </w:r>
      <w:r>
        <w:rPr>
          <w:rFonts w:ascii="Calibri Light" w:eastAsiaTheme="minorHAnsi" w:hAnsi="Calibri Light" w:cs="Calibri Light"/>
          <w:lang w:eastAsia="en-US"/>
        </w:rPr>
        <w:t>will use</w:t>
      </w:r>
      <w:r w:rsidRPr="008F723F">
        <w:rPr>
          <w:rFonts w:ascii="Calibri Light" w:eastAsiaTheme="minorHAnsi" w:hAnsi="Calibri Light" w:cs="Calibri Light"/>
          <w:lang w:eastAsia="en-US"/>
        </w:rPr>
        <w:t xml:space="preserve"> Framework Analysis, which is a qualitative method appropriate to mixed-methods/ interdisciplinary research with “specific questions, a limited time frame, a pre-designed sample (e.g. professional</w:t>
      </w:r>
    </w:p>
    <w:sectPr w:rsidR="00FF5485" w:rsidRPr="009617CD" w:rsidSect="009617CD">
      <w:pgSz w:w="11900" w:h="16840"/>
      <w:pgMar w:top="1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6F84" w14:textId="77777777" w:rsidR="00172B2A" w:rsidRDefault="00172B2A" w:rsidP="00343D33">
      <w:pPr>
        <w:spacing w:before="0" w:after="0" w:line="240" w:lineRule="auto"/>
      </w:pPr>
      <w:r>
        <w:separator/>
      </w:r>
    </w:p>
  </w:endnote>
  <w:endnote w:type="continuationSeparator" w:id="0">
    <w:p w14:paraId="2BB5FB3A" w14:textId="77777777" w:rsidR="00172B2A" w:rsidRDefault="00172B2A" w:rsidP="00343D33">
      <w:pPr>
        <w:spacing w:before="0" w:after="0" w:line="240" w:lineRule="auto"/>
      </w:pPr>
      <w:r>
        <w:continuationSeparator/>
      </w:r>
    </w:p>
  </w:endnote>
  <w:endnote w:type="continuationNotice" w:id="1">
    <w:p w14:paraId="15B890EE" w14:textId="77777777" w:rsidR="00172B2A" w:rsidRDefault="00172B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NeueLT Std">
    <w:altName w:val="Arial"/>
    <w:panose1 w:val="00000000000000000000"/>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4755134"/>
      <w:docPartObj>
        <w:docPartGallery w:val="Page Numbers (Bottom of Page)"/>
        <w:docPartUnique/>
      </w:docPartObj>
    </w:sdtPr>
    <w:sdtEndPr>
      <w:rPr>
        <w:rStyle w:val="PageNumber"/>
      </w:rPr>
    </w:sdtEndPr>
    <w:sdtContent>
      <w:p w14:paraId="0F5148C6" w14:textId="03C57BC5" w:rsidR="00172B2A" w:rsidRDefault="00172B2A" w:rsidP="009950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1A060" w14:textId="77777777" w:rsidR="00172B2A" w:rsidRDefault="00172B2A" w:rsidP="00971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200A" w14:textId="2D8EB34E" w:rsidR="00172B2A" w:rsidRPr="00971324" w:rsidRDefault="00172B2A" w:rsidP="00995053">
    <w:pPr>
      <w:pStyle w:val="Footer"/>
      <w:framePr w:wrap="none" w:vAnchor="text" w:hAnchor="margin" w:xAlign="right" w:y="1"/>
      <w:rPr>
        <w:rStyle w:val="PageNumber"/>
        <w:rFonts w:asciiTheme="minorBidi" w:hAnsiTheme="minorBidi"/>
        <w:sz w:val="20"/>
        <w:szCs w:val="20"/>
      </w:rPr>
    </w:pPr>
  </w:p>
  <w:p w14:paraId="295D8B1E" w14:textId="77777777" w:rsidR="00172B2A" w:rsidRDefault="00172B2A" w:rsidP="00E6108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591A" w14:textId="77777777" w:rsidR="000A4134" w:rsidRDefault="000A41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Bidi" w:hAnsiTheme="minorBidi"/>
        <w:sz w:val="20"/>
        <w:szCs w:val="20"/>
      </w:rPr>
      <w:id w:val="-224447300"/>
      <w:docPartObj>
        <w:docPartGallery w:val="Page Numbers (Bottom of Page)"/>
        <w:docPartUnique/>
      </w:docPartObj>
    </w:sdtPr>
    <w:sdtEndPr>
      <w:rPr>
        <w:rStyle w:val="PageNumber"/>
      </w:rPr>
    </w:sdtEndPr>
    <w:sdtContent>
      <w:p w14:paraId="326EC043" w14:textId="16E41D2D" w:rsidR="00172B2A" w:rsidRPr="00971324" w:rsidRDefault="00172B2A" w:rsidP="00995053">
        <w:pPr>
          <w:pStyle w:val="Footer"/>
          <w:framePr w:wrap="none" w:vAnchor="text" w:hAnchor="margin" w:xAlign="right" w:y="1"/>
          <w:rPr>
            <w:rStyle w:val="PageNumber"/>
            <w:rFonts w:asciiTheme="minorBidi" w:hAnsiTheme="minorBidi"/>
            <w:sz w:val="20"/>
            <w:szCs w:val="20"/>
          </w:rPr>
        </w:pPr>
        <w:r w:rsidRPr="00971324">
          <w:rPr>
            <w:rStyle w:val="PageNumber"/>
            <w:rFonts w:asciiTheme="minorBidi" w:hAnsiTheme="minorBidi"/>
            <w:sz w:val="20"/>
            <w:szCs w:val="20"/>
          </w:rPr>
          <w:fldChar w:fldCharType="begin"/>
        </w:r>
        <w:r w:rsidRPr="00971324">
          <w:rPr>
            <w:rStyle w:val="PageNumber"/>
            <w:rFonts w:asciiTheme="minorBidi" w:hAnsiTheme="minorBidi"/>
            <w:sz w:val="20"/>
            <w:szCs w:val="20"/>
          </w:rPr>
          <w:instrText xml:space="preserve"> PAGE </w:instrText>
        </w:r>
        <w:r w:rsidRPr="00971324">
          <w:rPr>
            <w:rStyle w:val="PageNumber"/>
            <w:rFonts w:asciiTheme="minorBidi" w:hAnsiTheme="minorBidi"/>
            <w:sz w:val="20"/>
            <w:szCs w:val="20"/>
          </w:rPr>
          <w:fldChar w:fldCharType="separate"/>
        </w:r>
        <w:r w:rsidR="00A31CDB">
          <w:rPr>
            <w:rStyle w:val="PageNumber"/>
            <w:rFonts w:asciiTheme="minorBidi" w:hAnsiTheme="minorBidi"/>
            <w:noProof/>
            <w:sz w:val="20"/>
            <w:szCs w:val="20"/>
          </w:rPr>
          <w:t>iii</w:t>
        </w:r>
        <w:r w:rsidRPr="00971324">
          <w:rPr>
            <w:rStyle w:val="PageNumber"/>
            <w:rFonts w:asciiTheme="minorBidi" w:hAnsiTheme="minorBidi"/>
            <w:sz w:val="20"/>
            <w:szCs w:val="20"/>
          </w:rPr>
          <w:fldChar w:fldCharType="end"/>
        </w:r>
      </w:p>
    </w:sdtContent>
  </w:sdt>
  <w:p w14:paraId="5DD2A933" w14:textId="77777777" w:rsidR="00172B2A" w:rsidRDefault="00172B2A" w:rsidP="0097132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Bidi" w:hAnsiTheme="minorBidi"/>
        <w:sz w:val="20"/>
        <w:szCs w:val="20"/>
      </w:rPr>
      <w:id w:val="-280028720"/>
      <w:docPartObj>
        <w:docPartGallery w:val="Page Numbers (Bottom of Page)"/>
        <w:docPartUnique/>
      </w:docPartObj>
    </w:sdtPr>
    <w:sdtEndPr>
      <w:rPr>
        <w:rStyle w:val="PageNumber"/>
      </w:rPr>
    </w:sdtEndPr>
    <w:sdtContent>
      <w:p w14:paraId="45BFE43F" w14:textId="3281FE85" w:rsidR="00172B2A" w:rsidRPr="00971324" w:rsidRDefault="00172B2A" w:rsidP="00995053">
        <w:pPr>
          <w:pStyle w:val="Footer"/>
          <w:framePr w:wrap="none" w:vAnchor="text" w:hAnchor="margin" w:xAlign="right" w:y="1"/>
          <w:rPr>
            <w:rStyle w:val="PageNumber"/>
            <w:rFonts w:asciiTheme="minorBidi" w:hAnsiTheme="minorBidi"/>
            <w:sz w:val="20"/>
            <w:szCs w:val="20"/>
          </w:rPr>
        </w:pPr>
        <w:r w:rsidRPr="00971324">
          <w:rPr>
            <w:rStyle w:val="PageNumber"/>
            <w:rFonts w:asciiTheme="minorBidi" w:hAnsiTheme="minorBidi"/>
            <w:sz w:val="20"/>
            <w:szCs w:val="20"/>
          </w:rPr>
          <w:fldChar w:fldCharType="begin"/>
        </w:r>
        <w:r w:rsidRPr="00971324">
          <w:rPr>
            <w:rStyle w:val="PageNumber"/>
            <w:rFonts w:asciiTheme="minorBidi" w:hAnsiTheme="minorBidi"/>
            <w:sz w:val="20"/>
            <w:szCs w:val="20"/>
          </w:rPr>
          <w:instrText xml:space="preserve"> PAGE </w:instrText>
        </w:r>
        <w:r w:rsidRPr="00971324">
          <w:rPr>
            <w:rStyle w:val="PageNumber"/>
            <w:rFonts w:asciiTheme="minorBidi" w:hAnsiTheme="minorBidi"/>
            <w:sz w:val="20"/>
            <w:szCs w:val="20"/>
          </w:rPr>
          <w:fldChar w:fldCharType="separate"/>
        </w:r>
        <w:r w:rsidR="00A31CDB">
          <w:rPr>
            <w:rStyle w:val="PageNumber"/>
            <w:rFonts w:asciiTheme="minorBidi" w:hAnsiTheme="minorBidi"/>
            <w:noProof/>
            <w:sz w:val="20"/>
            <w:szCs w:val="20"/>
          </w:rPr>
          <w:t>4</w:t>
        </w:r>
        <w:r w:rsidRPr="00971324">
          <w:rPr>
            <w:rStyle w:val="PageNumber"/>
            <w:rFonts w:asciiTheme="minorBidi" w:hAnsiTheme="minorBidi"/>
            <w:sz w:val="20"/>
            <w:szCs w:val="20"/>
          </w:rPr>
          <w:fldChar w:fldCharType="end"/>
        </w:r>
      </w:p>
    </w:sdtContent>
  </w:sdt>
  <w:p w14:paraId="6DA4120F" w14:textId="77777777" w:rsidR="00172B2A" w:rsidRDefault="00172B2A" w:rsidP="0097132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16E8" w14:textId="74593C30" w:rsidR="00172B2A" w:rsidRPr="00971324" w:rsidRDefault="00172B2A" w:rsidP="00995053">
    <w:pPr>
      <w:pStyle w:val="Footer"/>
      <w:framePr w:wrap="none" w:vAnchor="text" w:hAnchor="margin" w:xAlign="right" w:y="1"/>
      <w:rPr>
        <w:rStyle w:val="PageNumber"/>
        <w:rFonts w:asciiTheme="minorBidi" w:hAnsiTheme="minorBidi"/>
        <w:sz w:val="20"/>
        <w:szCs w:val="20"/>
      </w:rPr>
    </w:pPr>
    <w:r>
      <w:rPr>
        <w:rStyle w:val="PageNumber"/>
        <w:rFonts w:asciiTheme="minorBidi" w:hAnsiTheme="minorBidi"/>
        <w:sz w:val="20"/>
        <w:szCs w:val="20"/>
      </w:rPr>
      <w:t>A</w:t>
    </w:r>
    <w:sdt>
      <w:sdtPr>
        <w:rPr>
          <w:rStyle w:val="PageNumber"/>
          <w:rFonts w:asciiTheme="minorBidi" w:hAnsiTheme="minorBidi"/>
          <w:sz w:val="20"/>
          <w:szCs w:val="20"/>
        </w:rPr>
        <w:id w:val="-1273935250"/>
        <w:docPartObj>
          <w:docPartGallery w:val="Page Numbers (Bottom of Page)"/>
          <w:docPartUnique/>
        </w:docPartObj>
      </w:sdtPr>
      <w:sdtEndPr>
        <w:rPr>
          <w:rStyle w:val="PageNumber"/>
        </w:rPr>
      </w:sdtEndPr>
      <w:sdtContent>
        <w:r w:rsidRPr="00971324">
          <w:rPr>
            <w:rStyle w:val="PageNumber"/>
            <w:rFonts w:asciiTheme="minorBidi" w:hAnsiTheme="minorBidi"/>
            <w:sz w:val="20"/>
            <w:szCs w:val="20"/>
          </w:rPr>
          <w:fldChar w:fldCharType="begin"/>
        </w:r>
        <w:r w:rsidRPr="00971324">
          <w:rPr>
            <w:rStyle w:val="PageNumber"/>
            <w:rFonts w:asciiTheme="minorBidi" w:hAnsiTheme="minorBidi"/>
            <w:sz w:val="20"/>
            <w:szCs w:val="20"/>
          </w:rPr>
          <w:instrText xml:space="preserve"> PAGE </w:instrText>
        </w:r>
        <w:r w:rsidRPr="00971324">
          <w:rPr>
            <w:rStyle w:val="PageNumber"/>
            <w:rFonts w:asciiTheme="minorBidi" w:hAnsiTheme="minorBidi"/>
            <w:sz w:val="20"/>
            <w:szCs w:val="20"/>
          </w:rPr>
          <w:fldChar w:fldCharType="separate"/>
        </w:r>
        <w:r w:rsidR="00A31CDB">
          <w:rPr>
            <w:rStyle w:val="PageNumber"/>
            <w:rFonts w:asciiTheme="minorBidi" w:hAnsiTheme="minorBidi"/>
            <w:noProof/>
            <w:sz w:val="20"/>
            <w:szCs w:val="20"/>
          </w:rPr>
          <w:t>17</w:t>
        </w:r>
        <w:r w:rsidRPr="00971324">
          <w:rPr>
            <w:rStyle w:val="PageNumber"/>
            <w:rFonts w:asciiTheme="minorBidi" w:hAnsiTheme="minorBidi"/>
            <w:sz w:val="20"/>
            <w:szCs w:val="20"/>
          </w:rPr>
          <w:fldChar w:fldCharType="end"/>
        </w:r>
      </w:sdtContent>
    </w:sdt>
  </w:p>
  <w:p w14:paraId="7FB3A662" w14:textId="77777777" w:rsidR="00172B2A" w:rsidRDefault="00172B2A" w:rsidP="00971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6F1F" w14:textId="77777777" w:rsidR="00172B2A" w:rsidRDefault="00172B2A" w:rsidP="00343D33">
      <w:pPr>
        <w:spacing w:before="0" w:after="0" w:line="240" w:lineRule="auto"/>
      </w:pPr>
      <w:r>
        <w:separator/>
      </w:r>
    </w:p>
  </w:footnote>
  <w:footnote w:type="continuationSeparator" w:id="0">
    <w:p w14:paraId="568FB674" w14:textId="77777777" w:rsidR="00172B2A" w:rsidRDefault="00172B2A" w:rsidP="00343D33">
      <w:pPr>
        <w:spacing w:before="0" w:after="0" w:line="240" w:lineRule="auto"/>
      </w:pPr>
      <w:r>
        <w:continuationSeparator/>
      </w:r>
    </w:p>
  </w:footnote>
  <w:footnote w:type="continuationNotice" w:id="1">
    <w:p w14:paraId="503CF4A7" w14:textId="77777777" w:rsidR="00172B2A" w:rsidRDefault="00172B2A">
      <w:pPr>
        <w:spacing w:before="0" w:after="0" w:line="240" w:lineRule="auto"/>
      </w:pPr>
    </w:p>
  </w:footnote>
  <w:footnote w:id="2">
    <w:p w14:paraId="6F01FF62" w14:textId="311BBC5F" w:rsidR="00172B2A" w:rsidRPr="00295394" w:rsidRDefault="00172B2A">
      <w:pPr>
        <w:pStyle w:val="FootnoteText"/>
        <w:rPr>
          <w:rFonts w:ascii="Calibri Light" w:hAnsi="Calibri Light" w:cs="Calibri Light"/>
          <w:sz w:val="16"/>
          <w:szCs w:val="16"/>
        </w:rPr>
      </w:pPr>
      <w:r>
        <w:rPr>
          <w:rStyle w:val="FootnoteReference"/>
        </w:rPr>
        <w:footnoteRef/>
      </w:r>
      <w:r>
        <w:t xml:space="preserve"> </w:t>
      </w:r>
      <w:r w:rsidRPr="00295394">
        <w:rPr>
          <w:rFonts w:asciiTheme="majorHAnsi" w:hAnsiTheme="majorHAnsi" w:cstheme="majorHAnsi"/>
          <w:sz w:val="16"/>
          <w:szCs w:val="16"/>
        </w:rPr>
        <w:t xml:space="preserve">The </w:t>
      </w:r>
      <w:r>
        <w:rPr>
          <w:rFonts w:asciiTheme="majorHAnsi" w:hAnsiTheme="majorHAnsi" w:cstheme="majorHAnsi"/>
          <w:sz w:val="16"/>
          <w:szCs w:val="16"/>
        </w:rPr>
        <w:t xml:space="preserve">Indonesian State Budget for the </w:t>
      </w:r>
      <w:r w:rsidRPr="00295394">
        <w:rPr>
          <w:rFonts w:asciiTheme="majorHAnsi" w:hAnsiTheme="majorHAnsi" w:cstheme="majorHAnsi"/>
          <w:sz w:val="16"/>
          <w:szCs w:val="16"/>
        </w:rPr>
        <w:t>law and security sector</w:t>
      </w:r>
      <w:r>
        <w:rPr>
          <w:rFonts w:asciiTheme="majorHAnsi" w:hAnsiTheme="majorHAnsi" w:cstheme="majorHAnsi"/>
          <w:sz w:val="16"/>
          <w:szCs w:val="16"/>
        </w:rPr>
        <w:t>s</w:t>
      </w:r>
      <w:r w:rsidRPr="00295394">
        <w:rPr>
          <w:rFonts w:asciiTheme="majorHAnsi" w:hAnsiTheme="majorHAnsi" w:cstheme="majorHAnsi"/>
          <w:sz w:val="16"/>
          <w:szCs w:val="16"/>
        </w:rPr>
        <w:t xml:space="preserve"> in 201</w:t>
      </w:r>
      <w:r>
        <w:rPr>
          <w:rFonts w:asciiTheme="majorHAnsi" w:hAnsiTheme="majorHAnsi" w:cstheme="majorHAnsi"/>
          <w:sz w:val="16"/>
          <w:szCs w:val="16"/>
        </w:rPr>
        <w:t>9</w:t>
      </w:r>
      <w:r w:rsidRPr="00295394">
        <w:rPr>
          <w:rFonts w:asciiTheme="majorHAnsi" w:hAnsiTheme="majorHAnsi" w:cstheme="majorHAnsi"/>
          <w:sz w:val="16"/>
          <w:szCs w:val="16"/>
        </w:rPr>
        <w:t xml:space="preserve"> alone</w:t>
      </w:r>
      <w:r>
        <w:rPr>
          <w:rFonts w:asciiTheme="majorHAnsi" w:hAnsiTheme="majorHAnsi" w:cstheme="majorHAnsi"/>
          <w:sz w:val="16"/>
          <w:szCs w:val="16"/>
        </w:rPr>
        <w:t xml:space="preserve"> was</w:t>
      </w:r>
      <w:r w:rsidRPr="00295394">
        <w:rPr>
          <w:rFonts w:asciiTheme="majorHAnsi" w:hAnsiTheme="majorHAnsi" w:cstheme="majorHAnsi"/>
          <w:sz w:val="16"/>
          <w:szCs w:val="16"/>
        </w:rPr>
        <w:t xml:space="preserve"> worth AUD 13</w:t>
      </w:r>
      <w:r>
        <w:rPr>
          <w:rFonts w:asciiTheme="majorHAnsi" w:hAnsiTheme="majorHAnsi" w:cstheme="majorHAnsi"/>
          <w:sz w:val="16"/>
          <w:szCs w:val="16"/>
        </w:rPr>
        <w:t>,2</w:t>
      </w:r>
      <w:r w:rsidRPr="00295394">
        <w:rPr>
          <w:rFonts w:asciiTheme="majorHAnsi" w:hAnsiTheme="majorHAnsi" w:cstheme="majorHAnsi"/>
          <w:sz w:val="16"/>
          <w:szCs w:val="16"/>
        </w:rPr>
        <w:t xml:space="preserve"> billion</w:t>
      </w:r>
      <w:r>
        <w:rPr>
          <w:rFonts w:asciiTheme="majorHAnsi" w:hAnsiTheme="majorHAnsi" w:cstheme="majorHAnsi"/>
          <w:sz w:val="16"/>
          <w:szCs w:val="16"/>
        </w:rPr>
        <w:t xml:space="preserve">, covering </w:t>
      </w:r>
      <w:r w:rsidRPr="00295394">
        <w:rPr>
          <w:rFonts w:asciiTheme="majorHAnsi" w:hAnsiTheme="majorHAnsi" w:cstheme="majorHAnsi"/>
          <w:sz w:val="16"/>
          <w:szCs w:val="16"/>
        </w:rPr>
        <w:t>the Supreme Court, the Prosecutor’s Office, the Police, the Corruption Eradication Commission, the Judicial Commission, the National Agency for Combating Terrorism, the Maritime Security Agency and the State Cyber and Code Body</w:t>
      </w:r>
      <w:r>
        <w:rPr>
          <w:rFonts w:asciiTheme="majorHAnsi" w:hAnsiTheme="majorHAnsi" w:cstheme="majorHAnsi"/>
          <w:sz w:val="16"/>
          <w:szCs w:val="16"/>
        </w:rPr>
        <w:t>.</w:t>
      </w:r>
    </w:p>
  </w:footnote>
  <w:footnote w:id="3">
    <w:p w14:paraId="2FBD127B" w14:textId="601857F0" w:rsidR="00172B2A" w:rsidRPr="009C5109" w:rsidRDefault="00172B2A" w:rsidP="006C421A">
      <w:pPr>
        <w:pStyle w:val="FootnoteText"/>
        <w:rPr>
          <w:rFonts w:asciiTheme="majorHAnsi" w:hAnsiTheme="majorHAnsi" w:cstheme="majorHAnsi"/>
          <w:sz w:val="16"/>
          <w:szCs w:val="16"/>
        </w:rPr>
      </w:pPr>
      <w:r>
        <w:rPr>
          <w:rStyle w:val="FootnoteReference"/>
        </w:rPr>
        <w:footnoteRef/>
      </w:r>
      <w:r>
        <w:t xml:space="preserve"> </w:t>
      </w:r>
      <w:r w:rsidRPr="009C5109">
        <w:rPr>
          <w:rFonts w:asciiTheme="majorHAnsi" w:hAnsiTheme="majorHAnsi" w:cstheme="majorHAnsi"/>
          <w:sz w:val="16"/>
          <w:szCs w:val="16"/>
        </w:rPr>
        <w:t>Gender equality and disability-related activities have been largely ‘mainstreamed’ into pillars 1, 3 and 4, in the sense that specific activities are conducted in each pillar.</w:t>
      </w:r>
      <w:r>
        <w:rPr>
          <w:rFonts w:asciiTheme="majorHAnsi" w:hAnsiTheme="majorHAnsi" w:cstheme="majorHAnsi"/>
          <w:sz w:val="16"/>
          <w:szCs w:val="16"/>
        </w:rPr>
        <w:t xml:space="preserve"> </w:t>
      </w:r>
      <w:r w:rsidRPr="009C5109">
        <w:rPr>
          <w:rFonts w:asciiTheme="majorHAnsi" w:hAnsiTheme="majorHAnsi" w:cstheme="majorHAnsi"/>
          <w:sz w:val="16"/>
          <w:szCs w:val="16"/>
        </w:rPr>
        <w:t xml:space="preserve"> Limited GEDSI-related work is under pillar 2 is limited.</w:t>
      </w:r>
      <w:r>
        <w:rPr>
          <w:rFonts w:asciiTheme="majorHAnsi" w:hAnsiTheme="majorHAnsi" w:cstheme="majorHAnsi"/>
          <w:sz w:val="16"/>
          <w:szCs w:val="16"/>
        </w:rPr>
        <w:t xml:space="preserve"> </w:t>
      </w:r>
      <w:r w:rsidRPr="009C5109">
        <w:rPr>
          <w:rFonts w:asciiTheme="majorHAnsi" w:hAnsiTheme="majorHAnsi" w:cstheme="majorHAnsi"/>
          <w:sz w:val="16"/>
          <w:szCs w:val="16"/>
        </w:rPr>
        <w:t xml:space="preserve"> </w:t>
      </w:r>
    </w:p>
  </w:footnote>
  <w:footnote w:id="4">
    <w:p w14:paraId="55008E47" w14:textId="19CEF7B7" w:rsidR="00172B2A" w:rsidRPr="00535363" w:rsidRDefault="00172B2A">
      <w:pPr>
        <w:pStyle w:val="FootnoteText"/>
        <w:rPr>
          <w:rFonts w:ascii="Calibri Light" w:hAnsi="Calibri Light" w:cs="Calibri Light"/>
          <w:sz w:val="16"/>
          <w:szCs w:val="16"/>
        </w:rPr>
      </w:pPr>
      <w:r>
        <w:rPr>
          <w:rStyle w:val="FootnoteReference"/>
        </w:rPr>
        <w:footnoteRef/>
      </w:r>
      <w:r>
        <w:t xml:space="preserve"> </w:t>
      </w:r>
      <w:r w:rsidRPr="00535363">
        <w:rPr>
          <w:rFonts w:ascii="Calibri Light" w:hAnsi="Calibri Light" w:cs="Calibri Light"/>
          <w:sz w:val="16"/>
          <w:szCs w:val="16"/>
        </w:rPr>
        <w:t>Indonesia ranks 145 out of 190 countries for contract enforcement in the Ease of Doing Business Survey.</w:t>
      </w:r>
    </w:p>
  </w:footnote>
  <w:footnote w:id="5">
    <w:p w14:paraId="7F384433" w14:textId="1D1E4CE6" w:rsidR="00172B2A" w:rsidRDefault="00172B2A" w:rsidP="00D758A2">
      <w:pPr>
        <w:pStyle w:val="FootnoteText"/>
      </w:pPr>
      <w:r>
        <w:rPr>
          <w:rStyle w:val="FootnoteReference"/>
        </w:rPr>
        <w:footnoteRef/>
      </w:r>
      <w:r>
        <w:t xml:space="preserve"> </w:t>
      </w:r>
      <w:r w:rsidRPr="008B14DE">
        <w:rPr>
          <w:rFonts w:ascii="Calibri Light" w:hAnsi="Calibri Light" w:cs="Calibri Light"/>
          <w:sz w:val="16"/>
          <w:szCs w:val="16"/>
        </w:rPr>
        <w:t>Dept of Home Affairs – transnational crime and counter-terrorism; transport;</w:t>
      </w:r>
      <w:r>
        <w:rPr>
          <w:rFonts w:ascii="Calibri Light" w:hAnsi="Calibri Light" w:cs="Calibri Light"/>
          <w:sz w:val="16"/>
          <w:szCs w:val="16"/>
        </w:rPr>
        <w:t xml:space="preserve"> </w:t>
      </w:r>
      <w:r w:rsidRPr="008B14DE">
        <w:rPr>
          <w:rFonts w:ascii="Calibri Light" w:hAnsi="Calibri Light" w:cs="Calibri Light"/>
          <w:sz w:val="16"/>
          <w:szCs w:val="16"/>
        </w:rPr>
        <w:t>maritime;</w:t>
      </w:r>
      <w:r>
        <w:rPr>
          <w:rFonts w:ascii="Calibri Light" w:hAnsi="Calibri Light" w:cs="Calibri Light"/>
          <w:sz w:val="16"/>
          <w:szCs w:val="16"/>
        </w:rPr>
        <w:t xml:space="preserve"> </w:t>
      </w:r>
      <w:r w:rsidRPr="008B14DE">
        <w:rPr>
          <w:rFonts w:ascii="Calibri Light" w:hAnsi="Calibri Light" w:cs="Calibri Light"/>
          <w:sz w:val="16"/>
          <w:szCs w:val="16"/>
        </w:rPr>
        <w:t>Austrac; Australian Border Force, Australian Federal Police; Attorney General’s Department; Family Court of Australia; CSIRO; and Dept of Agriculture and Water Resources.</w:t>
      </w:r>
    </w:p>
  </w:footnote>
  <w:footnote w:id="6">
    <w:p w14:paraId="795C994B" w14:textId="77777777" w:rsidR="00172B2A" w:rsidRPr="00F24D72" w:rsidRDefault="00172B2A" w:rsidP="00275B5D">
      <w:pPr>
        <w:pStyle w:val="FootnoteText"/>
        <w:rPr>
          <w:rFonts w:ascii="Calibri Light" w:hAnsi="Calibri Light" w:cs="Calibri Light"/>
          <w:sz w:val="16"/>
          <w:szCs w:val="16"/>
        </w:rPr>
      </w:pPr>
      <w:r>
        <w:rPr>
          <w:rStyle w:val="FootnoteReference"/>
        </w:rPr>
        <w:footnoteRef/>
      </w:r>
      <w:r>
        <w:t xml:space="preserve"> </w:t>
      </w:r>
      <w:r w:rsidRPr="00F24D72">
        <w:rPr>
          <w:rFonts w:ascii="Calibri Light" w:hAnsi="Calibri Light" w:cs="Calibri Light"/>
          <w:sz w:val="16"/>
          <w:szCs w:val="16"/>
        </w:rPr>
        <w:t>Partly as a result of this, partners are interested in using capacity development activities to learn about new forms of fundraising, for instance through crowd sourcing.</w:t>
      </w:r>
    </w:p>
  </w:footnote>
  <w:footnote w:id="7">
    <w:p w14:paraId="7071D2E5" w14:textId="580A54E7" w:rsidR="00172B2A" w:rsidRPr="007668D7" w:rsidRDefault="00172B2A" w:rsidP="00275B5D">
      <w:pPr>
        <w:pStyle w:val="FootnoteText"/>
        <w:rPr>
          <w:rFonts w:ascii="Calibri Light" w:hAnsi="Calibri Light" w:cs="Calibri Light"/>
          <w:sz w:val="16"/>
          <w:szCs w:val="16"/>
        </w:rPr>
      </w:pPr>
      <w:r>
        <w:rPr>
          <w:rStyle w:val="FootnoteReference"/>
        </w:rPr>
        <w:footnoteRef/>
      </w:r>
      <w:r>
        <w:t xml:space="preserve"> </w:t>
      </w:r>
      <w:r>
        <w:rPr>
          <w:rFonts w:ascii="Calibri Light" w:hAnsi="Calibri Light" w:cs="Calibri Light"/>
          <w:sz w:val="16"/>
          <w:szCs w:val="16"/>
        </w:rPr>
        <w:t>Outcome 9: marginalised groups can advocate for and access basic services; and Outcome 11: public policies are informed by evidence.</w:t>
      </w:r>
    </w:p>
  </w:footnote>
  <w:footnote w:id="8">
    <w:p w14:paraId="6A5A12FC" w14:textId="6D668523" w:rsidR="00172B2A" w:rsidRPr="000D2EB1" w:rsidRDefault="00172B2A">
      <w:pPr>
        <w:pStyle w:val="FootnoteText"/>
        <w:rPr>
          <w:rFonts w:ascii="Calibri Light" w:hAnsi="Calibri Light" w:cs="Calibri Light"/>
          <w:sz w:val="16"/>
          <w:szCs w:val="16"/>
        </w:rPr>
      </w:pPr>
      <w:r>
        <w:rPr>
          <w:rStyle w:val="FootnoteReference"/>
        </w:rPr>
        <w:footnoteRef/>
      </w:r>
      <w:r>
        <w:t xml:space="preserve"> </w:t>
      </w:r>
      <w:r>
        <w:rPr>
          <w:rFonts w:ascii="Calibri Light" w:hAnsi="Calibri Light" w:cs="Calibri Light"/>
          <w:sz w:val="16"/>
          <w:szCs w:val="16"/>
        </w:rPr>
        <w:t xml:space="preserve">Pieper, L.  Review of DFAT facilities – Key Findings.  Independent Consultant Report.  7 May 2018; National Audit Office, 2005, Joint Targets. London </w:t>
      </w:r>
    </w:p>
  </w:footnote>
  <w:footnote w:id="9">
    <w:p w14:paraId="5D5A9A97" w14:textId="35F324C9" w:rsidR="00172B2A" w:rsidRPr="005016D3" w:rsidRDefault="00172B2A" w:rsidP="00137FCE">
      <w:pPr>
        <w:pStyle w:val="FootnoteText"/>
        <w:rPr>
          <w:rFonts w:ascii="Calibri Light" w:hAnsi="Calibri Light" w:cs="Calibri Light"/>
          <w:sz w:val="16"/>
          <w:szCs w:val="16"/>
        </w:rPr>
      </w:pPr>
      <w:r>
        <w:rPr>
          <w:rStyle w:val="FootnoteReference"/>
        </w:rPr>
        <w:footnoteRef/>
      </w:r>
      <w:r>
        <w:t xml:space="preserve"> </w:t>
      </w:r>
      <w:r>
        <w:rPr>
          <w:rFonts w:ascii="Calibri Light" w:hAnsi="Calibri Light" w:cs="Calibri Light"/>
          <w:sz w:val="16"/>
          <w:szCs w:val="16"/>
        </w:rPr>
        <w:t>MAMPU is the Australian Indonesia Partnership for Gender Equality and Women’s Empowerment; PEDULI is an Indonesian Government program, supported by DFAT, focused on increasing access to basic rights and social services for marginalised groups.</w:t>
      </w:r>
    </w:p>
    <w:p w14:paraId="77E97588" w14:textId="77777777" w:rsidR="00172B2A" w:rsidRPr="0069483E" w:rsidRDefault="00172B2A" w:rsidP="00137FCE">
      <w:pPr>
        <w:pStyle w:val="FootnoteText"/>
        <w:rPr>
          <w:rFonts w:ascii="Calibri Light" w:hAnsi="Calibri Light" w:cs="Calibri Light"/>
          <w:sz w:val="16"/>
          <w:szCs w:val="16"/>
        </w:rPr>
      </w:pPr>
    </w:p>
  </w:footnote>
  <w:footnote w:id="10">
    <w:p w14:paraId="05D49FA1" w14:textId="77777777" w:rsidR="00172B2A" w:rsidRPr="007B51CB" w:rsidRDefault="00172B2A" w:rsidP="00E02CB1">
      <w:pPr>
        <w:pStyle w:val="FootnoteText"/>
        <w:rPr>
          <w:sz w:val="16"/>
          <w:szCs w:val="16"/>
        </w:rPr>
      </w:pPr>
      <w:r>
        <w:rPr>
          <w:rStyle w:val="FootnoteReference"/>
        </w:rPr>
        <w:footnoteRef/>
      </w:r>
      <w:r>
        <w:t xml:space="preserve"> </w:t>
      </w:r>
      <w:r>
        <w:rPr>
          <w:sz w:val="16"/>
          <w:szCs w:val="16"/>
        </w:rPr>
        <w:t>Nearly 50% of the 2019 budget for Pillar 1 and approximately 10% of funding under Pillar 3.</w:t>
      </w:r>
    </w:p>
  </w:footnote>
  <w:footnote w:id="11">
    <w:p w14:paraId="4F22922D" w14:textId="710638C6" w:rsidR="00172B2A" w:rsidRPr="00434973" w:rsidRDefault="00172B2A">
      <w:pPr>
        <w:pStyle w:val="FootnoteText"/>
        <w:rPr>
          <w:rFonts w:ascii="Calibri Light" w:hAnsi="Calibri Light" w:cs="Calibri Light"/>
          <w:sz w:val="16"/>
          <w:szCs w:val="16"/>
        </w:rPr>
      </w:pPr>
      <w:r w:rsidRPr="00434973">
        <w:rPr>
          <w:rStyle w:val="FootnoteReference"/>
          <w:rFonts w:ascii="Calibri Light" w:hAnsi="Calibri Light" w:cs="Calibri Light"/>
        </w:rPr>
        <w:footnoteRef/>
      </w:r>
      <w:r w:rsidRPr="00434973">
        <w:rPr>
          <w:rFonts w:ascii="Calibri Light" w:hAnsi="Calibri Light" w:cs="Calibri Light"/>
        </w:rPr>
        <w:t xml:space="preserve"> </w:t>
      </w:r>
      <w:r>
        <w:rPr>
          <w:rFonts w:ascii="Calibri Light" w:hAnsi="Calibri Light" w:cs="Calibri Light"/>
          <w:sz w:val="16"/>
          <w:szCs w:val="16"/>
        </w:rPr>
        <w:t>Pieper, L.  Review of DFAT facilities – Key Findings.  Independent Consultant Report.  7 May 2018</w:t>
      </w:r>
    </w:p>
  </w:footnote>
  <w:footnote w:id="12">
    <w:p w14:paraId="72EF0887" w14:textId="6C069D1E" w:rsidR="00172B2A" w:rsidRPr="00A34F17" w:rsidRDefault="00172B2A">
      <w:pPr>
        <w:pStyle w:val="FootnoteText"/>
        <w:rPr>
          <w:sz w:val="16"/>
          <w:szCs w:val="16"/>
        </w:rPr>
      </w:pPr>
      <w:r>
        <w:rPr>
          <w:rStyle w:val="FootnoteReference"/>
        </w:rPr>
        <w:footnoteRef/>
      </w:r>
      <w:r>
        <w:t xml:space="preserve"> </w:t>
      </w:r>
      <w:r>
        <w:rPr>
          <w:sz w:val="16"/>
          <w:szCs w:val="16"/>
        </w:rPr>
        <w:t>There is no doubt that effective law and justice and security assistance can contribute to democratic resilience.  As such it is not difficult to situate AIPJ2 in a general sense under the broad concept – in particular if the reforms supported impact on ordinary citizens interactions with the state and help to build confidence and trust in those institutions.  However, this does not really help AIPJ2 develop a clearer narrative.</w:t>
      </w:r>
    </w:p>
  </w:footnote>
  <w:footnote w:id="13">
    <w:p w14:paraId="2625C049" w14:textId="77777777" w:rsidR="00172B2A" w:rsidRPr="00897353" w:rsidRDefault="00172B2A" w:rsidP="00E253F5">
      <w:pPr>
        <w:pStyle w:val="FootnoteText"/>
        <w:rPr>
          <w:rFonts w:ascii="Calibri Light" w:hAnsi="Calibri Light" w:cs="Calibri Light"/>
          <w:sz w:val="13"/>
          <w:szCs w:val="13"/>
        </w:rPr>
      </w:pPr>
      <w:r>
        <w:rPr>
          <w:rStyle w:val="FootnoteReference"/>
        </w:rPr>
        <w:footnoteRef/>
      </w:r>
      <w:r>
        <w:t xml:space="preserve"> </w:t>
      </w:r>
      <w:r w:rsidRPr="00897353">
        <w:rPr>
          <w:rFonts w:ascii="Calibri Light" w:hAnsi="Calibri Light" w:cs="Calibri Light"/>
          <w:color w:val="000000" w:themeColor="text1"/>
          <w:sz w:val="16"/>
          <w:szCs w:val="16"/>
        </w:rPr>
        <w:t xml:space="preserve">AIPJ2’s (net) added value will </w:t>
      </w:r>
      <w:r>
        <w:rPr>
          <w:rFonts w:ascii="Calibri Light" w:hAnsi="Calibri Light" w:cs="Calibri Light"/>
          <w:color w:val="000000" w:themeColor="text1"/>
          <w:sz w:val="16"/>
          <w:szCs w:val="16"/>
        </w:rPr>
        <w:t xml:space="preserve">typically </w:t>
      </w:r>
      <w:r w:rsidRPr="00897353">
        <w:rPr>
          <w:rFonts w:ascii="Calibri Light" w:hAnsi="Calibri Light" w:cs="Calibri Light"/>
          <w:color w:val="000000" w:themeColor="text1"/>
          <w:sz w:val="16"/>
          <w:szCs w:val="16"/>
        </w:rPr>
        <w:t>be less than the (gross) value of domestic Indonesian resources mobilised</w:t>
      </w:r>
      <w:r>
        <w:rPr>
          <w:rFonts w:ascii="Calibri Light" w:hAnsi="Calibri Light" w:cs="Calibri Light"/>
          <w:color w:val="000000" w:themeColor="text1"/>
          <w:sz w:val="16"/>
          <w:szCs w:val="16"/>
        </w:rPr>
        <w:t>/affected.</w:t>
      </w:r>
      <w:r w:rsidRPr="00897353">
        <w:rPr>
          <w:rFonts w:ascii="Calibri Light" w:hAnsi="Calibri Light" w:cs="Calibri Light"/>
          <w:color w:val="000000" w:themeColor="text1"/>
          <w:sz w:val="16"/>
          <w:szCs w:val="16"/>
        </w:rPr>
        <w:t xml:space="preserve">  </w:t>
      </w:r>
    </w:p>
  </w:footnote>
  <w:footnote w:id="14">
    <w:p w14:paraId="7F31EF94" w14:textId="568A1F5B" w:rsidR="00172B2A" w:rsidRPr="00C939D9" w:rsidRDefault="00172B2A">
      <w:pPr>
        <w:pStyle w:val="FootnoteText"/>
        <w:rPr>
          <w:rFonts w:ascii="Calibri Light" w:hAnsi="Calibri Light" w:cs="Calibri Light"/>
          <w:sz w:val="16"/>
          <w:szCs w:val="16"/>
        </w:rPr>
      </w:pPr>
      <w:r w:rsidRPr="00C939D9">
        <w:rPr>
          <w:rStyle w:val="FootnoteReference"/>
          <w:rFonts w:ascii="Calibri Light" w:hAnsi="Calibri Light" w:cs="Calibri Light"/>
        </w:rPr>
        <w:footnoteRef/>
      </w:r>
      <w:r w:rsidRPr="00C939D9">
        <w:rPr>
          <w:rFonts w:ascii="Calibri Light" w:hAnsi="Calibri Light" w:cs="Calibri Light"/>
        </w:rPr>
        <w:t xml:space="preserve"> </w:t>
      </w:r>
      <w:r>
        <w:rPr>
          <w:rFonts w:ascii="Calibri Light" w:hAnsi="Calibri Light" w:cs="Calibri Light"/>
          <w:sz w:val="16"/>
          <w:szCs w:val="16"/>
        </w:rPr>
        <w:t>Time and resource constraints precluded detailed, independent assessment of results by the mid-term review.</w:t>
      </w:r>
    </w:p>
  </w:footnote>
  <w:footnote w:id="15">
    <w:p w14:paraId="37D68806" w14:textId="77777777" w:rsidR="00172B2A" w:rsidRDefault="00172B2A" w:rsidP="009617CD">
      <w:pPr>
        <w:pStyle w:val="FootnoteText"/>
      </w:pPr>
      <w:r>
        <w:rPr>
          <w:rStyle w:val="FootnoteReference"/>
        </w:rPr>
        <w:footnoteRef/>
      </w:r>
      <w:r>
        <w:t xml:space="preserve"> Maritime capacity building  activities commenced in September 2018 under the scope of pillar 2</w:t>
      </w:r>
    </w:p>
  </w:footnote>
  <w:footnote w:id="16">
    <w:p w14:paraId="3C2D2566" w14:textId="77777777" w:rsidR="00172B2A" w:rsidRDefault="00172B2A" w:rsidP="009617CD">
      <w:pPr>
        <w:pStyle w:val="FootnoteText"/>
      </w:pPr>
      <w:r>
        <w:rPr>
          <w:rStyle w:val="FootnoteReference"/>
        </w:rPr>
        <w:footnoteRef/>
      </w:r>
      <w:r>
        <w:t xml:space="preserve"> Partnership development, gender and disability are also mainstreamed across the pillars. </w:t>
      </w:r>
    </w:p>
  </w:footnote>
  <w:footnote w:id="17">
    <w:p w14:paraId="55F6FE2F" w14:textId="77777777" w:rsidR="00172B2A" w:rsidRPr="001A5557" w:rsidRDefault="00172B2A" w:rsidP="00262AFF">
      <w:pPr>
        <w:pStyle w:val="FootnoteText"/>
        <w:rPr>
          <w:sz w:val="16"/>
          <w:szCs w:val="18"/>
        </w:rPr>
      </w:pPr>
      <w:r w:rsidRPr="00ED6B6E">
        <w:rPr>
          <w:rStyle w:val="FootnoteReference"/>
        </w:rPr>
        <w:footnoteRef/>
      </w:r>
      <w:r w:rsidRPr="00ED6B6E">
        <w:t xml:space="preserve"> </w:t>
      </w:r>
      <w:r w:rsidRPr="001A5557">
        <w:rPr>
          <w:sz w:val="16"/>
          <w:szCs w:val="18"/>
        </w:rPr>
        <w:t>Srivastava,</w:t>
      </w:r>
      <w:r w:rsidRPr="001A5557">
        <w:rPr>
          <w:spacing w:val="-11"/>
          <w:sz w:val="16"/>
          <w:szCs w:val="18"/>
        </w:rPr>
        <w:t xml:space="preserve"> </w:t>
      </w:r>
      <w:r w:rsidRPr="001A5557">
        <w:rPr>
          <w:sz w:val="16"/>
          <w:szCs w:val="18"/>
        </w:rPr>
        <w:t>A.</w:t>
      </w:r>
      <w:r w:rsidRPr="001A5557">
        <w:rPr>
          <w:spacing w:val="-10"/>
          <w:sz w:val="16"/>
          <w:szCs w:val="18"/>
        </w:rPr>
        <w:t xml:space="preserve"> </w:t>
      </w:r>
      <w:r w:rsidRPr="001A5557">
        <w:rPr>
          <w:sz w:val="16"/>
          <w:szCs w:val="18"/>
        </w:rPr>
        <w:t>&amp;</w:t>
      </w:r>
      <w:r w:rsidRPr="001A5557">
        <w:rPr>
          <w:spacing w:val="-10"/>
          <w:sz w:val="16"/>
          <w:szCs w:val="18"/>
        </w:rPr>
        <w:t xml:space="preserve"> </w:t>
      </w:r>
      <w:r w:rsidRPr="001A5557">
        <w:rPr>
          <w:sz w:val="16"/>
          <w:szCs w:val="18"/>
        </w:rPr>
        <w:t>Thomson,</w:t>
      </w:r>
      <w:r w:rsidRPr="001A5557">
        <w:rPr>
          <w:spacing w:val="-10"/>
          <w:sz w:val="16"/>
          <w:szCs w:val="18"/>
        </w:rPr>
        <w:t xml:space="preserve"> </w:t>
      </w:r>
      <w:r w:rsidRPr="001A5557">
        <w:rPr>
          <w:sz w:val="16"/>
          <w:szCs w:val="18"/>
        </w:rPr>
        <w:t>S.</w:t>
      </w:r>
      <w:r w:rsidRPr="001A5557">
        <w:rPr>
          <w:spacing w:val="-14"/>
          <w:sz w:val="16"/>
          <w:szCs w:val="18"/>
        </w:rPr>
        <w:t xml:space="preserve"> </w:t>
      </w:r>
      <w:r w:rsidRPr="001A5557">
        <w:rPr>
          <w:sz w:val="16"/>
          <w:szCs w:val="18"/>
        </w:rPr>
        <w:t>B.</w:t>
      </w:r>
      <w:r w:rsidRPr="001A5557">
        <w:rPr>
          <w:spacing w:val="-10"/>
          <w:sz w:val="16"/>
          <w:szCs w:val="18"/>
        </w:rPr>
        <w:t xml:space="preserve"> </w:t>
      </w:r>
      <w:r w:rsidRPr="001A5557">
        <w:rPr>
          <w:sz w:val="16"/>
          <w:szCs w:val="18"/>
        </w:rPr>
        <w:t>2009.</w:t>
      </w:r>
      <w:r w:rsidRPr="001A5557">
        <w:rPr>
          <w:spacing w:val="-10"/>
          <w:sz w:val="16"/>
          <w:szCs w:val="18"/>
        </w:rPr>
        <w:t xml:space="preserve"> </w:t>
      </w:r>
      <w:r w:rsidRPr="001A5557">
        <w:rPr>
          <w:sz w:val="16"/>
          <w:szCs w:val="18"/>
        </w:rPr>
        <w:t>Framework</w:t>
      </w:r>
      <w:r w:rsidRPr="001A5557">
        <w:rPr>
          <w:spacing w:val="-9"/>
          <w:sz w:val="16"/>
          <w:szCs w:val="18"/>
        </w:rPr>
        <w:t xml:space="preserve"> </w:t>
      </w:r>
      <w:r w:rsidRPr="001A5557">
        <w:rPr>
          <w:sz w:val="16"/>
          <w:szCs w:val="18"/>
        </w:rPr>
        <w:t>Analysis:</w:t>
      </w:r>
      <w:r w:rsidRPr="001A5557">
        <w:rPr>
          <w:spacing w:val="-11"/>
          <w:sz w:val="16"/>
          <w:szCs w:val="18"/>
        </w:rPr>
        <w:t xml:space="preserve"> </w:t>
      </w:r>
      <w:r w:rsidRPr="001A5557">
        <w:rPr>
          <w:sz w:val="16"/>
          <w:szCs w:val="18"/>
        </w:rPr>
        <w:t>A</w:t>
      </w:r>
      <w:r w:rsidRPr="001A5557">
        <w:rPr>
          <w:spacing w:val="-10"/>
          <w:sz w:val="16"/>
          <w:szCs w:val="18"/>
        </w:rPr>
        <w:t xml:space="preserve"> </w:t>
      </w:r>
      <w:r w:rsidRPr="001A5557">
        <w:rPr>
          <w:sz w:val="16"/>
          <w:szCs w:val="18"/>
        </w:rPr>
        <w:t>Qualitative</w:t>
      </w:r>
      <w:r w:rsidRPr="001A5557">
        <w:rPr>
          <w:spacing w:val="-10"/>
          <w:sz w:val="16"/>
          <w:szCs w:val="18"/>
        </w:rPr>
        <w:t xml:space="preserve"> </w:t>
      </w:r>
      <w:r w:rsidRPr="001A5557">
        <w:rPr>
          <w:sz w:val="16"/>
          <w:szCs w:val="18"/>
        </w:rPr>
        <w:t>Methodology</w:t>
      </w:r>
      <w:r w:rsidRPr="001A5557">
        <w:rPr>
          <w:spacing w:val="-11"/>
          <w:sz w:val="16"/>
          <w:szCs w:val="18"/>
        </w:rPr>
        <w:t xml:space="preserve"> </w:t>
      </w:r>
      <w:r w:rsidRPr="001A5557">
        <w:rPr>
          <w:sz w:val="16"/>
          <w:szCs w:val="18"/>
        </w:rPr>
        <w:t>for</w:t>
      </w:r>
      <w:r w:rsidRPr="001A5557">
        <w:rPr>
          <w:spacing w:val="-14"/>
          <w:sz w:val="16"/>
          <w:szCs w:val="18"/>
        </w:rPr>
        <w:t xml:space="preserve"> </w:t>
      </w:r>
      <w:r w:rsidRPr="001A5557">
        <w:rPr>
          <w:sz w:val="16"/>
          <w:szCs w:val="18"/>
        </w:rPr>
        <w:t>Applied</w:t>
      </w:r>
      <w:r w:rsidRPr="001A5557">
        <w:rPr>
          <w:spacing w:val="-10"/>
          <w:sz w:val="16"/>
          <w:szCs w:val="18"/>
        </w:rPr>
        <w:t xml:space="preserve"> </w:t>
      </w:r>
      <w:r w:rsidRPr="001A5557">
        <w:rPr>
          <w:sz w:val="16"/>
          <w:szCs w:val="18"/>
        </w:rPr>
        <w:t>Policy</w:t>
      </w:r>
      <w:r w:rsidRPr="001A5557">
        <w:rPr>
          <w:spacing w:val="-11"/>
          <w:sz w:val="16"/>
          <w:szCs w:val="18"/>
        </w:rPr>
        <w:t xml:space="preserve"> </w:t>
      </w:r>
      <w:r w:rsidRPr="001A5557">
        <w:rPr>
          <w:sz w:val="16"/>
          <w:szCs w:val="18"/>
        </w:rPr>
        <w:t>Research. Research Note JOAAG, Vol. 4. No.</w:t>
      </w:r>
      <w:r w:rsidRPr="001A5557">
        <w:rPr>
          <w:spacing w:val="-5"/>
          <w:sz w:val="16"/>
          <w:szCs w:val="18"/>
        </w:rPr>
        <w:t xml:space="preserve"> </w:t>
      </w:r>
      <w:r w:rsidRPr="001A5557">
        <w:rPr>
          <w:sz w:val="16"/>
          <w:szCs w:val="18"/>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21C0" w14:textId="272222B3" w:rsidR="00172B2A" w:rsidRDefault="00172B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7BEA" w14:textId="2E38DE27" w:rsidR="00172B2A" w:rsidRDefault="00172B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221C" w14:textId="56AF4F9D" w:rsidR="00172B2A" w:rsidRDefault="00172B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5C58" w14:textId="29AB5DC3" w:rsidR="00172B2A" w:rsidRDefault="00172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AE73" w14:textId="6399EE5D" w:rsidR="00172B2A" w:rsidRDefault="00172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A53D" w14:textId="5BE97B0A" w:rsidR="00172B2A" w:rsidRDefault="00172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3A5A" w14:textId="5A8694EE" w:rsidR="00172B2A" w:rsidRDefault="00172B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1FEF" w14:textId="780C5BA1" w:rsidR="00172B2A" w:rsidRDefault="00172B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3FAA" w14:textId="235A4E9D" w:rsidR="00172B2A" w:rsidRDefault="00172B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941C" w14:textId="3E43E21F" w:rsidR="00172B2A" w:rsidRDefault="00172B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4CB6" w14:textId="4D46A16B" w:rsidR="00172B2A" w:rsidRDefault="00172B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6D8E" w14:textId="0D242248" w:rsidR="00172B2A" w:rsidRDefault="00172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F9B"/>
    <w:multiLevelType w:val="hybridMultilevel"/>
    <w:tmpl w:val="51B4CBCC"/>
    <w:lvl w:ilvl="0" w:tplc="04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2BDE"/>
    <w:multiLevelType w:val="multilevel"/>
    <w:tmpl w:val="CD3ABCD8"/>
    <w:styleLink w:val="Style1"/>
    <w:lvl w:ilvl="0">
      <w:start w:val="1"/>
      <w:numFmt w:val="decimal"/>
      <w:lvlText w:val="%1."/>
      <w:lvlJc w:val="left"/>
      <w:pPr>
        <w:ind w:left="1134" w:hanging="1134"/>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701"/>
        </w:tabs>
        <w:ind w:left="0" w:firstLine="0"/>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3D6569"/>
    <w:multiLevelType w:val="multilevel"/>
    <w:tmpl w:val="8924CCD0"/>
    <w:lvl w:ilvl="0">
      <w:start w:val="1"/>
      <w:numFmt w:val="decimal"/>
      <w:lvlText w:val="%1."/>
      <w:lvlJc w:val="left"/>
      <w:pPr>
        <w:ind w:left="1134" w:hanging="1134"/>
      </w:pPr>
      <w:rPr>
        <w:rFonts w:hint="default"/>
      </w:rPr>
    </w:lvl>
    <w:lvl w:ilvl="1">
      <w:start w:val="1"/>
      <w:numFmt w:val="decimal"/>
      <w:lvlText w:val="%1.%2"/>
      <w:lvlJc w:val="left"/>
      <w:pPr>
        <w:tabs>
          <w:tab w:val="num" w:pos="1418"/>
        </w:tabs>
        <w:ind w:left="0" w:firstLine="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BF86367"/>
    <w:multiLevelType w:val="hybridMultilevel"/>
    <w:tmpl w:val="D3CE1B82"/>
    <w:lvl w:ilvl="0" w:tplc="A4722D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46D9"/>
    <w:multiLevelType w:val="hybridMultilevel"/>
    <w:tmpl w:val="8BCC8500"/>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A7C7B"/>
    <w:multiLevelType w:val="hybridMultilevel"/>
    <w:tmpl w:val="7AFA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E7E16"/>
    <w:multiLevelType w:val="hybridMultilevel"/>
    <w:tmpl w:val="D9CE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C7E0F"/>
    <w:multiLevelType w:val="hybridMultilevel"/>
    <w:tmpl w:val="C7FEF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13FB"/>
    <w:multiLevelType w:val="hybridMultilevel"/>
    <w:tmpl w:val="8C84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63219"/>
    <w:multiLevelType w:val="hybridMultilevel"/>
    <w:tmpl w:val="7FF2EA5C"/>
    <w:lvl w:ilvl="0" w:tplc="A9FEDF06">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252EB"/>
    <w:multiLevelType w:val="hybridMultilevel"/>
    <w:tmpl w:val="9326C2D4"/>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5EFA"/>
    <w:multiLevelType w:val="hybridMultilevel"/>
    <w:tmpl w:val="C0D43AB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EF26373"/>
    <w:multiLevelType w:val="hybridMultilevel"/>
    <w:tmpl w:val="31F4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44640"/>
    <w:multiLevelType w:val="multilevel"/>
    <w:tmpl w:val="CD3ABCD8"/>
    <w:numStyleLink w:val="Style1"/>
  </w:abstractNum>
  <w:abstractNum w:abstractNumId="14" w15:restartNumberingAfterBreak="0">
    <w:nsid w:val="2B0347BD"/>
    <w:multiLevelType w:val="hybridMultilevel"/>
    <w:tmpl w:val="84D6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E10CB"/>
    <w:multiLevelType w:val="hybridMultilevel"/>
    <w:tmpl w:val="BCDC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34FB6"/>
    <w:multiLevelType w:val="hybridMultilevel"/>
    <w:tmpl w:val="BEBE365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0">
    <w:nsid w:val="311E087B"/>
    <w:multiLevelType w:val="hybridMultilevel"/>
    <w:tmpl w:val="B6A2D752"/>
    <w:lvl w:ilvl="0" w:tplc="DCCAAADE">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8E8"/>
    <w:multiLevelType w:val="hybridMultilevel"/>
    <w:tmpl w:val="74A69006"/>
    <w:lvl w:ilvl="0" w:tplc="46B60BC6">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829A4"/>
    <w:multiLevelType w:val="hybridMultilevel"/>
    <w:tmpl w:val="AD82D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C18A6"/>
    <w:multiLevelType w:val="hybridMultilevel"/>
    <w:tmpl w:val="55A0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2F0775"/>
    <w:multiLevelType w:val="hybridMultilevel"/>
    <w:tmpl w:val="9566F0F8"/>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B107F"/>
    <w:multiLevelType w:val="hybridMultilevel"/>
    <w:tmpl w:val="F55C5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B1779"/>
    <w:multiLevelType w:val="hybridMultilevel"/>
    <w:tmpl w:val="862E0BE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B356A61"/>
    <w:multiLevelType w:val="hybridMultilevel"/>
    <w:tmpl w:val="D1AAE8A2"/>
    <w:lvl w:ilvl="0" w:tplc="B678C8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E5F18"/>
    <w:multiLevelType w:val="hybridMultilevel"/>
    <w:tmpl w:val="B1A6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D12BFB"/>
    <w:multiLevelType w:val="hybridMultilevel"/>
    <w:tmpl w:val="7B06FC0E"/>
    <w:lvl w:ilvl="0" w:tplc="AE5A26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836FE2"/>
    <w:multiLevelType w:val="hybridMultilevel"/>
    <w:tmpl w:val="F73C4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D419E"/>
    <w:multiLevelType w:val="hybridMultilevel"/>
    <w:tmpl w:val="033C859A"/>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B2BB8"/>
    <w:multiLevelType w:val="hybridMultilevel"/>
    <w:tmpl w:val="B52024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E763F"/>
    <w:multiLevelType w:val="hybridMultilevel"/>
    <w:tmpl w:val="35A0BB98"/>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94D86"/>
    <w:multiLevelType w:val="hybridMultilevel"/>
    <w:tmpl w:val="B0F6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973EE"/>
    <w:multiLevelType w:val="hybridMultilevel"/>
    <w:tmpl w:val="759EC0A4"/>
    <w:lvl w:ilvl="0" w:tplc="8B0A9E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291"/>
    <w:multiLevelType w:val="hybridMultilevel"/>
    <w:tmpl w:val="14CAF7A4"/>
    <w:lvl w:ilvl="0" w:tplc="0C09000F">
      <w:start w:val="1"/>
      <w:numFmt w:val="decimal"/>
      <w:lvlText w:val="%1."/>
      <w:lvlJc w:val="left"/>
      <w:pPr>
        <w:ind w:left="720" w:hanging="360"/>
      </w:pPr>
    </w:lvl>
    <w:lvl w:ilvl="1" w:tplc="0C090019">
      <w:start w:val="1"/>
      <w:numFmt w:val="lowerLetter"/>
      <w:lvlText w:val="%2."/>
      <w:lvlJc w:val="lef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BE529D"/>
    <w:multiLevelType w:val="hybridMultilevel"/>
    <w:tmpl w:val="31FE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B089B"/>
    <w:multiLevelType w:val="hybridMultilevel"/>
    <w:tmpl w:val="9AB47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B857E0"/>
    <w:multiLevelType w:val="hybridMultilevel"/>
    <w:tmpl w:val="6B2E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tabs>
            <w:tab w:val="num" w:pos="1418"/>
          </w:tabs>
          <w:ind w:left="0" w:firstLine="0"/>
        </w:pPr>
        <w:rPr>
          <w:rFonts w:hint="default"/>
          <w:vertAlign w:val="baseline"/>
        </w:rPr>
      </w:lvl>
    </w:lvlOverride>
    <w:lvlOverride w:ilvl="2">
      <w:lvl w:ilvl="2">
        <w:start w:val="1"/>
        <w:numFmt w:val="decimal"/>
        <w:lvlText w:val="%1.%2.%3"/>
        <w:lvlJc w:val="left"/>
        <w:pPr>
          <w:tabs>
            <w:tab w:val="num" w:pos="1701"/>
          </w:tabs>
          <w:ind w:left="0" w:firstLine="0"/>
        </w:pPr>
        <w:rPr>
          <w:rFonts w:hint="default"/>
        </w:rPr>
      </w:lvl>
    </w:lvlOverride>
    <w:lvlOverride w:ilvl="3">
      <w:lvl w:ilvl="3">
        <w:start w:val="1"/>
        <w:numFmt w:val="decimal"/>
        <w:lvlText w:val="%1.%2.%3.%4."/>
        <w:lvlJc w:val="left"/>
        <w:pPr>
          <w:ind w:left="2808" w:hanging="648"/>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2">
    <w:abstractNumId w:val="1"/>
  </w:num>
  <w:num w:numId="3">
    <w:abstractNumId w:val="13"/>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tabs>
            <w:tab w:val="num" w:pos="1418"/>
          </w:tabs>
          <w:ind w:left="0" w:firstLine="0"/>
        </w:pPr>
        <w:rPr>
          <w:rFonts w:hint="default"/>
        </w:rPr>
      </w:lvl>
    </w:lvlOverride>
    <w:lvlOverride w:ilvl="2">
      <w:lvl w:ilvl="2">
        <w:start w:val="1"/>
        <w:numFmt w:val="decimal"/>
        <w:lvlText w:val="%1.%2.%3"/>
        <w:lvlJc w:val="left"/>
        <w:pPr>
          <w:tabs>
            <w:tab w:val="num" w:pos="1701"/>
          </w:tabs>
          <w:ind w:left="0" w:firstLine="0"/>
        </w:pPr>
        <w:rPr>
          <w:rFonts w:ascii="Calibri Light" w:hAnsi="Calibri Light" w:cs="Calibri Light" w:hint="default"/>
          <w:b w:val="0"/>
          <w:bCs w:val="0"/>
          <w:i w:val="0"/>
          <w:iCs w:val="0"/>
          <w:sz w:val="22"/>
          <w:szCs w:val="22"/>
        </w:rPr>
      </w:lvl>
    </w:lvlOverride>
    <w:lvlOverride w:ilvl="3">
      <w:lvl w:ilvl="3">
        <w:start w:val="1"/>
        <w:numFmt w:val="decimal"/>
        <w:lvlText w:val="%1.%2.%3.%4."/>
        <w:lvlJc w:val="left"/>
        <w:pPr>
          <w:ind w:left="2808" w:hanging="648"/>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4">
    <w:abstractNumId w:val="25"/>
  </w:num>
  <w:num w:numId="5">
    <w:abstractNumId w:val="34"/>
  </w:num>
  <w:num w:numId="6">
    <w:abstractNumId w:val="0"/>
  </w:num>
  <w:num w:numId="7">
    <w:abstractNumId w:val="2"/>
  </w:num>
  <w:num w:numId="8">
    <w:abstractNumId w:val="23"/>
  </w:num>
  <w:num w:numId="9">
    <w:abstractNumId w:val="36"/>
  </w:num>
  <w:num w:numId="10">
    <w:abstractNumId w:val="9"/>
  </w:num>
  <w:num w:numId="11">
    <w:abstractNumId w:val="14"/>
  </w:num>
  <w:num w:numId="12">
    <w:abstractNumId w:val="8"/>
  </w:num>
  <w:num w:numId="13">
    <w:abstractNumId w:val="16"/>
  </w:num>
  <w:num w:numId="14">
    <w:abstractNumId w:val="33"/>
  </w:num>
  <w:num w:numId="15">
    <w:abstractNumId w:val="35"/>
  </w:num>
  <w:num w:numId="16">
    <w:abstractNumId w:val="20"/>
  </w:num>
  <w:num w:numId="17">
    <w:abstractNumId w:val="22"/>
  </w:num>
  <w:num w:numId="18">
    <w:abstractNumId w:val="15"/>
  </w:num>
  <w:num w:numId="19">
    <w:abstractNumId w:val="6"/>
  </w:num>
  <w:num w:numId="20">
    <w:abstractNumId w:val="3"/>
  </w:num>
  <w:num w:numId="21">
    <w:abstractNumId w:val="4"/>
  </w:num>
  <w:num w:numId="22">
    <w:abstractNumId w:val="10"/>
  </w:num>
  <w:num w:numId="23">
    <w:abstractNumId w:val="21"/>
  </w:num>
  <w:num w:numId="24">
    <w:abstractNumId w:val="28"/>
  </w:num>
  <w:num w:numId="25">
    <w:abstractNumId w:val="30"/>
  </w:num>
  <w:num w:numId="26">
    <w:abstractNumId w:val="32"/>
  </w:num>
  <w:num w:numId="27">
    <w:abstractNumId w:val="5"/>
  </w:num>
  <w:num w:numId="28">
    <w:abstractNumId w:val="11"/>
  </w:num>
  <w:num w:numId="29">
    <w:abstractNumId w:val="19"/>
  </w:num>
  <w:num w:numId="30">
    <w:abstractNumId w:val="31"/>
  </w:num>
  <w:num w:numId="31">
    <w:abstractNumId w:val="12"/>
  </w:num>
  <w:num w:numId="32">
    <w:abstractNumId w:val="7"/>
  </w:num>
  <w:num w:numId="33">
    <w:abstractNumId w:val="27"/>
  </w:num>
  <w:num w:numId="34">
    <w:abstractNumId w:val="29"/>
  </w:num>
  <w:num w:numId="35">
    <w:abstractNumId w:val="17"/>
  </w:num>
  <w:num w:numId="36">
    <w:abstractNumId w:val="18"/>
  </w:num>
  <w:num w:numId="37">
    <w:abstractNumId w:val="26"/>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C1"/>
    <w:rsid w:val="000036C7"/>
    <w:rsid w:val="00004061"/>
    <w:rsid w:val="00004D09"/>
    <w:rsid w:val="00005437"/>
    <w:rsid w:val="00013A13"/>
    <w:rsid w:val="00015B58"/>
    <w:rsid w:val="0002085F"/>
    <w:rsid w:val="00037497"/>
    <w:rsid w:val="00040B3B"/>
    <w:rsid w:val="0004167D"/>
    <w:rsid w:val="000443D2"/>
    <w:rsid w:val="0004595A"/>
    <w:rsid w:val="00045EAE"/>
    <w:rsid w:val="00050354"/>
    <w:rsid w:val="00051CBD"/>
    <w:rsid w:val="00051E21"/>
    <w:rsid w:val="00054624"/>
    <w:rsid w:val="00054FF5"/>
    <w:rsid w:val="00060B91"/>
    <w:rsid w:val="000615B4"/>
    <w:rsid w:val="00062753"/>
    <w:rsid w:val="00067348"/>
    <w:rsid w:val="000739C6"/>
    <w:rsid w:val="000779E4"/>
    <w:rsid w:val="00081392"/>
    <w:rsid w:val="000815E4"/>
    <w:rsid w:val="0008196A"/>
    <w:rsid w:val="00085D01"/>
    <w:rsid w:val="0009479F"/>
    <w:rsid w:val="000953FA"/>
    <w:rsid w:val="00095C27"/>
    <w:rsid w:val="000A2712"/>
    <w:rsid w:val="000A3066"/>
    <w:rsid w:val="000A4134"/>
    <w:rsid w:val="000A73E5"/>
    <w:rsid w:val="000B5CDF"/>
    <w:rsid w:val="000C21F1"/>
    <w:rsid w:val="000C4002"/>
    <w:rsid w:val="000C4810"/>
    <w:rsid w:val="000D2EB1"/>
    <w:rsid w:val="000D4ECB"/>
    <w:rsid w:val="000E7F69"/>
    <w:rsid w:val="000F25C2"/>
    <w:rsid w:val="000F2BC5"/>
    <w:rsid w:val="000F415F"/>
    <w:rsid w:val="000F443A"/>
    <w:rsid w:val="000F662F"/>
    <w:rsid w:val="000F7370"/>
    <w:rsid w:val="00100705"/>
    <w:rsid w:val="001148A3"/>
    <w:rsid w:val="00136926"/>
    <w:rsid w:val="00137FCE"/>
    <w:rsid w:val="001402A5"/>
    <w:rsid w:val="00143E13"/>
    <w:rsid w:val="00145367"/>
    <w:rsid w:val="00145B98"/>
    <w:rsid w:val="0014627C"/>
    <w:rsid w:val="00150332"/>
    <w:rsid w:val="00152D59"/>
    <w:rsid w:val="001614A7"/>
    <w:rsid w:val="00162D39"/>
    <w:rsid w:val="001646E7"/>
    <w:rsid w:val="001661E0"/>
    <w:rsid w:val="00170E13"/>
    <w:rsid w:val="00172B2A"/>
    <w:rsid w:val="00174FE4"/>
    <w:rsid w:val="0017585C"/>
    <w:rsid w:val="00176B2D"/>
    <w:rsid w:val="00176C79"/>
    <w:rsid w:val="00181FD5"/>
    <w:rsid w:val="00184DCA"/>
    <w:rsid w:val="00190A75"/>
    <w:rsid w:val="00193845"/>
    <w:rsid w:val="00196960"/>
    <w:rsid w:val="001A219A"/>
    <w:rsid w:val="001B0917"/>
    <w:rsid w:val="001C1B3D"/>
    <w:rsid w:val="001C2CD0"/>
    <w:rsid w:val="001C70AB"/>
    <w:rsid w:val="001D1AC0"/>
    <w:rsid w:val="001D31B2"/>
    <w:rsid w:val="001D7E08"/>
    <w:rsid w:val="001E08DA"/>
    <w:rsid w:val="001E7C8A"/>
    <w:rsid w:val="001F1BE3"/>
    <w:rsid w:val="001F371B"/>
    <w:rsid w:val="001F6359"/>
    <w:rsid w:val="002004F3"/>
    <w:rsid w:val="00202728"/>
    <w:rsid w:val="0020691D"/>
    <w:rsid w:val="00210C87"/>
    <w:rsid w:val="0021293A"/>
    <w:rsid w:val="00212BDA"/>
    <w:rsid w:val="0021373F"/>
    <w:rsid w:val="00215466"/>
    <w:rsid w:val="002201B2"/>
    <w:rsid w:val="002223B8"/>
    <w:rsid w:val="00226638"/>
    <w:rsid w:val="00226822"/>
    <w:rsid w:val="00230924"/>
    <w:rsid w:val="00234193"/>
    <w:rsid w:val="002353AF"/>
    <w:rsid w:val="002372DD"/>
    <w:rsid w:val="002414C5"/>
    <w:rsid w:val="00242588"/>
    <w:rsid w:val="002428B8"/>
    <w:rsid w:val="0024495C"/>
    <w:rsid w:val="002475E7"/>
    <w:rsid w:val="00252E72"/>
    <w:rsid w:val="0025470D"/>
    <w:rsid w:val="00254A04"/>
    <w:rsid w:val="0025685A"/>
    <w:rsid w:val="00256944"/>
    <w:rsid w:val="0025724E"/>
    <w:rsid w:val="00257972"/>
    <w:rsid w:val="0026058F"/>
    <w:rsid w:val="00262AFF"/>
    <w:rsid w:val="00263023"/>
    <w:rsid w:val="00267D23"/>
    <w:rsid w:val="00272317"/>
    <w:rsid w:val="002735EB"/>
    <w:rsid w:val="00273702"/>
    <w:rsid w:val="00275B5D"/>
    <w:rsid w:val="00275F7F"/>
    <w:rsid w:val="002815B8"/>
    <w:rsid w:val="00285FFB"/>
    <w:rsid w:val="00291A5E"/>
    <w:rsid w:val="002941DC"/>
    <w:rsid w:val="00295394"/>
    <w:rsid w:val="00295CA5"/>
    <w:rsid w:val="002A1FDB"/>
    <w:rsid w:val="002A351E"/>
    <w:rsid w:val="002A4972"/>
    <w:rsid w:val="002B0639"/>
    <w:rsid w:val="002B58AE"/>
    <w:rsid w:val="002B637D"/>
    <w:rsid w:val="002C2149"/>
    <w:rsid w:val="002C4025"/>
    <w:rsid w:val="002C641E"/>
    <w:rsid w:val="002C78A7"/>
    <w:rsid w:val="002D201C"/>
    <w:rsid w:val="002D29C8"/>
    <w:rsid w:val="002D5B76"/>
    <w:rsid w:val="002D5DDF"/>
    <w:rsid w:val="002D6B9B"/>
    <w:rsid w:val="002E26A3"/>
    <w:rsid w:val="002E66E6"/>
    <w:rsid w:val="002E7077"/>
    <w:rsid w:val="002F227A"/>
    <w:rsid w:val="002F2D04"/>
    <w:rsid w:val="002F3FC7"/>
    <w:rsid w:val="002F4399"/>
    <w:rsid w:val="002F46AA"/>
    <w:rsid w:val="002F6DBF"/>
    <w:rsid w:val="003202C8"/>
    <w:rsid w:val="003205AC"/>
    <w:rsid w:val="003221BA"/>
    <w:rsid w:val="00323272"/>
    <w:rsid w:val="0032555C"/>
    <w:rsid w:val="00331339"/>
    <w:rsid w:val="0033516B"/>
    <w:rsid w:val="00335666"/>
    <w:rsid w:val="0033703D"/>
    <w:rsid w:val="00343D33"/>
    <w:rsid w:val="003441AA"/>
    <w:rsid w:val="003521EC"/>
    <w:rsid w:val="0035247E"/>
    <w:rsid w:val="00354090"/>
    <w:rsid w:val="00355A4D"/>
    <w:rsid w:val="00357C66"/>
    <w:rsid w:val="00357EDE"/>
    <w:rsid w:val="00366F59"/>
    <w:rsid w:val="003707E8"/>
    <w:rsid w:val="00373F91"/>
    <w:rsid w:val="00374520"/>
    <w:rsid w:val="00376756"/>
    <w:rsid w:val="0038114C"/>
    <w:rsid w:val="00381C5E"/>
    <w:rsid w:val="00387A98"/>
    <w:rsid w:val="003915A3"/>
    <w:rsid w:val="00395DCC"/>
    <w:rsid w:val="003A1674"/>
    <w:rsid w:val="003A1CBA"/>
    <w:rsid w:val="003A60EE"/>
    <w:rsid w:val="003A635B"/>
    <w:rsid w:val="003B06D2"/>
    <w:rsid w:val="003B0BF4"/>
    <w:rsid w:val="003B209E"/>
    <w:rsid w:val="003B2E6F"/>
    <w:rsid w:val="003B57ED"/>
    <w:rsid w:val="003B7B0C"/>
    <w:rsid w:val="003C2D8E"/>
    <w:rsid w:val="003C6396"/>
    <w:rsid w:val="003C6931"/>
    <w:rsid w:val="003D4D04"/>
    <w:rsid w:val="003E0229"/>
    <w:rsid w:val="003E0B7A"/>
    <w:rsid w:val="003E2A86"/>
    <w:rsid w:val="003E62F3"/>
    <w:rsid w:val="003E7C26"/>
    <w:rsid w:val="003F0B96"/>
    <w:rsid w:val="003F5685"/>
    <w:rsid w:val="003F6936"/>
    <w:rsid w:val="003F69C4"/>
    <w:rsid w:val="003F6A4B"/>
    <w:rsid w:val="0040436C"/>
    <w:rsid w:val="004051EE"/>
    <w:rsid w:val="00415DA6"/>
    <w:rsid w:val="00416A5A"/>
    <w:rsid w:val="00417EF3"/>
    <w:rsid w:val="00425D14"/>
    <w:rsid w:val="00426284"/>
    <w:rsid w:val="004304F1"/>
    <w:rsid w:val="0043078F"/>
    <w:rsid w:val="00431273"/>
    <w:rsid w:val="0043239A"/>
    <w:rsid w:val="00433EB8"/>
    <w:rsid w:val="00434973"/>
    <w:rsid w:val="00443292"/>
    <w:rsid w:val="00444977"/>
    <w:rsid w:val="004452F6"/>
    <w:rsid w:val="004456BE"/>
    <w:rsid w:val="00445E89"/>
    <w:rsid w:val="00447AE3"/>
    <w:rsid w:val="00451613"/>
    <w:rsid w:val="0045197C"/>
    <w:rsid w:val="00453A0B"/>
    <w:rsid w:val="00461A5B"/>
    <w:rsid w:val="00462A4B"/>
    <w:rsid w:val="00467A8D"/>
    <w:rsid w:val="00471C7F"/>
    <w:rsid w:val="00471D6F"/>
    <w:rsid w:val="004721E6"/>
    <w:rsid w:val="00474DE0"/>
    <w:rsid w:val="00483A1F"/>
    <w:rsid w:val="00484795"/>
    <w:rsid w:val="00487658"/>
    <w:rsid w:val="00490A65"/>
    <w:rsid w:val="00491C21"/>
    <w:rsid w:val="00492CE0"/>
    <w:rsid w:val="00495539"/>
    <w:rsid w:val="004A4DE3"/>
    <w:rsid w:val="004A60AB"/>
    <w:rsid w:val="004A787B"/>
    <w:rsid w:val="004B08E5"/>
    <w:rsid w:val="004B0C83"/>
    <w:rsid w:val="004B2DEF"/>
    <w:rsid w:val="004B37F4"/>
    <w:rsid w:val="004B4373"/>
    <w:rsid w:val="004C011C"/>
    <w:rsid w:val="004C77A9"/>
    <w:rsid w:val="004C7985"/>
    <w:rsid w:val="004D1096"/>
    <w:rsid w:val="004D16CA"/>
    <w:rsid w:val="004D2EAB"/>
    <w:rsid w:val="004E2608"/>
    <w:rsid w:val="004E5BB5"/>
    <w:rsid w:val="004E7ECB"/>
    <w:rsid w:val="004F03AF"/>
    <w:rsid w:val="004F1020"/>
    <w:rsid w:val="004F3669"/>
    <w:rsid w:val="004F4AC7"/>
    <w:rsid w:val="004F6A96"/>
    <w:rsid w:val="004F725E"/>
    <w:rsid w:val="00504B58"/>
    <w:rsid w:val="005057AA"/>
    <w:rsid w:val="0051043B"/>
    <w:rsid w:val="005174FA"/>
    <w:rsid w:val="0052272F"/>
    <w:rsid w:val="00523EFA"/>
    <w:rsid w:val="0052402F"/>
    <w:rsid w:val="00525F4D"/>
    <w:rsid w:val="00531678"/>
    <w:rsid w:val="005331CC"/>
    <w:rsid w:val="00533984"/>
    <w:rsid w:val="00534F69"/>
    <w:rsid w:val="00535363"/>
    <w:rsid w:val="00535A33"/>
    <w:rsid w:val="00536A2C"/>
    <w:rsid w:val="005473BA"/>
    <w:rsid w:val="005521BD"/>
    <w:rsid w:val="005571C9"/>
    <w:rsid w:val="00561B8A"/>
    <w:rsid w:val="005624BA"/>
    <w:rsid w:val="00563089"/>
    <w:rsid w:val="005640D0"/>
    <w:rsid w:val="00566D28"/>
    <w:rsid w:val="00567E27"/>
    <w:rsid w:val="00570B23"/>
    <w:rsid w:val="00573779"/>
    <w:rsid w:val="00582FBC"/>
    <w:rsid w:val="005919CF"/>
    <w:rsid w:val="00594CCB"/>
    <w:rsid w:val="00597857"/>
    <w:rsid w:val="005A3C1F"/>
    <w:rsid w:val="005A4EF4"/>
    <w:rsid w:val="005B08CD"/>
    <w:rsid w:val="005B21CE"/>
    <w:rsid w:val="005B77B4"/>
    <w:rsid w:val="005B7D44"/>
    <w:rsid w:val="005C4F7F"/>
    <w:rsid w:val="005D037E"/>
    <w:rsid w:val="005D554B"/>
    <w:rsid w:val="005D781A"/>
    <w:rsid w:val="005E310E"/>
    <w:rsid w:val="005E524B"/>
    <w:rsid w:val="005E5292"/>
    <w:rsid w:val="005E5EB7"/>
    <w:rsid w:val="005E71E1"/>
    <w:rsid w:val="005F22A1"/>
    <w:rsid w:val="005F7F58"/>
    <w:rsid w:val="00600124"/>
    <w:rsid w:val="006028C5"/>
    <w:rsid w:val="00605C50"/>
    <w:rsid w:val="006067C4"/>
    <w:rsid w:val="00606C27"/>
    <w:rsid w:val="00606C2D"/>
    <w:rsid w:val="006109C0"/>
    <w:rsid w:val="0061497A"/>
    <w:rsid w:val="006160C5"/>
    <w:rsid w:val="006229C2"/>
    <w:rsid w:val="006241D9"/>
    <w:rsid w:val="00641751"/>
    <w:rsid w:val="006470E5"/>
    <w:rsid w:val="00653260"/>
    <w:rsid w:val="00660706"/>
    <w:rsid w:val="00666465"/>
    <w:rsid w:val="0066792D"/>
    <w:rsid w:val="0067414C"/>
    <w:rsid w:val="00684539"/>
    <w:rsid w:val="00685D58"/>
    <w:rsid w:val="00690485"/>
    <w:rsid w:val="00694711"/>
    <w:rsid w:val="00697453"/>
    <w:rsid w:val="00697AEE"/>
    <w:rsid w:val="00697EC7"/>
    <w:rsid w:val="006A2430"/>
    <w:rsid w:val="006A573C"/>
    <w:rsid w:val="006A71B4"/>
    <w:rsid w:val="006A7873"/>
    <w:rsid w:val="006B32D6"/>
    <w:rsid w:val="006B4061"/>
    <w:rsid w:val="006B5DAF"/>
    <w:rsid w:val="006B6130"/>
    <w:rsid w:val="006B6A78"/>
    <w:rsid w:val="006B6E4E"/>
    <w:rsid w:val="006C0408"/>
    <w:rsid w:val="006C227F"/>
    <w:rsid w:val="006C3619"/>
    <w:rsid w:val="006C421A"/>
    <w:rsid w:val="006D1FBD"/>
    <w:rsid w:val="006D23CF"/>
    <w:rsid w:val="006D419C"/>
    <w:rsid w:val="006D4EE1"/>
    <w:rsid w:val="006E42DF"/>
    <w:rsid w:val="006E5BB9"/>
    <w:rsid w:val="006E66D2"/>
    <w:rsid w:val="006F0CE1"/>
    <w:rsid w:val="007036FA"/>
    <w:rsid w:val="0071055F"/>
    <w:rsid w:val="0071098B"/>
    <w:rsid w:val="0071377A"/>
    <w:rsid w:val="00714F95"/>
    <w:rsid w:val="007150B7"/>
    <w:rsid w:val="007177DF"/>
    <w:rsid w:val="00720081"/>
    <w:rsid w:val="00724A22"/>
    <w:rsid w:val="00724DA3"/>
    <w:rsid w:val="007302E3"/>
    <w:rsid w:val="0073399D"/>
    <w:rsid w:val="007372EA"/>
    <w:rsid w:val="00741F64"/>
    <w:rsid w:val="00744914"/>
    <w:rsid w:val="00746254"/>
    <w:rsid w:val="007471DE"/>
    <w:rsid w:val="00747204"/>
    <w:rsid w:val="007479FA"/>
    <w:rsid w:val="00747F7A"/>
    <w:rsid w:val="00757453"/>
    <w:rsid w:val="00757592"/>
    <w:rsid w:val="007629AC"/>
    <w:rsid w:val="00762A5E"/>
    <w:rsid w:val="00770268"/>
    <w:rsid w:val="007713F5"/>
    <w:rsid w:val="00771F58"/>
    <w:rsid w:val="00774BA4"/>
    <w:rsid w:val="00777B6A"/>
    <w:rsid w:val="00782C57"/>
    <w:rsid w:val="00783105"/>
    <w:rsid w:val="00791134"/>
    <w:rsid w:val="00792EBC"/>
    <w:rsid w:val="007956CC"/>
    <w:rsid w:val="00795AE8"/>
    <w:rsid w:val="00797928"/>
    <w:rsid w:val="007A3F95"/>
    <w:rsid w:val="007A713F"/>
    <w:rsid w:val="007B73AD"/>
    <w:rsid w:val="007B79E7"/>
    <w:rsid w:val="007C088D"/>
    <w:rsid w:val="007C49D2"/>
    <w:rsid w:val="007C719A"/>
    <w:rsid w:val="007D1744"/>
    <w:rsid w:val="007D5582"/>
    <w:rsid w:val="007D719B"/>
    <w:rsid w:val="007D7FC4"/>
    <w:rsid w:val="007F2A6D"/>
    <w:rsid w:val="007F414E"/>
    <w:rsid w:val="007F6C01"/>
    <w:rsid w:val="00800FDB"/>
    <w:rsid w:val="008035F9"/>
    <w:rsid w:val="00804819"/>
    <w:rsid w:val="00810BC6"/>
    <w:rsid w:val="0081437F"/>
    <w:rsid w:val="0081688B"/>
    <w:rsid w:val="00824FBF"/>
    <w:rsid w:val="008259D9"/>
    <w:rsid w:val="0082629C"/>
    <w:rsid w:val="00827417"/>
    <w:rsid w:val="00827ED3"/>
    <w:rsid w:val="00830ABC"/>
    <w:rsid w:val="008318AB"/>
    <w:rsid w:val="008319EF"/>
    <w:rsid w:val="0083388D"/>
    <w:rsid w:val="008351EA"/>
    <w:rsid w:val="008355ED"/>
    <w:rsid w:val="008378F5"/>
    <w:rsid w:val="0084103A"/>
    <w:rsid w:val="00844FA0"/>
    <w:rsid w:val="00846E87"/>
    <w:rsid w:val="0085000D"/>
    <w:rsid w:val="008501BF"/>
    <w:rsid w:val="008511EC"/>
    <w:rsid w:val="008525BD"/>
    <w:rsid w:val="008541D0"/>
    <w:rsid w:val="00855407"/>
    <w:rsid w:val="00855C0E"/>
    <w:rsid w:val="008573F5"/>
    <w:rsid w:val="00860B00"/>
    <w:rsid w:val="008648AA"/>
    <w:rsid w:val="00866BEF"/>
    <w:rsid w:val="00867E37"/>
    <w:rsid w:val="008743D2"/>
    <w:rsid w:val="00876CC2"/>
    <w:rsid w:val="00877486"/>
    <w:rsid w:val="00881B4F"/>
    <w:rsid w:val="0088377C"/>
    <w:rsid w:val="008840A6"/>
    <w:rsid w:val="00886A07"/>
    <w:rsid w:val="0089243C"/>
    <w:rsid w:val="008933C6"/>
    <w:rsid w:val="00894D6B"/>
    <w:rsid w:val="00895415"/>
    <w:rsid w:val="00897F4F"/>
    <w:rsid w:val="008A3800"/>
    <w:rsid w:val="008A5929"/>
    <w:rsid w:val="008A699D"/>
    <w:rsid w:val="008B170B"/>
    <w:rsid w:val="008B1D43"/>
    <w:rsid w:val="008B1DB0"/>
    <w:rsid w:val="008B5F88"/>
    <w:rsid w:val="008B7AF5"/>
    <w:rsid w:val="008C40CD"/>
    <w:rsid w:val="008C411B"/>
    <w:rsid w:val="008C602A"/>
    <w:rsid w:val="008C7C68"/>
    <w:rsid w:val="008D1AAE"/>
    <w:rsid w:val="008D29D5"/>
    <w:rsid w:val="008D2D00"/>
    <w:rsid w:val="008E13EE"/>
    <w:rsid w:val="008E4A8F"/>
    <w:rsid w:val="008E7162"/>
    <w:rsid w:val="008E719B"/>
    <w:rsid w:val="008F267A"/>
    <w:rsid w:val="008F4C86"/>
    <w:rsid w:val="008F6BE9"/>
    <w:rsid w:val="009074A3"/>
    <w:rsid w:val="00911ACF"/>
    <w:rsid w:val="0091585E"/>
    <w:rsid w:val="00917A00"/>
    <w:rsid w:val="00921A12"/>
    <w:rsid w:val="00924311"/>
    <w:rsid w:val="00925120"/>
    <w:rsid w:val="00930253"/>
    <w:rsid w:val="00930C94"/>
    <w:rsid w:val="0093381D"/>
    <w:rsid w:val="009402D1"/>
    <w:rsid w:val="009416C9"/>
    <w:rsid w:val="00942893"/>
    <w:rsid w:val="00942B8F"/>
    <w:rsid w:val="00944737"/>
    <w:rsid w:val="00946119"/>
    <w:rsid w:val="009617CD"/>
    <w:rsid w:val="00967812"/>
    <w:rsid w:val="00971324"/>
    <w:rsid w:val="00971574"/>
    <w:rsid w:val="00980235"/>
    <w:rsid w:val="00987045"/>
    <w:rsid w:val="009906CE"/>
    <w:rsid w:val="00990CAA"/>
    <w:rsid w:val="009918EB"/>
    <w:rsid w:val="00995053"/>
    <w:rsid w:val="0099741D"/>
    <w:rsid w:val="009A6BBD"/>
    <w:rsid w:val="009B64B4"/>
    <w:rsid w:val="009B6D5B"/>
    <w:rsid w:val="009C0177"/>
    <w:rsid w:val="009C5109"/>
    <w:rsid w:val="009D17C5"/>
    <w:rsid w:val="009D224C"/>
    <w:rsid w:val="009D28C1"/>
    <w:rsid w:val="009D2DC6"/>
    <w:rsid w:val="009D34A9"/>
    <w:rsid w:val="009D3972"/>
    <w:rsid w:val="009D6946"/>
    <w:rsid w:val="009D6BEF"/>
    <w:rsid w:val="009E1BAA"/>
    <w:rsid w:val="009E3F61"/>
    <w:rsid w:val="009E487B"/>
    <w:rsid w:val="009E4D92"/>
    <w:rsid w:val="009E61FF"/>
    <w:rsid w:val="009F2A02"/>
    <w:rsid w:val="009F2F59"/>
    <w:rsid w:val="009F325C"/>
    <w:rsid w:val="009F3934"/>
    <w:rsid w:val="009F63F9"/>
    <w:rsid w:val="009F6C26"/>
    <w:rsid w:val="00A01F54"/>
    <w:rsid w:val="00A05F85"/>
    <w:rsid w:val="00A06988"/>
    <w:rsid w:val="00A16179"/>
    <w:rsid w:val="00A233DD"/>
    <w:rsid w:val="00A31CDB"/>
    <w:rsid w:val="00A34619"/>
    <w:rsid w:val="00A34EB9"/>
    <w:rsid w:val="00A34F17"/>
    <w:rsid w:val="00A444C9"/>
    <w:rsid w:val="00A446EF"/>
    <w:rsid w:val="00A46926"/>
    <w:rsid w:val="00A46CBD"/>
    <w:rsid w:val="00A46CD8"/>
    <w:rsid w:val="00A47007"/>
    <w:rsid w:val="00A55220"/>
    <w:rsid w:val="00A61382"/>
    <w:rsid w:val="00A64454"/>
    <w:rsid w:val="00A64BF3"/>
    <w:rsid w:val="00A64D4C"/>
    <w:rsid w:val="00A66023"/>
    <w:rsid w:val="00A70D5A"/>
    <w:rsid w:val="00A74B78"/>
    <w:rsid w:val="00A74D8A"/>
    <w:rsid w:val="00A82CA6"/>
    <w:rsid w:val="00A8564C"/>
    <w:rsid w:val="00A85DA0"/>
    <w:rsid w:val="00A86108"/>
    <w:rsid w:val="00A868B1"/>
    <w:rsid w:val="00A9064C"/>
    <w:rsid w:val="00A92005"/>
    <w:rsid w:val="00AA02F2"/>
    <w:rsid w:val="00AA051C"/>
    <w:rsid w:val="00AA0FA5"/>
    <w:rsid w:val="00AA1EE1"/>
    <w:rsid w:val="00AA39C2"/>
    <w:rsid w:val="00AA3F63"/>
    <w:rsid w:val="00AA6FF0"/>
    <w:rsid w:val="00AA76AD"/>
    <w:rsid w:val="00AB210C"/>
    <w:rsid w:val="00AB343F"/>
    <w:rsid w:val="00AB459B"/>
    <w:rsid w:val="00AC0125"/>
    <w:rsid w:val="00AD2A71"/>
    <w:rsid w:val="00AD355E"/>
    <w:rsid w:val="00AD5764"/>
    <w:rsid w:val="00AE4569"/>
    <w:rsid w:val="00AE79B7"/>
    <w:rsid w:val="00AF0464"/>
    <w:rsid w:val="00AF2E49"/>
    <w:rsid w:val="00AF453E"/>
    <w:rsid w:val="00B00945"/>
    <w:rsid w:val="00B01337"/>
    <w:rsid w:val="00B015C8"/>
    <w:rsid w:val="00B01B57"/>
    <w:rsid w:val="00B02221"/>
    <w:rsid w:val="00B0235C"/>
    <w:rsid w:val="00B05138"/>
    <w:rsid w:val="00B13D48"/>
    <w:rsid w:val="00B15D15"/>
    <w:rsid w:val="00B16C28"/>
    <w:rsid w:val="00B20787"/>
    <w:rsid w:val="00B245DF"/>
    <w:rsid w:val="00B256F2"/>
    <w:rsid w:val="00B2697B"/>
    <w:rsid w:val="00B32630"/>
    <w:rsid w:val="00B32922"/>
    <w:rsid w:val="00B32F51"/>
    <w:rsid w:val="00B34E8D"/>
    <w:rsid w:val="00B36085"/>
    <w:rsid w:val="00B36C4E"/>
    <w:rsid w:val="00B439C2"/>
    <w:rsid w:val="00B4668F"/>
    <w:rsid w:val="00B54028"/>
    <w:rsid w:val="00B5619F"/>
    <w:rsid w:val="00B60670"/>
    <w:rsid w:val="00B60E10"/>
    <w:rsid w:val="00B621EB"/>
    <w:rsid w:val="00B62BF9"/>
    <w:rsid w:val="00B64CF4"/>
    <w:rsid w:val="00B66A0F"/>
    <w:rsid w:val="00B67836"/>
    <w:rsid w:val="00B72679"/>
    <w:rsid w:val="00B8017B"/>
    <w:rsid w:val="00B80605"/>
    <w:rsid w:val="00B87981"/>
    <w:rsid w:val="00B91F6E"/>
    <w:rsid w:val="00B94DCC"/>
    <w:rsid w:val="00B96C4E"/>
    <w:rsid w:val="00BA01BA"/>
    <w:rsid w:val="00BA07C4"/>
    <w:rsid w:val="00BA1299"/>
    <w:rsid w:val="00BA1492"/>
    <w:rsid w:val="00BA5282"/>
    <w:rsid w:val="00BA60FF"/>
    <w:rsid w:val="00BB1E0F"/>
    <w:rsid w:val="00BB2F2C"/>
    <w:rsid w:val="00BB4658"/>
    <w:rsid w:val="00BB7114"/>
    <w:rsid w:val="00BC161F"/>
    <w:rsid w:val="00BC59A0"/>
    <w:rsid w:val="00BC5F03"/>
    <w:rsid w:val="00BD18C6"/>
    <w:rsid w:val="00BD198F"/>
    <w:rsid w:val="00BD44FE"/>
    <w:rsid w:val="00BD55A5"/>
    <w:rsid w:val="00BD63F6"/>
    <w:rsid w:val="00BE36F5"/>
    <w:rsid w:val="00BE4025"/>
    <w:rsid w:val="00BE44E7"/>
    <w:rsid w:val="00BE6D1B"/>
    <w:rsid w:val="00BF2CA3"/>
    <w:rsid w:val="00BF460F"/>
    <w:rsid w:val="00BF5D10"/>
    <w:rsid w:val="00BF74AD"/>
    <w:rsid w:val="00C27922"/>
    <w:rsid w:val="00C3221F"/>
    <w:rsid w:val="00C36283"/>
    <w:rsid w:val="00C3680E"/>
    <w:rsid w:val="00C41329"/>
    <w:rsid w:val="00C474D7"/>
    <w:rsid w:val="00C47FD1"/>
    <w:rsid w:val="00C52710"/>
    <w:rsid w:val="00C548D3"/>
    <w:rsid w:val="00C55D1D"/>
    <w:rsid w:val="00C62CAB"/>
    <w:rsid w:val="00C7374E"/>
    <w:rsid w:val="00C77964"/>
    <w:rsid w:val="00C86666"/>
    <w:rsid w:val="00C90AEF"/>
    <w:rsid w:val="00C939D9"/>
    <w:rsid w:val="00C95428"/>
    <w:rsid w:val="00C960B6"/>
    <w:rsid w:val="00C970B9"/>
    <w:rsid w:val="00CA2030"/>
    <w:rsid w:val="00CA24CC"/>
    <w:rsid w:val="00CA4B00"/>
    <w:rsid w:val="00CA4D14"/>
    <w:rsid w:val="00CB2EAF"/>
    <w:rsid w:val="00CB68BF"/>
    <w:rsid w:val="00CB7A04"/>
    <w:rsid w:val="00CC1B75"/>
    <w:rsid w:val="00CC2EEC"/>
    <w:rsid w:val="00CC70E1"/>
    <w:rsid w:val="00CD00C1"/>
    <w:rsid w:val="00CD0834"/>
    <w:rsid w:val="00CD4054"/>
    <w:rsid w:val="00CE04DD"/>
    <w:rsid w:val="00CE4351"/>
    <w:rsid w:val="00CE7085"/>
    <w:rsid w:val="00CF0B30"/>
    <w:rsid w:val="00CF2C58"/>
    <w:rsid w:val="00CF65F9"/>
    <w:rsid w:val="00D02114"/>
    <w:rsid w:val="00D0762C"/>
    <w:rsid w:val="00D16C60"/>
    <w:rsid w:val="00D172BC"/>
    <w:rsid w:val="00D22911"/>
    <w:rsid w:val="00D23AC8"/>
    <w:rsid w:val="00D35472"/>
    <w:rsid w:val="00D4012F"/>
    <w:rsid w:val="00D436A5"/>
    <w:rsid w:val="00D56AD4"/>
    <w:rsid w:val="00D61303"/>
    <w:rsid w:val="00D70851"/>
    <w:rsid w:val="00D758A2"/>
    <w:rsid w:val="00D836D4"/>
    <w:rsid w:val="00D84581"/>
    <w:rsid w:val="00D85C2C"/>
    <w:rsid w:val="00D94603"/>
    <w:rsid w:val="00DA17D3"/>
    <w:rsid w:val="00DB0B7D"/>
    <w:rsid w:val="00DB30C8"/>
    <w:rsid w:val="00DC1960"/>
    <w:rsid w:val="00DC7A33"/>
    <w:rsid w:val="00DD55A3"/>
    <w:rsid w:val="00DD5EB6"/>
    <w:rsid w:val="00DE0F84"/>
    <w:rsid w:val="00DE2CC6"/>
    <w:rsid w:val="00DF023F"/>
    <w:rsid w:val="00DF0F69"/>
    <w:rsid w:val="00DF1D48"/>
    <w:rsid w:val="00DF419F"/>
    <w:rsid w:val="00DF4871"/>
    <w:rsid w:val="00DF5232"/>
    <w:rsid w:val="00E02CB1"/>
    <w:rsid w:val="00E05FD3"/>
    <w:rsid w:val="00E07BE8"/>
    <w:rsid w:val="00E1725C"/>
    <w:rsid w:val="00E1759D"/>
    <w:rsid w:val="00E2427A"/>
    <w:rsid w:val="00E253F5"/>
    <w:rsid w:val="00E266F2"/>
    <w:rsid w:val="00E32C75"/>
    <w:rsid w:val="00E346BD"/>
    <w:rsid w:val="00E42F97"/>
    <w:rsid w:val="00E460F4"/>
    <w:rsid w:val="00E47CFE"/>
    <w:rsid w:val="00E568EA"/>
    <w:rsid w:val="00E6108C"/>
    <w:rsid w:val="00E619BD"/>
    <w:rsid w:val="00E66DC0"/>
    <w:rsid w:val="00E740FF"/>
    <w:rsid w:val="00E774E1"/>
    <w:rsid w:val="00E8624B"/>
    <w:rsid w:val="00E86DA6"/>
    <w:rsid w:val="00E95799"/>
    <w:rsid w:val="00E9772D"/>
    <w:rsid w:val="00EA4FA8"/>
    <w:rsid w:val="00EA5BBA"/>
    <w:rsid w:val="00EB17CD"/>
    <w:rsid w:val="00EB5B80"/>
    <w:rsid w:val="00EB64F5"/>
    <w:rsid w:val="00EC0653"/>
    <w:rsid w:val="00EC28E8"/>
    <w:rsid w:val="00ED02A8"/>
    <w:rsid w:val="00ED2519"/>
    <w:rsid w:val="00ED3154"/>
    <w:rsid w:val="00ED4C99"/>
    <w:rsid w:val="00EE1256"/>
    <w:rsid w:val="00EE4913"/>
    <w:rsid w:val="00EE5879"/>
    <w:rsid w:val="00EF1433"/>
    <w:rsid w:val="00EF1E16"/>
    <w:rsid w:val="00EF27E6"/>
    <w:rsid w:val="00EF3083"/>
    <w:rsid w:val="00EF44E8"/>
    <w:rsid w:val="00F007AC"/>
    <w:rsid w:val="00F01040"/>
    <w:rsid w:val="00F03278"/>
    <w:rsid w:val="00F0381E"/>
    <w:rsid w:val="00F050B8"/>
    <w:rsid w:val="00F0752D"/>
    <w:rsid w:val="00F07D5B"/>
    <w:rsid w:val="00F10680"/>
    <w:rsid w:val="00F1345E"/>
    <w:rsid w:val="00F23D47"/>
    <w:rsid w:val="00F241D3"/>
    <w:rsid w:val="00F264C0"/>
    <w:rsid w:val="00F310F9"/>
    <w:rsid w:val="00F3111D"/>
    <w:rsid w:val="00F332B0"/>
    <w:rsid w:val="00F419E7"/>
    <w:rsid w:val="00F44640"/>
    <w:rsid w:val="00F45649"/>
    <w:rsid w:val="00F45790"/>
    <w:rsid w:val="00F544B7"/>
    <w:rsid w:val="00F54656"/>
    <w:rsid w:val="00F55407"/>
    <w:rsid w:val="00F64E9D"/>
    <w:rsid w:val="00F71FA3"/>
    <w:rsid w:val="00F7229C"/>
    <w:rsid w:val="00F76E65"/>
    <w:rsid w:val="00F808F7"/>
    <w:rsid w:val="00F8264D"/>
    <w:rsid w:val="00F85F8A"/>
    <w:rsid w:val="00F91226"/>
    <w:rsid w:val="00F934E2"/>
    <w:rsid w:val="00F94721"/>
    <w:rsid w:val="00F948FF"/>
    <w:rsid w:val="00F9771C"/>
    <w:rsid w:val="00FA1680"/>
    <w:rsid w:val="00FA3E73"/>
    <w:rsid w:val="00FA57AA"/>
    <w:rsid w:val="00FA735C"/>
    <w:rsid w:val="00FB3EB5"/>
    <w:rsid w:val="00FB4CFB"/>
    <w:rsid w:val="00FB7662"/>
    <w:rsid w:val="00FC25EE"/>
    <w:rsid w:val="00FC6616"/>
    <w:rsid w:val="00FC6F8D"/>
    <w:rsid w:val="00FD116C"/>
    <w:rsid w:val="00FD382E"/>
    <w:rsid w:val="00FD3E1F"/>
    <w:rsid w:val="00FD4195"/>
    <w:rsid w:val="00FD4D4C"/>
    <w:rsid w:val="00FD7774"/>
    <w:rsid w:val="00FD7D34"/>
    <w:rsid w:val="00FE465E"/>
    <w:rsid w:val="00FE7408"/>
    <w:rsid w:val="00FF1121"/>
    <w:rsid w:val="00FF5485"/>
    <w:rsid w:val="00FF6F1B"/>
    <w:rsid w:val="00FF74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AC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pPr>
        <w:spacing w:before="60" w:after="120" w:line="26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27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FA7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735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28C1"/>
    <w:pPr>
      <w:ind w:left="720"/>
      <w:contextualSpacing/>
    </w:pPr>
  </w:style>
  <w:style w:type="numbering" w:customStyle="1" w:styleId="Style1">
    <w:name w:val="Style1"/>
    <w:uiPriority w:val="99"/>
    <w:rsid w:val="002B0639"/>
    <w:pPr>
      <w:numPr>
        <w:numId w:val="2"/>
      </w:numPr>
    </w:pPr>
  </w:style>
  <w:style w:type="character" w:styleId="SubtleReference">
    <w:name w:val="Subtle Reference"/>
    <w:basedOn w:val="DefaultParagraphFont"/>
    <w:uiPriority w:val="31"/>
    <w:qFormat/>
    <w:rsid w:val="00DD55A3"/>
    <w:rPr>
      <w:smallCaps/>
      <w:color w:val="5A5A5A" w:themeColor="text1" w:themeTint="A5"/>
    </w:rPr>
  </w:style>
  <w:style w:type="character" w:styleId="IntenseEmphasis">
    <w:name w:val="Intense Emphasis"/>
    <w:basedOn w:val="DefaultParagraphFont"/>
    <w:uiPriority w:val="21"/>
    <w:qFormat/>
    <w:rsid w:val="00DD55A3"/>
    <w:rPr>
      <w:i/>
      <w:iCs/>
      <w:color w:val="4472C4" w:themeColor="accent1"/>
    </w:rPr>
  </w:style>
  <w:style w:type="table" w:styleId="TableGrid">
    <w:name w:val="Table Grid"/>
    <w:basedOn w:val="TableNormal"/>
    <w:uiPriority w:val="39"/>
    <w:rsid w:val="00DD55A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Char Char Char,Footnote Text Char Char,Footnote Text Char Char Char Char Char,Footnote Text Char Char Char Char Char Char Char Char,Footnote Text Char Char Char Char Char Char Char Char Char Char Char Char Char Char,Footnote"/>
    <w:basedOn w:val="Normal"/>
    <w:link w:val="FootnoteTextChar"/>
    <w:uiPriority w:val="99"/>
    <w:unhideWhenUsed/>
    <w:qFormat/>
    <w:rsid w:val="00343D33"/>
    <w:pPr>
      <w:spacing w:before="0" w:after="0" w:line="240" w:lineRule="auto"/>
    </w:pPr>
    <w:rPr>
      <w:sz w:val="20"/>
      <w:szCs w:val="20"/>
    </w:rPr>
  </w:style>
  <w:style w:type="character" w:customStyle="1" w:styleId="FootnoteTextChar">
    <w:name w:val="Footnote Text Char"/>
    <w:aliases w:val="Char Char,Char Char Char Char,Footnote Text Char Char Char,Footnote Text Char Char Char Char Char Char,Footnote Text Char Char Char Char Char Char Char Char Char,Footnote Char"/>
    <w:basedOn w:val="DefaultParagraphFont"/>
    <w:link w:val="FootnoteText"/>
    <w:uiPriority w:val="99"/>
    <w:rsid w:val="00343D33"/>
    <w:rPr>
      <w:sz w:val="20"/>
      <w:szCs w:val="20"/>
    </w:rPr>
  </w:style>
  <w:style w:type="character" w:styleId="FootnoteReference">
    <w:name w:val="footnote reference"/>
    <w:aliases w:val=" BVI fnr,BVI fnr,Footnote Reference1,ftref,Texto de nota al pie,Carattere Char1,Carattere Char Char Carattere Carattere Char Char,16 Point,Superscript 6 Point,fr,Appel note de bas de page"/>
    <w:basedOn w:val="DefaultParagraphFont"/>
    <w:uiPriority w:val="99"/>
    <w:unhideWhenUsed/>
    <w:rsid w:val="00343D33"/>
    <w:rPr>
      <w:vertAlign w:val="superscript"/>
    </w:rPr>
  </w:style>
  <w:style w:type="character" w:styleId="CommentReference">
    <w:name w:val="annotation reference"/>
    <w:basedOn w:val="DefaultParagraphFont"/>
    <w:uiPriority w:val="99"/>
    <w:semiHidden/>
    <w:unhideWhenUsed/>
    <w:rsid w:val="002F227A"/>
    <w:rPr>
      <w:sz w:val="16"/>
      <w:szCs w:val="16"/>
    </w:rPr>
  </w:style>
  <w:style w:type="paragraph" w:styleId="CommentText">
    <w:name w:val="annotation text"/>
    <w:basedOn w:val="Normal"/>
    <w:link w:val="CommentTextChar"/>
    <w:uiPriority w:val="99"/>
    <w:semiHidden/>
    <w:unhideWhenUsed/>
    <w:rsid w:val="002F227A"/>
    <w:pPr>
      <w:spacing w:line="240" w:lineRule="auto"/>
    </w:pPr>
    <w:rPr>
      <w:sz w:val="20"/>
      <w:szCs w:val="20"/>
    </w:rPr>
  </w:style>
  <w:style w:type="character" w:customStyle="1" w:styleId="CommentTextChar">
    <w:name w:val="Comment Text Char"/>
    <w:basedOn w:val="DefaultParagraphFont"/>
    <w:link w:val="CommentText"/>
    <w:uiPriority w:val="99"/>
    <w:semiHidden/>
    <w:rsid w:val="002F227A"/>
    <w:rPr>
      <w:sz w:val="20"/>
      <w:szCs w:val="20"/>
    </w:rPr>
  </w:style>
  <w:style w:type="paragraph" w:styleId="CommentSubject">
    <w:name w:val="annotation subject"/>
    <w:basedOn w:val="CommentText"/>
    <w:next w:val="CommentText"/>
    <w:link w:val="CommentSubjectChar"/>
    <w:uiPriority w:val="99"/>
    <w:semiHidden/>
    <w:unhideWhenUsed/>
    <w:rsid w:val="002F227A"/>
    <w:rPr>
      <w:b/>
      <w:bCs/>
    </w:rPr>
  </w:style>
  <w:style w:type="character" w:customStyle="1" w:styleId="CommentSubjectChar">
    <w:name w:val="Comment Subject Char"/>
    <w:basedOn w:val="CommentTextChar"/>
    <w:link w:val="CommentSubject"/>
    <w:uiPriority w:val="99"/>
    <w:semiHidden/>
    <w:rsid w:val="002F227A"/>
    <w:rPr>
      <w:b/>
      <w:bCs/>
      <w:sz w:val="20"/>
      <w:szCs w:val="20"/>
    </w:rPr>
  </w:style>
  <w:style w:type="paragraph" w:styleId="BalloonText">
    <w:name w:val="Balloon Text"/>
    <w:basedOn w:val="Normal"/>
    <w:link w:val="BalloonTextChar"/>
    <w:uiPriority w:val="99"/>
    <w:semiHidden/>
    <w:unhideWhenUsed/>
    <w:rsid w:val="002F227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27A"/>
    <w:rPr>
      <w:rFonts w:ascii="Times New Roman" w:hAnsi="Times New Roman" w:cs="Times New Roman"/>
      <w:sz w:val="18"/>
      <w:szCs w:val="18"/>
    </w:rPr>
  </w:style>
  <w:style w:type="character" w:customStyle="1" w:styleId="ListParagraphChar">
    <w:name w:val="List Paragraph Char"/>
    <w:basedOn w:val="DefaultParagraphFont"/>
    <w:link w:val="ListParagraph"/>
    <w:uiPriority w:val="1"/>
    <w:rsid w:val="000F7370"/>
  </w:style>
  <w:style w:type="character" w:customStyle="1" w:styleId="Heading1Char">
    <w:name w:val="Heading 1 Char"/>
    <w:basedOn w:val="DefaultParagraphFont"/>
    <w:link w:val="Heading1"/>
    <w:uiPriority w:val="9"/>
    <w:rsid w:val="0014627C"/>
    <w:rPr>
      <w:rFonts w:asciiTheme="majorHAnsi" w:eastAsiaTheme="majorEastAsia" w:hAnsiTheme="majorHAnsi" w:cstheme="majorBidi"/>
      <w:color w:val="2F5496" w:themeColor="accent1" w:themeShade="BF"/>
      <w:sz w:val="32"/>
      <w:szCs w:val="32"/>
      <w:lang w:eastAsia="en-US"/>
    </w:rPr>
  </w:style>
  <w:style w:type="paragraph" w:styleId="NormalWeb">
    <w:name w:val="Normal (Web)"/>
    <w:basedOn w:val="Normal"/>
    <w:uiPriority w:val="99"/>
    <w:unhideWhenUsed/>
    <w:rsid w:val="00275B5D"/>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7132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1324"/>
  </w:style>
  <w:style w:type="paragraph" w:styleId="Footer">
    <w:name w:val="footer"/>
    <w:basedOn w:val="Normal"/>
    <w:link w:val="FooterChar"/>
    <w:uiPriority w:val="99"/>
    <w:unhideWhenUsed/>
    <w:rsid w:val="0097132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1324"/>
  </w:style>
  <w:style w:type="character" w:styleId="PageNumber">
    <w:name w:val="page number"/>
    <w:basedOn w:val="DefaultParagraphFont"/>
    <w:uiPriority w:val="99"/>
    <w:semiHidden/>
    <w:unhideWhenUsed/>
    <w:rsid w:val="00971324"/>
  </w:style>
  <w:style w:type="character" w:customStyle="1" w:styleId="tlid-translation">
    <w:name w:val="tlid-translation"/>
    <w:basedOn w:val="DefaultParagraphFont"/>
    <w:rsid w:val="001A219A"/>
  </w:style>
  <w:style w:type="character" w:customStyle="1" w:styleId="Heading2Char">
    <w:name w:val="Heading 2 Char"/>
    <w:basedOn w:val="DefaultParagraphFont"/>
    <w:link w:val="Heading2"/>
    <w:uiPriority w:val="9"/>
    <w:rsid w:val="00FA73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735C"/>
    <w:rPr>
      <w:rFonts w:asciiTheme="majorHAnsi" w:eastAsiaTheme="majorEastAsia" w:hAnsiTheme="majorHAnsi" w:cstheme="majorBidi"/>
      <w:color w:val="1F3763" w:themeColor="accent1" w:themeShade="7F"/>
    </w:rPr>
  </w:style>
  <w:style w:type="paragraph" w:styleId="Revision">
    <w:name w:val="Revision"/>
    <w:hidden/>
    <w:uiPriority w:val="99"/>
    <w:semiHidden/>
    <w:rsid w:val="006A7873"/>
    <w:pPr>
      <w:spacing w:before="0" w:after="0" w:line="240" w:lineRule="auto"/>
    </w:pPr>
  </w:style>
  <w:style w:type="character" w:customStyle="1" w:styleId="apple-converted-space">
    <w:name w:val="apple-converted-space"/>
    <w:basedOn w:val="DefaultParagraphFont"/>
    <w:rsid w:val="007C49D2"/>
  </w:style>
  <w:style w:type="paragraph" w:styleId="Date">
    <w:name w:val="Date"/>
    <w:basedOn w:val="Normal"/>
    <w:next w:val="Normal"/>
    <w:link w:val="DateChar"/>
    <w:uiPriority w:val="99"/>
    <w:semiHidden/>
    <w:unhideWhenUsed/>
    <w:rsid w:val="009D6BEF"/>
  </w:style>
  <w:style w:type="character" w:customStyle="1" w:styleId="DateChar">
    <w:name w:val="Date Char"/>
    <w:basedOn w:val="DefaultParagraphFont"/>
    <w:link w:val="Date"/>
    <w:uiPriority w:val="99"/>
    <w:semiHidden/>
    <w:rsid w:val="009D6BEF"/>
  </w:style>
  <w:style w:type="paragraph" w:styleId="TOCHeading">
    <w:name w:val="TOC Heading"/>
    <w:basedOn w:val="Heading1"/>
    <w:next w:val="Normal"/>
    <w:uiPriority w:val="39"/>
    <w:unhideWhenUsed/>
    <w:qFormat/>
    <w:rsid w:val="002F4399"/>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2F4399"/>
    <w:pPr>
      <w:spacing w:before="120"/>
    </w:pPr>
    <w:rPr>
      <w:rFonts w:cstheme="minorHAnsi"/>
      <w:b/>
      <w:bCs/>
      <w:caps/>
      <w:sz w:val="20"/>
    </w:rPr>
  </w:style>
  <w:style w:type="paragraph" w:styleId="TOC2">
    <w:name w:val="toc 2"/>
    <w:basedOn w:val="Normal"/>
    <w:next w:val="Normal"/>
    <w:autoRedefine/>
    <w:uiPriority w:val="39"/>
    <w:semiHidden/>
    <w:unhideWhenUsed/>
    <w:rsid w:val="002F4399"/>
    <w:pPr>
      <w:spacing w:before="0" w:after="0"/>
      <w:ind w:left="240"/>
    </w:pPr>
    <w:rPr>
      <w:rFonts w:cstheme="minorHAnsi"/>
      <w:smallCaps/>
      <w:sz w:val="20"/>
    </w:rPr>
  </w:style>
  <w:style w:type="paragraph" w:styleId="TOC3">
    <w:name w:val="toc 3"/>
    <w:basedOn w:val="Normal"/>
    <w:next w:val="Normal"/>
    <w:autoRedefine/>
    <w:uiPriority w:val="39"/>
    <w:semiHidden/>
    <w:unhideWhenUsed/>
    <w:rsid w:val="002F4399"/>
    <w:pPr>
      <w:spacing w:before="0" w:after="0"/>
      <w:ind w:left="480"/>
    </w:pPr>
    <w:rPr>
      <w:rFonts w:cstheme="minorHAnsi"/>
      <w:i/>
      <w:iCs/>
      <w:sz w:val="20"/>
    </w:rPr>
  </w:style>
  <w:style w:type="paragraph" w:styleId="TOC4">
    <w:name w:val="toc 4"/>
    <w:basedOn w:val="Normal"/>
    <w:next w:val="Normal"/>
    <w:autoRedefine/>
    <w:uiPriority w:val="39"/>
    <w:semiHidden/>
    <w:unhideWhenUsed/>
    <w:rsid w:val="002F4399"/>
    <w:pPr>
      <w:spacing w:before="0" w:after="0"/>
      <w:ind w:left="720"/>
    </w:pPr>
    <w:rPr>
      <w:rFonts w:cstheme="minorHAnsi"/>
      <w:sz w:val="18"/>
      <w:szCs w:val="21"/>
    </w:rPr>
  </w:style>
  <w:style w:type="paragraph" w:styleId="TOC5">
    <w:name w:val="toc 5"/>
    <w:basedOn w:val="Normal"/>
    <w:next w:val="Normal"/>
    <w:autoRedefine/>
    <w:uiPriority w:val="39"/>
    <w:semiHidden/>
    <w:unhideWhenUsed/>
    <w:rsid w:val="002F4399"/>
    <w:pPr>
      <w:spacing w:before="0" w:after="0"/>
      <w:ind w:left="960"/>
    </w:pPr>
    <w:rPr>
      <w:rFonts w:cstheme="minorHAnsi"/>
      <w:sz w:val="18"/>
      <w:szCs w:val="21"/>
    </w:rPr>
  </w:style>
  <w:style w:type="paragraph" w:styleId="TOC6">
    <w:name w:val="toc 6"/>
    <w:basedOn w:val="Normal"/>
    <w:next w:val="Normal"/>
    <w:autoRedefine/>
    <w:uiPriority w:val="39"/>
    <w:semiHidden/>
    <w:unhideWhenUsed/>
    <w:rsid w:val="002F4399"/>
    <w:pPr>
      <w:spacing w:before="0" w:after="0"/>
      <w:ind w:left="1200"/>
    </w:pPr>
    <w:rPr>
      <w:rFonts w:cstheme="minorHAnsi"/>
      <w:sz w:val="18"/>
      <w:szCs w:val="21"/>
    </w:rPr>
  </w:style>
  <w:style w:type="paragraph" w:styleId="TOC7">
    <w:name w:val="toc 7"/>
    <w:basedOn w:val="Normal"/>
    <w:next w:val="Normal"/>
    <w:autoRedefine/>
    <w:uiPriority w:val="39"/>
    <w:semiHidden/>
    <w:unhideWhenUsed/>
    <w:rsid w:val="002F4399"/>
    <w:pPr>
      <w:spacing w:before="0" w:after="0"/>
      <w:ind w:left="1440"/>
    </w:pPr>
    <w:rPr>
      <w:rFonts w:cstheme="minorHAnsi"/>
      <w:sz w:val="18"/>
      <w:szCs w:val="21"/>
    </w:rPr>
  </w:style>
  <w:style w:type="paragraph" w:styleId="TOC8">
    <w:name w:val="toc 8"/>
    <w:basedOn w:val="Normal"/>
    <w:next w:val="Normal"/>
    <w:autoRedefine/>
    <w:uiPriority w:val="39"/>
    <w:semiHidden/>
    <w:unhideWhenUsed/>
    <w:rsid w:val="002F4399"/>
    <w:pPr>
      <w:spacing w:before="0" w:after="0"/>
      <w:ind w:left="1680"/>
    </w:pPr>
    <w:rPr>
      <w:rFonts w:cstheme="minorHAnsi"/>
      <w:sz w:val="18"/>
      <w:szCs w:val="21"/>
    </w:rPr>
  </w:style>
  <w:style w:type="paragraph" w:styleId="TOC9">
    <w:name w:val="toc 9"/>
    <w:basedOn w:val="Normal"/>
    <w:next w:val="Normal"/>
    <w:autoRedefine/>
    <w:uiPriority w:val="39"/>
    <w:semiHidden/>
    <w:unhideWhenUsed/>
    <w:rsid w:val="002F4399"/>
    <w:pPr>
      <w:spacing w:before="0" w:after="0"/>
      <w:ind w:left="1920"/>
    </w:pPr>
    <w:rPr>
      <w:rFonts w:cstheme="minorHAnsi"/>
      <w:sz w:val="18"/>
      <w:szCs w:val="21"/>
    </w:rPr>
  </w:style>
  <w:style w:type="paragraph" w:styleId="BodyText">
    <w:name w:val="Body Text"/>
    <w:basedOn w:val="Normal"/>
    <w:link w:val="BodyTextChar"/>
    <w:uiPriority w:val="99"/>
    <w:semiHidden/>
    <w:rsid w:val="00262AFF"/>
    <w:pPr>
      <w:spacing w:before="0" w:line="241" w:lineRule="atLeast"/>
    </w:pPr>
    <w:rPr>
      <w:rFonts w:ascii="HelveticaNeueLT Std" w:eastAsia="Calibri" w:hAnsi="HelveticaNeueLT Std" w:cs="Times New Roman"/>
      <w:sz w:val="22"/>
      <w:szCs w:val="22"/>
      <w:lang w:val="x-none" w:eastAsia="en-GB"/>
    </w:rPr>
  </w:style>
  <w:style w:type="character" w:customStyle="1" w:styleId="BodyTextChar">
    <w:name w:val="Body Text Char"/>
    <w:basedOn w:val="DefaultParagraphFont"/>
    <w:link w:val="BodyText"/>
    <w:uiPriority w:val="99"/>
    <w:semiHidden/>
    <w:rsid w:val="00262AFF"/>
    <w:rPr>
      <w:rFonts w:ascii="HelveticaNeueLT Std" w:eastAsia="Calibri" w:hAnsi="HelveticaNeueLT Std" w:cs="Times New Roman"/>
      <w:sz w:val="22"/>
      <w:szCs w:val="22"/>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956">
      <w:bodyDiv w:val="1"/>
      <w:marLeft w:val="0"/>
      <w:marRight w:val="0"/>
      <w:marTop w:val="0"/>
      <w:marBottom w:val="0"/>
      <w:divBdr>
        <w:top w:val="none" w:sz="0" w:space="0" w:color="auto"/>
        <w:left w:val="none" w:sz="0" w:space="0" w:color="auto"/>
        <w:bottom w:val="none" w:sz="0" w:space="0" w:color="auto"/>
        <w:right w:val="none" w:sz="0" w:space="0" w:color="auto"/>
      </w:divBdr>
    </w:div>
    <w:div w:id="495725721">
      <w:bodyDiv w:val="1"/>
      <w:marLeft w:val="0"/>
      <w:marRight w:val="0"/>
      <w:marTop w:val="0"/>
      <w:marBottom w:val="0"/>
      <w:divBdr>
        <w:top w:val="none" w:sz="0" w:space="0" w:color="auto"/>
        <w:left w:val="none" w:sz="0" w:space="0" w:color="auto"/>
        <w:bottom w:val="none" w:sz="0" w:space="0" w:color="auto"/>
        <w:right w:val="none" w:sz="0" w:space="0" w:color="auto"/>
      </w:divBdr>
    </w:div>
    <w:div w:id="867374474">
      <w:bodyDiv w:val="1"/>
      <w:marLeft w:val="0"/>
      <w:marRight w:val="0"/>
      <w:marTop w:val="0"/>
      <w:marBottom w:val="0"/>
      <w:divBdr>
        <w:top w:val="none" w:sz="0" w:space="0" w:color="auto"/>
        <w:left w:val="none" w:sz="0" w:space="0" w:color="auto"/>
        <w:bottom w:val="none" w:sz="0" w:space="0" w:color="auto"/>
        <w:right w:val="none" w:sz="0" w:space="0" w:color="auto"/>
      </w:divBdr>
    </w:div>
    <w:div w:id="1058476477">
      <w:bodyDiv w:val="1"/>
      <w:marLeft w:val="0"/>
      <w:marRight w:val="0"/>
      <w:marTop w:val="0"/>
      <w:marBottom w:val="0"/>
      <w:divBdr>
        <w:top w:val="none" w:sz="0" w:space="0" w:color="auto"/>
        <w:left w:val="none" w:sz="0" w:space="0" w:color="auto"/>
        <w:bottom w:val="none" w:sz="0" w:space="0" w:color="auto"/>
        <w:right w:val="none" w:sz="0" w:space="0" w:color="auto"/>
      </w:divBdr>
    </w:div>
    <w:div w:id="1200780215">
      <w:bodyDiv w:val="1"/>
      <w:marLeft w:val="0"/>
      <w:marRight w:val="0"/>
      <w:marTop w:val="0"/>
      <w:marBottom w:val="0"/>
      <w:divBdr>
        <w:top w:val="none" w:sz="0" w:space="0" w:color="auto"/>
        <w:left w:val="none" w:sz="0" w:space="0" w:color="auto"/>
        <w:bottom w:val="none" w:sz="0" w:space="0" w:color="auto"/>
        <w:right w:val="none" w:sz="0" w:space="0" w:color="auto"/>
      </w:divBdr>
    </w:div>
    <w:div w:id="1232304434">
      <w:bodyDiv w:val="1"/>
      <w:marLeft w:val="0"/>
      <w:marRight w:val="0"/>
      <w:marTop w:val="0"/>
      <w:marBottom w:val="0"/>
      <w:divBdr>
        <w:top w:val="none" w:sz="0" w:space="0" w:color="auto"/>
        <w:left w:val="none" w:sz="0" w:space="0" w:color="auto"/>
        <w:bottom w:val="none" w:sz="0" w:space="0" w:color="auto"/>
        <w:right w:val="none" w:sz="0" w:space="0" w:color="auto"/>
      </w:divBdr>
    </w:div>
    <w:div w:id="1560631786">
      <w:bodyDiv w:val="1"/>
      <w:marLeft w:val="0"/>
      <w:marRight w:val="0"/>
      <w:marTop w:val="0"/>
      <w:marBottom w:val="0"/>
      <w:divBdr>
        <w:top w:val="none" w:sz="0" w:space="0" w:color="auto"/>
        <w:left w:val="none" w:sz="0" w:space="0" w:color="auto"/>
        <w:bottom w:val="none" w:sz="0" w:space="0" w:color="auto"/>
        <w:right w:val="none" w:sz="0" w:space="0" w:color="auto"/>
      </w:divBdr>
    </w:div>
    <w:div w:id="16759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4/relationships/chartEx" Target="charts/chartEx2.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4/relationships/chartEx" Target="charts/chartEx1.xml"/><Relationship Id="rId32" Type="http://schemas.microsoft.com/office/2007/relationships/diagramDrawing" Target="diagrams/drawing1.xml"/><Relationship Id="rId37"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diagramData" Target="diagrams/data1.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image" Target="media/image2.png"/><Relationship Id="rId30" Type="http://schemas.openxmlformats.org/officeDocument/2006/relationships/diagramQuickStyle" Target="diagrams/quickStyle1.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https://simonhendersonresearch-my.sharepoint.com/personal/simon_simonhendersonresearch_com/Documents/3.%20Active%20Projects/DFAT%20AIPJ2/Report/WJP%20RO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jsimonh\Dropbox\AIPJ2%20mid-term%20evaluation\4.%20Other%20data\AIPJ2%20resources%20(version%201)%20(version%201).xlsb.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Users\jsimonh\Dropbox\AIPJ2%20mid-term%20evaluation\4.%20Other%20data\AIPJ2%20resources%20(version%201)%20(version%201).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0"/>
              <a:t>Figure 1: </a:t>
            </a:r>
            <a:r>
              <a:rPr lang="en-US" sz="1100" b="1"/>
              <a:t>Index scores for selected Rule of Law 2019 measures (World Justice</a:t>
            </a:r>
            <a:r>
              <a:rPr lang="en-US" sz="1100" b="1" baseline="0"/>
              <a:t> Project)</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Sheet1!$O$16</c:f>
              <c:strCache>
                <c:ptCount val="1"/>
                <c:pt idx="0">
                  <c:v>Malaysia</c:v>
                </c:pt>
              </c:strCache>
            </c:strRef>
          </c:tx>
          <c:spPr>
            <a:ln w="28575" cap="rnd">
              <a:noFill/>
              <a:round/>
            </a:ln>
            <a:effectLst/>
          </c:spPr>
          <c:marker>
            <c:symbol val="circle"/>
            <c:size val="10"/>
            <c:spPr>
              <a:solidFill>
                <a:schemeClr val="accent1"/>
              </a:solidFill>
              <a:ln w="9525">
                <a:solidFill>
                  <a:schemeClr val="accent1"/>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Sheet1!$P$16:$V$16</c:f>
              <c:numCache>
                <c:formatCode>General</c:formatCode>
                <c:ptCount val="7"/>
                <c:pt idx="0">
                  <c:v>0.57999999999999996</c:v>
                </c:pt>
                <c:pt idx="1">
                  <c:v>0.49</c:v>
                </c:pt>
                <c:pt idx="2">
                  <c:v>0.39</c:v>
                </c:pt>
                <c:pt idx="3">
                  <c:v>0.54</c:v>
                </c:pt>
                <c:pt idx="4">
                  <c:v>0.61</c:v>
                </c:pt>
                <c:pt idx="5">
                  <c:v>0.74</c:v>
                </c:pt>
                <c:pt idx="6">
                  <c:v>0.55000000000000004</c:v>
                </c:pt>
              </c:numCache>
            </c:numRef>
          </c:val>
          <c:smooth val="0"/>
          <c:extLst>
            <c:ext xmlns:c16="http://schemas.microsoft.com/office/drawing/2014/chart" uri="{C3380CC4-5D6E-409C-BE32-E72D297353CC}">
              <c16:uniqueId val="{00000000-FEE8-1B46-8866-A13F1C83F8FF}"/>
            </c:ext>
          </c:extLst>
        </c:ser>
        <c:ser>
          <c:idx val="1"/>
          <c:order val="1"/>
          <c:tx>
            <c:strRef>
              <c:f>Sheet1!$O$17</c:f>
              <c:strCache>
                <c:ptCount val="1"/>
                <c:pt idx="0">
                  <c:v>Thailand</c:v>
                </c:pt>
              </c:strCache>
            </c:strRef>
          </c:tx>
          <c:spPr>
            <a:ln w="28575" cap="rnd">
              <a:noFill/>
              <a:round/>
            </a:ln>
            <a:effectLst/>
          </c:spPr>
          <c:marker>
            <c:symbol val="circle"/>
            <c:size val="10"/>
            <c:spPr>
              <a:solidFill>
                <a:schemeClr val="accent2"/>
              </a:solidFill>
              <a:ln w="9525">
                <a:solidFill>
                  <a:schemeClr val="accent2"/>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Sheet1!$P$17:$V$17</c:f>
              <c:numCache>
                <c:formatCode>General</c:formatCode>
                <c:ptCount val="7"/>
                <c:pt idx="0">
                  <c:v>0.59</c:v>
                </c:pt>
                <c:pt idx="1">
                  <c:v>0.54</c:v>
                </c:pt>
                <c:pt idx="2">
                  <c:v>0.54</c:v>
                </c:pt>
                <c:pt idx="3">
                  <c:v>0.40500000000000003</c:v>
                </c:pt>
                <c:pt idx="4">
                  <c:v>0.41</c:v>
                </c:pt>
                <c:pt idx="5">
                  <c:v>0.67</c:v>
                </c:pt>
                <c:pt idx="6">
                  <c:v>0.27</c:v>
                </c:pt>
              </c:numCache>
            </c:numRef>
          </c:val>
          <c:smooth val="0"/>
          <c:extLst>
            <c:ext xmlns:c16="http://schemas.microsoft.com/office/drawing/2014/chart" uri="{C3380CC4-5D6E-409C-BE32-E72D297353CC}">
              <c16:uniqueId val="{00000001-FEE8-1B46-8866-A13F1C83F8FF}"/>
            </c:ext>
          </c:extLst>
        </c:ser>
        <c:ser>
          <c:idx val="2"/>
          <c:order val="2"/>
          <c:tx>
            <c:strRef>
              <c:f>Sheet1!$O$18</c:f>
              <c:strCache>
                <c:ptCount val="1"/>
                <c:pt idx="0">
                  <c:v>Vietnam</c:v>
                </c:pt>
              </c:strCache>
            </c:strRef>
          </c:tx>
          <c:spPr>
            <a:ln w="28575" cap="rnd">
              <a:noFill/>
              <a:round/>
            </a:ln>
            <a:effectLst/>
          </c:spPr>
          <c:marker>
            <c:symbol val="circle"/>
            <c:size val="10"/>
            <c:spPr>
              <a:solidFill>
                <a:srgbClr val="FF0000"/>
              </a:solidFill>
              <a:ln w="9525">
                <a:solidFill>
                  <a:schemeClr val="accent3"/>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Sheet1!$P$18:$V$18</c:f>
              <c:numCache>
                <c:formatCode>General</c:formatCode>
                <c:ptCount val="7"/>
                <c:pt idx="0">
                  <c:v>0.37</c:v>
                </c:pt>
                <c:pt idx="1">
                  <c:v>0.32</c:v>
                </c:pt>
                <c:pt idx="2">
                  <c:v>0.33</c:v>
                </c:pt>
                <c:pt idx="3">
                  <c:v>0.44</c:v>
                </c:pt>
                <c:pt idx="4">
                  <c:v>0.41</c:v>
                </c:pt>
                <c:pt idx="5">
                  <c:v>0.36</c:v>
                </c:pt>
                <c:pt idx="6">
                  <c:v>0.45</c:v>
                </c:pt>
              </c:numCache>
            </c:numRef>
          </c:val>
          <c:smooth val="0"/>
          <c:extLst>
            <c:ext xmlns:c16="http://schemas.microsoft.com/office/drawing/2014/chart" uri="{C3380CC4-5D6E-409C-BE32-E72D297353CC}">
              <c16:uniqueId val="{00000002-FEE8-1B46-8866-A13F1C83F8FF}"/>
            </c:ext>
          </c:extLst>
        </c:ser>
        <c:ser>
          <c:idx val="3"/>
          <c:order val="3"/>
          <c:tx>
            <c:strRef>
              <c:f>Sheet1!$O$19</c:f>
              <c:strCache>
                <c:ptCount val="1"/>
                <c:pt idx="0">
                  <c:v>Indonesia</c:v>
                </c:pt>
              </c:strCache>
            </c:strRef>
          </c:tx>
          <c:spPr>
            <a:ln w="28575" cap="rnd">
              <a:solidFill>
                <a:schemeClr val="accent6">
                  <a:alpha val="33000"/>
                </a:schemeClr>
              </a:solidFill>
              <a:round/>
            </a:ln>
            <a:effectLst/>
          </c:spPr>
          <c:marker>
            <c:symbol val="circle"/>
            <c:size val="12"/>
            <c:spPr>
              <a:solidFill>
                <a:schemeClr val="accent6"/>
              </a:solidFill>
              <a:ln w="9525">
                <a:solidFill>
                  <a:schemeClr val="accent6">
                    <a:lumMod val="75000"/>
                  </a:schemeClr>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Sheet1!$P$19:$V$19</c:f>
              <c:numCache>
                <c:formatCode>General</c:formatCode>
                <c:ptCount val="7"/>
                <c:pt idx="0">
                  <c:v>0.67</c:v>
                </c:pt>
                <c:pt idx="1">
                  <c:v>0.45</c:v>
                </c:pt>
                <c:pt idx="2">
                  <c:v>0.44</c:v>
                </c:pt>
                <c:pt idx="3">
                  <c:v>0.4</c:v>
                </c:pt>
                <c:pt idx="4">
                  <c:v>0.39</c:v>
                </c:pt>
                <c:pt idx="5">
                  <c:v>0.28999999999999998</c:v>
                </c:pt>
                <c:pt idx="6">
                  <c:v>0.25</c:v>
                </c:pt>
              </c:numCache>
            </c:numRef>
          </c:val>
          <c:smooth val="0"/>
          <c:extLst>
            <c:ext xmlns:c16="http://schemas.microsoft.com/office/drawing/2014/chart" uri="{C3380CC4-5D6E-409C-BE32-E72D297353CC}">
              <c16:uniqueId val="{00000003-FEE8-1B46-8866-A13F1C83F8FF}"/>
            </c:ext>
          </c:extLst>
        </c:ser>
        <c:ser>
          <c:idx val="4"/>
          <c:order val="4"/>
          <c:tx>
            <c:strRef>
              <c:f>Sheet1!$O$20</c:f>
              <c:strCache>
                <c:ptCount val="1"/>
                <c:pt idx="0">
                  <c:v>Philippines</c:v>
                </c:pt>
              </c:strCache>
            </c:strRef>
          </c:tx>
          <c:spPr>
            <a:ln w="28575" cap="rnd">
              <a:noFill/>
              <a:round/>
            </a:ln>
            <a:effectLst/>
          </c:spPr>
          <c:marker>
            <c:symbol val="circle"/>
            <c:size val="10"/>
            <c:spPr>
              <a:solidFill>
                <a:schemeClr val="accent4"/>
              </a:solidFill>
              <a:ln w="9525">
                <a:solidFill>
                  <a:schemeClr val="accent4"/>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Sheet1!$P$20:$V$20</c:f>
              <c:numCache>
                <c:formatCode>General</c:formatCode>
                <c:ptCount val="7"/>
                <c:pt idx="0">
                  <c:v>0.52</c:v>
                </c:pt>
                <c:pt idx="1">
                  <c:v>0.38</c:v>
                </c:pt>
                <c:pt idx="2">
                  <c:v>0.23</c:v>
                </c:pt>
                <c:pt idx="3">
                  <c:v>0.31</c:v>
                </c:pt>
                <c:pt idx="4">
                  <c:v>0.43</c:v>
                </c:pt>
                <c:pt idx="5">
                  <c:v>0.41</c:v>
                </c:pt>
                <c:pt idx="6">
                  <c:v>0.19</c:v>
                </c:pt>
              </c:numCache>
            </c:numRef>
          </c:val>
          <c:smooth val="0"/>
          <c:extLst>
            <c:ext xmlns:c16="http://schemas.microsoft.com/office/drawing/2014/chart" uri="{C3380CC4-5D6E-409C-BE32-E72D297353CC}">
              <c16:uniqueId val="{00000004-FEE8-1B46-8866-A13F1C83F8FF}"/>
            </c:ext>
          </c:extLst>
        </c:ser>
        <c:ser>
          <c:idx val="5"/>
          <c:order val="5"/>
          <c:tx>
            <c:strRef>
              <c:f>Sheet1!$O$21</c:f>
              <c:strCache>
                <c:ptCount val="1"/>
                <c:pt idx="0">
                  <c:v>Myanmar</c:v>
                </c:pt>
              </c:strCache>
            </c:strRef>
          </c:tx>
          <c:spPr>
            <a:ln w="28575" cap="rnd">
              <a:noFill/>
              <a:round/>
            </a:ln>
            <a:effectLst/>
          </c:spPr>
          <c:marker>
            <c:symbol val="circle"/>
            <c:size val="10"/>
            <c:spPr>
              <a:solidFill>
                <a:schemeClr val="bg1">
                  <a:lumMod val="50000"/>
                </a:schemeClr>
              </a:solidFill>
              <a:ln w="9525">
                <a:solidFill>
                  <a:schemeClr val="bg1">
                    <a:lumMod val="50000"/>
                  </a:schemeClr>
                </a:solidFill>
              </a:ln>
              <a:effectLst/>
            </c:spPr>
          </c:marker>
          <c:cat>
            <c:strRef>
              <c:f>Sheet1!$P$22:$V$22</c:f>
              <c:strCache>
                <c:ptCount val="7"/>
                <c:pt idx="0">
                  <c:v>Limits on government powers by judiciary</c:v>
                </c:pt>
                <c:pt idx="1">
                  <c:v>No improper gov't influence: civil</c:v>
                </c:pt>
                <c:pt idx="2">
                  <c:v>No improper gov't influence: criminal</c:v>
                </c:pt>
                <c:pt idx="3">
                  <c:v>Due process of law</c:v>
                </c:pt>
                <c:pt idx="4">
                  <c:v>Effective enforcement: civil</c:v>
                </c:pt>
                <c:pt idx="5">
                  <c:v>Absence of corruption in judiciary</c:v>
                </c:pt>
                <c:pt idx="6">
                  <c:v>Effecitve correctional system</c:v>
                </c:pt>
              </c:strCache>
            </c:strRef>
          </c:cat>
          <c:val>
            <c:numRef>
              <c:f>Sheet1!$P$21:$V$21</c:f>
              <c:numCache>
                <c:formatCode>General</c:formatCode>
                <c:ptCount val="7"/>
                <c:pt idx="0">
                  <c:v>0.44</c:v>
                </c:pt>
                <c:pt idx="1">
                  <c:v>0.24</c:v>
                </c:pt>
                <c:pt idx="2">
                  <c:v>0.19</c:v>
                </c:pt>
                <c:pt idx="3">
                  <c:v>0.2</c:v>
                </c:pt>
                <c:pt idx="4">
                  <c:v>0.4</c:v>
                </c:pt>
                <c:pt idx="5">
                  <c:v>0.26</c:v>
                </c:pt>
                <c:pt idx="6">
                  <c:v>0.26</c:v>
                </c:pt>
              </c:numCache>
            </c:numRef>
          </c:val>
          <c:smooth val="0"/>
          <c:extLst>
            <c:ext xmlns:c16="http://schemas.microsoft.com/office/drawing/2014/chart" uri="{C3380CC4-5D6E-409C-BE32-E72D297353CC}">
              <c16:uniqueId val="{00000005-FEE8-1B46-8866-A13F1C83F8FF}"/>
            </c:ext>
          </c:extLst>
        </c:ser>
        <c:dLbls>
          <c:showLegendKey val="0"/>
          <c:showVal val="0"/>
          <c:showCatName val="0"/>
          <c:showSerName val="0"/>
          <c:showPercent val="0"/>
          <c:showBubbleSize val="0"/>
        </c:dLbls>
        <c:marker val="1"/>
        <c:smooth val="0"/>
        <c:axId val="2086225872"/>
        <c:axId val="1999272896"/>
      </c:lineChart>
      <c:catAx>
        <c:axId val="208622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9272896"/>
        <c:crosses val="autoZero"/>
        <c:auto val="1"/>
        <c:lblAlgn val="ctr"/>
        <c:lblOffset val="100"/>
        <c:noMultiLvlLbl val="0"/>
      </c:catAx>
      <c:valAx>
        <c:axId val="1999272896"/>
        <c:scaling>
          <c:orientation val="minMax"/>
          <c:max val="0.8"/>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2258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b="0" i="0">
                <a:latin typeface="Calibri Light" panose="020F0302020204030204" pitchFamily="34" charset="0"/>
                <a:cs typeface="Calibri Light" panose="020F0302020204030204" pitchFamily="34" charset="0"/>
              </a:rPr>
              <a:t>Figure</a:t>
            </a:r>
            <a:r>
              <a:rPr lang="en-US" b="0" i="0" baseline="0">
                <a:latin typeface="Calibri Light" panose="020F0302020204030204" pitchFamily="34" charset="0"/>
                <a:cs typeface="Calibri Light" panose="020F0302020204030204" pitchFamily="34" charset="0"/>
              </a:rPr>
              <a:t> 2: </a:t>
            </a:r>
            <a:r>
              <a:rPr lang="en-US" b="1" i="0">
                <a:latin typeface="Calibri Light" panose="020F0302020204030204" pitchFamily="34" charset="0"/>
                <a:cs typeface="Calibri Light" panose="020F0302020204030204" pitchFamily="34" charset="0"/>
              </a:rPr>
              <a:t>Number of incoming </a:t>
            </a:r>
          </a:p>
          <a:p>
            <a:pPr>
              <a:defRPr/>
            </a:pPr>
            <a:r>
              <a:rPr lang="en-US" b="1" i="0">
                <a:latin typeface="Calibri Light" panose="020F0302020204030204" pitchFamily="34" charset="0"/>
                <a:cs typeface="Calibri Light" panose="020F0302020204030204" pitchFamily="34" charset="0"/>
              </a:rPr>
              <a:t>small claims across Indonesia</a:t>
            </a:r>
          </a:p>
        </c:rich>
      </c:tx>
      <c:layout>
        <c:manualLayout>
          <c:xMode val="edge"/>
          <c:yMode val="edge"/>
          <c:x val="0.20795470533890476"/>
          <c:y val="7.0287539936102233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92663349804633"/>
          <c:y val="0.29629392971246005"/>
          <c:w val="0.74904215014027431"/>
          <c:h val="0.50435611682724968"/>
        </c:manualLayout>
      </c:layout>
      <c:lineChart>
        <c:grouping val="stacked"/>
        <c:varyColors val="0"/>
        <c:ser>
          <c:idx val="0"/>
          <c:order val="0"/>
          <c:spPr>
            <a:ln w="28575" cap="rnd">
              <a:solidFill>
                <a:srgbClr val="76D6FF"/>
              </a:solidFill>
              <a:round/>
            </a:ln>
            <a:effectLst/>
          </c:spPr>
          <c:marker>
            <c:symbol val="diamond"/>
            <c:size val="8"/>
            <c:spPr>
              <a:solidFill>
                <a:srgbClr val="0096FF"/>
              </a:solidFill>
              <a:ln w="9525">
                <a:noFill/>
              </a:ln>
              <a:effectLst/>
            </c:spPr>
          </c:marker>
          <c:cat>
            <c:numRef>
              <c:f>Sheet1!$D$7:$D$10</c:f>
              <c:numCache>
                <c:formatCode>General</c:formatCode>
                <c:ptCount val="4"/>
                <c:pt idx="0">
                  <c:v>2015</c:v>
                </c:pt>
                <c:pt idx="1">
                  <c:v>2016</c:v>
                </c:pt>
                <c:pt idx="2">
                  <c:v>2017</c:v>
                </c:pt>
                <c:pt idx="3">
                  <c:v>2018</c:v>
                </c:pt>
              </c:numCache>
            </c:numRef>
          </c:cat>
          <c:val>
            <c:numRef>
              <c:f>Sheet1!$E$7:$E$10</c:f>
              <c:numCache>
                <c:formatCode>General</c:formatCode>
                <c:ptCount val="4"/>
                <c:pt idx="0">
                  <c:v>21</c:v>
                </c:pt>
                <c:pt idx="1">
                  <c:v>754</c:v>
                </c:pt>
                <c:pt idx="2" formatCode="#,##0">
                  <c:v>3966</c:v>
                </c:pt>
                <c:pt idx="3" formatCode="#,##0">
                  <c:v>6465</c:v>
                </c:pt>
              </c:numCache>
            </c:numRef>
          </c:val>
          <c:smooth val="1"/>
          <c:extLst>
            <c:ext xmlns:c16="http://schemas.microsoft.com/office/drawing/2014/chart" uri="{C3380CC4-5D6E-409C-BE32-E72D297353CC}">
              <c16:uniqueId val="{00000000-4389-9E4F-87B1-A0F20C21F63F}"/>
            </c:ext>
          </c:extLst>
        </c:ser>
        <c:dLbls>
          <c:showLegendKey val="0"/>
          <c:showVal val="0"/>
          <c:showCatName val="0"/>
          <c:showSerName val="0"/>
          <c:showPercent val="0"/>
          <c:showBubbleSize val="0"/>
        </c:dLbls>
        <c:marker val="1"/>
        <c:smooth val="0"/>
        <c:axId val="1806599152"/>
        <c:axId val="1809929136"/>
      </c:lineChart>
      <c:catAx>
        <c:axId val="180659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809929136"/>
        <c:crosses val="autoZero"/>
        <c:auto val="1"/>
        <c:lblAlgn val="ctr"/>
        <c:lblOffset val="100"/>
        <c:noMultiLvlLbl val="0"/>
      </c:catAx>
      <c:valAx>
        <c:axId val="1809929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1806599152"/>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'Implementing partners (2)'!$M$38:$M$49</cx:f>
        <cx:lvl ptCount="12">
          <cx:pt idx="0">TAF</cx:pt>
          <cx:pt idx="1">Rumah KITAB</cx:pt>
          <cx:pt idx="2">SIGAB</cx:pt>
          <cx:pt idx="3">SAPDA</cx:pt>
          <cx:pt idx="4">FHUI</cx:pt>
          <cx:pt idx="5">LeIP</cx:pt>
          <cx:pt idx="6">PSHK</cx:pt>
          <cx:pt idx="7">PEKKA</cx:pt>
          <cx:pt idx="8">ICJ</cx:pt>
          <cx:pt idx="9">TII</cx:pt>
          <cx:pt idx="10">LBH Mak</cx:pt>
          <cx:pt idx="11">YSII</cx:pt>
        </cx:lvl>
      </cx:strDim>
      <cx:numDim type="val">
        <cx:f>'Implementing partners (2)'!$L$38:$L$49</cx:f>
        <cx:lvl ptCount="12" formatCode="0%">
          <cx:pt idx="0">0.39506407451397135</cx:pt>
          <cx:pt idx="1">0.1322047883978246</cx:pt>
          <cx:pt idx="2">0.10840489310495717</cx:pt>
          <cx:pt idx="3">0.081628274051384633</cx:pt>
          <cx:pt idx="4">0.065541195224104523</cx:pt>
          <cx:pt idx="5">0.048223814934050133</cx:pt>
          <cx:pt idx="6">0.050000000000000003</cx:pt>
          <cx:pt idx="7">0.036884884665874855</cx:pt>
          <cx:pt idx="8">0.029601175220353815</cx:pt>
          <cx:pt idx="9">0.029593204975932985</cx:pt>
          <cx:pt idx="10">0.015686534975307871</cx:pt>
        </cx:lvl>
      </cx:numDim>
    </cx:data>
  </cx:chartData>
  <cx:chart>
    <cx:title pos="t" align="ctr" overlay="0">
      <cx:tx>
        <cx:txData>
          <cx:v>Funding distribution for Law and Justice partners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Funding distribution for Law and Justice partners</a:t>
          </a:r>
        </a:p>
      </cx:txPr>
    </cx:title>
    <cx:plotArea>
      <cx:plotAreaRegion>
        <cx:series layoutId="waterfall" uniqueId="{82B2256C-7C65-2347-9562-C786421346A7}">
          <cx:dataId val="0"/>
          <cx:layoutPr>
            <cx:subtotals/>
          </cx:layoutPr>
        </cx:series>
      </cx:plotAreaRegion>
      <cx:axis id="0">
        <cx:catScaling gapWidth="0"/>
        <cx:tickLabels/>
      </cx:axis>
      <cx:axis id="1">
        <cx:valScaling max="1"/>
        <cx:majorGridlines/>
        <cx:tickLabels/>
      </cx:axis>
    </cx:plotArea>
  </cx:chart>
  <cx:spPr>
    <a:ln>
      <a:no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'Implementing partners (2)'!$Q$38:$Q$46</cx:f>
        <cx:lvl ptCount="9">
          <cx:pt idx="0">WAHID</cx:pt>
          <cx:pt idx="1">CSAVE</cx:pt>
          <cx:pt idx="2">YPP</cx:pt>
          <cx:pt idx="3">AMAN</cx:pt>
          <cx:pt idx="4">Peace Gen</cx:pt>
          <cx:pt idx="5">AIDA</cx:pt>
          <cx:pt idx="6">Solo B</cx:pt>
          <cx:pt idx="7">PUSAD P</cx:pt>
          <cx:pt idx="8">KIJ</cx:pt>
        </cx:lvl>
      </cx:strDim>
      <cx:numDim type="val">
        <cx:f>'Implementing partners (2)'!$P$38:$P$46</cx:f>
        <cx:lvl ptCount="9" formatCode="0%">
          <cx:pt idx="0">0.56814357849499098</cx:pt>
          <cx:pt idx="1">0.10140120673952642</cx:pt>
          <cx:pt idx="2">0.077094072945127504</cx:pt>
          <cx:pt idx="3">0.056987306466302366</cx:pt>
          <cx:pt idx="4">0.056921675774134789</cx:pt>
          <cx:pt idx="5">0.056894435906193079</cx:pt>
          <cx:pt idx="6">0.042688695355191257</cx:pt>
          <cx:pt idx="7">0.022772797131147542</cx:pt>
          <cx:pt idx="8">0.01708589480874317</cx:pt>
        </cx:lvl>
      </cx:numDim>
    </cx:data>
  </cx:chartData>
  <cx:chart>
    <cx:title pos="t" align="ctr" overlay="0">
      <cx:tx>
        <cx:txData>
          <cx:v>Funding distribution for PVE partners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Funding distribution for PVE partners</a:t>
          </a:r>
        </a:p>
      </cx:txPr>
    </cx:title>
    <cx:plotArea>
      <cx:plotAreaRegion>
        <cx:series layoutId="waterfall" uniqueId="{B92B8D95-9E38-A745-AEE0-854F4D1BBC8C}">
          <cx:dataId val="0"/>
          <cx:layoutPr>
            <cx:subtotals/>
          </cx:layoutPr>
        </cx:series>
      </cx:plotAreaRegion>
      <cx:axis id="0">
        <cx:catScaling gapWidth="0"/>
        <cx:tickLabels/>
      </cx:axis>
      <cx:axis id="1" hidden="1">
        <cx:valScaling max="1"/>
        <cx:majorGridlines/>
        <cx:tickLabels/>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B30262-F901-7449-94C2-E583D499372F}" type="doc">
      <dgm:prSet loTypeId="urn:microsoft.com/office/officeart/2005/8/layout/hierarchy3" loCatId="" qsTypeId="urn:microsoft.com/office/officeart/2005/8/quickstyle/simple1" qsCatId="simple" csTypeId="urn:microsoft.com/office/officeart/2005/8/colors/accent1_2" csCatId="accent1" phldr="1"/>
      <dgm:spPr/>
      <dgm:t>
        <a:bodyPr/>
        <a:lstStyle/>
        <a:p>
          <a:endParaRPr lang="en-US"/>
        </a:p>
      </dgm:t>
    </dgm:pt>
    <dgm:pt modelId="{3A09570F-F2C1-4648-845A-9EC8B6EDD240}">
      <dgm:prSet phldrT="[Text]" custT="1"/>
      <dgm:spPr/>
      <dgm:t>
        <a:bodyPr/>
        <a:lstStyle/>
        <a:p>
          <a:r>
            <a:rPr lang="en-GB" sz="600" b="1"/>
            <a:t>Pillar 1 – Transparency, accountability and anti-corruption </a:t>
          </a:r>
          <a:endParaRPr lang="en-US" sz="600"/>
        </a:p>
      </dgm:t>
    </dgm:pt>
    <dgm:pt modelId="{5A4D0F6C-BC47-6E45-B3BC-CEBB12440817}" type="parTrans" cxnId="{0DEE8B12-89DA-1C4C-95E2-80887A86D26B}">
      <dgm:prSet/>
      <dgm:spPr/>
      <dgm:t>
        <a:bodyPr/>
        <a:lstStyle/>
        <a:p>
          <a:endParaRPr lang="en-US" sz="2000"/>
        </a:p>
      </dgm:t>
    </dgm:pt>
    <dgm:pt modelId="{0366A767-11B7-B84E-B27E-1AA61BDC5CB5}" type="sibTrans" cxnId="{0DEE8B12-89DA-1C4C-95E2-80887A86D26B}">
      <dgm:prSet/>
      <dgm:spPr/>
      <dgm:t>
        <a:bodyPr/>
        <a:lstStyle/>
        <a:p>
          <a:endParaRPr lang="en-US" sz="2000"/>
        </a:p>
      </dgm:t>
    </dgm:pt>
    <dgm:pt modelId="{34EFF24A-439D-D347-9EC5-600194699429}">
      <dgm:prSet phldrT="[Text]" custT="1"/>
      <dgm:spPr/>
      <dgm:t>
        <a:bodyPr/>
        <a:lstStyle/>
        <a:p>
          <a:r>
            <a:rPr lang="en-US" sz="600"/>
            <a:t>Border security</a:t>
          </a:r>
        </a:p>
      </dgm:t>
    </dgm:pt>
    <dgm:pt modelId="{AD1AF130-37E4-4E49-A7B9-F3B40F03F139}" type="parTrans" cxnId="{45C7FE53-C2EF-A84D-B1E2-BFBBF31D3A01}">
      <dgm:prSet/>
      <dgm:spPr/>
      <dgm:t>
        <a:bodyPr/>
        <a:lstStyle/>
        <a:p>
          <a:endParaRPr lang="en-US" sz="2000"/>
        </a:p>
      </dgm:t>
    </dgm:pt>
    <dgm:pt modelId="{08E33BE0-07EE-0C48-AF22-29E1DCF8DBCA}" type="sibTrans" cxnId="{45C7FE53-C2EF-A84D-B1E2-BFBBF31D3A01}">
      <dgm:prSet/>
      <dgm:spPr/>
      <dgm:t>
        <a:bodyPr/>
        <a:lstStyle/>
        <a:p>
          <a:endParaRPr lang="en-US" sz="2000"/>
        </a:p>
      </dgm:t>
    </dgm:pt>
    <dgm:pt modelId="{14C30EB6-85F3-D54D-93B5-FEAA02842378}">
      <dgm:prSet phldrT="[Text]" custT="1"/>
      <dgm:spPr/>
      <dgm:t>
        <a:bodyPr/>
        <a:lstStyle/>
        <a:p>
          <a:r>
            <a:rPr lang="en-GB" sz="600"/>
            <a:t>Investigating illegal financial transactions</a:t>
          </a:r>
          <a:endParaRPr lang="en-US" sz="600"/>
        </a:p>
      </dgm:t>
    </dgm:pt>
    <dgm:pt modelId="{F9A551E7-6581-0945-9ABE-704926702142}" type="parTrans" cxnId="{C2A882CE-3CCE-0541-8A68-4F1607E78972}">
      <dgm:prSet/>
      <dgm:spPr/>
      <dgm:t>
        <a:bodyPr/>
        <a:lstStyle/>
        <a:p>
          <a:endParaRPr lang="en-US" sz="2000"/>
        </a:p>
      </dgm:t>
    </dgm:pt>
    <dgm:pt modelId="{427130BF-6F14-A74D-A8BC-E5F24A9F92F7}" type="sibTrans" cxnId="{C2A882CE-3CCE-0541-8A68-4F1607E78972}">
      <dgm:prSet/>
      <dgm:spPr/>
      <dgm:t>
        <a:bodyPr/>
        <a:lstStyle/>
        <a:p>
          <a:endParaRPr lang="en-US" sz="2000"/>
        </a:p>
      </dgm:t>
    </dgm:pt>
    <dgm:pt modelId="{3DAA40D8-B4AB-4A49-B120-DE257D3A2016}">
      <dgm:prSet phldrT="[Text]" custT="1"/>
      <dgm:spPr/>
      <dgm:t>
        <a:bodyPr/>
        <a:lstStyle/>
        <a:p>
          <a:r>
            <a:rPr lang="en-US" sz="700" b="1"/>
            <a:t>Pillar 4 – Corrections Reform</a:t>
          </a:r>
        </a:p>
      </dgm:t>
    </dgm:pt>
    <dgm:pt modelId="{466E77F9-2B8E-C04C-89B1-FD462C934541}" type="parTrans" cxnId="{C38622C0-FC5C-A14E-8C73-354EBABC4A73}">
      <dgm:prSet/>
      <dgm:spPr/>
      <dgm:t>
        <a:bodyPr/>
        <a:lstStyle/>
        <a:p>
          <a:endParaRPr lang="en-US" sz="2000"/>
        </a:p>
      </dgm:t>
    </dgm:pt>
    <dgm:pt modelId="{74EDB8B2-B2FC-744A-8BD2-2E6A9B4B4E81}" type="sibTrans" cxnId="{C38622C0-FC5C-A14E-8C73-354EBABC4A73}">
      <dgm:prSet/>
      <dgm:spPr/>
      <dgm:t>
        <a:bodyPr/>
        <a:lstStyle/>
        <a:p>
          <a:endParaRPr lang="en-US" sz="2000"/>
        </a:p>
      </dgm:t>
    </dgm:pt>
    <dgm:pt modelId="{8153EA52-4BBE-924B-AEC4-20C710282EA4}">
      <dgm:prSet phldrT="[Text]" custT="1"/>
      <dgm:spPr/>
      <dgm:t>
        <a:bodyPr/>
        <a:lstStyle/>
        <a:p>
          <a:r>
            <a:rPr lang="en-US" sz="600"/>
            <a:t>Reform coordination, includng restorative justice</a:t>
          </a:r>
        </a:p>
      </dgm:t>
    </dgm:pt>
    <dgm:pt modelId="{F8192DFB-0A6C-9D4D-82DB-86EBF7961A12}" type="parTrans" cxnId="{F5F6AC04-A450-ED42-B92A-BAC5E4872CC2}">
      <dgm:prSet/>
      <dgm:spPr/>
      <dgm:t>
        <a:bodyPr/>
        <a:lstStyle/>
        <a:p>
          <a:endParaRPr lang="en-US" sz="2000"/>
        </a:p>
      </dgm:t>
    </dgm:pt>
    <dgm:pt modelId="{8AD86C4B-D41D-A64F-B9CE-C536D4A46212}" type="sibTrans" cxnId="{F5F6AC04-A450-ED42-B92A-BAC5E4872CC2}">
      <dgm:prSet/>
      <dgm:spPr/>
      <dgm:t>
        <a:bodyPr/>
        <a:lstStyle/>
        <a:p>
          <a:endParaRPr lang="en-US" sz="2000"/>
        </a:p>
      </dgm:t>
    </dgm:pt>
    <dgm:pt modelId="{023DF576-C8A7-0043-8459-CFC3F54E0926}">
      <dgm:prSet phldrT="[Text]" custT="1"/>
      <dgm:spPr/>
      <dgm:t>
        <a:bodyPr/>
        <a:lstStyle/>
        <a:p>
          <a:r>
            <a:rPr lang="en-US" sz="600"/>
            <a:t>Development off IT systems for transparency and accountability </a:t>
          </a:r>
        </a:p>
      </dgm:t>
    </dgm:pt>
    <dgm:pt modelId="{99D79703-F31B-C543-AFBA-995CB0F063D1}" type="parTrans" cxnId="{C694973B-1468-444F-BCE7-CDFC39A8A63D}">
      <dgm:prSet/>
      <dgm:spPr/>
      <dgm:t>
        <a:bodyPr/>
        <a:lstStyle/>
        <a:p>
          <a:endParaRPr lang="en-US" sz="2000"/>
        </a:p>
      </dgm:t>
    </dgm:pt>
    <dgm:pt modelId="{8E0CFCD2-AD2C-5444-A82D-09B6C08A4EBB}" type="sibTrans" cxnId="{C694973B-1468-444F-BCE7-CDFC39A8A63D}">
      <dgm:prSet/>
      <dgm:spPr/>
      <dgm:t>
        <a:bodyPr/>
        <a:lstStyle/>
        <a:p>
          <a:endParaRPr lang="en-US" sz="2000"/>
        </a:p>
      </dgm:t>
    </dgm:pt>
    <dgm:pt modelId="{C17C0C62-02E6-D241-B17E-4DE979E97290}">
      <dgm:prSet custT="1"/>
      <dgm:spPr/>
      <dgm:t>
        <a:bodyPr/>
        <a:lstStyle/>
        <a:p>
          <a:r>
            <a:rPr lang="en-GB" sz="700" b="1"/>
            <a:t>Pillar 2 – Transnational crime and security strengthening</a:t>
          </a:r>
          <a:endParaRPr lang="en-US" sz="700" b="1"/>
        </a:p>
      </dgm:t>
    </dgm:pt>
    <dgm:pt modelId="{9B871FD0-6997-6046-A033-E688041352AF}" type="parTrans" cxnId="{28C69827-E236-1947-8A37-E574A3629836}">
      <dgm:prSet/>
      <dgm:spPr/>
      <dgm:t>
        <a:bodyPr/>
        <a:lstStyle/>
        <a:p>
          <a:endParaRPr lang="en-US" sz="2000"/>
        </a:p>
      </dgm:t>
    </dgm:pt>
    <dgm:pt modelId="{954D57F9-20D2-CA48-9A91-7632C102A92B}" type="sibTrans" cxnId="{28C69827-E236-1947-8A37-E574A3629836}">
      <dgm:prSet/>
      <dgm:spPr/>
      <dgm:t>
        <a:bodyPr/>
        <a:lstStyle/>
        <a:p>
          <a:endParaRPr lang="en-US" sz="2000"/>
        </a:p>
      </dgm:t>
    </dgm:pt>
    <dgm:pt modelId="{9C1090D3-5D65-3C42-A01F-26E7769E5665}">
      <dgm:prSet custT="1"/>
      <dgm:spPr/>
      <dgm:t>
        <a:bodyPr/>
        <a:lstStyle/>
        <a:p>
          <a:r>
            <a:rPr lang="en-US" sz="700" b="1"/>
            <a:t>Pillar 3 – Preventing Violent Extremism (PVE)</a:t>
          </a:r>
        </a:p>
      </dgm:t>
    </dgm:pt>
    <dgm:pt modelId="{3EAFD86C-2773-1040-AAA2-F6B6369354E1}" type="parTrans" cxnId="{91F9FE34-B59F-2B43-8A1A-B16A7109A5F4}">
      <dgm:prSet/>
      <dgm:spPr/>
      <dgm:t>
        <a:bodyPr/>
        <a:lstStyle/>
        <a:p>
          <a:endParaRPr lang="en-US" sz="2000"/>
        </a:p>
      </dgm:t>
    </dgm:pt>
    <dgm:pt modelId="{5204AB25-4892-154B-BB83-A47A68CF1136}" type="sibTrans" cxnId="{91F9FE34-B59F-2B43-8A1A-B16A7109A5F4}">
      <dgm:prSet/>
      <dgm:spPr/>
      <dgm:t>
        <a:bodyPr/>
        <a:lstStyle/>
        <a:p>
          <a:endParaRPr lang="en-US" sz="2000"/>
        </a:p>
      </dgm:t>
    </dgm:pt>
    <dgm:pt modelId="{941BAE87-99DF-7943-A9BF-9D82D5AE2AFA}">
      <dgm:prSet custT="1"/>
      <dgm:spPr/>
      <dgm:t>
        <a:bodyPr/>
        <a:lstStyle/>
        <a:p>
          <a:r>
            <a:rPr lang="en-US" sz="600"/>
            <a:t>National PVE policy development and coordination </a:t>
          </a:r>
        </a:p>
      </dgm:t>
    </dgm:pt>
    <dgm:pt modelId="{EFBA1C41-92DD-4649-B485-A9B53474C9F6}" type="parTrans" cxnId="{09632E8F-17A0-FE49-8E47-876DD765845F}">
      <dgm:prSet/>
      <dgm:spPr/>
      <dgm:t>
        <a:bodyPr/>
        <a:lstStyle/>
        <a:p>
          <a:endParaRPr lang="en-US" sz="2000"/>
        </a:p>
      </dgm:t>
    </dgm:pt>
    <dgm:pt modelId="{CE38EEA4-AE76-5C48-99BB-1D0ED8B67716}" type="sibTrans" cxnId="{09632E8F-17A0-FE49-8E47-876DD765845F}">
      <dgm:prSet/>
      <dgm:spPr/>
      <dgm:t>
        <a:bodyPr/>
        <a:lstStyle/>
        <a:p>
          <a:endParaRPr lang="en-US" sz="2000"/>
        </a:p>
      </dgm:t>
    </dgm:pt>
    <dgm:pt modelId="{095DABFE-3BB9-EF4C-9195-D63F8E77A797}">
      <dgm:prSet custT="1"/>
      <dgm:spPr/>
      <dgm:t>
        <a:bodyPr/>
        <a:lstStyle/>
        <a:p>
          <a:r>
            <a:rPr lang="en-GB" sz="600"/>
            <a:t>Court reform coordination</a:t>
          </a:r>
          <a:endParaRPr lang="en-US" sz="600"/>
        </a:p>
      </dgm:t>
    </dgm:pt>
    <dgm:pt modelId="{E567A910-7983-FC4D-98C8-BD330132F48F}" type="parTrans" cxnId="{7B5C8402-5C39-504C-9E48-60377B966D24}">
      <dgm:prSet/>
      <dgm:spPr/>
      <dgm:t>
        <a:bodyPr/>
        <a:lstStyle/>
        <a:p>
          <a:endParaRPr lang="en-US" sz="2000"/>
        </a:p>
      </dgm:t>
    </dgm:pt>
    <dgm:pt modelId="{CAE846F4-8858-E348-B125-011B3945EBD1}" type="sibTrans" cxnId="{7B5C8402-5C39-504C-9E48-60377B966D24}">
      <dgm:prSet/>
      <dgm:spPr/>
      <dgm:t>
        <a:bodyPr/>
        <a:lstStyle/>
        <a:p>
          <a:endParaRPr lang="en-US" sz="2000"/>
        </a:p>
      </dgm:t>
    </dgm:pt>
    <dgm:pt modelId="{3C2001B2-AE3E-5D40-8F75-7065651D3C9B}">
      <dgm:prSet custT="1"/>
      <dgm:spPr/>
      <dgm:t>
        <a:bodyPr/>
        <a:lstStyle/>
        <a:p>
          <a:r>
            <a:rPr lang="en-GB" sz="600"/>
            <a:t>Disability inclusion and human rights advocacy</a:t>
          </a:r>
          <a:endParaRPr lang="en-US" sz="600"/>
        </a:p>
      </dgm:t>
    </dgm:pt>
    <dgm:pt modelId="{9B2C0090-61CF-114E-8C8F-07553CE33866}" type="parTrans" cxnId="{D2914F77-2CC1-1F4F-8889-39CB37A4A032}">
      <dgm:prSet/>
      <dgm:spPr/>
      <dgm:t>
        <a:bodyPr/>
        <a:lstStyle/>
        <a:p>
          <a:endParaRPr lang="en-US" sz="2000"/>
        </a:p>
      </dgm:t>
    </dgm:pt>
    <dgm:pt modelId="{E08F7DAE-84DF-AC4D-A41B-458BF1B27F5A}" type="sibTrans" cxnId="{D2914F77-2CC1-1F4F-8889-39CB37A4A032}">
      <dgm:prSet/>
      <dgm:spPr/>
      <dgm:t>
        <a:bodyPr/>
        <a:lstStyle/>
        <a:p>
          <a:endParaRPr lang="en-US" sz="2000"/>
        </a:p>
      </dgm:t>
    </dgm:pt>
    <dgm:pt modelId="{8FEFCD3E-B543-E948-87E8-3C0EE272245C}">
      <dgm:prSet custT="1"/>
      <dgm:spPr/>
      <dgm:t>
        <a:bodyPr/>
        <a:lstStyle/>
        <a:p>
          <a:r>
            <a:rPr lang="en-GB" sz="600"/>
            <a:t>Justice for women and girls</a:t>
          </a:r>
          <a:endParaRPr lang="en-US" sz="600"/>
        </a:p>
      </dgm:t>
    </dgm:pt>
    <dgm:pt modelId="{B2294FA2-AD8D-B544-A2F2-264C8815B899}" type="parTrans" cxnId="{36B6550B-2F05-A64A-BED2-405103BF78DD}">
      <dgm:prSet/>
      <dgm:spPr/>
      <dgm:t>
        <a:bodyPr/>
        <a:lstStyle/>
        <a:p>
          <a:endParaRPr lang="en-US" sz="2000"/>
        </a:p>
      </dgm:t>
    </dgm:pt>
    <dgm:pt modelId="{BE0AF2AE-1BE1-2046-A23A-BC8628E0F292}" type="sibTrans" cxnId="{36B6550B-2F05-A64A-BED2-405103BF78DD}">
      <dgm:prSet/>
      <dgm:spPr/>
      <dgm:t>
        <a:bodyPr/>
        <a:lstStyle/>
        <a:p>
          <a:endParaRPr lang="en-US" sz="2000"/>
        </a:p>
      </dgm:t>
    </dgm:pt>
    <dgm:pt modelId="{BE8E3435-C373-DA4C-82E0-982CCC4C7358}">
      <dgm:prSet custT="1"/>
      <dgm:spPr/>
      <dgm:t>
        <a:bodyPr/>
        <a:lstStyle/>
        <a:p>
          <a:r>
            <a:rPr lang="en-GB" sz="600"/>
            <a:t>E-Courts </a:t>
          </a:r>
          <a:endParaRPr lang="en-US" sz="600"/>
        </a:p>
      </dgm:t>
    </dgm:pt>
    <dgm:pt modelId="{802A8419-EA2F-2342-8C80-B869CD386C05}" type="parTrans" cxnId="{5326B6A0-0617-324A-8372-B07649347841}">
      <dgm:prSet/>
      <dgm:spPr/>
      <dgm:t>
        <a:bodyPr/>
        <a:lstStyle/>
        <a:p>
          <a:endParaRPr lang="en-US" sz="2000"/>
        </a:p>
      </dgm:t>
    </dgm:pt>
    <dgm:pt modelId="{4D7E9436-42E3-CA49-B810-EB5D9FE21F42}" type="sibTrans" cxnId="{5326B6A0-0617-324A-8372-B07649347841}">
      <dgm:prSet/>
      <dgm:spPr/>
      <dgm:t>
        <a:bodyPr/>
        <a:lstStyle/>
        <a:p>
          <a:endParaRPr lang="en-US" sz="2000"/>
        </a:p>
      </dgm:t>
    </dgm:pt>
    <dgm:pt modelId="{208765AB-E1EE-0949-A364-00BAD54A730F}">
      <dgm:prSet custT="1"/>
      <dgm:spPr/>
      <dgm:t>
        <a:bodyPr/>
        <a:lstStyle/>
        <a:p>
          <a:r>
            <a:rPr lang="en-GB" sz="600"/>
            <a:t>Commercial dispute resolution</a:t>
          </a:r>
          <a:endParaRPr lang="en-US" sz="600"/>
        </a:p>
      </dgm:t>
    </dgm:pt>
    <dgm:pt modelId="{2C1DEE1C-78A6-C849-9A61-64557BD0F44B}" type="parTrans" cxnId="{FB9C9F0C-2712-4247-AA3E-8F8B9464A0CD}">
      <dgm:prSet/>
      <dgm:spPr/>
      <dgm:t>
        <a:bodyPr/>
        <a:lstStyle/>
        <a:p>
          <a:endParaRPr lang="en-US" sz="2000"/>
        </a:p>
      </dgm:t>
    </dgm:pt>
    <dgm:pt modelId="{E8FE9CE3-087A-3343-B06F-297A7F864E18}" type="sibTrans" cxnId="{FB9C9F0C-2712-4247-AA3E-8F8B9464A0CD}">
      <dgm:prSet/>
      <dgm:spPr/>
      <dgm:t>
        <a:bodyPr/>
        <a:lstStyle/>
        <a:p>
          <a:endParaRPr lang="en-US" sz="2000"/>
        </a:p>
      </dgm:t>
    </dgm:pt>
    <dgm:pt modelId="{353B6791-1F7B-5941-A30E-EC651BA69980}">
      <dgm:prSet custT="1"/>
      <dgm:spPr/>
      <dgm:t>
        <a:bodyPr/>
        <a:lstStyle/>
        <a:p>
          <a:r>
            <a:rPr lang="en-GB" sz="600"/>
            <a:t>Corruption prevention</a:t>
          </a:r>
          <a:endParaRPr lang="en-US" sz="600"/>
        </a:p>
      </dgm:t>
    </dgm:pt>
    <dgm:pt modelId="{23B1978A-1990-CF47-BF94-5B5EA59CD0E8}" type="parTrans" cxnId="{722C73B5-83B8-9748-9E5D-A835B3EA7F19}">
      <dgm:prSet/>
      <dgm:spPr/>
      <dgm:t>
        <a:bodyPr/>
        <a:lstStyle/>
        <a:p>
          <a:endParaRPr lang="en-US" sz="2000"/>
        </a:p>
      </dgm:t>
    </dgm:pt>
    <dgm:pt modelId="{FB61E28F-DF54-1B43-B19B-DDC5F157A88F}" type="sibTrans" cxnId="{722C73B5-83B8-9748-9E5D-A835B3EA7F19}">
      <dgm:prSet/>
      <dgm:spPr/>
      <dgm:t>
        <a:bodyPr/>
        <a:lstStyle/>
        <a:p>
          <a:endParaRPr lang="en-US" sz="2000"/>
        </a:p>
      </dgm:t>
    </dgm:pt>
    <dgm:pt modelId="{5BBE0D6A-26DD-F849-AAAB-DF2CD657130A}">
      <dgm:prSet custT="1"/>
      <dgm:spPr/>
      <dgm:t>
        <a:bodyPr/>
        <a:lstStyle/>
        <a:p>
          <a:r>
            <a:rPr lang="en-GB" sz="600"/>
            <a:t>Investigating corruption</a:t>
          </a:r>
          <a:endParaRPr lang="en-US" sz="600"/>
        </a:p>
      </dgm:t>
    </dgm:pt>
    <dgm:pt modelId="{060225B8-D05A-3945-B28E-28E5DFAA3A13}" type="parTrans" cxnId="{BF231BDF-F194-B644-91FA-45E4373E1A12}">
      <dgm:prSet/>
      <dgm:spPr/>
      <dgm:t>
        <a:bodyPr/>
        <a:lstStyle/>
        <a:p>
          <a:endParaRPr lang="en-US" sz="2000"/>
        </a:p>
      </dgm:t>
    </dgm:pt>
    <dgm:pt modelId="{FB2C7575-B933-554A-B17A-8A94551BF442}" type="sibTrans" cxnId="{BF231BDF-F194-B644-91FA-45E4373E1A12}">
      <dgm:prSet/>
      <dgm:spPr/>
      <dgm:t>
        <a:bodyPr/>
        <a:lstStyle/>
        <a:p>
          <a:endParaRPr lang="en-US" sz="2000"/>
        </a:p>
      </dgm:t>
    </dgm:pt>
    <dgm:pt modelId="{998D2C64-A12B-E64D-AEB2-B38C80C57F92}">
      <dgm:prSet custT="1"/>
      <dgm:spPr/>
      <dgm:t>
        <a:bodyPr/>
        <a:lstStyle/>
        <a:p>
          <a:r>
            <a:rPr lang="en-GB" sz="600"/>
            <a:t>Investigating cyber crime</a:t>
          </a:r>
          <a:endParaRPr lang="en-US" sz="600"/>
        </a:p>
      </dgm:t>
    </dgm:pt>
    <dgm:pt modelId="{3C04E536-1DE3-1B49-A29C-D174C426E21A}" type="parTrans" cxnId="{08B9B15C-C245-FB45-99CF-7BF87F4AF64F}">
      <dgm:prSet/>
      <dgm:spPr/>
      <dgm:t>
        <a:bodyPr/>
        <a:lstStyle/>
        <a:p>
          <a:endParaRPr lang="en-US" sz="2000"/>
        </a:p>
      </dgm:t>
    </dgm:pt>
    <dgm:pt modelId="{6EFF755E-B1EE-F54D-ADEA-83DE5ED8E66D}" type="sibTrans" cxnId="{08B9B15C-C245-FB45-99CF-7BF87F4AF64F}">
      <dgm:prSet/>
      <dgm:spPr/>
      <dgm:t>
        <a:bodyPr/>
        <a:lstStyle/>
        <a:p>
          <a:endParaRPr lang="en-US" sz="2000"/>
        </a:p>
      </dgm:t>
    </dgm:pt>
    <dgm:pt modelId="{D810C11E-DED4-0545-95E7-D76E67253F63}">
      <dgm:prSet custT="1"/>
      <dgm:spPr/>
      <dgm:t>
        <a:bodyPr/>
        <a:lstStyle/>
        <a:p>
          <a:r>
            <a:rPr lang="en-GB" sz="600"/>
            <a:t>Investigating terrorism and transnational crime</a:t>
          </a:r>
          <a:endParaRPr lang="en-US" sz="600"/>
        </a:p>
      </dgm:t>
    </dgm:pt>
    <dgm:pt modelId="{B9417F87-6A11-7B4D-BF18-FACD6396ADD4}" type="parTrans" cxnId="{D756E3DC-638F-FD4A-8BCF-495167665426}">
      <dgm:prSet/>
      <dgm:spPr/>
      <dgm:t>
        <a:bodyPr/>
        <a:lstStyle/>
        <a:p>
          <a:endParaRPr lang="en-US" sz="2000"/>
        </a:p>
      </dgm:t>
    </dgm:pt>
    <dgm:pt modelId="{42F7DB2D-3E93-E440-AB37-A94FDA9801EE}" type="sibTrans" cxnId="{D756E3DC-638F-FD4A-8BCF-495167665426}">
      <dgm:prSet/>
      <dgm:spPr/>
      <dgm:t>
        <a:bodyPr/>
        <a:lstStyle/>
        <a:p>
          <a:endParaRPr lang="en-US" sz="2000"/>
        </a:p>
      </dgm:t>
    </dgm:pt>
    <dgm:pt modelId="{19043C73-2588-3A48-9D5B-0B21E5D3AA44}">
      <dgm:prSet custT="1"/>
      <dgm:spPr/>
      <dgm:t>
        <a:bodyPr/>
        <a:lstStyle/>
        <a:p>
          <a:r>
            <a:rPr lang="en-US" sz="600"/>
            <a:t>Women and PVE </a:t>
          </a:r>
        </a:p>
      </dgm:t>
    </dgm:pt>
    <dgm:pt modelId="{A606615D-6A8D-0744-B053-6EDA807E26CC}" type="parTrans" cxnId="{846B257C-9710-BB4D-A96A-A420F1F59D02}">
      <dgm:prSet/>
      <dgm:spPr/>
      <dgm:t>
        <a:bodyPr/>
        <a:lstStyle/>
        <a:p>
          <a:endParaRPr lang="en-US" sz="2000"/>
        </a:p>
      </dgm:t>
    </dgm:pt>
    <dgm:pt modelId="{C961E5B1-D54A-8647-B4A0-44F7950CA2A1}" type="sibTrans" cxnId="{846B257C-9710-BB4D-A96A-A420F1F59D02}">
      <dgm:prSet/>
      <dgm:spPr/>
      <dgm:t>
        <a:bodyPr/>
        <a:lstStyle/>
        <a:p>
          <a:endParaRPr lang="en-US" sz="2000"/>
        </a:p>
      </dgm:t>
    </dgm:pt>
    <dgm:pt modelId="{2CC2780F-DA92-D245-85AB-2E40BAFF2811}">
      <dgm:prSet custT="1"/>
      <dgm:spPr/>
      <dgm:t>
        <a:bodyPr/>
        <a:lstStyle/>
        <a:p>
          <a:r>
            <a:rPr lang="en-US" sz="600"/>
            <a:t>Learning from terrorism case data</a:t>
          </a:r>
        </a:p>
      </dgm:t>
    </dgm:pt>
    <dgm:pt modelId="{A429EC14-F697-B84E-9667-B15B332E217C}" type="parTrans" cxnId="{A9D39BA2-BBAC-D44F-97A5-D015CE9B5FD3}">
      <dgm:prSet/>
      <dgm:spPr/>
      <dgm:t>
        <a:bodyPr/>
        <a:lstStyle/>
        <a:p>
          <a:endParaRPr lang="en-US" sz="2000"/>
        </a:p>
      </dgm:t>
    </dgm:pt>
    <dgm:pt modelId="{4A981A73-1504-0B45-9504-71CD1C6E9C11}" type="sibTrans" cxnId="{A9D39BA2-BBAC-D44F-97A5-D015CE9B5FD3}">
      <dgm:prSet/>
      <dgm:spPr/>
      <dgm:t>
        <a:bodyPr/>
        <a:lstStyle/>
        <a:p>
          <a:endParaRPr lang="en-US" sz="2000"/>
        </a:p>
      </dgm:t>
    </dgm:pt>
    <dgm:pt modelId="{8527578F-9E04-CA48-BAE2-E48C1F14E5D1}">
      <dgm:prSet custT="1"/>
      <dgm:spPr/>
      <dgm:t>
        <a:bodyPr/>
        <a:lstStyle/>
        <a:p>
          <a:r>
            <a:rPr lang="en-US" sz="600"/>
            <a:t>Approaches to identify and respond to hate speech and political violence</a:t>
          </a:r>
        </a:p>
      </dgm:t>
    </dgm:pt>
    <dgm:pt modelId="{850707C4-8B06-5E4A-BE3A-F266AAB446AB}" type="parTrans" cxnId="{6A2940A5-F24D-9741-8543-63639A16223F}">
      <dgm:prSet/>
      <dgm:spPr/>
      <dgm:t>
        <a:bodyPr/>
        <a:lstStyle/>
        <a:p>
          <a:endParaRPr lang="en-US" sz="2000"/>
        </a:p>
      </dgm:t>
    </dgm:pt>
    <dgm:pt modelId="{A1EDE23A-3254-BA41-8817-87698311F0E3}" type="sibTrans" cxnId="{6A2940A5-F24D-9741-8543-63639A16223F}">
      <dgm:prSet/>
      <dgm:spPr/>
      <dgm:t>
        <a:bodyPr/>
        <a:lstStyle/>
        <a:p>
          <a:endParaRPr lang="en-US" sz="2000"/>
        </a:p>
      </dgm:t>
    </dgm:pt>
    <dgm:pt modelId="{1B377E2A-84E7-FD4D-AF1C-FF754A713715}">
      <dgm:prSet custT="1"/>
      <dgm:spPr/>
      <dgm:t>
        <a:bodyPr/>
        <a:lstStyle/>
        <a:p>
          <a:r>
            <a:rPr lang="en-US" sz="600"/>
            <a:t>Disengagement approaches for convicted terrorists and returnees </a:t>
          </a:r>
        </a:p>
      </dgm:t>
    </dgm:pt>
    <dgm:pt modelId="{5A615405-E3FA-DF46-A895-C3B3F043B608}" type="parTrans" cxnId="{39076AAC-7365-DF43-A317-FF0F6A721652}">
      <dgm:prSet/>
      <dgm:spPr/>
      <dgm:t>
        <a:bodyPr/>
        <a:lstStyle/>
        <a:p>
          <a:endParaRPr lang="en-US" sz="2000"/>
        </a:p>
      </dgm:t>
    </dgm:pt>
    <dgm:pt modelId="{5889058A-E874-2240-9CBD-6EC096415869}" type="sibTrans" cxnId="{39076AAC-7365-DF43-A317-FF0F6A721652}">
      <dgm:prSet/>
      <dgm:spPr/>
      <dgm:t>
        <a:bodyPr/>
        <a:lstStyle/>
        <a:p>
          <a:endParaRPr lang="en-US" sz="2000"/>
        </a:p>
      </dgm:t>
    </dgm:pt>
    <dgm:pt modelId="{8D64527A-B532-8F43-9AB7-0AD6A4537EF5}">
      <dgm:prSet custT="1"/>
      <dgm:spPr/>
      <dgm:t>
        <a:bodyPr/>
        <a:lstStyle/>
        <a:p>
          <a:r>
            <a:rPr lang="en-US" sz="600"/>
            <a:t>Curriculum and prevention approaches with universities and schools</a:t>
          </a:r>
        </a:p>
      </dgm:t>
    </dgm:pt>
    <dgm:pt modelId="{41F0B8CF-6C36-5740-901C-4255B43BEA8F}" type="parTrans" cxnId="{BBD1070F-46E9-F241-84BB-A458AAEC6016}">
      <dgm:prSet/>
      <dgm:spPr/>
      <dgm:t>
        <a:bodyPr/>
        <a:lstStyle/>
        <a:p>
          <a:endParaRPr lang="en-US" sz="2000"/>
        </a:p>
      </dgm:t>
    </dgm:pt>
    <dgm:pt modelId="{F7511F6B-C66F-2946-B02C-66FD8A804BCF}" type="sibTrans" cxnId="{BBD1070F-46E9-F241-84BB-A458AAEC6016}">
      <dgm:prSet/>
      <dgm:spPr/>
      <dgm:t>
        <a:bodyPr/>
        <a:lstStyle/>
        <a:p>
          <a:endParaRPr lang="en-US" sz="2000"/>
        </a:p>
      </dgm:t>
    </dgm:pt>
    <dgm:pt modelId="{CC830CCF-B0AC-6B4A-9A3D-024A83C7A3FE}">
      <dgm:prSet custT="1"/>
      <dgm:spPr/>
      <dgm:t>
        <a:bodyPr/>
        <a:lstStyle/>
        <a:p>
          <a:r>
            <a:rPr lang="en-US" sz="600"/>
            <a:t>Building community cohesion in vulnerable areas</a:t>
          </a:r>
        </a:p>
      </dgm:t>
    </dgm:pt>
    <dgm:pt modelId="{5AB84151-3AC3-B743-9B1E-558375AFBC95}" type="parTrans" cxnId="{943AFA15-858C-9844-AD8C-0229D54F7203}">
      <dgm:prSet/>
      <dgm:spPr/>
      <dgm:t>
        <a:bodyPr/>
        <a:lstStyle/>
        <a:p>
          <a:endParaRPr lang="en-US" sz="2000"/>
        </a:p>
      </dgm:t>
    </dgm:pt>
    <dgm:pt modelId="{01F4939F-F5AE-D446-93EB-AFDABE36397B}" type="sibTrans" cxnId="{943AFA15-858C-9844-AD8C-0229D54F7203}">
      <dgm:prSet/>
      <dgm:spPr/>
      <dgm:t>
        <a:bodyPr/>
        <a:lstStyle/>
        <a:p>
          <a:endParaRPr lang="en-US" sz="2000"/>
        </a:p>
      </dgm:t>
    </dgm:pt>
    <dgm:pt modelId="{945FECB3-7A28-9949-9936-A5517E91B866}">
      <dgm:prSet custT="1"/>
      <dgm:spPr/>
      <dgm:t>
        <a:bodyPr/>
        <a:lstStyle/>
        <a:p>
          <a:r>
            <a:rPr lang="en-US" sz="600"/>
            <a:t>Disability inclusion in prisons</a:t>
          </a:r>
        </a:p>
      </dgm:t>
    </dgm:pt>
    <dgm:pt modelId="{76D6E593-CE9E-634F-B8BF-F41E21F8A51F}" type="parTrans" cxnId="{92BF3C7E-4067-DE41-91C0-40E8064E2E03}">
      <dgm:prSet/>
      <dgm:spPr/>
      <dgm:t>
        <a:bodyPr/>
        <a:lstStyle/>
        <a:p>
          <a:endParaRPr lang="en-US" sz="2000"/>
        </a:p>
      </dgm:t>
    </dgm:pt>
    <dgm:pt modelId="{887683CB-AC54-AE4C-9ABC-B6DB15FF529C}" type="sibTrans" cxnId="{92BF3C7E-4067-DE41-91C0-40E8064E2E03}">
      <dgm:prSet/>
      <dgm:spPr/>
      <dgm:t>
        <a:bodyPr/>
        <a:lstStyle/>
        <a:p>
          <a:endParaRPr lang="en-US" sz="2000"/>
        </a:p>
      </dgm:t>
    </dgm:pt>
    <dgm:pt modelId="{BE4BAC56-58D9-314A-8A30-A42B2D0CEFBB}">
      <dgm:prSet custT="1"/>
      <dgm:spPr/>
      <dgm:t>
        <a:bodyPr/>
        <a:lstStyle/>
        <a:p>
          <a:r>
            <a:rPr lang="en-US" sz="600"/>
            <a:t>High risk prisoner management</a:t>
          </a:r>
        </a:p>
      </dgm:t>
    </dgm:pt>
    <dgm:pt modelId="{66D2AABE-2AD6-8645-9C4F-0309C8F76276}" type="parTrans" cxnId="{60EA1DF7-17CE-784B-B893-D20DF5298AD4}">
      <dgm:prSet/>
      <dgm:spPr/>
      <dgm:t>
        <a:bodyPr/>
        <a:lstStyle/>
        <a:p>
          <a:endParaRPr lang="en-US" sz="2000"/>
        </a:p>
      </dgm:t>
    </dgm:pt>
    <dgm:pt modelId="{53B9345B-02C0-464D-A35C-850C76FC2B9C}" type="sibTrans" cxnId="{60EA1DF7-17CE-784B-B893-D20DF5298AD4}">
      <dgm:prSet/>
      <dgm:spPr/>
      <dgm:t>
        <a:bodyPr/>
        <a:lstStyle/>
        <a:p>
          <a:endParaRPr lang="en-US" sz="2000"/>
        </a:p>
      </dgm:t>
    </dgm:pt>
    <dgm:pt modelId="{CAED8F04-56ED-2F45-AAE9-8B8549787BBF}" type="pres">
      <dgm:prSet presAssocID="{00B30262-F901-7449-94C2-E583D499372F}" presName="diagram" presStyleCnt="0">
        <dgm:presLayoutVars>
          <dgm:chPref val="1"/>
          <dgm:dir/>
          <dgm:animOne val="branch"/>
          <dgm:animLvl val="lvl"/>
          <dgm:resizeHandles/>
        </dgm:presLayoutVars>
      </dgm:prSet>
      <dgm:spPr/>
      <dgm:t>
        <a:bodyPr/>
        <a:lstStyle/>
        <a:p>
          <a:endParaRPr lang="en-US"/>
        </a:p>
      </dgm:t>
    </dgm:pt>
    <dgm:pt modelId="{26077CF6-E03C-9144-B2F4-027F3C673C5D}" type="pres">
      <dgm:prSet presAssocID="{3A09570F-F2C1-4648-845A-9EC8B6EDD240}" presName="root" presStyleCnt="0"/>
      <dgm:spPr/>
    </dgm:pt>
    <dgm:pt modelId="{43D19A2E-2064-DF40-B0AA-84A316ED44A5}" type="pres">
      <dgm:prSet presAssocID="{3A09570F-F2C1-4648-845A-9EC8B6EDD240}" presName="rootComposite" presStyleCnt="0"/>
      <dgm:spPr/>
    </dgm:pt>
    <dgm:pt modelId="{CA774D3C-4EA9-E94F-92F4-E14530585545}" type="pres">
      <dgm:prSet presAssocID="{3A09570F-F2C1-4648-845A-9EC8B6EDD240}" presName="rootText" presStyleLbl="node1" presStyleIdx="0" presStyleCnt="4" custScaleX="135462"/>
      <dgm:spPr/>
      <dgm:t>
        <a:bodyPr/>
        <a:lstStyle/>
        <a:p>
          <a:endParaRPr lang="en-US"/>
        </a:p>
      </dgm:t>
    </dgm:pt>
    <dgm:pt modelId="{0DC007AD-A073-C041-BBD1-82098388CF43}" type="pres">
      <dgm:prSet presAssocID="{3A09570F-F2C1-4648-845A-9EC8B6EDD240}" presName="rootConnector" presStyleLbl="node1" presStyleIdx="0" presStyleCnt="4"/>
      <dgm:spPr/>
      <dgm:t>
        <a:bodyPr/>
        <a:lstStyle/>
        <a:p>
          <a:endParaRPr lang="en-US"/>
        </a:p>
      </dgm:t>
    </dgm:pt>
    <dgm:pt modelId="{613FC535-6200-BE45-B883-3B86FF1B210F}" type="pres">
      <dgm:prSet presAssocID="{3A09570F-F2C1-4648-845A-9EC8B6EDD240}" presName="childShape" presStyleCnt="0"/>
      <dgm:spPr/>
    </dgm:pt>
    <dgm:pt modelId="{635487DA-FB92-4842-8495-8F0C6E9C9098}" type="pres">
      <dgm:prSet presAssocID="{E567A910-7983-FC4D-98C8-BD330132F48F}" presName="Name13" presStyleLbl="parChTrans1D2" presStyleIdx="0" presStyleCnt="22"/>
      <dgm:spPr/>
      <dgm:t>
        <a:bodyPr/>
        <a:lstStyle/>
        <a:p>
          <a:endParaRPr lang="en-US"/>
        </a:p>
      </dgm:t>
    </dgm:pt>
    <dgm:pt modelId="{2A1C1426-12FC-AD48-BA1F-C544A19D959E}" type="pres">
      <dgm:prSet presAssocID="{095DABFE-3BB9-EF4C-9195-D63F8E77A797}" presName="childText" presStyleLbl="bgAcc1" presStyleIdx="0" presStyleCnt="22" custScaleX="132630">
        <dgm:presLayoutVars>
          <dgm:bulletEnabled val="1"/>
        </dgm:presLayoutVars>
      </dgm:prSet>
      <dgm:spPr/>
      <dgm:t>
        <a:bodyPr/>
        <a:lstStyle/>
        <a:p>
          <a:endParaRPr lang="en-US"/>
        </a:p>
      </dgm:t>
    </dgm:pt>
    <dgm:pt modelId="{EC521ED0-9F18-344B-B2F2-8CF1D22087BC}" type="pres">
      <dgm:prSet presAssocID="{9B2C0090-61CF-114E-8C8F-07553CE33866}" presName="Name13" presStyleLbl="parChTrans1D2" presStyleIdx="1" presStyleCnt="22"/>
      <dgm:spPr/>
      <dgm:t>
        <a:bodyPr/>
        <a:lstStyle/>
        <a:p>
          <a:endParaRPr lang="en-US"/>
        </a:p>
      </dgm:t>
    </dgm:pt>
    <dgm:pt modelId="{696313BA-C3E3-B74A-A0BA-A0603DBA6F9A}" type="pres">
      <dgm:prSet presAssocID="{3C2001B2-AE3E-5D40-8F75-7065651D3C9B}" presName="childText" presStyleLbl="bgAcc1" presStyleIdx="1" presStyleCnt="22" custScaleX="132630">
        <dgm:presLayoutVars>
          <dgm:bulletEnabled val="1"/>
        </dgm:presLayoutVars>
      </dgm:prSet>
      <dgm:spPr/>
      <dgm:t>
        <a:bodyPr/>
        <a:lstStyle/>
        <a:p>
          <a:endParaRPr lang="en-US"/>
        </a:p>
      </dgm:t>
    </dgm:pt>
    <dgm:pt modelId="{1D752A7C-358B-4D4E-937D-0D2971073366}" type="pres">
      <dgm:prSet presAssocID="{B2294FA2-AD8D-B544-A2F2-264C8815B899}" presName="Name13" presStyleLbl="parChTrans1D2" presStyleIdx="2" presStyleCnt="22"/>
      <dgm:spPr/>
      <dgm:t>
        <a:bodyPr/>
        <a:lstStyle/>
        <a:p>
          <a:endParaRPr lang="en-US"/>
        </a:p>
      </dgm:t>
    </dgm:pt>
    <dgm:pt modelId="{23DECEFD-7D73-EA43-9271-FE28B0116323}" type="pres">
      <dgm:prSet presAssocID="{8FEFCD3E-B543-E948-87E8-3C0EE272245C}" presName="childText" presStyleLbl="bgAcc1" presStyleIdx="2" presStyleCnt="22" custScaleX="132630">
        <dgm:presLayoutVars>
          <dgm:bulletEnabled val="1"/>
        </dgm:presLayoutVars>
      </dgm:prSet>
      <dgm:spPr/>
      <dgm:t>
        <a:bodyPr/>
        <a:lstStyle/>
        <a:p>
          <a:endParaRPr lang="en-US"/>
        </a:p>
      </dgm:t>
    </dgm:pt>
    <dgm:pt modelId="{C2C365DD-8CE8-DD45-B350-FA5AD63988C9}" type="pres">
      <dgm:prSet presAssocID="{802A8419-EA2F-2342-8C80-B869CD386C05}" presName="Name13" presStyleLbl="parChTrans1D2" presStyleIdx="3" presStyleCnt="22"/>
      <dgm:spPr/>
      <dgm:t>
        <a:bodyPr/>
        <a:lstStyle/>
        <a:p>
          <a:endParaRPr lang="en-US"/>
        </a:p>
      </dgm:t>
    </dgm:pt>
    <dgm:pt modelId="{31E246DC-5616-BC42-9425-D897B6A6F8C6}" type="pres">
      <dgm:prSet presAssocID="{BE8E3435-C373-DA4C-82E0-982CCC4C7358}" presName="childText" presStyleLbl="bgAcc1" presStyleIdx="3" presStyleCnt="22" custScaleX="132630">
        <dgm:presLayoutVars>
          <dgm:bulletEnabled val="1"/>
        </dgm:presLayoutVars>
      </dgm:prSet>
      <dgm:spPr/>
      <dgm:t>
        <a:bodyPr/>
        <a:lstStyle/>
        <a:p>
          <a:endParaRPr lang="en-US"/>
        </a:p>
      </dgm:t>
    </dgm:pt>
    <dgm:pt modelId="{6734A2DF-6F1F-9242-9E26-6E32450DF1B3}" type="pres">
      <dgm:prSet presAssocID="{2C1DEE1C-78A6-C849-9A61-64557BD0F44B}" presName="Name13" presStyleLbl="parChTrans1D2" presStyleIdx="4" presStyleCnt="22"/>
      <dgm:spPr/>
      <dgm:t>
        <a:bodyPr/>
        <a:lstStyle/>
        <a:p>
          <a:endParaRPr lang="en-US"/>
        </a:p>
      </dgm:t>
    </dgm:pt>
    <dgm:pt modelId="{FC50197A-1638-9845-8BC4-23C617793EDB}" type="pres">
      <dgm:prSet presAssocID="{208765AB-E1EE-0949-A364-00BAD54A730F}" presName="childText" presStyleLbl="bgAcc1" presStyleIdx="4" presStyleCnt="22" custScaleX="132630">
        <dgm:presLayoutVars>
          <dgm:bulletEnabled val="1"/>
        </dgm:presLayoutVars>
      </dgm:prSet>
      <dgm:spPr/>
      <dgm:t>
        <a:bodyPr/>
        <a:lstStyle/>
        <a:p>
          <a:endParaRPr lang="en-US"/>
        </a:p>
      </dgm:t>
    </dgm:pt>
    <dgm:pt modelId="{B95AEBC3-A33B-2F43-9D36-066DFFB4B7C9}" type="pres">
      <dgm:prSet presAssocID="{23B1978A-1990-CF47-BF94-5B5EA59CD0E8}" presName="Name13" presStyleLbl="parChTrans1D2" presStyleIdx="5" presStyleCnt="22"/>
      <dgm:spPr/>
      <dgm:t>
        <a:bodyPr/>
        <a:lstStyle/>
        <a:p>
          <a:endParaRPr lang="en-US"/>
        </a:p>
      </dgm:t>
    </dgm:pt>
    <dgm:pt modelId="{088B5D66-8CFF-3148-ABFE-FD9FC6C5C0D0}" type="pres">
      <dgm:prSet presAssocID="{353B6791-1F7B-5941-A30E-EC651BA69980}" presName="childText" presStyleLbl="bgAcc1" presStyleIdx="5" presStyleCnt="22" custScaleX="132630">
        <dgm:presLayoutVars>
          <dgm:bulletEnabled val="1"/>
        </dgm:presLayoutVars>
      </dgm:prSet>
      <dgm:spPr/>
      <dgm:t>
        <a:bodyPr/>
        <a:lstStyle/>
        <a:p>
          <a:endParaRPr lang="en-US"/>
        </a:p>
      </dgm:t>
    </dgm:pt>
    <dgm:pt modelId="{DB8C9486-E8EE-4B47-B348-65DE0DF45408}" type="pres">
      <dgm:prSet presAssocID="{C17C0C62-02E6-D241-B17E-4DE979E97290}" presName="root" presStyleCnt="0"/>
      <dgm:spPr/>
    </dgm:pt>
    <dgm:pt modelId="{7C28CB20-C366-344C-9FB5-4697FC308D7D}" type="pres">
      <dgm:prSet presAssocID="{C17C0C62-02E6-D241-B17E-4DE979E97290}" presName="rootComposite" presStyleCnt="0"/>
      <dgm:spPr/>
    </dgm:pt>
    <dgm:pt modelId="{91AD2600-5A11-8F4D-A163-93F4E6B406A2}" type="pres">
      <dgm:prSet presAssocID="{C17C0C62-02E6-D241-B17E-4DE979E97290}" presName="rootText" presStyleLbl="node1" presStyleIdx="1" presStyleCnt="4" custScaleX="136629"/>
      <dgm:spPr/>
      <dgm:t>
        <a:bodyPr/>
        <a:lstStyle/>
        <a:p>
          <a:endParaRPr lang="en-US"/>
        </a:p>
      </dgm:t>
    </dgm:pt>
    <dgm:pt modelId="{4F60263D-8F30-FB49-B6CF-A8EFC5EE5EAC}" type="pres">
      <dgm:prSet presAssocID="{C17C0C62-02E6-D241-B17E-4DE979E97290}" presName="rootConnector" presStyleLbl="node1" presStyleIdx="1" presStyleCnt="4"/>
      <dgm:spPr/>
      <dgm:t>
        <a:bodyPr/>
        <a:lstStyle/>
        <a:p>
          <a:endParaRPr lang="en-US"/>
        </a:p>
      </dgm:t>
    </dgm:pt>
    <dgm:pt modelId="{7435249E-F410-8741-95BE-56C77CA0AE38}" type="pres">
      <dgm:prSet presAssocID="{C17C0C62-02E6-D241-B17E-4DE979E97290}" presName="childShape" presStyleCnt="0"/>
      <dgm:spPr/>
    </dgm:pt>
    <dgm:pt modelId="{012CEEC1-2A85-244C-9D3A-64CAB67ED931}" type="pres">
      <dgm:prSet presAssocID="{AD1AF130-37E4-4E49-A7B9-F3B40F03F139}" presName="Name13" presStyleLbl="parChTrans1D2" presStyleIdx="6" presStyleCnt="22"/>
      <dgm:spPr/>
      <dgm:t>
        <a:bodyPr/>
        <a:lstStyle/>
        <a:p>
          <a:endParaRPr lang="en-US"/>
        </a:p>
      </dgm:t>
    </dgm:pt>
    <dgm:pt modelId="{A4DDC6B2-C621-DA48-B2F1-B0D5E5072453}" type="pres">
      <dgm:prSet presAssocID="{34EFF24A-439D-D347-9EC5-600194699429}" presName="childText" presStyleLbl="bgAcc1" presStyleIdx="6" presStyleCnt="22" custScaleX="134088">
        <dgm:presLayoutVars>
          <dgm:bulletEnabled val="1"/>
        </dgm:presLayoutVars>
      </dgm:prSet>
      <dgm:spPr/>
      <dgm:t>
        <a:bodyPr/>
        <a:lstStyle/>
        <a:p>
          <a:endParaRPr lang="en-US"/>
        </a:p>
      </dgm:t>
    </dgm:pt>
    <dgm:pt modelId="{000FF805-4569-454C-AA94-06CA4534D439}" type="pres">
      <dgm:prSet presAssocID="{F9A551E7-6581-0945-9ABE-704926702142}" presName="Name13" presStyleLbl="parChTrans1D2" presStyleIdx="7" presStyleCnt="22"/>
      <dgm:spPr/>
      <dgm:t>
        <a:bodyPr/>
        <a:lstStyle/>
        <a:p>
          <a:endParaRPr lang="en-US"/>
        </a:p>
      </dgm:t>
    </dgm:pt>
    <dgm:pt modelId="{F561EC9D-80A6-DE44-AEDA-627861F38C1B}" type="pres">
      <dgm:prSet presAssocID="{14C30EB6-85F3-D54D-93B5-FEAA02842378}" presName="childText" presStyleLbl="bgAcc1" presStyleIdx="7" presStyleCnt="22" custScaleX="134088">
        <dgm:presLayoutVars>
          <dgm:bulletEnabled val="1"/>
        </dgm:presLayoutVars>
      </dgm:prSet>
      <dgm:spPr/>
      <dgm:t>
        <a:bodyPr/>
        <a:lstStyle/>
        <a:p>
          <a:endParaRPr lang="en-US"/>
        </a:p>
      </dgm:t>
    </dgm:pt>
    <dgm:pt modelId="{B5FADA3C-F8D6-9F42-BD31-1C4CC681007A}" type="pres">
      <dgm:prSet presAssocID="{060225B8-D05A-3945-B28E-28E5DFAA3A13}" presName="Name13" presStyleLbl="parChTrans1D2" presStyleIdx="8" presStyleCnt="22"/>
      <dgm:spPr/>
      <dgm:t>
        <a:bodyPr/>
        <a:lstStyle/>
        <a:p>
          <a:endParaRPr lang="en-US"/>
        </a:p>
      </dgm:t>
    </dgm:pt>
    <dgm:pt modelId="{0E619018-7EB6-9242-A6F3-E8367BE65883}" type="pres">
      <dgm:prSet presAssocID="{5BBE0D6A-26DD-F849-AAAB-DF2CD657130A}" presName="childText" presStyleLbl="bgAcc1" presStyleIdx="8" presStyleCnt="22" custScaleX="134088">
        <dgm:presLayoutVars>
          <dgm:bulletEnabled val="1"/>
        </dgm:presLayoutVars>
      </dgm:prSet>
      <dgm:spPr/>
      <dgm:t>
        <a:bodyPr/>
        <a:lstStyle/>
        <a:p>
          <a:endParaRPr lang="en-US"/>
        </a:p>
      </dgm:t>
    </dgm:pt>
    <dgm:pt modelId="{9DC9CC0E-F2D4-4649-BE98-3DF63032C14D}" type="pres">
      <dgm:prSet presAssocID="{3C04E536-1DE3-1B49-A29C-D174C426E21A}" presName="Name13" presStyleLbl="parChTrans1D2" presStyleIdx="9" presStyleCnt="22"/>
      <dgm:spPr/>
      <dgm:t>
        <a:bodyPr/>
        <a:lstStyle/>
        <a:p>
          <a:endParaRPr lang="en-US"/>
        </a:p>
      </dgm:t>
    </dgm:pt>
    <dgm:pt modelId="{8E761B63-C8D5-6842-901E-9902C7902F59}" type="pres">
      <dgm:prSet presAssocID="{998D2C64-A12B-E64D-AEB2-B38C80C57F92}" presName="childText" presStyleLbl="bgAcc1" presStyleIdx="9" presStyleCnt="22" custScaleX="134088">
        <dgm:presLayoutVars>
          <dgm:bulletEnabled val="1"/>
        </dgm:presLayoutVars>
      </dgm:prSet>
      <dgm:spPr/>
      <dgm:t>
        <a:bodyPr/>
        <a:lstStyle/>
        <a:p>
          <a:endParaRPr lang="en-US"/>
        </a:p>
      </dgm:t>
    </dgm:pt>
    <dgm:pt modelId="{52BE7027-68BB-444C-B208-8D2F9D0770B0}" type="pres">
      <dgm:prSet presAssocID="{B9417F87-6A11-7B4D-BF18-FACD6396ADD4}" presName="Name13" presStyleLbl="parChTrans1D2" presStyleIdx="10" presStyleCnt="22"/>
      <dgm:spPr/>
      <dgm:t>
        <a:bodyPr/>
        <a:lstStyle/>
        <a:p>
          <a:endParaRPr lang="en-US"/>
        </a:p>
      </dgm:t>
    </dgm:pt>
    <dgm:pt modelId="{F7EAB8A4-6307-7A4A-8A92-C38C67D10891}" type="pres">
      <dgm:prSet presAssocID="{D810C11E-DED4-0545-95E7-D76E67253F63}" presName="childText" presStyleLbl="bgAcc1" presStyleIdx="10" presStyleCnt="22" custScaleX="134088">
        <dgm:presLayoutVars>
          <dgm:bulletEnabled val="1"/>
        </dgm:presLayoutVars>
      </dgm:prSet>
      <dgm:spPr/>
      <dgm:t>
        <a:bodyPr/>
        <a:lstStyle/>
        <a:p>
          <a:endParaRPr lang="en-US"/>
        </a:p>
      </dgm:t>
    </dgm:pt>
    <dgm:pt modelId="{36FAF314-354A-5845-92DF-33F8EED565BB}" type="pres">
      <dgm:prSet presAssocID="{9C1090D3-5D65-3C42-A01F-26E7769E5665}" presName="root" presStyleCnt="0"/>
      <dgm:spPr/>
    </dgm:pt>
    <dgm:pt modelId="{96D05180-C23F-704D-9B49-6DB80D8B5CAE}" type="pres">
      <dgm:prSet presAssocID="{9C1090D3-5D65-3C42-A01F-26E7769E5665}" presName="rootComposite" presStyleCnt="0"/>
      <dgm:spPr/>
    </dgm:pt>
    <dgm:pt modelId="{65E902A4-7343-5B44-AFCE-CEC78794F86E}" type="pres">
      <dgm:prSet presAssocID="{9C1090D3-5D65-3C42-A01F-26E7769E5665}" presName="rootText" presStyleLbl="node1" presStyleIdx="2" presStyleCnt="4" custScaleX="143515"/>
      <dgm:spPr/>
      <dgm:t>
        <a:bodyPr/>
        <a:lstStyle/>
        <a:p>
          <a:endParaRPr lang="en-US"/>
        </a:p>
      </dgm:t>
    </dgm:pt>
    <dgm:pt modelId="{E373CF54-7BA2-9543-A91F-B57BB86C634A}" type="pres">
      <dgm:prSet presAssocID="{9C1090D3-5D65-3C42-A01F-26E7769E5665}" presName="rootConnector" presStyleLbl="node1" presStyleIdx="2" presStyleCnt="4"/>
      <dgm:spPr/>
      <dgm:t>
        <a:bodyPr/>
        <a:lstStyle/>
        <a:p>
          <a:endParaRPr lang="en-US"/>
        </a:p>
      </dgm:t>
    </dgm:pt>
    <dgm:pt modelId="{391E8734-18C9-C54A-B330-DB78554EC5CA}" type="pres">
      <dgm:prSet presAssocID="{9C1090D3-5D65-3C42-A01F-26E7769E5665}" presName="childShape" presStyleCnt="0"/>
      <dgm:spPr/>
    </dgm:pt>
    <dgm:pt modelId="{CE638F6D-73DA-F94F-A988-3E841AB5260E}" type="pres">
      <dgm:prSet presAssocID="{EFBA1C41-92DD-4649-B485-A9B53474C9F6}" presName="Name13" presStyleLbl="parChTrans1D2" presStyleIdx="11" presStyleCnt="22"/>
      <dgm:spPr/>
      <dgm:t>
        <a:bodyPr/>
        <a:lstStyle/>
        <a:p>
          <a:endParaRPr lang="en-US"/>
        </a:p>
      </dgm:t>
    </dgm:pt>
    <dgm:pt modelId="{383C592C-A5C3-A647-833E-657B407FBB15}" type="pres">
      <dgm:prSet presAssocID="{941BAE87-99DF-7943-A9BF-9D82D5AE2AFA}" presName="childText" presStyleLbl="bgAcc1" presStyleIdx="11" presStyleCnt="22" custScaleX="165219">
        <dgm:presLayoutVars>
          <dgm:bulletEnabled val="1"/>
        </dgm:presLayoutVars>
      </dgm:prSet>
      <dgm:spPr/>
      <dgm:t>
        <a:bodyPr/>
        <a:lstStyle/>
        <a:p>
          <a:endParaRPr lang="en-US"/>
        </a:p>
      </dgm:t>
    </dgm:pt>
    <dgm:pt modelId="{3A2EA3AA-AF58-F84A-9746-0BB3690CD87B}" type="pres">
      <dgm:prSet presAssocID="{A606615D-6A8D-0744-B053-6EDA807E26CC}" presName="Name13" presStyleLbl="parChTrans1D2" presStyleIdx="12" presStyleCnt="22"/>
      <dgm:spPr/>
      <dgm:t>
        <a:bodyPr/>
        <a:lstStyle/>
        <a:p>
          <a:endParaRPr lang="en-US"/>
        </a:p>
      </dgm:t>
    </dgm:pt>
    <dgm:pt modelId="{3A9D37B3-3C9D-7346-BB0B-1749792C0FB1}" type="pres">
      <dgm:prSet presAssocID="{19043C73-2588-3A48-9D5B-0B21E5D3AA44}" presName="childText" presStyleLbl="bgAcc1" presStyleIdx="12" presStyleCnt="22" custScaleX="165219">
        <dgm:presLayoutVars>
          <dgm:bulletEnabled val="1"/>
        </dgm:presLayoutVars>
      </dgm:prSet>
      <dgm:spPr/>
      <dgm:t>
        <a:bodyPr/>
        <a:lstStyle/>
        <a:p>
          <a:endParaRPr lang="en-US"/>
        </a:p>
      </dgm:t>
    </dgm:pt>
    <dgm:pt modelId="{AB84F694-8F51-4B43-B36C-09B54887494C}" type="pres">
      <dgm:prSet presAssocID="{A429EC14-F697-B84E-9667-B15B332E217C}" presName="Name13" presStyleLbl="parChTrans1D2" presStyleIdx="13" presStyleCnt="22"/>
      <dgm:spPr/>
      <dgm:t>
        <a:bodyPr/>
        <a:lstStyle/>
        <a:p>
          <a:endParaRPr lang="en-US"/>
        </a:p>
      </dgm:t>
    </dgm:pt>
    <dgm:pt modelId="{B3E2EE3E-971E-1C4C-B8F9-0B7BE21BB2FD}" type="pres">
      <dgm:prSet presAssocID="{2CC2780F-DA92-D245-85AB-2E40BAFF2811}" presName="childText" presStyleLbl="bgAcc1" presStyleIdx="13" presStyleCnt="22" custScaleX="165219">
        <dgm:presLayoutVars>
          <dgm:bulletEnabled val="1"/>
        </dgm:presLayoutVars>
      </dgm:prSet>
      <dgm:spPr/>
      <dgm:t>
        <a:bodyPr/>
        <a:lstStyle/>
        <a:p>
          <a:endParaRPr lang="en-US"/>
        </a:p>
      </dgm:t>
    </dgm:pt>
    <dgm:pt modelId="{D76D3497-B3DA-0047-AF98-149625D8A890}" type="pres">
      <dgm:prSet presAssocID="{5A615405-E3FA-DF46-A895-C3B3F043B608}" presName="Name13" presStyleLbl="parChTrans1D2" presStyleIdx="14" presStyleCnt="22"/>
      <dgm:spPr/>
      <dgm:t>
        <a:bodyPr/>
        <a:lstStyle/>
        <a:p>
          <a:endParaRPr lang="en-US"/>
        </a:p>
      </dgm:t>
    </dgm:pt>
    <dgm:pt modelId="{DBC33B76-BBC6-5249-B11F-7E525E902733}" type="pres">
      <dgm:prSet presAssocID="{1B377E2A-84E7-FD4D-AF1C-FF754A713715}" presName="childText" presStyleLbl="bgAcc1" presStyleIdx="14" presStyleCnt="22" custScaleX="165219">
        <dgm:presLayoutVars>
          <dgm:bulletEnabled val="1"/>
        </dgm:presLayoutVars>
      </dgm:prSet>
      <dgm:spPr/>
      <dgm:t>
        <a:bodyPr/>
        <a:lstStyle/>
        <a:p>
          <a:endParaRPr lang="en-US"/>
        </a:p>
      </dgm:t>
    </dgm:pt>
    <dgm:pt modelId="{B7AEE4CB-7E92-4646-85ED-45C5365A3400}" type="pres">
      <dgm:prSet presAssocID="{850707C4-8B06-5E4A-BE3A-F266AAB446AB}" presName="Name13" presStyleLbl="parChTrans1D2" presStyleIdx="15" presStyleCnt="22"/>
      <dgm:spPr/>
      <dgm:t>
        <a:bodyPr/>
        <a:lstStyle/>
        <a:p>
          <a:endParaRPr lang="en-US"/>
        </a:p>
      </dgm:t>
    </dgm:pt>
    <dgm:pt modelId="{59668D3D-6729-3A44-977B-77617CD6BF47}" type="pres">
      <dgm:prSet presAssocID="{8527578F-9E04-CA48-BAE2-E48C1F14E5D1}" presName="childText" presStyleLbl="bgAcc1" presStyleIdx="15" presStyleCnt="22" custScaleX="165219">
        <dgm:presLayoutVars>
          <dgm:bulletEnabled val="1"/>
        </dgm:presLayoutVars>
      </dgm:prSet>
      <dgm:spPr/>
      <dgm:t>
        <a:bodyPr/>
        <a:lstStyle/>
        <a:p>
          <a:endParaRPr lang="en-US"/>
        </a:p>
      </dgm:t>
    </dgm:pt>
    <dgm:pt modelId="{8ED45E2F-5F4B-664B-A67E-285B524C5416}" type="pres">
      <dgm:prSet presAssocID="{41F0B8CF-6C36-5740-901C-4255B43BEA8F}" presName="Name13" presStyleLbl="parChTrans1D2" presStyleIdx="16" presStyleCnt="22"/>
      <dgm:spPr/>
      <dgm:t>
        <a:bodyPr/>
        <a:lstStyle/>
        <a:p>
          <a:endParaRPr lang="en-US"/>
        </a:p>
      </dgm:t>
    </dgm:pt>
    <dgm:pt modelId="{B472362A-8753-3847-AD08-F361B4325E0C}" type="pres">
      <dgm:prSet presAssocID="{8D64527A-B532-8F43-9AB7-0AD6A4537EF5}" presName="childText" presStyleLbl="bgAcc1" presStyleIdx="16" presStyleCnt="22" custScaleX="165219">
        <dgm:presLayoutVars>
          <dgm:bulletEnabled val="1"/>
        </dgm:presLayoutVars>
      </dgm:prSet>
      <dgm:spPr/>
      <dgm:t>
        <a:bodyPr/>
        <a:lstStyle/>
        <a:p>
          <a:endParaRPr lang="en-US"/>
        </a:p>
      </dgm:t>
    </dgm:pt>
    <dgm:pt modelId="{E32C9853-8ADE-3B48-B8BC-6799F45F4D50}" type="pres">
      <dgm:prSet presAssocID="{5AB84151-3AC3-B743-9B1E-558375AFBC95}" presName="Name13" presStyleLbl="parChTrans1D2" presStyleIdx="17" presStyleCnt="22"/>
      <dgm:spPr/>
      <dgm:t>
        <a:bodyPr/>
        <a:lstStyle/>
        <a:p>
          <a:endParaRPr lang="en-US"/>
        </a:p>
      </dgm:t>
    </dgm:pt>
    <dgm:pt modelId="{04B49008-1FCD-AA4C-9302-3C0DCB1F8019}" type="pres">
      <dgm:prSet presAssocID="{CC830CCF-B0AC-6B4A-9A3D-024A83C7A3FE}" presName="childText" presStyleLbl="bgAcc1" presStyleIdx="17" presStyleCnt="22" custScaleX="165219">
        <dgm:presLayoutVars>
          <dgm:bulletEnabled val="1"/>
        </dgm:presLayoutVars>
      </dgm:prSet>
      <dgm:spPr/>
      <dgm:t>
        <a:bodyPr/>
        <a:lstStyle/>
        <a:p>
          <a:endParaRPr lang="en-US"/>
        </a:p>
      </dgm:t>
    </dgm:pt>
    <dgm:pt modelId="{5069701C-DE86-754C-8462-16A2C35C5AE4}" type="pres">
      <dgm:prSet presAssocID="{3DAA40D8-B4AB-4A49-B120-DE257D3A2016}" presName="root" presStyleCnt="0"/>
      <dgm:spPr/>
    </dgm:pt>
    <dgm:pt modelId="{D74249F0-0494-504C-8811-A0D328F3703A}" type="pres">
      <dgm:prSet presAssocID="{3DAA40D8-B4AB-4A49-B120-DE257D3A2016}" presName="rootComposite" presStyleCnt="0"/>
      <dgm:spPr/>
    </dgm:pt>
    <dgm:pt modelId="{18ED9346-AF0F-4F46-8288-6F469E4BDC34}" type="pres">
      <dgm:prSet presAssocID="{3DAA40D8-B4AB-4A49-B120-DE257D3A2016}" presName="rootText" presStyleLbl="node1" presStyleIdx="3" presStyleCnt="4" custScaleX="122942"/>
      <dgm:spPr/>
      <dgm:t>
        <a:bodyPr/>
        <a:lstStyle/>
        <a:p>
          <a:endParaRPr lang="en-US"/>
        </a:p>
      </dgm:t>
    </dgm:pt>
    <dgm:pt modelId="{1C8AEC31-67E0-2846-9619-DE0BD1705810}" type="pres">
      <dgm:prSet presAssocID="{3DAA40D8-B4AB-4A49-B120-DE257D3A2016}" presName="rootConnector" presStyleLbl="node1" presStyleIdx="3" presStyleCnt="4"/>
      <dgm:spPr/>
      <dgm:t>
        <a:bodyPr/>
        <a:lstStyle/>
        <a:p>
          <a:endParaRPr lang="en-US"/>
        </a:p>
      </dgm:t>
    </dgm:pt>
    <dgm:pt modelId="{2D750155-2469-9B4E-B835-7DC288DD6D6C}" type="pres">
      <dgm:prSet presAssocID="{3DAA40D8-B4AB-4A49-B120-DE257D3A2016}" presName="childShape" presStyleCnt="0"/>
      <dgm:spPr/>
    </dgm:pt>
    <dgm:pt modelId="{161D2725-E288-724E-B67A-F62561E48C17}" type="pres">
      <dgm:prSet presAssocID="{F8192DFB-0A6C-9D4D-82DB-86EBF7961A12}" presName="Name13" presStyleLbl="parChTrans1D2" presStyleIdx="18" presStyleCnt="22"/>
      <dgm:spPr/>
      <dgm:t>
        <a:bodyPr/>
        <a:lstStyle/>
        <a:p>
          <a:endParaRPr lang="en-US"/>
        </a:p>
      </dgm:t>
    </dgm:pt>
    <dgm:pt modelId="{FF993F6B-0075-3E4A-A53F-D3FB7C1AEF80}" type="pres">
      <dgm:prSet presAssocID="{8153EA52-4BBE-924B-AEC4-20C710282EA4}" presName="childText" presStyleLbl="bgAcc1" presStyleIdx="18" presStyleCnt="22" custScaleX="156748">
        <dgm:presLayoutVars>
          <dgm:bulletEnabled val="1"/>
        </dgm:presLayoutVars>
      </dgm:prSet>
      <dgm:spPr/>
      <dgm:t>
        <a:bodyPr/>
        <a:lstStyle/>
        <a:p>
          <a:endParaRPr lang="en-US"/>
        </a:p>
      </dgm:t>
    </dgm:pt>
    <dgm:pt modelId="{28974723-529D-C64A-A865-77687A6B9651}" type="pres">
      <dgm:prSet presAssocID="{99D79703-F31B-C543-AFBA-995CB0F063D1}" presName="Name13" presStyleLbl="parChTrans1D2" presStyleIdx="19" presStyleCnt="22"/>
      <dgm:spPr/>
      <dgm:t>
        <a:bodyPr/>
        <a:lstStyle/>
        <a:p>
          <a:endParaRPr lang="en-US"/>
        </a:p>
      </dgm:t>
    </dgm:pt>
    <dgm:pt modelId="{D532BA73-62C2-444C-A812-E720B36A9E7B}" type="pres">
      <dgm:prSet presAssocID="{023DF576-C8A7-0043-8459-CFC3F54E0926}" presName="childText" presStyleLbl="bgAcc1" presStyleIdx="19" presStyleCnt="22" custScaleX="156748">
        <dgm:presLayoutVars>
          <dgm:bulletEnabled val="1"/>
        </dgm:presLayoutVars>
      </dgm:prSet>
      <dgm:spPr/>
      <dgm:t>
        <a:bodyPr/>
        <a:lstStyle/>
        <a:p>
          <a:endParaRPr lang="en-US"/>
        </a:p>
      </dgm:t>
    </dgm:pt>
    <dgm:pt modelId="{6A92D1DF-F9CE-F44C-8A56-BFCF9C856303}" type="pres">
      <dgm:prSet presAssocID="{76D6E593-CE9E-634F-B8BF-F41E21F8A51F}" presName="Name13" presStyleLbl="parChTrans1D2" presStyleIdx="20" presStyleCnt="22"/>
      <dgm:spPr/>
      <dgm:t>
        <a:bodyPr/>
        <a:lstStyle/>
        <a:p>
          <a:endParaRPr lang="en-US"/>
        </a:p>
      </dgm:t>
    </dgm:pt>
    <dgm:pt modelId="{FE72ABCF-AB8C-9E44-8998-6130A220B159}" type="pres">
      <dgm:prSet presAssocID="{945FECB3-7A28-9949-9936-A5517E91B866}" presName="childText" presStyleLbl="bgAcc1" presStyleIdx="20" presStyleCnt="22" custScaleX="156748">
        <dgm:presLayoutVars>
          <dgm:bulletEnabled val="1"/>
        </dgm:presLayoutVars>
      </dgm:prSet>
      <dgm:spPr/>
      <dgm:t>
        <a:bodyPr/>
        <a:lstStyle/>
        <a:p>
          <a:endParaRPr lang="en-US"/>
        </a:p>
      </dgm:t>
    </dgm:pt>
    <dgm:pt modelId="{E311FF41-5354-B54E-991B-4C941899D952}" type="pres">
      <dgm:prSet presAssocID="{66D2AABE-2AD6-8645-9C4F-0309C8F76276}" presName="Name13" presStyleLbl="parChTrans1D2" presStyleIdx="21" presStyleCnt="22"/>
      <dgm:spPr/>
      <dgm:t>
        <a:bodyPr/>
        <a:lstStyle/>
        <a:p>
          <a:endParaRPr lang="en-US"/>
        </a:p>
      </dgm:t>
    </dgm:pt>
    <dgm:pt modelId="{36127309-41AA-4746-B702-DC84224C55D5}" type="pres">
      <dgm:prSet presAssocID="{BE4BAC56-58D9-314A-8A30-A42B2D0CEFBB}" presName="childText" presStyleLbl="bgAcc1" presStyleIdx="21" presStyleCnt="22" custScaleX="156748">
        <dgm:presLayoutVars>
          <dgm:bulletEnabled val="1"/>
        </dgm:presLayoutVars>
      </dgm:prSet>
      <dgm:spPr/>
      <dgm:t>
        <a:bodyPr/>
        <a:lstStyle/>
        <a:p>
          <a:endParaRPr lang="en-US"/>
        </a:p>
      </dgm:t>
    </dgm:pt>
  </dgm:ptLst>
  <dgm:cxnLst>
    <dgm:cxn modelId="{0DEE8B12-89DA-1C4C-95E2-80887A86D26B}" srcId="{00B30262-F901-7449-94C2-E583D499372F}" destId="{3A09570F-F2C1-4648-845A-9EC8B6EDD240}" srcOrd="0" destOrd="0" parTransId="{5A4D0F6C-BC47-6E45-B3BC-CEBB12440817}" sibTransId="{0366A767-11B7-B84E-B27E-1AA61BDC5CB5}"/>
    <dgm:cxn modelId="{5FF50356-5993-F145-AD83-C1E8EAA01052}" type="presOf" srcId="{99D79703-F31B-C543-AFBA-995CB0F063D1}" destId="{28974723-529D-C64A-A865-77687A6B9651}" srcOrd="0" destOrd="0" presId="urn:microsoft.com/office/officeart/2005/8/layout/hierarchy3"/>
    <dgm:cxn modelId="{6901EF79-6A84-7A4E-803A-F2CC40CDE700}" type="presOf" srcId="{8D64527A-B532-8F43-9AB7-0AD6A4537EF5}" destId="{B472362A-8753-3847-AD08-F361B4325E0C}" srcOrd="0" destOrd="0" presId="urn:microsoft.com/office/officeart/2005/8/layout/hierarchy3"/>
    <dgm:cxn modelId="{5D0F2448-84DE-644D-91E3-825E17CC89C6}" type="presOf" srcId="{8527578F-9E04-CA48-BAE2-E48C1F14E5D1}" destId="{59668D3D-6729-3A44-977B-77617CD6BF47}" srcOrd="0" destOrd="0" presId="urn:microsoft.com/office/officeart/2005/8/layout/hierarchy3"/>
    <dgm:cxn modelId="{F6C2746C-FF8C-FC4A-8AAE-6A5348337621}" type="presOf" srcId="{BE4BAC56-58D9-314A-8A30-A42B2D0CEFBB}" destId="{36127309-41AA-4746-B702-DC84224C55D5}" srcOrd="0" destOrd="0" presId="urn:microsoft.com/office/officeart/2005/8/layout/hierarchy3"/>
    <dgm:cxn modelId="{7B5C8402-5C39-504C-9E48-60377B966D24}" srcId="{3A09570F-F2C1-4648-845A-9EC8B6EDD240}" destId="{095DABFE-3BB9-EF4C-9195-D63F8E77A797}" srcOrd="0" destOrd="0" parTransId="{E567A910-7983-FC4D-98C8-BD330132F48F}" sibTransId="{CAE846F4-8858-E348-B125-011B3945EBD1}"/>
    <dgm:cxn modelId="{1A2FE3DE-AAF6-6342-9697-A6DFCA71679D}" type="presOf" srcId="{850707C4-8B06-5E4A-BE3A-F266AAB446AB}" destId="{B7AEE4CB-7E92-4646-85ED-45C5365A3400}" srcOrd="0" destOrd="0" presId="urn:microsoft.com/office/officeart/2005/8/layout/hierarchy3"/>
    <dgm:cxn modelId="{2F25E599-F969-7144-8DEA-670C8A737E54}" type="presOf" srcId="{023DF576-C8A7-0043-8459-CFC3F54E0926}" destId="{D532BA73-62C2-444C-A812-E720B36A9E7B}" srcOrd="0" destOrd="0" presId="urn:microsoft.com/office/officeart/2005/8/layout/hierarchy3"/>
    <dgm:cxn modelId="{CF437595-518A-5845-A68D-2A14C65B1E73}" type="presOf" srcId="{8FEFCD3E-B543-E948-87E8-3C0EE272245C}" destId="{23DECEFD-7D73-EA43-9271-FE28B0116323}" srcOrd="0" destOrd="0" presId="urn:microsoft.com/office/officeart/2005/8/layout/hierarchy3"/>
    <dgm:cxn modelId="{92BF3C7E-4067-DE41-91C0-40E8064E2E03}" srcId="{3DAA40D8-B4AB-4A49-B120-DE257D3A2016}" destId="{945FECB3-7A28-9949-9936-A5517E91B866}" srcOrd="2" destOrd="0" parTransId="{76D6E593-CE9E-634F-B8BF-F41E21F8A51F}" sibTransId="{887683CB-AC54-AE4C-9ABC-B6DB15FF529C}"/>
    <dgm:cxn modelId="{55468840-D756-C448-AE15-14A79A07D177}" type="presOf" srcId="{B9417F87-6A11-7B4D-BF18-FACD6396ADD4}" destId="{52BE7027-68BB-444C-B208-8D2F9D0770B0}" srcOrd="0" destOrd="0" presId="urn:microsoft.com/office/officeart/2005/8/layout/hierarchy3"/>
    <dgm:cxn modelId="{5B4A0513-02D0-6348-939D-DB08FE1A4090}" type="presOf" srcId="{41F0B8CF-6C36-5740-901C-4255B43BEA8F}" destId="{8ED45E2F-5F4B-664B-A67E-285B524C5416}" srcOrd="0" destOrd="0" presId="urn:microsoft.com/office/officeart/2005/8/layout/hierarchy3"/>
    <dgm:cxn modelId="{FA4E80D8-E96A-294A-8FD4-6B272D33DC85}" type="presOf" srcId="{00B30262-F901-7449-94C2-E583D499372F}" destId="{CAED8F04-56ED-2F45-AAE9-8B8549787BBF}" srcOrd="0" destOrd="0" presId="urn:microsoft.com/office/officeart/2005/8/layout/hierarchy3"/>
    <dgm:cxn modelId="{8D275673-D205-D845-8CCB-2210FE05AAD8}" type="presOf" srcId="{A606615D-6A8D-0744-B053-6EDA807E26CC}" destId="{3A2EA3AA-AF58-F84A-9746-0BB3690CD87B}" srcOrd="0" destOrd="0" presId="urn:microsoft.com/office/officeart/2005/8/layout/hierarchy3"/>
    <dgm:cxn modelId="{28C69827-E236-1947-8A37-E574A3629836}" srcId="{00B30262-F901-7449-94C2-E583D499372F}" destId="{C17C0C62-02E6-D241-B17E-4DE979E97290}" srcOrd="1" destOrd="0" parTransId="{9B871FD0-6997-6046-A033-E688041352AF}" sibTransId="{954D57F9-20D2-CA48-9A91-7632C102A92B}"/>
    <dgm:cxn modelId="{39076AAC-7365-DF43-A317-FF0F6A721652}" srcId="{9C1090D3-5D65-3C42-A01F-26E7769E5665}" destId="{1B377E2A-84E7-FD4D-AF1C-FF754A713715}" srcOrd="3" destOrd="0" parTransId="{5A615405-E3FA-DF46-A895-C3B3F043B608}" sibTransId="{5889058A-E874-2240-9CBD-6EC096415869}"/>
    <dgm:cxn modelId="{9AC19C07-1F2A-954A-ACE9-25CA9B4D763C}" type="presOf" srcId="{A429EC14-F697-B84E-9667-B15B332E217C}" destId="{AB84F694-8F51-4B43-B36C-09B54887494C}" srcOrd="0" destOrd="0" presId="urn:microsoft.com/office/officeart/2005/8/layout/hierarchy3"/>
    <dgm:cxn modelId="{08B9B15C-C245-FB45-99CF-7BF87F4AF64F}" srcId="{C17C0C62-02E6-D241-B17E-4DE979E97290}" destId="{998D2C64-A12B-E64D-AEB2-B38C80C57F92}" srcOrd="3" destOrd="0" parTransId="{3C04E536-1DE3-1B49-A29C-D174C426E21A}" sibTransId="{6EFF755E-B1EE-F54D-ADEA-83DE5ED8E66D}"/>
    <dgm:cxn modelId="{909812E1-D7AC-6541-80CD-36BA365F356E}" type="presOf" srcId="{D810C11E-DED4-0545-95E7-D76E67253F63}" destId="{F7EAB8A4-6307-7A4A-8A92-C38C67D10891}" srcOrd="0" destOrd="0" presId="urn:microsoft.com/office/officeart/2005/8/layout/hierarchy3"/>
    <dgm:cxn modelId="{722C73B5-83B8-9748-9E5D-A835B3EA7F19}" srcId="{3A09570F-F2C1-4648-845A-9EC8B6EDD240}" destId="{353B6791-1F7B-5941-A30E-EC651BA69980}" srcOrd="5" destOrd="0" parTransId="{23B1978A-1990-CF47-BF94-5B5EA59CD0E8}" sibTransId="{FB61E28F-DF54-1B43-B19B-DDC5F157A88F}"/>
    <dgm:cxn modelId="{FEDFFD20-655D-6744-8190-56F60C76B4B7}" type="presOf" srcId="{66D2AABE-2AD6-8645-9C4F-0309C8F76276}" destId="{E311FF41-5354-B54E-991B-4C941899D952}" srcOrd="0" destOrd="0" presId="urn:microsoft.com/office/officeart/2005/8/layout/hierarchy3"/>
    <dgm:cxn modelId="{C788036A-B2AD-DE4B-8324-6648495F36B5}" type="presOf" srcId="{34EFF24A-439D-D347-9EC5-600194699429}" destId="{A4DDC6B2-C621-DA48-B2F1-B0D5E5072453}" srcOrd="0" destOrd="0" presId="urn:microsoft.com/office/officeart/2005/8/layout/hierarchy3"/>
    <dgm:cxn modelId="{BF231BDF-F194-B644-91FA-45E4373E1A12}" srcId="{C17C0C62-02E6-D241-B17E-4DE979E97290}" destId="{5BBE0D6A-26DD-F849-AAAB-DF2CD657130A}" srcOrd="2" destOrd="0" parTransId="{060225B8-D05A-3945-B28E-28E5DFAA3A13}" sibTransId="{FB2C7575-B933-554A-B17A-8A94551BF442}"/>
    <dgm:cxn modelId="{C2CEBDD7-3739-EA47-A9B1-3F1417736F85}" type="presOf" srcId="{C17C0C62-02E6-D241-B17E-4DE979E97290}" destId="{4F60263D-8F30-FB49-B6CF-A8EFC5EE5EAC}" srcOrd="1" destOrd="0" presId="urn:microsoft.com/office/officeart/2005/8/layout/hierarchy3"/>
    <dgm:cxn modelId="{E461A073-ACF2-6144-9858-FE56EFDE47CE}" type="presOf" srcId="{14C30EB6-85F3-D54D-93B5-FEAA02842378}" destId="{F561EC9D-80A6-DE44-AEDA-627861F38C1B}" srcOrd="0" destOrd="0" presId="urn:microsoft.com/office/officeart/2005/8/layout/hierarchy3"/>
    <dgm:cxn modelId="{60EA1DF7-17CE-784B-B893-D20DF5298AD4}" srcId="{3DAA40D8-B4AB-4A49-B120-DE257D3A2016}" destId="{BE4BAC56-58D9-314A-8A30-A42B2D0CEFBB}" srcOrd="3" destOrd="0" parTransId="{66D2AABE-2AD6-8645-9C4F-0309C8F76276}" sibTransId="{53B9345B-02C0-464D-A35C-850C76FC2B9C}"/>
    <dgm:cxn modelId="{00746727-EC2F-AA4D-B2D7-68175CF5AFAC}" type="presOf" srcId="{1B377E2A-84E7-FD4D-AF1C-FF754A713715}" destId="{DBC33B76-BBC6-5249-B11F-7E525E902733}" srcOrd="0" destOrd="0" presId="urn:microsoft.com/office/officeart/2005/8/layout/hierarchy3"/>
    <dgm:cxn modelId="{D0776BB1-CBF4-D24C-9BCF-44C0362B9FA5}" type="presOf" srcId="{C17C0C62-02E6-D241-B17E-4DE979E97290}" destId="{91AD2600-5A11-8F4D-A163-93F4E6B406A2}" srcOrd="0" destOrd="0" presId="urn:microsoft.com/office/officeart/2005/8/layout/hierarchy3"/>
    <dgm:cxn modelId="{7854B558-C9DC-0340-8B70-E6C5B31CDB8E}" type="presOf" srcId="{76D6E593-CE9E-634F-B8BF-F41E21F8A51F}" destId="{6A92D1DF-F9CE-F44C-8A56-BFCF9C856303}" srcOrd="0" destOrd="0" presId="urn:microsoft.com/office/officeart/2005/8/layout/hierarchy3"/>
    <dgm:cxn modelId="{6440B308-F2FD-3F41-AF45-A281D4D10E55}" type="presOf" srcId="{F9A551E7-6581-0945-9ABE-704926702142}" destId="{000FF805-4569-454C-AA94-06CA4534D439}" srcOrd="0" destOrd="0" presId="urn:microsoft.com/office/officeart/2005/8/layout/hierarchy3"/>
    <dgm:cxn modelId="{D756E3DC-638F-FD4A-8BCF-495167665426}" srcId="{C17C0C62-02E6-D241-B17E-4DE979E97290}" destId="{D810C11E-DED4-0545-95E7-D76E67253F63}" srcOrd="4" destOrd="0" parTransId="{B9417F87-6A11-7B4D-BF18-FACD6396ADD4}" sibTransId="{42F7DB2D-3E93-E440-AB37-A94FDA9801EE}"/>
    <dgm:cxn modelId="{22F5DD26-DB42-484F-9CEB-F369A6AB24F4}" type="presOf" srcId="{5BBE0D6A-26DD-F849-AAAB-DF2CD657130A}" destId="{0E619018-7EB6-9242-A6F3-E8367BE65883}" srcOrd="0" destOrd="0" presId="urn:microsoft.com/office/officeart/2005/8/layout/hierarchy3"/>
    <dgm:cxn modelId="{8566352B-C579-4146-B473-E9A583F335E7}" type="presOf" srcId="{9C1090D3-5D65-3C42-A01F-26E7769E5665}" destId="{65E902A4-7343-5B44-AFCE-CEC78794F86E}" srcOrd="0" destOrd="0" presId="urn:microsoft.com/office/officeart/2005/8/layout/hierarchy3"/>
    <dgm:cxn modelId="{4A3F6BC9-AE2D-784F-8E9E-1B1258D39864}" type="presOf" srcId="{9B2C0090-61CF-114E-8C8F-07553CE33866}" destId="{EC521ED0-9F18-344B-B2F2-8CF1D22087BC}" srcOrd="0" destOrd="0" presId="urn:microsoft.com/office/officeart/2005/8/layout/hierarchy3"/>
    <dgm:cxn modelId="{89A5E2FA-17E3-C944-A71A-EB25563AA992}" type="presOf" srcId="{3DAA40D8-B4AB-4A49-B120-DE257D3A2016}" destId="{1C8AEC31-67E0-2846-9619-DE0BD1705810}" srcOrd="1" destOrd="0" presId="urn:microsoft.com/office/officeart/2005/8/layout/hierarchy3"/>
    <dgm:cxn modelId="{846B257C-9710-BB4D-A96A-A420F1F59D02}" srcId="{9C1090D3-5D65-3C42-A01F-26E7769E5665}" destId="{19043C73-2588-3A48-9D5B-0B21E5D3AA44}" srcOrd="1" destOrd="0" parTransId="{A606615D-6A8D-0744-B053-6EDA807E26CC}" sibTransId="{C961E5B1-D54A-8647-B4A0-44F7950CA2A1}"/>
    <dgm:cxn modelId="{5326B6A0-0617-324A-8372-B07649347841}" srcId="{3A09570F-F2C1-4648-845A-9EC8B6EDD240}" destId="{BE8E3435-C373-DA4C-82E0-982CCC4C7358}" srcOrd="3" destOrd="0" parTransId="{802A8419-EA2F-2342-8C80-B869CD386C05}" sibTransId="{4D7E9436-42E3-CA49-B810-EB5D9FE21F42}"/>
    <dgm:cxn modelId="{6A2940A5-F24D-9741-8543-63639A16223F}" srcId="{9C1090D3-5D65-3C42-A01F-26E7769E5665}" destId="{8527578F-9E04-CA48-BAE2-E48C1F14E5D1}" srcOrd="4" destOrd="0" parTransId="{850707C4-8B06-5E4A-BE3A-F266AAB446AB}" sibTransId="{A1EDE23A-3254-BA41-8817-87698311F0E3}"/>
    <dgm:cxn modelId="{943AFA15-858C-9844-AD8C-0229D54F7203}" srcId="{9C1090D3-5D65-3C42-A01F-26E7769E5665}" destId="{CC830CCF-B0AC-6B4A-9A3D-024A83C7A3FE}" srcOrd="6" destOrd="0" parTransId="{5AB84151-3AC3-B743-9B1E-558375AFBC95}" sibTransId="{01F4939F-F5AE-D446-93EB-AFDABE36397B}"/>
    <dgm:cxn modelId="{383BC58D-DBDE-2E48-B1BB-D0F80FC26758}" type="presOf" srcId="{2C1DEE1C-78A6-C849-9A61-64557BD0F44B}" destId="{6734A2DF-6F1F-9242-9E26-6E32450DF1B3}" srcOrd="0" destOrd="0" presId="urn:microsoft.com/office/officeart/2005/8/layout/hierarchy3"/>
    <dgm:cxn modelId="{E8E4D286-86FA-B74A-B0B0-C961A98FDE38}" type="presOf" srcId="{3C04E536-1DE3-1B49-A29C-D174C426E21A}" destId="{9DC9CC0E-F2D4-4649-BE98-3DF63032C14D}" srcOrd="0" destOrd="0" presId="urn:microsoft.com/office/officeart/2005/8/layout/hierarchy3"/>
    <dgm:cxn modelId="{699CD2E0-CB9D-D847-90B9-CA2A38EF2A60}" type="presOf" srcId="{EFBA1C41-92DD-4649-B485-A9B53474C9F6}" destId="{CE638F6D-73DA-F94F-A988-3E841AB5260E}" srcOrd="0" destOrd="0" presId="urn:microsoft.com/office/officeart/2005/8/layout/hierarchy3"/>
    <dgm:cxn modelId="{D124AE48-F0BB-B640-8B18-F3B3C626CE2C}" type="presOf" srcId="{208765AB-E1EE-0949-A364-00BAD54A730F}" destId="{FC50197A-1638-9845-8BC4-23C617793EDB}" srcOrd="0" destOrd="0" presId="urn:microsoft.com/office/officeart/2005/8/layout/hierarchy3"/>
    <dgm:cxn modelId="{250EB63F-841B-F64D-99EF-BD70218C285C}" type="presOf" srcId="{19043C73-2588-3A48-9D5B-0B21E5D3AA44}" destId="{3A9D37B3-3C9D-7346-BB0B-1749792C0FB1}" srcOrd="0" destOrd="0" presId="urn:microsoft.com/office/officeart/2005/8/layout/hierarchy3"/>
    <dgm:cxn modelId="{F5F6AC04-A450-ED42-B92A-BAC5E4872CC2}" srcId="{3DAA40D8-B4AB-4A49-B120-DE257D3A2016}" destId="{8153EA52-4BBE-924B-AEC4-20C710282EA4}" srcOrd="0" destOrd="0" parTransId="{F8192DFB-0A6C-9D4D-82DB-86EBF7961A12}" sibTransId="{8AD86C4B-D41D-A64F-B9CE-C536D4A46212}"/>
    <dgm:cxn modelId="{FC055AEC-6EC5-8448-9217-3DB015A9B4B8}" type="presOf" srcId="{353B6791-1F7B-5941-A30E-EC651BA69980}" destId="{088B5D66-8CFF-3148-ABFE-FD9FC6C5C0D0}" srcOrd="0" destOrd="0" presId="urn:microsoft.com/office/officeart/2005/8/layout/hierarchy3"/>
    <dgm:cxn modelId="{A9D39BA2-BBAC-D44F-97A5-D015CE9B5FD3}" srcId="{9C1090D3-5D65-3C42-A01F-26E7769E5665}" destId="{2CC2780F-DA92-D245-85AB-2E40BAFF2811}" srcOrd="2" destOrd="0" parTransId="{A429EC14-F697-B84E-9667-B15B332E217C}" sibTransId="{4A981A73-1504-0B45-9504-71CD1C6E9C11}"/>
    <dgm:cxn modelId="{36B6550B-2F05-A64A-BED2-405103BF78DD}" srcId="{3A09570F-F2C1-4648-845A-9EC8B6EDD240}" destId="{8FEFCD3E-B543-E948-87E8-3C0EE272245C}" srcOrd="2" destOrd="0" parTransId="{B2294FA2-AD8D-B544-A2F2-264C8815B899}" sibTransId="{BE0AF2AE-1BE1-2046-A23A-BC8628E0F292}"/>
    <dgm:cxn modelId="{DA268097-5EA8-AF4F-9D21-5BCAF1946227}" type="presOf" srcId="{2CC2780F-DA92-D245-85AB-2E40BAFF2811}" destId="{B3E2EE3E-971E-1C4C-B8F9-0B7BE21BB2FD}" srcOrd="0" destOrd="0" presId="urn:microsoft.com/office/officeart/2005/8/layout/hierarchy3"/>
    <dgm:cxn modelId="{D2914F77-2CC1-1F4F-8889-39CB37A4A032}" srcId="{3A09570F-F2C1-4648-845A-9EC8B6EDD240}" destId="{3C2001B2-AE3E-5D40-8F75-7065651D3C9B}" srcOrd="1" destOrd="0" parTransId="{9B2C0090-61CF-114E-8C8F-07553CE33866}" sibTransId="{E08F7DAE-84DF-AC4D-A41B-458BF1B27F5A}"/>
    <dgm:cxn modelId="{C694973B-1468-444F-BCE7-CDFC39A8A63D}" srcId="{3DAA40D8-B4AB-4A49-B120-DE257D3A2016}" destId="{023DF576-C8A7-0043-8459-CFC3F54E0926}" srcOrd="1" destOrd="0" parTransId="{99D79703-F31B-C543-AFBA-995CB0F063D1}" sibTransId="{8E0CFCD2-AD2C-5444-A82D-09B6C08A4EBB}"/>
    <dgm:cxn modelId="{AFEE2545-F934-A745-A82B-68650365CBC9}" type="presOf" srcId="{3C2001B2-AE3E-5D40-8F75-7065651D3C9B}" destId="{696313BA-C3E3-B74A-A0BA-A0603DBA6F9A}" srcOrd="0" destOrd="0" presId="urn:microsoft.com/office/officeart/2005/8/layout/hierarchy3"/>
    <dgm:cxn modelId="{FED524F4-EF8F-1842-A4CC-A02A0BDAB8F6}" type="presOf" srcId="{AD1AF130-37E4-4E49-A7B9-F3B40F03F139}" destId="{012CEEC1-2A85-244C-9D3A-64CAB67ED931}" srcOrd="0" destOrd="0" presId="urn:microsoft.com/office/officeart/2005/8/layout/hierarchy3"/>
    <dgm:cxn modelId="{8E047F85-C6E3-594B-8281-3F7AC4055197}" type="presOf" srcId="{095DABFE-3BB9-EF4C-9195-D63F8E77A797}" destId="{2A1C1426-12FC-AD48-BA1F-C544A19D959E}" srcOrd="0" destOrd="0" presId="urn:microsoft.com/office/officeart/2005/8/layout/hierarchy3"/>
    <dgm:cxn modelId="{7A0DAAFD-CF26-6E45-9182-CF4907349921}" type="presOf" srcId="{9C1090D3-5D65-3C42-A01F-26E7769E5665}" destId="{E373CF54-7BA2-9543-A91F-B57BB86C634A}" srcOrd="1" destOrd="0" presId="urn:microsoft.com/office/officeart/2005/8/layout/hierarchy3"/>
    <dgm:cxn modelId="{F57989AE-950A-C34C-B3C0-4B41DBF88CF5}" type="presOf" srcId="{E567A910-7983-FC4D-98C8-BD330132F48F}" destId="{635487DA-FB92-4842-8495-8F0C6E9C9098}" srcOrd="0" destOrd="0" presId="urn:microsoft.com/office/officeart/2005/8/layout/hierarchy3"/>
    <dgm:cxn modelId="{580B3FD6-E8B8-454B-A25A-020778A81D67}" type="presOf" srcId="{5AB84151-3AC3-B743-9B1E-558375AFBC95}" destId="{E32C9853-8ADE-3B48-B8BC-6799F45F4D50}" srcOrd="0" destOrd="0" presId="urn:microsoft.com/office/officeart/2005/8/layout/hierarchy3"/>
    <dgm:cxn modelId="{2C9F41BE-FB79-7B46-9B71-031E82945F6E}" type="presOf" srcId="{BE8E3435-C373-DA4C-82E0-982CCC4C7358}" destId="{31E246DC-5616-BC42-9425-D897B6A6F8C6}" srcOrd="0" destOrd="0" presId="urn:microsoft.com/office/officeart/2005/8/layout/hierarchy3"/>
    <dgm:cxn modelId="{09632E8F-17A0-FE49-8E47-876DD765845F}" srcId="{9C1090D3-5D65-3C42-A01F-26E7769E5665}" destId="{941BAE87-99DF-7943-A9BF-9D82D5AE2AFA}" srcOrd="0" destOrd="0" parTransId="{EFBA1C41-92DD-4649-B485-A9B53474C9F6}" sibTransId="{CE38EEA4-AE76-5C48-99BB-1D0ED8B67716}"/>
    <dgm:cxn modelId="{0C1E7EA1-A39B-264E-A442-43CD87F09F5D}" type="presOf" srcId="{3A09570F-F2C1-4648-845A-9EC8B6EDD240}" destId="{CA774D3C-4EA9-E94F-92F4-E14530585545}" srcOrd="0" destOrd="0" presId="urn:microsoft.com/office/officeart/2005/8/layout/hierarchy3"/>
    <dgm:cxn modelId="{45C7FE53-C2EF-A84D-B1E2-BFBBF31D3A01}" srcId="{C17C0C62-02E6-D241-B17E-4DE979E97290}" destId="{34EFF24A-439D-D347-9EC5-600194699429}" srcOrd="0" destOrd="0" parTransId="{AD1AF130-37E4-4E49-A7B9-F3B40F03F139}" sibTransId="{08E33BE0-07EE-0C48-AF22-29E1DCF8DBCA}"/>
    <dgm:cxn modelId="{FB9C9F0C-2712-4247-AA3E-8F8B9464A0CD}" srcId="{3A09570F-F2C1-4648-845A-9EC8B6EDD240}" destId="{208765AB-E1EE-0949-A364-00BAD54A730F}" srcOrd="4" destOrd="0" parTransId="{2C1DEE1C-78A6-C849-9A61-64557BD0F44B}" sibTransId="{E8FE9CE3-087A-3343-B06F-297A7F864E18}"/>
    <dgm:cxn modelId="{C2A882CE-3CCE-0541-8A68-4F1607E78972}" srcId="{C17C0C62-02E6-D241-B17E-4DE979E97290}" destId="{14C30EB6-85F3-D54D-93B5-FEAA02842378}" srcOrd="1" destOrd="0" parTransId="{F9A551E7-6581-0945-9ABE-704926702142}" sibTransId="{427130BF-6F14-A74D-A8BC-E5F24A9F92F7}"/>
    <dgm:cxn modelId="{F9455CF5-22F1-F946-8AAF-474AE6AD9233}" type="presOf" srcId="{23B1978A-1990-CF47-BF94-5B5EA59CD0E8}" destId="{B95AEBC3-A33B-2F43-9D36-066DFFB4B7C9}" srcOrd="0" destOrd="0" presId="urn:microsoft.com/office/officeart/2005/8/layout/hierarchy3"/>
    <dgm:cxn modelId="{BBD1070F-46E9-F241-84BB-A458AAEC6016}" srcId="{9C1090D3-5D65-3C42-A01F-26E7769E5665}" destId="{8D64527A-B532-8F43-9AB7-0AD6A4537EF5}" srcOrd="5" destOrd="0" parTransId="{41F0B8CF-6C36-5740-901C-4255B43BEA8F}" sibTransId="{F7511F6B-C66F-2946-B02C-66FD8A804BCF}"/>
    <dgm:cxn modelId="{E8EA6872-04B4-CE4B-B9B9-820A451505E7}" type="presOf" srcId="{945FECB3-7A28-9949-9936-A5517E91B866}" destId="{FE72ABCF-AB8C-9E44-8998-6130A220B159}" srcOrd="0" destOrd="0" presId="urn:microsoft.com/office/officeart/2005/8/layout/hierarchy3"/>
    <dgm:cxn modelId="{E1B11D3D-2FB8-5B49-9391-2C85CDBBA8B8}" type="presOf" srcId="{CC830CCF-B0AC-6B4A-9A3D-024A83C7A3FE}" destId="{04B49008-1FCD-AA4C-9302-3C0DCB1F8019}" srcOrd="0" destOrd="0" presId="urn:microsoft.com/office/officeart/2005/8/layout/hierarchy3"/>
    <dgm:cxn modelId="{518CECC0-8EFD-4544-8535-8FF3B0F4A403}" type="presOf" srcId="{3DAA40D8-B4AB-4A49-B120-DE257D3A2016}" destId="{18ED9346-AF0F-4F46-8288-6F469E4BDC34}" srcOrd="0" destOrd="0" presId="urn:microsoft.com/office/officeart/2005/8/layout/hierarchy3"/>
    <dgm:cxn modelId="{C38622C0-FC5C-A14E-8C73-354EBABC4A73}" srcId="{00B30262-F901-7449-94C2-E583D499372F}" destId="{3DAA40D8-B4AB-4A49-B120-DE257D3A2016}" srcOrd="3" destOrd="0" parTransId="{466E77F9-2B8E-C04C-89B1-FD462C934541}" sibTransId="{74EDB8B2-B2FC-744A-8BD2-2E6A9B4B4E81}"/>
    <dgm:cxn modelId="{E513B820-FFCC-F541-AD68-E8BFC1E5D058}" type="presOf" srcId="{5A615405-E3FA-DF46-A895-C3B3F043B608}" destId="{D76D3497-B3DA-0047-AF98-149625D8A890}" srcOrd="0" destOrd="0" presId="urn:microsoft.com/office/officeart/2005/8/layout/hierarchy3"/>
    <dgm:cxn modelId="{91F9FE34-B59F-2B43-8A1A-B16A7109A5F4}" srcId="{00B30262-F901-7449-94C2-E583D499372F}" destId="{9C1090D3-5D65-3C42-A01F-26E7769E5665}" srcOrd="2" destOrd="0" parTransId="{3EAFD86C-2773-1040-AAA2-F6B6369354E1}" sibTransId="{5204AB25-4892-154B-BB83-A47A68CF1136}"/>
    <dgm:cxn modelId="{FD9EF5F4-9C2D-BD46-AF8F-846F09E0FC87}" type="presOf" srcId="{802A8419-EA2F-2342-8C80-B869CD386C05}" destId="{C2C365DD-8CE8-DD45-B350-FA5AD63988C9}" srcOrd="0" destOrd="0" presId="urn:microsoft.com/office/officeart/2005/8/layout/hierarchy3"/>
    <dgm:cxn modelId="{D2EE5C73-3D52-204E-BCA2-9DE986F7FD71}" type="presOf" srcId="{F8192DFB-0A6C-9D4D-82DB-86EBF7961A12}" destId="{161D2725-E288-724E-B67A-F62561E48C17}" srcOrd="0" destOrd="0" presId="urn:microsoft.com/office/officeart/2005/8/layout/hierarchy3"/>
    <dgm:cxn modelId="{51EE9D92-20C7-E44D-9912-8B47F5F0ECFE}" type="presOf" srcId="{B2294FA2-AD8D-B544-A2F2-264C8815B899}" destId="{1D752A7C-358B-4D4E-937D-0D2971073366}" srcOrd="0" destOrd="0" presId="urn:microsoft.com/office/officeart/2005/8/layout/hierarchy3"/>
    <dgm:cxn modelId="{C0A7C56D-8FC4-3440-B9D5-4B222B4F5A8B}" type="presOf" srcId="{8153EA52-4BBE-924B-AEC4-20C710282EA4}" destId="{FF993F6B-0075-3E4A-A53F-D3FB7C1AEF80}" srcOrd="0" destOrd="0" presId="urn:microsoft.com/office/officeart/2005/8/layout/hierarchy3"/>
    <dgm:cxn modelId="{961415DE-8096-D547-8E14-1DEA85B238B2}" type="presOf" srcId="{060225B8-D05A-3945-B28E-28E5DFAA3A13}" destId="{B5FADA3C-F8D6-9F42-BD31-1C4CC681007A}" srcOrd="0" destOrd="0" presId="urn:microsoft.com/office/officeart/2005/8/layout/hierarchy3"/>
    <dgm:cxn modelId="{5B2D16E3-FDB1-954C-8AAE-D84D380A8AFB}" type="presOf" srcId="{941BAE87-99DF-7943-A9BF-9D82D5AE2AFA}" destId="{383C592C-A5C3-A647-833E-657B407FBB15}" srcOrd="0" destOrd="0" presId="urn:microsoft.com/office/officeart/2005/8/layout/hierarchy3"/>
    <dgm:cxn modelId="{64551518-479E-424F-ACD5-04790079DC78}" type="presOf" srcId="{3A09570F-F2C1-4648-845A-9EC8B6EDD240}" destId="{0DC007AD-A073-C041-BBD1-82098388CF43}" srcOrd="1" destOrd="0" presId="urn:microsoft.com/office/officeart/2005/8/layout/hierarchy3"/>
    <dgm:cxn modelId="{2A8B5BDB-B888-CE4B-B466-914F291E47BB}" type="presOf" srcId="{998D2C64-A12B-E64D-AEB2-B38C80C57F92}" destId="{8E761B63-C8D5-6842-901E-9902C7902F59}" srcOrd="0" destOrd="0" presId="urn:microsoft.com/office/officeart/2005/8/layout/hierarchy3"/>
    <dgm:cxn modelId="{90F087C5-6FA0-4248-A844-0946BD11C01A}" type="presParOf" srcId="{CAED8F04-56ED-2F45-AAE9-8B8549787BBF}" destId="{26077CF6-E03C-9144-B2F4-027F3C673C5D}" srcOrd="0" destOrd="0" presId="urn:microsoft.com/office/officeart/2005/8/layout/hierarchy3"/>
    <dgm:cxn modelId="{DFC631E5-69A3-A345-AE43-B6FD5A0C29EB}" type="presParOf" srcId="{26077CF6-E03C-9144-B2F4-027F3C673C5D}" destId="{43D19A2E-2064-DF40-B0AA-84A316ED44A5}" srcOrd="0" destOrd="0" presId="urn:microsoft.com/office/officeart/2005/8/layout/hierarchy3"/>
    <dgm:cxn modelId="{864725D5-494D-7E48-8D96-967EDF1ED7F5}" type="presParOf" srcId="{43D19A2E-2064-DF40-B0AA-84A316ED44A5}" destId="{CA774D3C-4EA9-E94F-92F4-E14530585545}" srcOrd="0" destOrd="0" presId="urn:microsoft.com/office/officeart/2005/8/layout/hierarchy3"/>
    <dgm:cxn modelId="{F2EBC044-9E6F-AB4C-8006-ADE8B241F098}" type="presParOf" srcId="{43D19A2E-2064-DF40-B0AA-84A316ED44A5}" destId="{0DC007AD-A073-C041-BBD1-82098388CF43}" srcOrd="1" destOrd="0" presId="urn:microsoft.com/office/officeart/2005/8/layout/hierarchy3"/>
    <dgm:cxn modelId="{7E17CA08-2811-0A44-9B42-C87D5584D53F}" type="presParOf" srcId="{26077CF6-E03C-9144-B2F4-027F3C673C5D}" destId="{613FC535-6200-BE45-B883-3B86FF1B210F}" srcOrd="1" destOrd="0" presId="urn:microsoft.com/office/officeart/2005/8/layout/hierarchy3"/>
    <dgm:cxn modelId="{427CF182-C883-7C44-A4FE-79BF26FDE3F5}" type="presParOf" srcId="{613FC535-6200-BE45-B883-3B86FF1B210F}" destId="{635487DA-FB92-4842-8495-8F0C6E9C9098}" srcOrd="0" destOrd="0" presId="urn:microsoft.com/office/officeart/2005/8/layout/hierarchy3"/>
    <dgm:cxn modelId="{DCAAEA2E-3A8F-074B-BB1A-3A240394523F}" type="presParOf" srcId="{613FC535-6200-BE45-B883-3B86FF1B210F}" destId="{2A1C1426-12FC-AD48-BA1F-C544A19D959E}" srcOrd="1" destOrd="0" presId="urn:microsoft.com/office/officeart/2005/8/layout/hierarchy3"/>
    <dgm:cxn modelId="{FD56C99B-6870-3A48-B33E-2DA6B698B947}" type="presParOf" srcId="{613FC535-6200-BE45-B883-3B86FF1B210F}" destId="{EC521ED0-9F18-344B-B2F2-8CF1D22087BC}" srcOrd="2" destOrd="0" presId="urn:microsoft.com/office/officeart/2005/8/layout/hierarchy3"/>
    <dgm:cxn modelId="{C17A2B99-A72B-3147-95AC-BA174A4C8938}" type="presParOf" srcId="{613FC535-6200-BE45-B883-3B86FF1B210F}" destId="{696313BA-C3E3-B74A-A0BA-A0603DBA6F9A}" srcOrd="3" destOrd="0" presId="urn:microsoft.com/office/officeart/2005/8/layout/hierarchy3"/>
    <dgm:cxn modelId="{74317DFB-CC0E-7946-B193-0EFCEF187C2A}" type="presParOf" srcId="{613FC535-6200-BE45-B883-3B86FF1B210F}" destId="{1D752A7C-358B-4D4E-937D-0D2971073366}" srcOrd="4" destOrd="0" presId="urn:microsoft.com/office/officeart/2005/8/layout/hierarchy3"/>
    <dgm:cxn modelId="{EE593F85-D69E-F545-BF2F-67CEBA56855A}" type="presParOf" srcId="{613FC535-6200-BE45-B883-3B86FF1B210F}" destId="{23DECEFD-7D73-EA43-9271-FE28B0116323}" srcOrd="5" destOrd="0" presId="urn:microsoft.com/office/officeart/2005/8/layout/hierarchy3"/>
    <dgm:cxn modelId="{513B8EAF-3CE5-D047-8345-1D2BF5C22776}" type="presParOf" srcId="{613FC535-6200-BE45-B883-3B86FF1B210F}" destId="{C2C365DD-8CE8-DD45-B350-FA5AD63988C9}" srcOrd="6" destOrd="0" presId="urn:microsoft.com/office/officeart/2005/8/layout/hierarchy3"/>
    <dgm:cxn modelId="{0031F05B-4C29-2D43-B2D3-D8671A41DDF3}" type="presParOf" srcId="{613FC535-6200-BE45-B883-3B86FF1B210F}" destId="{31E246DC-5616-BC42-9425-D897B6A6F8C6}" srcOrd="7" destOrd="0" presId="urn:microsoft.com/office/officeart/2005/8/layout/hierarchy3"/>
    <dgm:cxn modelId="{2135E54D-DB6F-B64A-8D67-FA1A54743E73}" type="presParOf" srcId="{613FC535-6200-BE45-B883-3B86FF1B210F}" destId="{6734A2DF-6F1F-9242-9E26-6E32450DF1B3}" srcOrd="8" destOrd="0" presId="urn:microsoft.com/office/officeart/2005/8/layout/hierarchy3"/>
    <dgm:cxn modelId="{A41673C1-6D5D-164B-8AFA-DAF9E4D569D2}" type="presParOf" srcId="{613FC535-6200-BE45-B883-3B86FF1B210F}" destId="{FC50197A-1638-9845-8BC4-23C617793EDB}" srcOrd="9" destOrd="0" presId="urn:microsoft.com/office/officeart/2005/8/layout/hierarchy3"/>
    <dgm:cxn modelId="{B57346AE-F0E5-F846-B295-2C220B9B3B12}" type="presParOf" srcId="{613FC535-6200-BE45-B883-3B86FF1B210F}" destId="{B95AEBC3-A33B-2F43-9D36-066DFFB4B7C9}" srcOrd="10" destOrd="0" presId="urn:microsoft.com/office/officeart/2005/8/layout/hierarchy3"/>
    <dgm:cxn modelId="{3B0DEF8F-5EBF-4C49-A881-53C0F8DAA75B}" type="presParOf" srcId="{613FC535-6200-BE45-B883-3B86FF1B210F}" destId="{088B5D66-8CFF-3148-ABFE-FD9FC6C5C0D0}" srcOrd="11" destOrd="0" presId="urn:microsoft.com/office/officeart/2005/8/layout/hierarchy3"/>
    <dgm:cxn modelId="{D13821AC-E3D2-F744-945B-4E85AECA53D2}" type="presParOf" srcId="{CAED8F04-56ED-2F45-AAE9-8B8549787BBF}" destId="{DB8C9486-E8EE-4B47-B348-65DE0DF45408}" srcOrd="1" destOrd="0" presId="urn:microsoft.com/office/officeart/2005/8/layout/hierarchy3"/>
    <dgm:cxn modelId="{1057A463-2323-FA4B-B8EE-9D118267DB2E}" type="presParOf" srcId="{DB8C9486-E8EE-4B47-B348-65DE0DF45408}" destId="{7C28CB20-C366-344C-9FB5-4697FC308D7D}" srcOrd="0" destOrd="0" presId="urn:microsoft.com/office/officeart/2005/8/layout/hierarchy3"/>
    <dgm:cxn modelId="{206B93E4-0D77-2C40-85FD-69BFB195A0F5}" type="presParOf" srcId="{7C28CB20-C366-344C-9FB5-4697FC308D7D}" destId="{91AD2600-5A11-8F4D-A163-93F4E6B406A2}" srcOrd="0" destOrd="0" presId="urn:microsoft.com/office/officeart/2005/8/layout/hierarchy3"/>
    <dgm:cxn modelId="{B857ED05-A6FE-7D4B-80CC-AAFEBFF733BA}" type="presParOf" srcId="{7C28CB20-C366-344C-9FB5-4697FC308D7D}" destId="{4F60263D-8F30-FB49-B6CF-A8EFC5EE5EAC}" srcOrd="1" destOrd="0" presId="urn:microsoft.com/office/officeart/2005/8/layout/hierarchy3"/>
    <dgm:cxn modelId="{2C15933B-9A34-B64D-90BA-67A91D252E04}" type="presParOf" srcId="{DB8C9486-E8EE-4B47-B348-65DE0DF45408}" destId="{7435249E-F410-8741-95BE-56C77CA0AE38}" srcOrd="1" destOrd="0" presId="urn:microsoft.com/office/officeart/2005/8/layout/hierarchy3"/>
    <dgm:cxn modelId="{EB11760E-BF29-CA4A-A057-02CED991C4EA}" type="presParOf" srcId="{7435249E-F410-8741-95BE-56C77CA0AE38}" destId="{012CEEC1-2A85-244C-9D3A-64CAB67ED931}" srcOrd="0" destOrd="0" presId="urn:microsoft.com/office/officeart/2005/8/layout/hierarchy3"/>
    <dgm:cxn modelId="{41DC458E-B386-1A4F-B419-72EC0F42F3A1}" type="presParOf" srcId="{7435249E-F410-8741-95BE-56C77CA0AE38}" destId="{A4DDC6B2-C621-DA48-B2F1-B0D5E5072453}" srcOrd="1" destOrd="0" presId="urn:microsoft.com/office/officeart/2005/8/layout/hierarchy3"/>
    <dgm:cxn modelId="{3F711145-E9F2-824E-ADE2-B30C82C2A452}" type="presParOf" srcId="{7435249E-F410-8741-95BE-56C77CA0AE38}" destId="{000FF805-4569-454C-AA94-06CA4534D439}" srcOrd="2" destOrd="0" presId="urn:microsoft.com/office/officeart/2005/8/layout/hierarchy3"/>
    <dgm:cxn modelId="{9E2EB152-1F8F-264C-BF62-BDAF45B5B46E}" type="presParOf" srcId="{7435249E-F410-8741-95BE-56C77CA0AE38}" destId="{F561EC9D-80A6-DE44-AEDA-627861F38C1B}" srcOrd="3" destOrd="0" presId="urn:microsoft.com/office/officeart/2005/8/layout/hierarchy3"/>
    <dgm:cxn modelId="{C6E2306F-3AAF-E14A-B3C7-2CBA7046BE70}" type="presParOf" srcId="{7435249E-F410-8741-95BE-56C77CA0AE38}" destId="{B5FADA3C-F8D6-9F42-BD31-1C4CC681007A}" srcOrd="4" destOrd="0" presId="urn:microsoft.com/office/officeart/2005/8/layout/hierarchy3"/>
    <dgm:cxn modelId="{13BEFE02-3C7F-8642-B6F5-579927A9589E}" type="presParOf" srcId="{7435249E-F410-8741-95BE-56C77CA0AE38}" destId="{0E619018-7EB6-9242-A6F3-E8367BE65883}" srcOrd="5" destOrd="0" presId="urn:microsoft.com/office/officeart/2005/8/layout/hierarchy3"/>
    <dgm:cxn modelId="{886C52C3-B638-8647-ABBF-078DEF4A8240}" type="presParOf" srcId="{7435249E-F410-8741-95BE-56C77CA0AE38}" destId="{9DC9CC0E-F2D4-4649-BE98-3DF63032C14D}" srcOrd="6" destOrd="0" presId="urn:microsoft.com/office/officeart/2005/8/layout/hierarchy3"/>
    <dgm:cxn modelId="{36367178-B69E-2B41-AF53-E063E49E5FB7}" type="presParOf" srcId="{7435249E-F410-8741-95BE-56C77CA0AE38}" destId="{8E761B63-C8D5-6842-901E-9902C7902F59}" srcOrd="7" destOrd="0" presId="urn:microsoft.com/office/officeart/2005/8/layout/hierarchy3"/>
    <dgm:cxn modelId="{B3DA660A-A099-FC4E-942B-C736202D2387}" type="presParOf" srcId="{7435249E-F410-8741-95BE-56C77CA0AE38}" destId="{52BE7027-68BB-444C-B208-8D2F9D0770B0}" srcOrd="8" destOrd="0" presId="urn:microsoft.com/office/officeart/2005/8/layout/hierarchy3"/>
    <dgm:cxn modelId="{C6BB311D-BBFB-E246-B2B1-EB94B94B4DFB}" type="presParOf" srcId="{7435249E-F410-8741-95BE-56C77CA0AE38}" destId="{F7EAB8A4-6307-7A4A-8A92-C38C67D10891}" srcOrd="9" destOrd="0" presId="urn:microsoft.com/office/officeart/2005/8/layout/hierarchy3"/>
    <dgm:cxn modelId="{0966CD7E-8F7D-C24A-9E65-0CB2CD98AF8A}" type="presParOf" srcId="{CAED8F04-56ED-2F45-AAE9-8B8549787BBF}" destId="{36FAF314-354A-5845-92DF-33F8EED565BB}" srcOrd="2" destOrd="0" presId="urn:microsoft.com/office/officeart/2005/8/layout/hierarchy3"/>
    <dgm:cxn modelId="{D0F788E5-010A-F74A-8674-18ECAE894069}" type="presParOf" srcId="{36FAF314-354A-5845-92DF-33F8EED565BB}" destId="{96D05180-C23F-704D-9B49-6DB80D8B5CAE}" srcOrd="0" destOrd="0" presId="urn:microsoft.com/office/officeart/2005/8/layout/hierarchy3"/>
    <dgm:cxn modelId="{871C7290-FDE3-6544-8BA1-B9E3D3F8184A}" type="presParOf" srcId="{96D05180-C23F-704D-9B49-6DB80D8B5CAE}" destId="{65E902A4-7343-5B44-AFCE-CEC78794F86E}" srcOrd="0" destOrd="0" presId="urn:microsoft.com/office/officeart/2005/8/layout/hierarchy3"/>
    <dgm:cxn modelId="{BC889D24-7EDF-264F-9252-F0BC34EF48BD}" type="presParOf" srcId="{96D05180-C23F-704D-9B49-6DB80D8B5CAE}" destId="{E373CF54-7BA2-9543-A91F-B57BB86C634A}" srcOrd="1" destOrd="0" presId="urn:microsoft.com/office/officeart/2005/8/layout/hierarchy3"/>
    <dgm:cxn modelId="{323F2E44-F8D1-2047-A325-D5F161FE8DDC}" type="presParOf" srcId="{36FAF314-354A-5845-92DF-33F8EED565BB}" destId="{391E8734-18C9-C54A-B330-DB78554EC5CA}" srcOrd="1" destOrd="0" presId="urn:microsoft.com/office/officeart/2005/8/layout/hierarchy3"/>
    <dgm:cxn modelId="{2EC5C04A-F2C1-B04A-931B-9E2982F8A619}" type="presParOf" srcId="{391E8734-18C9-C54A-B330-DB78554EC5CA}" destId="{CE638F6D-73DA-F94F-A988-3E841AB5260E}" srcOrd="0" destOrd="0" presId="urn:microsoft.com/office/officeart/2005/8/layout/hierarchy3"/>
    <dgm:cxn modelId="{5367FD66-BBCB-A644-9A09-217FCEFC79E7}" type="presParOf" srcId="{391E8734-18C9-C54A-B330-DB78554EC5CA}" destId="{383C592C-A5C3-A647-833E-657B407FBB15}" srcOrd="1" destOrd="0" presId="urn:microsoft.com/office/officeart/2005/8/layout/hierarchy3"/>
    <dgm:cxn modelId="{F411B8EA-0738-7E43-B1B9-77247D594213}" type="presParOf" srcId="{391E8734-18C9-C54A-B330-DB78554EC5CA}" destId="{3A2EA3AA-AF58-F84A-9746-0BB3690CD87B}" srcOrd="2" destOrd="0" presId="urn:microsoft.com/office/officeart/2005/8/layout/hierarchy3"/>
    <dgm:cxn modelId="{E4BC399E-758B-8D48-8A88-07CAFFE54079}" type="presParOf" srcId="{391E8734-18C9-C54A-B330-DB78554EC5CA}" destId="{3A9D37B3-3C9D-7346-BB0B-1749792C0FB1}" srcOrd="3" destOrd="0" presId="urn:microsoft.com/office/officeart/2005/8/layout/hierarchy3"/>
    <dgm:cxn modelId="{78F6682D-CB85-E94E-8A00-559D37327608}" type="presParOf" srcId="{391E8734-18C9-C54A-B330-DB78554EC5CA}" destId="{AB84F694-8F51-4B43-B36C-09B54887494C}" srcOrd="4" destOrd="0" presId="urn:microsoft.com/office/officeart/2005/8/layout/hierarchy3"/>
    <dgm:cxn modelId="{D116CBA7-A6D3-2E4E-8245-11C41A1CBFA3}" type="presParOf" srcId="{391E8734-18C9-C54A-B330-DB78554EC5CA}" destId="{B3E2EE3E-971E-1C4C-B8F9-0B7BE21BB2FD}" srcOrd="5" destOrd="0" presId="urn:microsoft.com/office/officeart/2005/8/layout/hierarchy3"/>
    <dgm:cxn modelId="{6F9E48CA-60A5-1F43-AA19-DAC950546A59}" type="presParOf" srcId="{391E8734-18C9-C54A-B330-DB78554EC5CA}" destId="{D76D3497-B3DA-0047-AF98-149625D8A890}" srcOrd="6" destOrd="0" presId="urn:microsoft.com/office/officeart/2005/8/layout/hierarchy3"/>
    <dgm:cxn modelId="{64CE0C96-7A4C-D84C-81DD-148DAE221143}" type="presParOf" srcId="{391E8734-18C9-C54A-B330-DB78554EC5CA}" destId="{DBC33B76-BBC6-5249-B11F-7E525E902733}" srcOrd="7" destOrd="0" presId="urn:microsoft.com/office/officeart/2005/8/layout/hierarchy3"/>
    <dgm:cxn modelId="{50AB4DF5-EB29-EC4D-8DF0-9E9D0FB4CA8D}" type="presParOf" srcId="{391E8734-18C9-C54A-B330-DB78554EC5CA}" destId="{B7AEE4CB-7E92-4646-85ED-45C5365A3400}" srcOrd="8" destOrd="0" presId="urn:microsoft.com/office/officeart/2005/8/layout/hierarchy3"/>
    <dgm:cxn modelId="{FD4AF761-28F5-4342-A3F9-4BC6DEFD8223}" type="presParOf" srcId="{391E8734-18C9-C54A-B330-DB78554EC5CA}" destId="{59668D3D-6729-3A44-977B-77617CD6BF47}" srcOrd="9" destOrd="0" presId="urn:microsoft.com/office/officeart/2005/8/layout/hierarchy3"/>
    <dgm:cxn modelId="{A48EBF48-EE48-AE4B-82EE-24A8C03F1712}" type="presParOf" srcId="{391E8734-18C9-C54A-B330-DB78554EC5CA}" destId="{8ED45E2F-5F4B-664B-A67E-285B524C5416}" srcOrd="10" destOrd="0" presId="urn:microsoft.com/office/officeart/2005/8/layout/hierarchy3"/>
    <dgm:cxn modelId="{BB1821B0-F889-A34A-9405-8D6B49932ECC}" type="presParOf" srcId="{391E8734-18C9-C54A-B330-DB78554EC5CA}" destId="{B472362A-8753-3847-AD08-F361B4325E0C}" srcOrd="11" destOrd="0" presId="urn:microsoft.com/office/officeart/2005/8/layout/hierarchy3"/>
    <dgm:cxn modelId="{109419EA-8E01-FB42-BD45-F49CEF671E78}" type="presParOf" srcId="{391E8734-18C9-C54A-B330-DB78554EC5CA}" destId="{E32C9853-8ADE-3B48-B8BC-6799F45F4D50}" srcOrd="12" destOrd="0" presId="urn:microsoft.com/office/officeart/2005/8/layout/hierarchy3"/>
    <dgm:cxn modelId="{4BA8DFE8-8354-C04F-8381-628037B51BD0}" type="presParOf" srcId="{391E8734-18C9-C54A-B330-DB78554EC5CA}" destId="{04B49008-1FCD-AA4C-9302-3C0DCB1F8019}" srcOrd="13" destOrd="0" presId="urn:microsoft.com/office/officeart/2005/8/layout/hierarchy3"/>
    <dgm:cxn modelId="{E8720936-CB43-7942-8D28-0C2FB7661CDA}" type="presParOf" srcId="{CAED8F04-56ED-2F45-AAE9-8B8549787BBF}" destId="{5069701C-DE86-754C-8462-16A2C35C5AE4}" srcOrd="3" destOrd="0" presId="urn:microsoft.com/office/officeart/2005/8/layout/hierarchy3"/>
    <dgm:cxn modelId="{7E3AF59D-C293-E744-A112-5A104E26242B}" type="presParOf" srcId="{5069701C-DE86-754C-8462-16A2C35C5AE4}" destId="{D74249F0-0494-504C-8811-A0D328F3703A}" srcOrd="0" destOrd="0" presId="urn:microsoft.com/office/officeart/2005/8/layout/hierarchy3"/>
    <dgm:cxn modelId="{E108D5A3-2A5C-894C-B05C-A31639766F47}" type="presParOf" srcId="{D74249F0-0494-504C-8811-A0D328F3703A}" destId="{18ED9346-AF0F-4F46-8288-6F469E4BDC34}" srcOrd="0" destOrd="0" presId="urn:microsoft.com/office/officeart/2005/8/layout/hierarchy3"/>
    <dgm:cxn modelId="{ECE17B77-FF0B-2541-AF55-AF1FCE90DBCA}" type="presParOf" srcId="{D74249F0-0494-504C-8811-A0D328F3703A}" destId="{1C8AEC31-67E0-2846-9619-DE0BD1705810}" srcOrd="1" destOrd="0" presId="urn:microsoft.com/office/officeart/2005/8/layout/hierarchy3"/>
    <dgm:cxn modelId="{FC956F83-BE9C-E642-A7A5-E6F328C47F9D}" type="presParOf" srcId="{5069701C-DE86-754C-8462-16A2C35C5AE4}" destId="{2D750155-2469-9B4E-B835-7DC288DD6D6C}" srcOrd="1" destOrd="0" presId="urn:microsoft.com/office/officeart/2005/8/layout/hierarchy3"/>
    <dgm:cxn modelId="{F3C4D433-366B-0441-9B35-458926632386}" type="presParOf" srcId="{2D750155-2469-9B4E-B835-7DC288DD6D6C}" destId="{161D2725-E288-724E-B67A-F62561E48C17}" srcOrd="0" destOrd="0" presId="urn:microsoft.com/office/officeart/2005/8/layout/hierarchy3"/>
    <dgm:cxn modelId="{A47429F6-FDFF-414F-91BC-54E14E1F68B1}" type="presParOf" srcId="{2D750155-2469-9B4E-B835-7DC288DD6D6C}" destId="{FF993F6B-0075-3E4A-A53F-D3FB7C1AEF80}" srcOrd="1" destOrd="0" presId="urn:microsoft.com/office/officeart/2005/8/layout/hierarchy3"/>
    <dgm:cxn modelId="{5704FFDB-67CF-3940-85F5-B74DC277DEEB}" type="presParOf" srcId="{2D750155-2469-9B4E-B835-7DC288DD6D6C}" destId="{28974723-529D-C64A-A865-77687A6B9651}" srcOrd="2" destOrd="0" presId="urn:microsoft.com/office/officeart/2005/8/layout/hierarchy3"/>
    <dgm:cxn modelId="{63F083A6-5AF3-6F4A-9342-B784F0F7B279}" type="presParOf" srcId="{2D750155-2469-9B4E-B835-7DC288DD6D6C}" destId="{D532BA73-62C2-444C-A812-E720B36A9E7B}" srcOrd="3" destOrd="0" presId="urn:microsoft.com/office/officeart/2005/8/layout/hierarchy3"/>
    <dgm:cxn modelId="{43B838C6-E3C1-A947-8C33-346B47299534}" type="presParOf" srcId="{2D750155-2469-9B4E-B835-7DC288DD6D6C}" destId="{6A92D1DF-F9CE-F44C-8A56-BFCF9C856303}" srcOrd="4" destOrd="0" presId="urn:microsoft.com/office/officeart/2005/8/layout/hierarchy3"/>
    <dgm:cxn modelId="{0CB01B0D-1126-D148-AC8F-8DF9161DEB88}" type="presParOf" srcId="{2D750155-2469-9B4E-B835-7DC288DD6D6C}" destId="{FE72ABCF-AB8C-9E44-8998-6130A220B159}" srcOrd="5" destOrd="0" presId="urn:microsoft.com/office/officeart/2005/8/layout/hierarchy3"/>
    <dgm:cxn modelId="{797ACBED-9FDF-4C4C-8F5D-6125A3E2075E}" type="presParOf" srcId="{2D750155-2469-9B4E-B835-7DC288DD6D6C}" destId="{E311FF41-5354-B54E-991B-4C941899D952}" srcOrd="6" destOrd="0" presId="urn:microsoft.com/office/officeart/2005/8/layout/hierarchy3"/>
    <dgm:cxn modelId="{499035D7-C68D-AC42-B401-7916B99167D6}" type="presParOf" srcId="{2D750155-2469-9B4E-B835-7DC288DD6D6C}" destId="{36127309-41AA-4746-B702-DC84224C55D5}" srcOrd="7"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74D3C-4EA9-E94F-92F4-E14530585545}">
      <dsp:nvSpPr>
        <dsp:cNvPr id="0" name=""/>
        <dsp:cNvSpPr/>
      </dsp:nvSpPr>
      <dsp:spPr>
        <a:xfrm>
          <a:off x="57334" y="953"/>
          <a:ext cx="920704" cy="3398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b="1" kern="1200"/>
            <a:t>Pillar 1 – Transparency, accountability and anti-corruption </a:t>
          </a:r>
          <a:endParaRPr lang="en-US" sz="600" kern="1200"/>
        </a:p>
      </dsp:txBody>
      <dsp:txXfrm>
        <a:off x="67288" y="10907"/>
        <a:ext cx="900796" cy="319930"/>
      </dsp:txXfrm>
    </dsp:sp>
    <dsp:sp modelId="{635487DA-FB92-4842-8495-8F0C6E9C9098}">
      <dsp:nvSpPr>
        <dsp:cNvPr id="0" name=""/>
        <dsp:cNvSpPr/>
      </dsp:nvSpPr>
      <dsp:spPr>
        <a:xfrm>
          <a:off x="149404" y="340792"/>
          <a:ext cx="92070" cy="254879"/>
        </a:xfrm>
        <a:custGeom>
          <a:avLst/>
          <a:gdLst/>
          <a:ahLst/>
          <a:cxnLst/>
          <a:rect l="0" t="0" r="0" b="0"/>
          <a:pathLst>
            <a:path>
              <a:moveTo>
                <a:pt x="0" y="0"/>
              </a:moveTo>
              <a:lnTo>
                <a:pt x="0" y="254879"/>
              </a:lnTo>
              <a:lnTo>
                <a:pt x="92070" y="2548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1C1426-12FC-AD48-BA1F-C544A19D959E}">
      <dsp:nvSpPr>
        <dsp:cNvPr id="0" name=""/>
        <dsp:cNvSpPr/>
      </dsp:nvSpPr>
      <dsp:spPr>
        <a:xfrm>
          <a:off x="241475" y="425752"/>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Court reform coordination</a:t>
          </a:r>
          <a:endParaRPr lang="en-US" sz="600" kern="1200"/>
        </a:p>
      </dsp:txBody>
      <dsp:txXfrm>
        <a:off x="251429" y="435706"/>
        <a:ext cx="701256" cy="319930"/>
      </dsp:txXfrm>
    </dsp:sp>
    <dsp:sp modelId="{EC521ED0-9F18-344B-B2F2-8CF1D22087BC}">
      <dsp:nvSpPr>
        <dsp:cNvPr id="0" name=""/>
        <dsp:cNvSpPr/>
      </dsp:nvSpPr>
      <dsp:spPr>
        <a:xfrm>
          <a:off x="149404" y="340792"/>
          <a:ext cx="92070" cy="679677"/>
        </a:xfrm>
        <a:custGeom>
          <a:avLst/>
          <a:gdLst/>
          <a:ahLst/>
          <a:cxnLst/>
          <a:rect l="0" t="0" r="0" b="0"/>
          <a:pathLst>
            <a:path>
              <a:moveTo>
                <a:pt x="0" y="0"/>
              </a:moveTo>
              <a:lnTo>
                <a:pt x="0" y="679677"/>
              </a:lnTo>
              <a:lnTo>
                <a:pt x="92070" y="6796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6313BA-C3E3-B74A-A0BA-A0603DBA6F9A}">
      <dsp:nvSpPr>
        <dsp:cNvPr id="0" name=""/>
        <dsp:cNvSpPr/>
      </dsp:nvSpPr>
      <dsp:spPr>
        <a:xfrm>
          <a:off x="241475" y="850550"/>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Disability inclusion and human rights advocacy</a:t>
          </a:r>
          <a:endParaRPr lang="en-US" sz="600" kern="1200"/>
        </a:p>
      </dsp:txBody>
      <dsp:txXfrm>
        <a:off x="251429" y="860504"/>
        <a:ext cx="701256" cy="319930"/>
      </dsp:txXfrm>
    </dsp:sp>
    <dsp:sp modelId="{1D752A7C-358B-4D4E-937D-0D2971073366}">
      <dsp:nvSpPr>
        <dsp:cNvPr id="0" name=""/>
        <dsp:cNvSpPr/>
      </dsp:nvSpPr>
      <dsp:spPr>
        <a:xfrm>
          <a:off x="149404" y="340792"/>
          <a:ext cx="92070" cy="1104475"/>
        </a:xfrm>
        <a:custGeom>
          <a:avLst/>
          <a:gdLst/>
          <a:ahLst/>
          <a:cxnLst/>
          <a:rect l="0" t="0" r="0" b="0"/>
          <a:pathLst>
            <a:path>
              <a:moveTo>
                <a:pt x="0" y="0"/>
              </a:moveTo>
              <a:lnTo>
                <a:pt x="0" y="1104475"/>
              </a:lnTo>
              <a:lnTo>
                <a:pt x="92070" y="11044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DECEFD-7D73-EA43-9271-FE28B0116323}">
      <dsp:nvSpPr>
        <dsp:cNvPr id="0" name=""/>
        <dsp:cNvSpPr/>
      </dsp:nvSpPr>
      <dsp:spPr>
        <a:xfrm>
          <a:off x="241475" y="1275348"/>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Justice for women and girls</a:t>
          </a:r>
          <a:endParaRPr lang="en-US" sz="600" kern="1200"/>
        </a:p>
      </dsp:txBody>
      <dsp:txXfrm>
        <a:off x="251429" y="1285302"/>
        <a:ext cx="701256" cy="319930"/>
      </dsp:txXfrm>
    </dsp:sp>
    <dsp:sp modelId="{C2C365DD-8CE8-DD45-B350-FA5AD63988C9}">
      <dsp:nvSpPr>
        <dsp:cNvPr id="0" name=""/>
        <dsp:cNvSpPr/>
      </dsp:nvSpPr>
      <dsp:spPr>
        <a:xfrm>
          <a:off x="149404" y="340792"/>
          <a:ext cx="92070" cy="1529274"/>
        </a:xfrm>
        <a:custGeom>
          <a:avLst/>
          <a:gdLst/>
          <a:ahLst/>
          <a:cxnLst/>
          <a:rect l="0" t="0" r="0" b="0"/>
          <a:pathLst>
            <a:path>
              <a:moveTo>
                <a:pt x="0" y="0"/>
              </a:moveTo>
              <a:lnTo>
                <a:pt x="0" y="1529274"/>
              </a:lnTo>
              <a:lnTo>
                <a:pt x="92070" y="1529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E246DC-5616-BC42-9425-D897B6A6F8C6}">
      <dsp:nvSpPr>
        <dsp:cNvPr id="0" name=""/>
        <dsp:cNvSpPr/>
      </dsp:nvSpPr>
      <dsp:spPr>
        <a:xfrm>
          <a:off x="241475" y="1700147"/>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E-Courts </a:t>
          </a:r>
          <a:endParaRPr lang="en-US" sz="600" kern="1200"/>
        </a:p>
      </dsp:txBody>
      <dsp:txXfrm>
        <a:off x="251429" y="1710101"/>
        <a:ext cx="701256" cy="319930"/>
      </dsp:txXfrm>
    </dsp:sp>
    <dsp:sp modelId="{6734A2DF-6F1F-9242-9E26-6E32450DF1B3}">
      <dsp:nvSpPr>
        <dsp:cNvPr id="0" name=""/>
        <dsp:cNvSpPr/>
      </dsp:nvSpPr>
      <dsp:spPr>
        <a:xfrm>
          <a:off x="149404" y="340792"/>
          <a:ext cx="92070" cy="1954072"/>
        </a:xfrm>
        <a:custGeom>
          <a:avLst/>
          <a:gdLst/>
          <a:ahLst/>
          <a:cxnLst/>
          <a:rect l="0" t="0" r="0" b="0"/>
          <a:pathLst>
            <a:path>
              <a:moveTo>
                <a:pt x="0" y="0"/>
              </a:moveTo>
              <a:lnTo>
                <a:pt x="0" y="1954072"/>
              </a:lnTo>
              <a:lnTo>
                <a:pt x="92070" y="1954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0197A-1638-9845-8BC4-23C617793EDB}">
      <dsp:nvSpPr>
        <dsp:cNvPr id="0" name=""/>
        <dsp:cNvSpPr/>
      </dsp:nvSpPr>
      <dsp:spPr>
        <a:xfrm>
          <a:off x="241475" y="2124945"/>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Commercial dispute resolution</a:t>
          </a:r>
          <a:endParaRPr lang="en-US" sz="600" kern="1200"/>
        </a:p>
      </dsp:txBody>
      <dsp:txXfrm>
        <a:off x="251429" y="2134899"/>
        <a:ext cx="701256" cy="319930"/>
      </dsp:txXfrm>
    </dsp:sp>
    <dsp:sp modelId="{B95AEBC3-A33B-2F43-9D36-066DFFB4B7C9}">
      <dsp:nvSpPr>
        <dsp:cNvPr id="0" name=""/>
        <dsp:cNvSpPr/>
      </dsp:nvSpPr>
      <dsp:spPr>
        <a:xfrm>
          <a:off x="149404" y="340792"/>
          <a:ext cx="92070" cy="2378870"/>
        </a:xfrm>
        <a:custGeom>
          <a:avLst/>
          <a:gdLst/>
          <a:ahLst/>
          <a:cxnLst/>
          <a:rect l="0" t="0" r="0" b="0"/>
          <a:pathLst>
            <a:path>
              <a:moveTo>
                <a:pt x="0" y="0"/>
              </a:moveTo>
              <a:lnTo>
                <a:pt x="0" y="2378870"/>
              </a:lnTo>
              <a:lnTo>
                <a:pt x="92070" y="23788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8B5D66-8CFF-3148-ABFE-FD9FC6C5C0D0}">
      <dsp:nvSpPr>
        <dsp:cNvPr id="0" name=""/>
        <dsp:cNvSpPr/>
      </dsp:nvSpPr>
      <dsp:spPr>
        <a:xfrm>
          <a:off x="241475" y="2549744"/>
          <a:ext cx="7211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Corruption prevention</a:t>
          </a:r>
          <a:endParaRPr lang="en-US" sz="600" kern="1200"/>
        </a:p>
      </dsp:txBody>
      <dsp:txXfrm>
        <a:off x="251429" y="2559698"/>
        <a:ext cx="701256" cy="319930"/>
      </dsp:txXfrm>
    </dsp:sp>
    <dsp:sp modelId="{91AD2600-5A11-8F4D-A163-93F4E6B406A2}">
      <dsp:nvSpPr>
        <dsp:cNvPr id="0" name=""/>
        <dsp:cNvSpPr/>
      </dsp:nvSpPr>
      <dsp:spPr>
        <a:xfrm>
          <a:off x="1147958" y="953"/>
          <a:ext cx="928636" cy="3398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GB" sz="700" b="1" kern="1200"/>
            <a:t>Pillar 2 – Transnational crime and security strengthening</a:t>
          </a:r>
          <a:endParaRPr lang="en-US" sz="700" b="1" kern="1200"/>
        </a:p>
      </dsp:txBody>
      <dsp:txXfrm>
        <a:off x="1157912" y="10907"/>
        <a:ext cx="908728" cy="319930"/>
      </dsp:txXfrm>
    </dsp:sp>
    <dsp:sp modelId="{012CEEC1-2A85-244C-9D3A-64CAB67ED931}">
      <dsp:nvSpPr>
        <dsp:cNvPr id="0" name=""/>
        <dsp:cNvSpPr/>
      </dsp:nvSpPr>
      <dsp:spPr>
        <a:xfrm>
          <a:off x="1240821" y="340792"/>
          <a:ext cx="92863" cy="254879"/>
        </a:xfrm>
        <a:custGeom>
          <a:avLst/>
          <a:gdLst/>
          <a:ahLst/>
          <a:cxnLst/>
          <a:rect l="0" t="0" r="0" b="0"/>
          <a:pathLst>
            <a:path>
              <a:moveTo>
                <a:pt x="0" y="0"/>
              </a:moveTo>
              <a:lnTo>
                <a:pt x="0" y="254879"/>
              </a:lnTo>
              <a:lnTo>
                <a:pt x="92863" y="2548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DC6B2-C621-DA48-B2F1-B0D5E5072453}">
      <dsp:nvSpPr>
        <dsp:cNvPr id="0" name=""/>
        <dsp:cNvSpPr/>
      </dsp:nvSpPr>
      <dsp:spPr>
        <a:xfrm>
          <a:off x="1333685" y="425752"/>
          <a:ext cx="729092"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Border security</a:t>
          </a:r>
        </a:p>
      </dsp:txBody>
      <dsp:txXfrm>
        <a:off x="1343639" y="435706"/>
        <a:ext cx="709184" cy="319930"/>
      </dsp:txXfrm>
    </dsp:sp>
    <dsp:sp modelId="{000FF805-4569-454C-AA94-06CA4534D439}">
      <dsp:nvSpPr>
        <dsp:cNvPr id="0" name=""/>
        <dsp:cNvSpPr/>
      </dsp:nvSpPr>
      <dsp:spPr>
        <a:xfrm>
          <a:off x="1240821" y="340792"/>
          <a:ext cx="92863" cy="679677"/>
        </a:xfrm>
        <a:custGeom>
          <a:avLst/>
          <a:gdLst/>
          <a:ahLst/>
          <a:cxnLst/>
          <a:rect l="0" t="0" r="0" b="0"/>
          <a:pathLst>
            <a:path>
              <a:moveTo>
                <a:pt x="0" y="0"/>
              </a:moveTo>
              <a:lnTo>
                <a:pt x="0" y="679677"/>
              </a:lnTo>
              <a:lnTo>
                <a:pt x="92863" y="6796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61EC9D-80A6-DE44-AEDA-627861F38C1B}">
      <dsp:nvSpPr>
        <dsp:cNvPr id="0" name=""/>
        <dsp:cNvSpPr/>
      </dsp:nvSpPr>
      <dsp:spPr>
        <a:xfrm>
          <a:off x="1333685" y="850550"/>
          <a:ext cx="729092"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Investigating illegal financial transactions</a:t>
          </a:r>
          <a:endParaRPr lang="en-US" sz="600" kern="1200"/>
        </a:p>
      </dsp:txBody>
      <dsp:txXfrm>
        <a:off x="1343639" y="860504"/>
        <a:ext cx="709184" cy="319930"/>
      </dsp:txXfrm>
    </dsp:sp>
    <dsp:sp modelId="{B5FADA3C-F8D6-9F42-BD31-1C4CC681007A}">
      <dsp:nvSpPr>
        <dsp:cNvPr id="0" name=""/>
        <dsp:cNvSpPr/>
      </dsp:nvSpPr>
      <dsp:spPr>
        <a:xfrm>
          <a:off x="1240821" y="340792"/>
          <a:ext cx="92863" cy="1104475"/>
        </a:xfrm>
        <a:custGeom>
          <a:avLst/>
          <a:gdLst/>
          <a:ahLst/>
          <a:cxnLst/>
          <a:rect l="0" t="0" r="0" b="0"/>
          <a:pathLst>
            <a:path>
              <a:moveTo>
                <a:pt x="0" y="0"/>
              </a:moveTo>
              <a:lnTo>
                <a:pt x="0" y="1104475"/>
              </a:lnTo>
              <a:lnTo>
                <a:pt x="92863" y="11044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19018-7EB6-9242-A6F3-E8367BE65883}">
      <dsp:nvSpPr>
        <dsp:cNvPr id="0" name=""/>
        <dsp:cNvSpPr/>
      </dsp:nvSpPr>
      <dsp:spPr>
        <a:xfrm>
          <a:off x="1333685" y="1275348"/>
          <a:ext cx="729092"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Investigating corruption</a:t>
          </a:r>
          <a:endParaRPr lang="en-US" sz="600" kern="1200"/>
        </a:p>
      </dsp:txBody>
      <dsp:txXfrm>
        <a:off x="1343639" y="1285302"/>
        <a:ext cx="709184" cy="319930"/>
      </dsp:txXfrm>
    </dsp:sp>
    <dsp:sp modelId="{9DC9CC0E-F2D4-4649-BE98-3DF63032C14D}">
      <dsp:nvSpPr>
        <dsp:cNvPr id="0" name=""/>
        <dsp:cNvSpPr/>
      </dsp:nvSpPr>
      <dsp:spPr>
        <a:xfrm>
          <a:off x="1240821" y="340792"/>
          <a:ext cx="92863" cy="1529274"/>
        </a:xfrm>
        <a:custGeom>
          <a:avLst/>
          <a:gdLst/>
          <a:ahLst/>
          <a:cxnLst/>
          <a:rect l="0" t="0" r="0" b="0"/>
          <a:pathLst>
            <a:path>
              <a:moveTo>
                <a:pt x="0" y="0"/>
              </a:moveTo>
              <a:lnTo>
                <a:pt x="0" y="1529274"/>
              </a:lnTo>
              <a:lnTo>
                <a:pt x="92863" y="1529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761B63-C8D5-6842-901E-9902C7902F59}">
      <dsp:nvSpPr>
        <dsp:cNvPr id="0" name=""/>
        <dsp:cNvSpPr/>
      </dsp:nvSpPr>
      <dsp:spPr>
        <a:xfrm>
          <a:off x="1333685" y="1700147"/>
          <a:ext cx="729092"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Investigating cyber crime</a:t>
          </a:r>
          <a:endParaRPr lang="en-US" sz="600" kern="1200"/>
        </a:p>
      </dsp:txBody>
      <dsp:txXfrm>
        <a:off x="1343639" y="1710101"/>
        <a:ext cx="709184" cy="319930"/>
      </dsp:txXfrm>
    </dsp:sp>
    <dsp:sp modelId="{52BE7027-68BB-444C-B208-8D2F9D0770B0}">
      <dsp:nvSpPr>
        <dsp:cNvPr id="0" name=""/>
        <dsp:cNvSpPr/>
      </dsp:nvSpPr>
      <dsp:spPr>
        <a:xfrm>
          <a:off x="1240821" y="340792"/>
          <a:ext cx="92863" cy="1954072"/>
        </a:xfrm>
        <a:custGeom>
          <a:avLst/>
          <a:gdLst/>
          <a:ahLst/>
          <a:cxnLst/>
          <a:rect l="0" t="0" r="0" b="0"/>
          <a:pathLst>
            <a:path>
              <a:moveTo>
                <a:pt x="0" y="0"/>
              </a:moveTo>
              <a:lnTo>
                <a:pt x="0" y="1954072"/>
              </a:lnTo>
              <a:lnTo>
                <a:pt x="92863" y="1954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AB8A4-6307-7A4A-8A92-C38C67D10891}">
      <dsp:nvSpPr>
        <dsp:cNvPr id="0" name=""/>
        <dsp:cNvSpPr/>
      </dsp:nvSpPr>
      <dsp:spPr>
        <a:xfrm>
          <a:off x="1333685" y="2124945"/>
          <a:ext cx="729092"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GB" sz="600" kern="1200"/>
            <a:t>Investigating terrorism and transnational crime</a:t>
          </a:r>
          <a:endParaRPr lang="en-US" sz="600" kern="1200"/>
        </a:p>
      </dsp:txBody>
      <dsp:txXfrm>
        <a:off x="1343639" y="2134899"/>
        <a:ext cx="709184" cy="319930"/>
      </dsp:txXfrm>
    </dsp:sp>
    <dsp:sp modelId="{65E902A4-7343-5B44-AFCE-CEC78794F86E}">
      <dsp:nvSpPr>
        <dsp:cNvPr id="0" name=""/>
        <dsp:cNvSpPr/>
      </dsp:nvSpPr>
      <dsp:spPr>
        <a:xfrm>
          <a:off x="2246513" y="953"/>
          <a:ext cx="975438" cy="3398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b="1" kern="1200"/>
            <a:t>Pillar 3 – Preventing Violent Extremism (PVE)</a:t>
          </a:r>
        </a:p>
      </dsp:txBody>
      <dsp:txXfrm>
        <a:off x="2256467" y="10907"/>
        <a:ext cx="955530" cy="319930"/>
      </dsp:txXfrm>
    </dsp:sp>
    <dsp:sp modelId="{CE638F6D-73DA-F94F-A988-3E841AB5260E}">
      <dsp:nvSpPr>
        <dsp:cNvPr id="0" name=""/>
        <dsp:cNvSpPr/>
      </dsp:nvSpPr>
      <dsp:spPr>
        <a:xfrm>
          <a:off x="2344057" y="340792"/>
          <a:ext cx="97543" cy="254879"/>
        </a:xfrm>
        <a:custGeom>
          <a:avLst/>
          <a:gdLst/>
          <a:ahLst/>
          <a:cxnLst/>
          <a:rect l="0" t="0" r="0" b="0"/>
          <a:pathLst>
            <a:path>
              <a:moveTo>
                <a:pt x="0" y="0"/>
              </a:moveTo>
              <a:lnTo>
                <a:pt x="0" y="254879"/>
              </a:lnTo>
              <a:lnTo>
                <a:pt x="97543" y="2548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C592C-A5C3-A647-833E-657B407FBB15}">
      <dsp:nvSpPr>
        <dsp:cNvPr id="0" name=""/>
        <dsp:cNvSpPr/>
      </dsp:nvSpPr>
      <dsp:spPr>
        <a:xfrm>
          <a:off x="2441601" y="425752"/>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National PVE policy development and coordination </a:t>
          </a:r>
        </a:p>
      </dsp:txBody>
      <dsp:txXfrm>
        <a:off x="2451555" y="435706"/>
        <a:ext cx="878456" cy="319930"/>
      </dsp:txXfrm>
    </dsp:sp>
    <dsp:sp modelId="{3A2EA3AA-AF58-F84A-9746-0BB3690CD87B}">
      <dsp:nvSpPr>
        <dsp:cNvPr id="0" name=""/>
        <dsp:cNvSpPr/>
      </dsp:nvSpPr>
      <dsp:spPr>
        <a:xfrm>
          <a:off x="2344057" y="340792"/>
          <a:ext cx="97543" cy="679677"/>
        </a:xfrm>
        <a:custGeom>
          <a:avLst/>
          <a:gdLst/>
          <a:ahLst/>
          <a:cxnLst/>
          <a:rect l="0" t="0" r="0" b="0"/>
          <a:pathLst>
            <a:path>
              <a:moveTo>
                <a:pt x="0" y="0"/>
              </a:moveTo>
              <a:lnTo>
                <a:pt x="0" y="679677"/>
              </a:lnTo>
              <a:lnTo>
                <a:pt x="97543" y="6796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9D37B3-3C9D-7346-BB0B-1749792C0FB1}">
      <dsp:nvSpPr>
        <dsp:cNvPr id="0" name=""/>
        <dsp:cNvSpPr/>
      </dsp:nvSpPr>
      <dsp:spPr>
        <a:xfrm>
          <a:off x="2441601" y="850550"/>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Women and PVE </a:t>
          </a:r>
        </a:p>
      </dsp:txBody>
      <dsp:txXfrm>
        <a:off x="2451555" y="860504"/>
        <a:ext cx="878456" cy="319930"/>
      </dsp:txXfrm>
    </dsp:sp>
    <dsp:sp modelId="{AB84F694-8F51-4B43-B36C-09B54887494C}">
      <dsp:nvSpPr>
        <dsp:cNvPr id="0" name=""/>
        <dsp:cNvSpPr/>
      </dsp:nvSpPr>
      <dsp:spPr>
        <a:xfrm>
          <a:off x="2344057" y="340792"/>
          <a:ext cx="97543" cy="1104475"/>
        </a:xfrm>
        <a:custGeom>
          <a:avLst/>
          <a:gdLst/>
          <a:ahLst/>
          <a:cxnLst/>
          <a:rect l="0" t="0" r="0" b="0"/>
          <a:pathLst>
            <a:path>
              <a:moveTo>
                <a:pt x="0" y="0"/>
              </a:moveTo>
              <a:lnTo>
                <a:pt x="0" y="1104475"/>
              </a:lnTo>
              <a:lnTo>
                <a:pt x="97543" y="11044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2EE3E-971E-1C4C-B8F9-0B7BE21BB2FD}">
      <dsp:nvSpPr>
        <dsp:cNvPr id="0" name=""/>
        <dsp:cNvSpPr/>
      </dsp:nvSpPr>
      <dsp:spPr>
        <a:xfrm>
          <a:off x="2441601" y="1275348"/>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Learning from terrorism case data</a:t>
          </a:r>
        </a:p>
      </dsp:txBody>
      <dsp:txXfrm>
        <a:off x="2451555" y="1285302"/>
        <a:ext cx="878456" cy="319930"/>
      </dsp:txXfrm>
    </dsp:sp>
    <dsp:sp modelId="{D76D3497-B3DA-0047-AF98-149625D8A890}">
      <dsp:nvSpPr>
        <dsp:cNvPr id="0" name=""/>
        <dsp:cNvSpPr/>
      </dsp:nvSpPr>
      <dsp:spPr>
        <a:xfrm>
          <a:off x="2344057" y="340792"/>
          <a:ext cx="97543" cy="1529274"/>
        </a:xfrm>
        <a:custGeom>
          <a:avLst/>
          <a:gdLst/>
          <a:ahLst/>
          <a:cxnLst/>
          <a:rect l="0" t="0" r="0" b="0"/>
          <a:pathLst>
            <a:path>
              <a:moveTo>
                <a:pt x="0" y="0"/>
              </a:moveTo>
              <a:lnTo>
                <a:pt x="0" y="1529274"/>
              </a:lnTo>
              <a:lnTo>
                <a:pt x="97543" y="1529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33B76-BBC6-5249-B11F-7E525E902733}">
      <dsp:nvSpPr>
        <dsp:cNvPr id="0" name=""/>
        <dsp:cNvSpPr/>
      </dsp:nvSpPr>
      <dsp:spPr>
        <a:xfrm>
          <a:off x="2441601" y="1700147"/>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Disengagement approaches for convicted terrorists and returnees </a:t>
          </a:r>
        </a:p>
      </dsp:txBody>
      <dsp:txXfrm>
        <a:off x="2451555" y="1710101"/>
        <a:ext cx="878456" cy="319930"/>
      </dsp:txXfrm>
    </dsp:sp>
    <dsp:sp modelId="{B7AEE4CB-7E92-4646-85ED-45C5365A3400}">
      <dsp:nvSpPr>
        <dsp:cNvPr id="0" name=""/>
        <dsp:cNvSpPr/>
      </dsp:nvSpPr>
      <dsp:spPr>
        <a:xfrm>
          <a:off x="2344057" y="340792"/>
          <a:ext cx="97543" cy="1954072"/>
        </a:xfrm>
        <a:custGeom>
          <a:avLst/>
          <a:gdLst/>
          <a:ahLst/>
          <a:cxnLst/>
          <a:rect l="0" t="0" r="0" b="0"/>
          <a:pathLst>
            <a:path>
              <a:moveTo>
                <a:pt x="0" y="0"/>
              </a:moveTo>
              <a:lnTo>
                <a:pt x="0" y="1954072"/>
              </a:lnTo>
              <a:lnTo>
                <a:pt x="97543" y="1954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68D3D-6729-3A44-977B-77617CD6BF47}">
      <dsp:nvSpPr>
        <dsp:cNvPr id="0" name=""/>
        <dsp:cNvSpPr/>
      </dsp:nvSpPr>
      <dsp:spPr>
        <a:xfrm>
          <a:off x="2441601" y="2124945"/>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Approaches to identify and respond to hate speech and political violence</a:t>
          </a:r>
        </a:p>
      </dsp:txBody>
      <dsp:txXfrm>
        <a:off x="2451555" y="2134899"/>
        <a:ext cx="878456" cy="319930"/>
      </dsp:txXfrm>
    </dsp:sp>
    <dsp:sp modelId="{8ED45E2F-5F4B-664B-A67E-285B524C5416}">
      <dsp:nvSpPr>
        <dsp:cNvPr id="0" name=""/>
        <dsp:cNvSpPr/>
      </dsp:nvSpPr>
      <dsp:spPr>
        <a:xfrm>
          <a:off x="2344057" y="340792"/>
          <a:ext cx="97543" cy="2378870"/>
        </a:xfrm>
        <a:custGeom>
          <a:avLst/>
          <a:gdLst/>
          <a:ahLst/>
          <a:cxnLst/>
          <a:rect l="0" t="0" r="0" b="0"/>
          <a:pathLst>
            <a:path>
              <a:moveTo>
                <a:pt x="0" y="0"/>
              </a:moveTo>
              <a:lnTo>
                <a:pt x="0" y="2378870"/>
              </a:lnTo>
              <a:lnTo>
                <a:pt x="97543" y="23788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2362A-8753-3847-AD08-F361B4325E0C}">
      <dsp:nvSpPr>
        <dsp:cNvPr id="0" name=""/>
        <dsp:cNvSpPr/>
      </dsp:nvSpPr>
      <dsp:spPr>
        <a:xfrm>
          <a:off x="2441601" y="2549744"/>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Curriculum and prevention approaches with universities and schools</a:t>
          </a:r>
        </a:p>
      </dsp:txBody>
      <dsp:txXfrm>
        <a:off x="2451555" y="2559698"/>
        <a:ext cx="878456" cy="319930"/>
      </dsp:txXfrm>
    </dsp:sp>
    <dsp:sp modelId="{E32C9853-8ADE-3B48-B8BC-6799F45F4D50}">
      <dsp:nvSpPr>
        <dsp:cNvPr id="0" name=""/>
        <dsp:cNvSpPr/>
      </dsp:nvSpPr>
      <dsp:spPr>
        <a:xfrm>
          <a:off x="2344057" y="340792"/>
          <a:ext cx="97543" cy="2803669"/>
        </a:xfrm>
        <a:custGeom>
          <a:avLst/>
          <a:gdLst/>
          <a:ahLst/>
          <a:cxnLst/>
          <a:rect l="0" t="0" r="0" b="0"/>
          <a:pathLst>
            <a:path>
              <a:moveTo>
                <a:pt x="0" y="0"/>
              </a:moveTo>
              <a:lnTo>
                <a:pt x="0" y="2803669"/>
              </a:lnTo>
              <a:lnTo>
                <a:pt x="97543" y="2803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49008-1FCD-AA4C-9302-3C0DCB1F8019}">
      <dsp:nvSpPr>
        <dsp:cNvPr id="0" name=""/>
        <dsp:cNvSpPr/>
      </dsp:nvSpPr>
      <dsp:spPr>
        <a:xfrm>
          <a:off x="2441601" y="2974542"/>
          <a:ext cx="89836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Building community cohesion in vulnerable areas</a:t>
          </a:r>
        </a:p>
      </dsp:txBody>
      <dsp:txXfrm>
        <a:off x="2451555" y="2984496"/>
        <a:ext cx="878456" cy="319930"/>
      </dsp:txXfrm>
    </dsp:sp>
    <dsp:sp modelId="{18ED9346-AF0F-4F46-8288-6F469E4BDC34}">
      <dsp:nvSpPr>
        <dsp:cNvPr id="0" name=""/>
        <dsp:cNvSpPr/>
      </dsp:nvSpPr>
      <dsp:spPr>
        <a:xfrm>
          <a:off x="3391872" y="953"/>
          <a:ext cx="835608" cy="3398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b="1" kern="1200"/>
            <a:t>Pillar 4 – Corrections Reform</a:t>
          </a:r>
        </a:p>
      </dsp:txBody>
      <dsp:txXfrm>
        <a:off x="3401826" y="10907"/>
        <a:ext cx="815700" cy="319930"/>
      </dsp:txXfrm>
    </dsp:sp>
    <dsp:sp modelId="{161D2725-E288-724E-B67A-F62561E48C17}">
      <dsp:nvSpPr>
        <dsp:cNvPr id="0" name=""/>
        <dsp:cNvSpPr/>
      </dsp:nvSpPr>
      <dsp:spPr>
        <a:xfrm>
          <a:off x="3429713" y="340792"/>
          <a:ext cx="91440" cy="254879"/>
        </a:xfrm>
        <a:custGeom>
          <a:avLst/>
          <a:gdLst/>
          <a:ahLst/>
          <a:cxnLst/>
          <a:rect l="0" t="0" r="0" b="0"/>
          <a:pathLst>
            <a:path>
              <a:moveTo>
                <a:pt x="45720" y="0"/>
              </a:moveTo>
              <a:lnTo>
                <a:pt x="45720" y="254879"/>
              </a:lnTo>
              <a:lnTo>
                <a:pt x="129280" y="2548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93F6B-0075-3E4A-A53F-D3FB7C1AEF80}">
      <dsp:nvSpPr>
        <dsp:cNvPr id="0" name=""/>
        <dsp:cNvSpPr/>
      </dsp:nvSpPr>
      <dsp:spPr>
        <a:xfrm>
          <a:off x="3558994" y="425752"/>
          <a:ext cx="85230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Reform coordination, includng restorative justice</a:t>
          </a:r>
        </a:p>
      </dsp:txBody>
      <dsp:txXfrm>
        <a:off x="3568948" y="435706"/>
        <a:ext cx="832396" cy="319930"/>
      </dsp:txXfrm>
    </dsp:sp>
    <dsp:sp modelId="{28974723-529D-C64A-A865-77687A6B9651}">
      <dsp:nvSpPr>
        <dsp:cNvPr id="0" name=""/>
        <dsp:cNvSpPr/>
      </dsp:nvSpPr>
      <dsp:spPr>
        <a:xfrm>
          <a:off x="3429713" y="340792"/>
          <a:ext cx="91440" cy="679677"/>
        </a:xfrm>
        <a:custGeom>
          <a:avLst/>
          <a:gdLst/>
          <a:ahLst/>
          <a:cxnLst/>
          <a:rect l="0" t="0" r="0" b="0"/>
          <a:pathLst>
            <a:path>
              <a:moveTo>
                <a:pt x="45720" y="0"/>
              </a:moveTo>
              <a:lnTo>
                <a:pt x="45720" y="679677"/>
              </a:lnTo>
              <a:lnTo>
                <a:pt x="129280" y="6796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32BA73-62C2-444C-A812-E720B36A9E7B}">
      <dsp:nvSpPr>
        <dsp:cNvPr id="0" name=""/>
        <dsp:cNvSpPr/>
      </dsp:nvSpPr>
      <dsp:spPr>
        <a:xfrm>
          <a:off x="3558994" y="850550"/>
          <a:ext cx="85230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Development off IT systems for transparency and accountability </a:t>
          </a:r>
        </a:p>
      </dsp:txBody>
      <dsp:txXfrm>
        <a:off x="3568948" y="860504"/>
        <a:ext cx="832396" cy="319930"/>
      </dsp:txXfrm>
    </dsp:sp>
    <dsp:sp modelId="{6A92D1DF-F9CE-F44C-8A56-BFCF9C856303}">
      <dsp:nvSpPr>
        <dsp:cNvPr id="0" name=""/>
        <dsp:cNvSpPr/>
      </dsp:nvSpPr>
      <dsp:spPr>
        <a:xfrm>
          <a:off x="3429713" y="340792"/>
          <a:ext cx="91440" cy="1104475"/>
        </a:xfrm>
        <a:custGeom>
          <a:avLst/>
          <a:gdLst/>
          <a:ahLst/>
          <a:cxnLst/>
          <a:rect l="0" t="0" r="0" b="0"/>
          <a:pathLst>
            <a:path>
              <a:moveTo>
                <a:pt x="45720" y="0"/>
              </a:moveTo>
              <a:lnTo>
                <a:pt x="45720" y="1104475"/>
              </a:lnTo>
              <a:lnTo>
                <a:pt x="129280" y="11044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2ABCF-AB8C-9E44-8998-6130A220B159}">
      <dsp:nvSpPr>
        <dsp:cNvPr id="0" name=""/>
        <dsp:cNvSpPr/>
      </dsp:nvSpPr>
      <dsp:spPr>
        <a:xfrm>
          <a:off x="3558994" y="1275348"/>
          <a:ext cx="85230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Disability inclusion in prisons</a:t>
          </a:r>
        </a:p>
      </dsp:txBody>
      <dsp:txXfrm>
        <a:off x="3568948" y="1285302"/>
        <a:ext cx="832396" cy="319930"/>
      </dsp:txXfrm>
    </dsp:sp>
    <dsp:sp modelId="{E311FF41-5354-B54E-991B-4C941899D952}">
      <dsp:nvSpPr>
        <dsp:cNvPr id="0" name=""/>
        <dsp:cNvSpPr/>
      </dsp:nvSpPr>
      <dsp:spPr>
        <a:xfrm>
          <a:off x="3429713" y="340792"/>
          <a:ext cx="91440" cy="1529274"/>
        </a:xfrm>
        <a:custGeom>
          <a:avLst/>
          <a:gdLst/>
          <a:ahLst/>
          <a:cxnLst/>
          <a:rect l="0" t="0" r="0" b="0"/>
          <a:pathLst>
            <a:path>
              <a:moveTo>
                <a:pt x="45720" y="0"/>
              </a:moveTo>
              <a:lnTo>
                <a:pt x="45720" y="1529274"/>
              </a:lnTo>
              <a:lnTo>
                <a:pt x="129280" y="1529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27309-41AA-4746-B702-DC84224C55D5}">
      <dsp:nvSpPr>
        <dsp:cNvPr id="0" name=""/>
        <dsp:cNvSpPr/>
      </dsp:nvSpPr>
      <dsp:spPr>
        <a:xfrm>
          <a:off x="3558994" y="1700147"/>
          <a:ext cx="852304" cy="3398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t>High risk prisoner management</a:t>
          </a:r>
        </a:p>
      </dsp:txBody>
      <dsp:txXfrm>
        <a:off x="3568948" y="1710101"/>
        <a:ext cx="832396" cy="319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83C8-E358-473D-BAE0-39749D7B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23948</Words>
  <Characters>136510</Characters>
  <Application>Microsoft Office Word</Application>
  <DocSecurity>0</DocSecurity>
  <Lines>1137</Lines>
  <Paragraphs>320</Paragraphs>
  <ScaleCrop>false</ScaleCrop>
  <Company/>
  <LinksUpToDate>false</LinksUpToDate>
  <CharactersWithSpaces>160138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2020-03-01T02:32:00Z</dcterms:created>
  <dcterms:modified xsi:type="dcterms:W3CDTF">2020-03-01T02:32:00Z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3564152c-4960-479d-bc9e-137076f327bd</vt:lpwstr>
  </property>
  <property fmtid="{D5CDD505-2E9C-101B-9397-08002B2CF9AE}" pid="3" name="SEC">
    <vt:lpwstr>UNCLASSIFIED</vt:lpwstr>
  </property>
  <property fmtid="{D5CDD505-2E9C-101B-9397-08002B2CF9AE}" pid="4" name="DLM">
    <vt:lpwstr>No DLM</vt:lpwstr>
  </property>
</Properties>
</file>