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E5F5" w14:textId="77777777" w:rsidR="00E85B48" w:rsidRPr="00E85B48" w:rsidRDefault="00E85B48" w:rsidP="00E85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5B48">
        <w:rPr>
          <w:rFonts w:ascii="Times New Roman" w:eastAsia="Times New Roman" w:hAnsi="Times New Roman" w:cs="Times New Roman"/>
          <w:sz w:val="24"/>
          <w:szCs w:val="24"/>
        </w:rPr>
        <w:t>BEFORE THE WORLD TRADE ORGANIZATION</w:t>
      </w:r>
    </w:p>
    <w:p w14:paraId="1D34C571" w14:textId="77777777" w:rsidR="00E85B48" w:rsidRPr="00E85B48" w:rsidRDefault="00E85B48" w:rsidP="00E85B48">
      <w:pPr>
        <w:spacing w:before="40"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C8746F0" w14:textId="77777777" w:rsidR="00E85B48" w:rsidRPr="00E85B48" w:rsidRDefault="00E85B48" w:rsidP="00E85B48">
      <w:pPr>
        <w:spacing w:before="40"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CB91238" w14:textId="77777777" w:rsidR="00E85B48" w:rsidRPr="00E85B48" w:rsidRDefault="00E85B48" w:rsidP="00E8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FCCE8E" w14:textId="77777777" w:rsidR="00E85B48" w:rsidRPr="00E85B48" w:rsidRDefault="00E85B48" w:rsidP="00E8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8CD9C1" w14:textId="77777777" w:rsidR="00E85B48" w:rsidRPr="00E85B48" w:rsidRDefault="00E85B48" w:rsidP="00E8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A957B" w14:textId="77777777" w:rsidR="00E85B48" w:rsidRPr="00E85B48" w:rsidRDefault="00E85B48" w:rsidP="00E8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57DC1" w14:textId="77777777" w:rsidR="00E85B48" w:rsidRPr="00E85B48" w:rsidRDefault="00E85B48" w:rsidP="00E8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62870" w14:textId="77777777" w:rsidR="00E85B48" w:rsidRPr="00E85B48" w:rsidRDefault="00E85B48" w:rsidP="00E8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A0390" w14:textId="77777777" w:rsidR="00E85B48" w:rsidRPr="00E85B48" w:rsidRDefault="00E85B48" w:rsidP="00E8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Toc269726909"/>
      <w:bookmarkStart w:id="1" w:name="_Toc269823220"/>
      <w:bookmarkStart w:id="2" w:name="_Toc269823311"/>
      <w:bookmarkStart w:id="3" w:name="_Toc305666122"/>
    </w:p>
    <w:p w14:paraId="4B7791F7" w14:textId="77777777" w:rsidR="00E85B48" w:rsidRPr="00E85B48" w:rsidRDefault="00E85B48" w:rsidP="00E8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bookmarkEnd w:id="0"/>
    <w:bookmarkEnd w:id="1"/>
    <w:bookmarkEnd w:id="2"/>
    <w:bookmarkEnd w:id="3"/>
    <w:p w14:paraId="368E7F7A" w14:textId="77777777" w:rsidR="00E85B48" w:rsidRDefault="00E85B48" w:rsidP="00E8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5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European Union and certain Member states — Certain measures concerning palm oil and oil palm crop-based biofuels </w:t>
      </w:r>
    </w:p>
    <w:p w14:paraId="452784E0" w14:textId="7294D47A" w:rsidR="00E85B48" w:rsidRPr="00E85B48" w:rsidRDefault="00E85B48" w:rsidP="00E8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B48">
        <w:rPr>
          <w:rFonts w:ascii="Times New Roman" w:eastAsia="Times New Roman" w:hAnsi="Times New Roman" w:cs="Times New Roman"/>
          <w:b/>
          <w:sz w:val="28"/>
          <w:szCs w:val="28"/>
        </w:rPr>
        <w:t>(WT/DS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600</w:t>
      </w:r>
      <w:r w:rsidRPr="00E85B4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8215E8B" w14:textId="77777777" w:rsidR="00E85B48" w:rsidRPr="00E85B48" w:rsidRDefault="00E85B48" w:rsidP="00E85B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334B3D1" w14:textId="77777777" w:rsidR="00E85B48" w:rsidRPr="00E85B48" w:rsidRDefault="00E85B48" w:rsidP="00E8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7E3310B" w14:textId="77777777" w:rsidR="00E85B48" w:rsidRPr="00E85B48" w:rsidRDefault="00E85B48" w:rsidP="00E8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1DD3DD9" w14:textId="77777777" w:rsidR="00E85B48" w:rsidRPr="00E85B48" w:rsidRDefault="00E85B48" w:rsidP="00E8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F9A9948" w14:textId="77777777" w:rsidR="00E85B48" w:rsidRPr="00E85B48" w:rsidRDefault="00E85B48" w:rsidP="00E8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8F724C3" w14:textId="77777777" w:rsidR="00E85B48" w:rsidRPr="00E85B48" w:rsidRDefault="00E85B48" w:rsidP="00E8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C4A433B" w14:textId="77777777" w:rsidR="00E85B48" w:rsidRPr="00E85B48" w:rsidRDefault="00E85B48" w:rsidP="00E8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801E19C" w14:textId="77777777" w:rsidR="00E85B48" w:rsidRPr="00E85B48" w:rsidRDefault="00E85B48" w:rsidP="00E8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B38F9D6" w14:textId="77777777" w:rsidR="00E85B48" w:rsidRPr="00E85B48" w:rsidRDefault="00E85B48" w:rsidP="00E8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3D54A41" w14:textId="77777777" w:rsidR="00E85B48" w:rsidRPr="00E85B48" w:rsidRDefault="00E85B48" w:rsidP="00E8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88E6C56" w14:textId="77777777" w:rsidR="00E85B48" w:rsidRPr="00E85B48" w:rsidRDefault="00E85B48" w:rsidP="00E8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ADF1F72" w14:textId="77777777" w:rsidR="00E85B48" w:rsidRPr="00E85B48" w:rsidRDefault="00E85B48" w:rsidP="00E8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CC62A17" w14:textId="77777777" w:rsidR="00E85B48" w:rsidRPr="00E85B48" w:rsidRDefault="00E85B48" w:rsidP="00E85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Toc269726911"/>
      <w:bookmarkStart w:id="5" w:name="_Toc269823222"/>
      <w:bookmarkStart w:id="6" w:name="_Toc269823313"/>
      <w:r w:rsidRPr="00E85B48">
        <w:rPr>
          <w:rFonts w:ascii="Times New Roman" w:eastAsia="Times New Roman" w:hAnsi="Times New Roman" w:cs="Times New Roman"/>
          <w:b/>
          <w:sz w:val="28"/>
          <w:szCs w:val="28"/>
        </w:rPr>
        <w:t>Third Party Oral Statement of Australia</w:t>
      </w:r>
      <w:bookmarkEnd w:id="4"/>
      <w:bookmarkEnd w:id="5"/>
      <w:bookmarkEnd w:id="6"/>
    </w:p>
    <w:p w14:paraId="79496761" w14:textId="1D167A37" w:rsidR="00E85B48" w:rsidRPr="00E85B48" w:rsidRDefault="004548B6" w:rsidP="00E85B48">
      <w:pPr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As Delivered</w:t>
      </w:r>
    </w:p>
    <w:p w14:paraId="100FE8D4" w14:textId="77777777" w:rsidR="00E85B48" w:rsidRPr="00E85B48" w:rsidRDefault="00E85B48" w:rsidP="00E85B48">
      <w:pPr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D63D8C5" w14:textId="77777777" w:rsidR="00E85B48" w:rsidRPr="00E85B48" w:rsidRDefault="00E85B48" w:rsidP="00E8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FC98C" w14:textId="77777777" w:rsidR="00E85B48" w:rsidRPr="00E85B48" w:rsidRDefault="00E85B48" w:rsidP="00E8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3BA60" w14:textId="77777777" w:rsidR="00E85B48" w:rsidRPr="00E85B48" w:rsidRDefault="00E85B48" w:rsidP="00E8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1EFC3" w14:textId="77777777" w:rsidR="00E85B48" w:rsidRPr="00E85B48" w:rsidRDefault="00E85B48" w:rsidP="00E8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87BB1E" w14:textId="77777777" w:rsidR="00E85B48" w:rsidRPr="00E85B48" w:rsidRDefault="00E85B48" w:rsidP="00E8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25F57" w14:textId="77777777" w:rsidR="00E85B48" w:rsidRPr="00E85B48" w:rsidRDefault="00E85B48" w:rsidP="00E8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066BE" w14:textId="77777777" w:rsidR="00E85B48" w:rsidRPr="00E85B48" w:rsidRDefault="00E85B48" w:rsidP="00E8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27491" w14:textId="77777777" w:rsidR="00E85B48" w:rsidRPr="00E85B48" w:rsidRDefault="00E85B48" w:rsidP="00E8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ECE19" w14:textId="77777777" w:rsidR="00E85B48" w:rsidRPr="00E85B48" w:rsidRDefault="00E85B48" w:rsidP="00E85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D54C61" w14:textId="77777777" w:rsidR="00E85B48" w:rsidRPr="00E85B48" w:rsidRDefault="00E85B48" w:rsidP="00E85B48">
      <w:pPr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DE00107" w14:textId="04158F2E" w:rsidR="00E85B48" w:rsidRDefault="009E1179" w:rsidP="00E85B48">
      <w:pPr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11</w:t>
      </w:r>
      <w:r w:rsidR="00E85B48" w:rsidRPr="00E85B4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May</w:t>
      </w:r>
      <w:r w:rsidR="00E85B48" w:rsidRPr="00E85B4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22</w:t>
      </w:r>
    </w:p>
    <w:p w14:paraId="61F1AC54" w14:textId="77777777" w:rsidR="00E85B48" w:rsidRDefault="00E85B4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 w:type="page"/>
      </w:r>
    </w:p>
    <w:p w14:paraId="3D46C9DC" w14:textId="76035765" w:rsidR="00406241" w:rsidRPr="00E85B48" w:rsidRDefault="0039302D" w:rsidP="009E1179">
      <w:pPr>
        <w:pStyle w:val="ListParagraph"/>
        <w:numPr>
          <w:ilvl w:val="0"/>
          <w:numId w:val="2"/>
        </w:numPr>
        <w:spacing w:before="100" w:beforeAutospacing="1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sz w:val="24"/>
          <w:szCs w:val="24"/>
        </w:rPr>
        <w:lastRenderedPageBreak/>
        <w:t xml:space="preserve">Australia welcomes the opportunity to present its views </w:t>
      </w:r>
      <w:r w:rsidR="00DB64C2" w:rsidRPr="00E85B48">
        <w:rPr>
          <w:rFonts w:ascii="Times New Roman" w:hAnsi="Times New Roman" w:cs="Times New Roman"/>
          <w:sz w:val="24"/>
          <w:szCs w:val="24"/>
        </w:rPr>
        <w:t xml:space="preserve">on the legal issues raised </w:t>
      </w:r>
      <w:r w:rsidRPr="00E85B48">
        <w:rPr>
          <w:rFonts w:ascii="Times New Roman" w:hAnsi="Times New Roman" w:cs="Times New Roman"/>
          <w:sz w:val="24"/>
          <w:szCs w:val="24"/>
        </w:rPr>
        <w:t>in these proceedings</w:t>
      </w:r>
      <w:r w:rsidR="00DB64C2" w:rsidRPr="00E85B48">
        <w:rPr>
          <w:rFonts w:ascii="Times New Roman" w:hAnsi="Times New Roman" w:cs="Times New Roman"/>
          <w:sz w:val="24"/>
          <w:szCs w:val="24"/>
        </w:rPr>
        <w:t xml:space="preserve">, which </w:t>
      </w:r>
      <w:r w:rsidR="00406241" w:rsidRPr="00E85B48">
        <w:rPr>
          <w:rFonts w:ascii="Times New Roman" w:hAnsi="Times New Roman" w:cs="Times New Roman"/>
          <w:sz w:val="24"/>
          <w:szCs w:val="24"/>
        </w:rPr>
        <w:t xml:space="preserve">concern </w:t>
      </w:r>
      <w:r w:rsidRPr="00E85B48">
        <w:rPr>
          <w:rFonts w:ascii="Times New Roman" w:hAnsi="Times New Roman" w:cs="Times New Roman"/>
          <w:sz w:val="24"/>
          <w:szCs w:val="24"/>
        </w:rPr>
        <w:t xml:space="preserve">WTO Members' </w:t>
      </w:r>
      <w:r w:rsidR="00406241" w:rsidRPr="00E85B48">
        <w:rPr>
          <w:rFonts w:ascii="Times New Roman" w:hAnsi="Times New Roman" w:cs="Times New Roman"/>
          <w:sz w:val="24"/>
          <w:szCs w:val="24"/>
        </w:rPr>
        <w:t>obligations under the TBT Agreement</w:t>
      </w:r>
      <w:r w:rsidR="000E2489" w:rsidRPr="00E85B4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406241" w:rsidRPr="00E85B48">
        <w:rPr>
          <w:rFonts w:ascii="Times New Roman" w:hAnsi="Times New Roman" w:cs="Times New Roman"/>
          <w:sz w:val="24"/>
          <w:szCs w:val="24"/>
        </w:rPr>
        <w:t xml:space="preserve"> and the GATT 1994.</w:t>
      </w:r>
      <w:r w:rsidR="000E2489" w:rsidRPr="00E85B4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406241" w:rsidRPr="00E85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46B7D" w14:textId="024C2B13" w:rsidR="003B3128" w:rsidRPr="00E85B48" w:rsidRDefault="00892E10" w:rsidP="009E1179">
      <w:pPr>
        <w:pStyle w:val="ListParagraph"/>
        <w:numPr>
          <w:ilvl w:val="0"/>
          <w:numId w:val="2"/>
        </w:numPr>
        <w:spacing w:before="100" w:beforeAutospacing="1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sz w:val="24"/>
          <w:szCs w:val="24"/>
        </w:rPr>
        <w:t xml:space="preserve">At the outset, </w:t>
      </w:r>
      <w:r w:rsidR="0039302D" w:rsidRPr="00E85B48">
        <w:rPr>
          <w:rFonts w:ascii="Times New Roman" w:hAnsi="Times New Roman" w:cs="Times New Roman"/>
          <w:sz w:val="24"/>
          <w:szCs w:val="24"/>
        </w:rPr>
        <w:t xml:space="preserve">Australia </w:t>
      </w:r>
      <w:r w:rsidR="00DB64C2" w:rsidRPr="00E85B48">
        <w:rPr>
          <w:rFonts w:ascii="Times New Roman" w:hAnsi="Times New Roman" w:cs="Times New Roman"/>
          <w:sz w:val="24"/>
          <w:szCs w:val="24"/>
        </w:rPr>
        <w:t xml:space="preserve">would like to emphasise that </w:t>
      </w:r>
      <w:r w:rsidR="00C06D8F" w:rsidRPr="00E85B48">
        <w:rPr>
          <w:rFonts w:ascii="Times New Roman" w:hAnsi="Times New Roman" w:cs="Times New Roman"/>
          <w:sz w:val="24"/>
          <w:szCs w:val="24"/>
        </w:rPr>
        <w:t>it</w:t>
      </w:r>
      <w:r w:rsidR="00DB64C2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0E2489" w:rsidRPr="00E85B48">
        <w:rPr>
          <w:rFonts w:ascii="Times New Roman" w:hAnsi="Times New Roman" w:cs="Times New Roman"/>
          <w:sz w:val="24"/>
          <w:szCs w:val="24"/>
        </w:rPr>
        <w:t>recognise</w:t>
      </w:r>
      <w:r w:rsidR="00DB64C2" w:rsidRPr="00E85B48">
        <w:rPr>
          <w:rFonts w:ascii="Times New Roman" w:hAnsi="Times New Roman" w:cs="Times New Roman"/>
          <w:sz w:val="24"/>
          <w:szCs w:val="24"/>
        </w:rPr>
        <w:t>s</w:t>
      </w:r>
      <w:r w:rsidR="000E2489" w:rsidRPr="00E85B48">
        <w:rPr>
          <w:rFonts w:ascii="Times New Roman" w:hAnsi="Times New Roman" w:cs="Times New Roman"/>
          <w:sz w:val="24"/>
          <w:szCs w:val="24"/>
        </w:rPr>
        <w:t xml:space="preserve"> the right of WTO Members to take measures necessary for protecting legitimate public policy objectives</w:t>
      </w:r>
      <w:r w:rsidR="004168E2" w:rsidRPr="00E85B48">
        <w:rPr>
          <w:rFonts w:ascii="Times New Roman" w:hAnsi="Times New Roman" w:cs="Times New Roman"/>
          <w:sz w:val="24"/>
          <w:szCs w:val="24"/>
        </w:rPr>
        <w:t xml:space="preserve"> such as environmental protection</w:t>
      </w:r>
      <w:r w:rsidR="00DB64C2" w:rsidRPr="00E85B48">
        <w:rPr>
          <w:rFonts w:ascii="Times New Roman" w:hAnsi="Times New Roman" w:cs="Times New Roman"/>
          <w:sz w:val="24"/>
          <w:szCs w:val="24"/>
        </w:rPr>
        <w:t>.</w:t>
      </w:r>
      <w:r w:rsidR="00912374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3B3128" w:rsidRPr="00E85B48">
        <w:rPr>
          <w:rFonts w:ascii="Times New Roman" w:hAnsi="Times New Roman" w:cs="Times New Roman"/>
          <w:sz w:val="24"/>
          <w:szCs w:val="24"/>
        </w:rPr>
        <w:t>However, it is Australia’s firmly held view that WTO Members should not, under the guise of environmental protection, implement trade protectionist measures.</w:t>
      </w:r>
      <w:r w:rsidR="00912374" w:rsidRPr="00E85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9D232" w14:textId="77D3B4DB" w:rsidR="000E2489" w:rsidRPr="00E85B48" w:rsidRDefault="000B70EE" w:rsidP="009E1179">
      <w:pPr>
        <w:pStyle w:val="ListParagraph"/>
        <w:numPr>
          <w:ilvl w:val="0"/>
          <w:numId w:val="2"/>
        </w:numPr>
        <w:spacing w:before="100" w:beforeAutospacing="1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sz w:val="24"/>
          <w:szCs w:val="24"/>
        </w:rPr>
        <w:t>WTO rules</w:t>
      </w:r>
      <w:r w:rsidR="004168E2" w:rsidRPr="00E85B48">
        <w:rPr>
          <w:rFonts w:ascii="Times New Roman" w:hAnsi="Times New Roman" w:cs="Times New Roman"/>
          <w:sz w:val="24"/>
          <w:szCs w:val="24"/>
        </w:rPr>
        <w:t xml:space="preserve"> recognise a WTO Member's right to regulate to address </w:t>
      </w:r>
      <w:r w:rsidR="003B3128" w:rsidRPr="00E85B48">
        <w:rPr>
          <w:rFonts w:ascii="Times New Roman" w:hAnsi="Times New Roman" w:cs="Times New Roman"/>
          <w:sz w:val="24"/>
          <w:szCs w:val="24"/>
        </w:rPr>
        <w:t>legitimate public policy objectives</w:t>
      </w:r>
      <w:r w:rsidR="004168E2" w:rsidRPr="00E85B48">
        <w:rPr>
          <w:rFonts w:ascii="Times New Roman" w:hAnsi="Times New Roman" w:cs="Times New Roman"/>
          <w:sz w:val="24"/>
          <w:szCs w:val="24"/>
        </w:rPr>
        <w:t>.</w:t>
      </w:r>
      <w:r w:rsidR="00912374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Pr="00E85B48">
        <w:rPr>
          <w:rFonts w:ascii="Times New Roman" w:hAnsi="Times New Roman" w:cs="Times New Roman"/>
          <w:sz w:val="24"/>
          <w:szCs w:val="24"/>
        </w:rPr>
        <w:t>These</w:t>
      </w:r>
      <w:r w:rsidR="00892E10" w:rsidRPr="00E85B48">
        <w:rPr>
          <w:rFonts w:ascii="Times New Roman" w:hAnsi="Times New Roman" w:cs="Times New Roman"/>
          <w:sz w:val="24"/>
          <w:szCs w:val="24"/>
        </w:rPr>
        <w:t xml:space="preserve"> rules</w:t>
      </w:r>
      <w:r w:rsidR="005264C5" w:rsidRPr="00E85B48">
        <w:rPr>
          <w:rFonts w:ascii="Times New Roman" w:hAnsi="Times New Roman" w:cs="Times New Roman"/>
          <w:sz w:val="24"/>
          <w:szCs w:val="24"/>
        </w:rPr>
        <w:t xml:space="preserve">, </w:t>
      </w:r>
      <w:r w:rsidR="00514E26" w:rsidRPr="00E85B48">
        <w:rPr>
          <w:rFonts w:ascii="Times New Roman" w:hAnsi="Times New Roman" w:cs="Times New Roman"/>
          <w:sz w:val="24"/>
          <w:szCs w:val="24"/>
        </w:rPr>
        <w:t xml:space="preserve">expressed </w:t>
      </w:r>
      <w:r w:rsidR="005264C5" w:rsidRPr="00E85B48">
        <w:rPr>
          <w:rFonts w:ascii="Times New Roman" w:hAnsi="Times New Roman" w:cs="Times New Roman"/>
          <w:sz w:val="24"/>
          <w:szCs w:val="24"/>
        </w:rPr>
        <w:t xml:space="preserve">in the WTO Agreements and interpreted in </w:t>
      </w:r>
      <w:r w:rsidR="0044699D" w:rsidRPr="00E85B48">
        <w:rPr>
          <w:rFonts w:ascii="Times New Roman" w:hAnsi="Times New Roman" w:cs="Times New Roman"/>
          <w:sz w:val="24"/>
          <w:szCs w:val="24"/>
        </w:rPr>
        <w:t xml:space="preserve">numerous </w:t>
      </w:r>
      <w:r w:rsidR="005264C5" w:rsidRPr="00E85B48">
        <w:rPr>
          <w:rFonts w:ascii="Times New Roman" w:hAnsi="Times New Roman" w:cs="Times New Roman"/>
          <w:sz w:val="24"/>
          <w:szCs w:val="24"/>
        </w:rPr>
        <w:t>WTO disputes,</w:t>
      </w:r>
      <w:r w:rsidR="00C06D8F" w:rsidRPr="00E85B48">
        <w:rPr>
          <w:rFonts w:ascii="Times New Roman" w:hAnsi="Times New Roman" w:cs="Times New Roman"/>
          <w:sz w:val="24"/>
          <w:szCs w:val="24"/>
        </w:rPr>
        <w:t xml:space="preserve"> provide</w:t>
      </w:r>
      <w:r w:rsidR="004168E2" w:rsidRPr="00E85B48">
        <w:rPr>
          <w:rFonts w:ascii="Times New Roman" w:hAnsi="Times New Roman" w:cs="Times New Roman"/>
          <w:sz w:val="24"/>
          <w:szCs w:val="24"/>
        </w:rPr>
        <w:t xml:space="preserve"> ample guidance for this panel to determine </w:t>
      </w:r>
      <w:r w:rsidR="00C06D8F" w:rsidRPr="00E85B48">
        <w:rPr>
          <w:rFonts w:ascii="Times New Roman" w:hAnsi="Times New Roman" w:cs="Times New Roman"/>
          <w:sz w:val="24"/>
          <w:szCs w:val="24"/>
        </w:rPr>
        <w:t>whether the measures at issue in this dispute meet those standards.</w:t>
      </w:r>
      <w:r w:rsidR="00912374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3B3128" w:rsidRPr="00E85B48">
        <w:rPr>
          <w:rFonts w:ascii="Times New Roman" w:hAnsi="Times New Roman" w:cs="Times New Roman"/>
          <w:sz w:val="24"/>
          <w:szCs w:val="24"/>
        </w:rPr>
        <w:t xml:space="preserve">In this statement, Australia makes no comment on the factual issues in this dispute or the merits of either party's </w:t>
      </w:r>
      <w:r w:rsidR="00E85B48" w:rsidRPr="00E85B48">
        <w:rPr>
          <w:rFonts w:ascii="Times New Roman" w:hAnsi="Times New Roman" w:cs="Times New Roman"/>
          <w:sz w:val="24"/>
          <w:szCs w:val="24"/>
        </w:rPr>
        <w:t>case but</w:t>
      </w:r>
      <w:r w:rsidR="003B3128" w:rsidRPr="00E85B48">
        <w:rPr>
          <w:rFonts w:ascii="Times New Roman" w:hAnsi="Times New Roman" w:cs="Times New Roman"/>
          <w:sz w:val="24"/>
          <w:szCs w:val="24"/>
        </w:rPr>
        <w:t xml:space="preserve"> provides views </w:t>
      </w:r>
      <w:r w:rsidR="00892E10" w:rsidRPr="00E85B48">
        <w:rPr>
          <w:rFonts w:ascii="Times New Roman" w:hAnsi="Times New Roman" w:cs="Times New Roman"/>
          <w:sz w:val="24"/>
          <w:szCs w:val="24"/>
        </w:rPr>
        <w:t>on the legal standards that must be met</w:t>
      </w:r>
      <w:r w:rsidR="003B3128" w:rsidRPr="00E85B48">
        <w:rPr>
          <w:rFonts w:ascii="Times New Roman" w:hAnsi="Times New Roman" w:cs="Times New Roman"/>
          <w:sz w:val="24"/>
          <w:szCs w:val="24"/>
        </w:rPr>
        <w:t>.</w:t>
      </w:r>
      <w:r w:rsidR="00912374" w:rsidRPr="00E85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09432" w14:textId="4EC624DB" w:rsidR="00503D86" w:rsidRPr="00E85B48" w:rsidRDefault="000E2489" w:rsidP="009E1179">
      <w:pPr>
        <w:pStyle w:val="ListParagraph"/>
        <w:numPr>
          <w:ilvl w:val="0"/>
          <w:numId w:val="2"/>
        </w:numPr>
        <w:spacing w:before="100" w:beforeAutospacing="1"/>
        <w:ind w:left="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sz w:val="24"/>
          <w:szCs w:val="24"/>
        </w:rPr>
        <w:t>To th</w:t>
      </w:r>
      <w:r w:rsidR="003B3128" w:rsidRPr="00E85B48">
        <w:rPr>
          <w:rFonts w:ascii="Times New Roman" w:hAnsi="Times New Roman" w:cs="Times New Roman"/>
          <w:sz w:val="24"/>
          <w:szCs w:val="24"/>
        </w:rPr>
        <w:t>at</w:t>
      </w:r>
      <w:r w:rsidRPr="00E85B48">
        <w:rPr>
          <w:rFonts w:ascii="Times New Roman" w:hAnsi="Times New Roman" w:cs="Times New Roman"/>
          <w:sz w:val="24"/>
          <w:szCs w:val="24"/>
        </w:rPr>
        <w:t xml:space="preserve"> end, </w:t>
      </w:r>
      <w:r w:rsidR="0039302D" w:rsidRPr="00E85B48">
        <w:rPr>
          <w:rFonts w:ascii="Times New Roman" w:hAnsi="Times New Roman" w:cs="Times New Roman"/>
          <w:sz w:val="24"/>
          <w:szCs w:val="24"/>
        </w:rPr>
        <w:t xml:space="preserve">this statement </w:t>
      </w:r>
      <w:r w:rsidR="00503D86" w:rsidRPr="00E85B48">
        <w:rPr>
          <w:rFonts w:ascii="Times New Roman" w:hAnsi="Times New Roman" w:cs="Times New Roman"/>
          <w:sz w:val="24"/>
          <w:szCs w:val="24"/>
        </w:rPr>
        <w:t xml:space="preserve">will focus </w:t>
      </w:r>
      <w:r w:rsidR="003B3128" w:rsidRPr="00E85B48">
        <w:rPr>
          <w:rFonts w:ascii="Times New Roman" w:hAnsi="Times New Roman" w:cs="Times New Roman"/>
          <w:sz w:val="24"/>
          <w:szCs w:val="24"/>
        </w:rPr>
        <w:t xml:space="preserve">first </w:t>
      </w:r>
      <w:r w:rsidR="00503D86" w:rsidRPr="00E85B48">
        <w:rPr>
          <w:rFonts w:ascii="Times New Roman" w:hAnsi="Times New Roman" w:cs="Times New Roman"/>
          <w:sz w:val="24"/>
          <w:szCs w:val="24"/>
        </w:rPr>
        <w:t>on the correct legal standard for determining</w:t>
      </w:r>
      <w:r w:rsidR="003B3128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503D86" w:rsidRPr="00E85B48">
        <w:rPr>
          <w:rFonts w:ascii="Times New Roman" w:hAnsi="Times New Roman" w:cs="Times New Roman"/>
          <w:sz w:val="24"/>
          <w:szCs w:val="24"/>
        </w:rPr>
        <w:t xml:space="preserve">‘trade </w:t>
      </w:r>
      <w:r w:rsidR="00F70004" w:rsidRPr="00E85B48">
        <w:rPr>
          <w:rFonts w:ascii="Times New Roman" w:hAnsi="Times New Roman" w:cs="Times New Roman"/>
          <w:sz w:val="24"/>
          <w:szCs w:val="24"/>
        </w:rPr>
        <w:t>restrictiveness</w:t>
      </w:r>
      <w:r w:rsidR="00503D86" w:rsidRPr="00E85B48">
        <w:rPr>
          <w:rFonts w:ascii="Times New Roman" w:hAnsi="Times New Roman" w:cs="Times New Roman"/>
          <w:sz w:val="24"/>
          <w:szCs w:val="24"/>
        </w:rPr>
        <w:t>’, ‘contribution’ and ‘less trade restrictive alternatives’ under Article 2.2 of the TBT Agreement; and</w:t>
      </w:r>
      <w:r w:rsidR="003B3128" w:rsidRPr="00E85B48">
        <w:rPr>
          <w:rFonts w:ascii="Times New Roman" w:hAnsi="Times New Roman" w:cs="Times New Roman"/>
          <w:sz w:val="24"/>
          <w:szCs w:val="24"/>
        </w:rPr>
        <w:t xml:space="preserve"> second on the meaning of</w:t>
      </w:r>
      <w:r w:rsidR="00503D86" w:rsidRPr="00E85B48">
        <w:rPr>
          <w:rFonts w:ascii="Times New Roman" w:hAnsi="Times New Roman" w:cs="Times New Roman"/>
          <w:sz w:val="24"/>
          <w:szCs w:val="24"/>
        </w:rPr>
        <w:t xml:space="preserve"> ‘</w:t>
      </w:r>
      <w:r w:rsidR="00834039" w:rsidRPr="00E85B48">
        <w:rPr>
          <w:rFonts w:ascii="Times New Roman" w:hAnsi="Times New Roman" w:cs="Times New Roman"/>
          <w:sz w:val="24"/>
          <w:szCs w:val="24"/>
        </w:rPr>
        <w:t xml:space="preserve">necessary’ </w:t>
      </w:r>
      <w:r w:rsidR="00503D86" w:rsidRPr="00E85B48">
        <w:rPr>
          <w:rFonts w:ascii="Times New Roman" w:hAnsi="Times New Roman" w:cs="Times New Roman"/>
          <w:sz w:val="24"/>
          <w:szCs w:val="24"/>
        </w:rPr>
        <w:t>and ‘relat</w:t>
      </w:r>
      <w:r w:rsidR="00834039" w:rsidRPr="00E85B48">
        <w:rPr>
          <w:rFonts w:ascii="Times New Roman" w:hAnsi="Times New Roman" w:cs="Times New Roman"/>
          <w:sz w:val="24"/>
          <w:szCs w:val="24"/>
        </w:rPr>
        <w:t>ing</w:t>
      </w:r>
      <w:r w:rsidR="00503D86" w:rsidRPr="00E85B48">
        <w:rPr>
          <w:rFonts w:ascii="Times New Roman" w:hAnsi="Times New Roman" w:cs="Times New Roman"/>
          <w:sz w:val="24"/>
          <w:szCs w:val="24"/>
        </w:rPr>
        <w:t xml:space="preserve"> to’ </w:t>
      </w:r>
      <w:r w:rsidR="00892E10" w:rsidRPr="00E85B48">
        <w:rPr>
          <w:rFonts w:ascii="Times New Roman" w:hAnsi="Times New Roman" w:cs="Times New Roman"/>
          <w:sz w:val="24"/>
          <w:szCs w:val="24"/>
        </w:rPr>
        <w:t xml:space="preserve">in certain paragraphs of </w:t>
      </w:r>
      <w:r w:rsidR="00503D86" w:rsidRPr="00E85B48">
        <w:rPr>
          <w:rFonts w:ascii="Times New Roman" w:hAnsi="Times New Roman" w:cs="Times New Roman"/>
          <w:sz w:val="24"/>
          <w:szCs w:val="24"/>
        </w:rPr>
        <w:t>Article XX</w:t>
      </w:r>
      <w:r w:rsidR="00892E10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503D86" w:rsidRPr="00E85B48">
        <w:rPr>
          <w:rFonts w:ascii="Times New Roman" w:hAnsi="Times New Roman" w:cs="Times New Roman"/>
          <w:sz w:val="24"/>
          <w:szCs w:val="24"/>
        </w:rPr>
        <w:t xml:space="preserve">of the GATT 1994. </w:t>
      </w:r>
    </w:p>
    <w:p w14:paraId="7404AE27" w14:textId="5C818DD2" w:rsidR="00503D86" w:rsidRPr="00E85B48" w:rsidRDefault="00300B37" w:rsidP="009E1179">
      <w:pPr>
        <w:pStyle w:val="ListParagraph"/>
        <w:numPr>
          <w:ilvl w:val="0"/>
          <w:numId w:val="2"/>
        </w:numPr>
        <w:spacing w:before="100" w:beforeAutospacing="1"/>
        <w:ind w:left="0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sz w:val="24"/>
          <w:szCs w:val="24"/>
        </w:rPr>
        <w:t xml:space="preserve">Australia </w:t>
      </w:r>
      <w:r w:rsidR="003B3128" w:rsidRPr="00E85B48">
        <w:rPr>
          <w:rFonts w:ascii="Times New Roman" w:hAnsi="Times New Roman" w:cs="Times New Roman"/>
          <w:sz w:val="24"/>
          <w:szCs w:val="24"/>
        </w:rPr>
        <w:t xml:space="preserve">recalls that it </w:t>
      </w:r>
      <w:r w:rsidRPr="00E85B48">
        <w:rPr>
          <w:rFonts w:ascii="Times New Roman" w:hAnsi="Times New Roman" w:cs="Times New Roman"/>
          <w:sz w:val="24"/>
          <w:szCs w:val="24"/>
        </w:rPr>
        <w:t>has previously provided similar observations to th</w:t>
      </w:r>
      <w:r w:rsidR="00892E10" w:rsidRPr="00E85B48">
        <w:rPr>
          <w:rFonts w:ascii="Times New Roman" w:hAnsi="Times New Roman" w:cs="Times New Roman"/>
          <w:sz w:val="24"/>
          <w:szCs w:val="24"/>
        </w:rPr>
        <w:t>e members of this</w:t>
      </w:r>
      <w:r w:rsidRPr="00E85B48">
        <w:rPr>
          <w:rFonts w:ascii="Times New Roman" w:hAnsi="Times New Roman" w:cs="Times New Roman"/>
          <w:sz w:val="24"/>
          <w:szCs w:val="24"/>
        </w:rPr>
        <w:t xml:space="preserve"> panel in its submission </w:t>
      </w:r>
      <w:r w:rsidR="003B3128" w:rsidRPr="00E85B48">
        <w:rPr>
          <w:rFonts w:ascii="Times New Roman" w:hAnsi="Times New Roman" w:cs="Times New Roman"/>
          <w:sz w:val="24"/>
          <w:szCs w:val="24"/>
        </w:rPr>
        <w:t xml:space="preserve">in the proceedings for </w:t>
      </w:r>
      <w:r w:rsidRPr="00E85B48">
        <w:rPr>
          <w:rFonts w:ascii="Times New Roman" w:hAnsi="Times New Roman" w:cs="Times New Roman"/>
          <w:sz w:val="24"/>
          <w:szCs w:val="24"/>
        </w:rPr>
        <w:t>DS593,</w:t>
      </w:r>
      <w:r w:rsidR="0001481D" w:rsidRPr="00E85B48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E85B48">
        <w:rPr>
          <w:rFonts w:ascii="Times New Roman" w:hAnsi="Times New Roman" w:cs="Times New Roman"/>
          <w:sz w:val="24"/>
          <w:szCs w:val="24"/>
        </w:rPr>
        <w:t xml:space="preserve"> and our views remain unchanged.</w:t>
      </w:r>
      <w:r w:rsidR="00912374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Pr="00E85B48">
        <w:rPr>
          <w:rFonts w:ascii="Times New Roman" w:hAnsi="Times New Roman" w:cs="Times New Roman"/>
          <w:sz w:val="24"/>
          <w:szCs w:val="24"/>
        </w:rPr>
        <w:t xml:space="preserve">Australia thanks </w:t>
      </w:r>
      <w:r w:rsidR="003B3128" w:rsidRPr="00E85B48">
        <w:rPr>
          <w:rFonts w:ascii="Times New Roman" w:hAnsi="Times New Roman" w:cs="Times New Roman"/>
          <w:sz w:val="24"/>
          <w:szCs w:val="24"/>
        </w:rPr>
        <w:t>the p</w:t>
      </w:r>
      <w:r w:rsidRPr="00E85B48">
        <w:rPr>
          <w:rFonts w:ascii="Times New Roman" w:hAnsi="Times New Roman" w:cs="Times New Roman"/>
          <w:sz w:val="24"/>
          <w:szCs w:val="24"/>
        </w:rPr>
        <w:t>anel for the advance questions to the</w:t>
      </w:r>
      <w:r w:rsidR="0037372F">
        <w:rPr>
          <w:rFonts w:ascii="Times New Roman" w:hAnsi="Times New Roman" w:cs="Times New Roman"/>
          <w:sz w:val="24"/>
          <w:szCs w:val="24"/>
        </w:rPr>
        <w:t xml:space="preserve"> third</w:t>
      </w:r>
      <w:r w:rsidRPr="00E85B48">
        <w:rPr>
          <w:rFonts w:ascii="Times New Roman" w:hAnsi="Times New Roman" w:cs="Times New Roman"/>
          <w:sz w:val="24"/>
          <w:szCs w:val="24"/>
        </w:rPr>
        <w:t xml:space="preserve"> parties in this </w:t>
      </w:r>
      <w:proofErr w:type="gramStart"/>
      <w:r w:rsidRPr="00E85B48">
        <w:rPr>
          <w:rFonts w:ascii="Times New Roman" w:hAnsi="Times New Roman" w:cs="Times New Roman"/>
          <w:sz w:val="24"/>
          <w:szCs w:val="24"/>
        </w:rPr>
        <w:t>dispute, and</w:t>
      </w:r>
      <w:proofErr w:type="gramEnd"/>
      <w:r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512067" w:rsidRPr="00E85B48">
        <w:rPr>
          <w:rFonts w:ascii="Times New Roman" w:hAnsi="Times New Roman" w:cs="Times New Roman"/>
          <w:sz w:val="24"/>
          <w:szCs w:val="24"/>
        </w:rPr>
        <w:t>will</w:t>
      </w:r>
      <w:r w:rsidR="00892E10" w:rsidRPr="00E85B48">
        <w:rPr>
          <w:rFonts w:ascii="Times New Roman" w:hAnsi="Times New Roman" w:cs="Times New Roman"/>
          <w:sz w:val="24"/>
          <w:szCs w:val="24"/>
        </w:rPr>
        <w:t xml:space="preserve"> provide written responses in due course</w:t>
      </w:r>
      <w:r w:rsidRPr="00E85B48">
        <w:rPr>
          <w:rFonts w:ascii="Times New Roman" w:hAnsi="Times New Roman" w:cs="Times New Roman"/>
          <w:sz w:val="24"/>
          <w:szCs w:val="24"/>
        </w:rPr>
        <w:t>.</w:t>
      </w:r>
      <w:r w:rsidR="00912374" w:rsidRPr="00E85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4318C" w14:textId="5AD9760F" w:rsidR="00F70004" w:rsidRPr="00E85B48" w:rsidRDefault="00F70004" w:rsidP="009E1179">
      <w:pPr>
        <w:pStyle w:val="ListParagraph"/>
        <w:spacing w:before="100" w:beforeAutospacing="1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E85B48">
        <w:rPr>
          <w:rFonts w:ascii="Times New Roman" w:hAnsi="Times New Roman" w:cs="Times New Roman"/>
          <w:b/>
          <w:bCs/>
          <w:sz w:val="24"/>
          <w:szCs w:val="24"/>
        </w:rPr>
        <w:t>Trade Restrictiveness of the Technical Regulation</w:t>
      </w:r>
    </w:p>
    <w:p w14:paraId="5C540104" w14:textId="4D337FD1" w:rsidR="006A6B2B" w:rsidRPr="00E85B48" w:rsidRDefault="006A6B2B" w:rsidP="009E1179">
      <w:pPr>
        <w:pStyle w:val="ListParagraph"/>
        <w:numPr>
          <w:ilvl w:val="0"/>
          <w:numId w:val="2"/>
        </w:numPr>
        <w:spacing w:before="100" w:beforeAutospacing="1"/>
        <w:ind w:left="0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sz w:val="24"/>
          <w:szCs w:val="24"/>
        </w:rPr>
        <w:t>First</w:t>
      </w:r>
      <w:r w:rsidR="00E671FB">
        <w:rPr>
          <w:rFonts w:ascii="Times New Roman" w:hAnsi="Times New Roman" w:cs="Times New Roman"/>
          <w:sz w:val="24"/>
          <w:szCs w:val="24"/>
        </w:rPr>
        <w:t>,</w:t>
      </w:r>
      <w:r w:rsidRPr="00E85B48">
        <w:rPr>
          <w:rFonts w:ascii="Times New Roman" w:hAnsi="Times New Roman" w:cs="Times New Roman"/>
          <w:sz w:val="24"/>
          <w:szCs w:val="24"/>
        </w:rPr>
        <w:t xml:space="preserve"> Australia provide</w:t>
      </w:r>
      <w:r w:rsidR="00C64CB9">
        <w:rPr>
          <w:rFonts w:ascii="Times New Roman" w:hAnsi="Times New Roman" w:cs="Times New Roman"/>
          <w:sz w:val="24"/>
          <w:szCs w:val="24"/>
        </w:rPr>
        <w:t>s</w:t>
      </w:r>
      <w:r w:rsidRPr="00E85B48">
        <w:rPr>
          <w:rFonts w:ascii="Times New Roman" w:hAnsi="Times New Roman" w:cs="Times New Roman"/>
          <w:sz w:val="24"/>
          <w:szCs w:val="24"/>
        </w:rPr>
        <w:t xml:space="preserve"> some observations on determining the </w:t>
      </w:r>
      <w:r w:rsidR="009310A2" w:rsidRPr="00E85B48">
        <w:rPr>
          <w:rFonts w:ascii="Times New Roman" w:hAnsi="Times New Roman" w:cs="Times New Roman"/>
          <w:sz w:val="24"/>
          <w:szCs w:val="24"/>
        </w:rPr>
        <w:t>'</w:t>
      </w:r>
      <w:r w:rsidRPr="00E85B48">
        <w:rPr>
          <w:rFonts w:ascii="Times New Roman" w:hAnsi="Times New Roman" w:cs="Times New Roman"/>
          <w:sz w:val="24"/>
          <w:szCs w:val="24"/>
        </w:rPr>
        <w:t>trade restrictiveness</w:t>
      </w:r>
      <w:r w:rsidR="009310A2" w:rsidRPr="00E85B48">
        <w:rPr>
          <w:rFonts w:ascii="Times New Roman" w:hAnsi="Times New Roman" w:cs="Times New Roman"/>
          <w:sz w:val="24"/>
          <w:szCs w:val="24"/>
        </w:rPr>
        <w:t>'</w:t>
      </w:r>
      <w:r w:rsidRPr="00E85B48">
        <w:rPr>
          <w:rFonts w:ascii="Times New Roman" w:hAnsi="Times New Roman" w:cs="Times New Roman"/>
          <w:sz w:val="24"/>
          <w:szCs w:val="24"/>
        </w:rPr>
        <w:t xml:space="preserve"> of </w:t>
      </w:r>
      <w:r w:rsidR="00BD1B91" w:rsidRPr="00E85B48">
        <w:rPr>
          <w:rFonts w:ascii="Times New Roman" w:hAnsi="Times New Roman" w:cs="Times New Roman"/>
          <w:sz w:val="24"/>
          <w:szCs w:val="24"/>
        </w:rPr>
        <w:t>a</w:t>
      </w:r>
      <w:r w:rsidRPr="00E85B48">
        <w:rPr>
          <w:rFonts w:ascii="Times New Roman" w:hAnsi="Times New Roman" w:cs="Times New Roman"/>
          <w:sz w:val="24"/>
          <w:szCs w:val="24"/>
        </w:rPr>
        <w:t xml:space="preserve"> technical regulation.</w:t>
      </w:r>
      <w:r w:rsidR="00912374" w:rsidRPr="00E85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9DB65" w14:textId="0C743C14" w:rsidR="00674AEB" w:rsidRPr="00E85B48" w:rsidRDefault="00674AEB" w:rsidP="009E1179">
      <w:pPr>
        <w:pStyle w:val="ListParagraph"/>
        <w:numPr>
          <w:ilvl w:val="0"/>
          <w:numId w:val="2"/>
        </w:numPr>
        <w:spacing w:before="100" w:beforeAutospacing="1"/>
        <w:ind w:left="0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color w:val="000000"/>
          <w:sz w:val="24"/>
          <w:szCs w:val="24"/>
        </w:rPr>
        <w:t>In Australia's view, t</w:t>
      </w:r>
      <w:r w:rsidRPr="00E85B48">
        <w:rPr>
          <w:rFonts w:ascii="Times New Roman" w:hAnsi="Times New Roman" w:cs="Times New Roman"/>
          <w:sz w:val="24"/>
          <w:szCs w:val="24"/>
        </w:rPr>
        <w:t xml:space="preserve">o determine the extent of </w:t>
      </w:r>
      <w:r w:rsidR="009310A2" w:rsidRPr="00E85B48">
        <w:rPr>
          <w:rFonts w:ascii="Times New Roman" w:hAnsi="Times New Roman" w:cs="Times New Roman"/>
          <w:sz w:val="24"/>
          <w:szCs w:val="24"/>
        </w:rPr>
        <w:t>'</w:t>
      </w:r>
      <w:r w:rsidRPr="00E85B48">
        <w:rPr>
          <w:rFonts w:ascii="Times New Roman" w:hAnsi="Times New Roman" w:cs="Times New Roman"/>
          <w:sz w:val="24"/>
          <w:szCs w:val="24"/>
        </w:rPr>
        <w:t>trade restrictiveness'</w:t>
      </w:r>
      <w:r w:rsidR="00E23A35" w:rsidRPr="00E85B48">
        <w:rPr>
          <w:rFonts w:ascii="Times New Roman" w:hAnsi="Times New Roman" w:cs="Times New Roman"/>
          <w:sz w:val="24"/>
          <w:szCs w:val="24"/>
        </w:rPr>
        <w:t>,</w:t>
      </w:r>
      <w:r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the panel should be guided by </w:t>
      </w:r>
      <w:r w:rsidR="00E671FB">
        <w:rPr>
          <w:rFonts w:ascii="Times New Roman" w:hAnsi="Times New Roman" w:cs="Times New Roman"/>
          <w:color w:val="000000"/>
          <w:sz w:val="24"/>
          <w:szCs w:val="24"/>
        </w:rPr>
        <w:t xml:space="preserve">what </w:t>
      </w:r>
      <w:r w:rsidRPr="00E85B48">
        <w:rPr>
          <w:rFonts w:ascii="Times New Roman" w:hAnsi="Times New Roman" w:cs="Times New Roman"/>
          <w:sz w:val="24"/>
          <w:szCs w:val="24"/>
        </w:rPr>
        <w:t xml:space="preserve">the Appellate Body </w:t>
      </w:r>
      <w:r w:rsidR="00E671FB">
        <w:rPr>
          <w:rFonts w:ascii="Times New Roman" w:hAnsi="Times New Roman" w:cs="Times New Roman"/>
          <w:sz w:val="24"/>
          <w:szCs w:val="24"/>
        </w:rPr>
        <w:t xml:space="preserve">said </w:t>
      </w:r>
      <w:r w:rsidRPr="00E85B48">
        <w:rPr>
          <w:rFonts w:ascii="Times New Roman" w:hAnsi="Times New Roman" w:cs="Times New Roman"/>
          <w:sz w:val="24"/>
          <w:szCs w:val="24"/>
        </w:rPr>
        <w:t xml:space="preserve">in </w:t>
      </w:r>
      <w:r w:rsidRPr="00E85B48">
        <w:rPr>
          <w:rFonts w:ascii="Times New Roman" w:hAnsi="Times New Roman" w:cs="Times New Roman"/>
          <w:i/>
          <w:iCs/>
          <w:sz w:val="24"/>
          <w:szCs w:val="24"/>
        </w:rPr>
        <w:t>Australia – Tobacco Plain Packaging</w:t>
      </w:r>
      <w:r w:rsidRPr="00E85B48">
        <w:rPr>
          <w:rFonts w:ascii="Times New Roman" w:hAnsi="Times New Roman" w:cs="Times New Roman"/>
          <w:sz w:val="24"/>
          <w:szCs w:val="24"/>
        </w:rPr>
        <w:t>.</w:t>
      </w:r>
      <w:r w:rsidR="00912374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C64CB9">
        <w:rPr>
          <w:rFonts w:ascii="Times New Roman" w:hAnsi="Times New Roman" w:cs="Times New Roman"/>
          <w:sz w:val="24"/>
          <w:szCs w:val="24"/>
        </w:rPr>
        <w:t>That is</w:t>
      </w:r>
      <w:r w:rsidRPr="00E85B48">
        <w:rPr>
          <w:rFonts w:ascii="Times New Roman" w:hAnsi="Times New Roman" w:cs="Times New Roman"/>
          <w:sz w:val="24"/>
          <w:szCs w:val="24"/>
        </w:rPr>
        <w:t xml:space="preserve">, </w:t>
      </w:r>
      <w:r w:rsidR="00476F5F" w:rsidRPr="00E85B48">
        <w:rPr>
          <w:rFonts w:ascii="Times New Roman" w:hAnsi="Times New Roman" w:cs="Times New Roman"/>
          <w:sz w:val="24"/>
          <w:szCs w:val="24"/>
        </w:rPr>
        <w:t>it</w:t>
      </w:r>
      <w:r w:rsidRPr="00E85B48">
        <w:rPr>
          <w:rFonts w:ascii="Times New Roman" w:hAnsi="Times New Roman" w:cs="Times New Roman"/>
          <w:sz w:val="24"/>
          <w:szCs w:val="24"/>
        </w:rPr>
        <w:t xml:space="preserve"> should examine the structure, design</w:t>
      </w:r>
      <w:r w:rsidR="00E23A35" w:rsidRPr="00E85B48">
        <w:rPr>
          <w:rFonts w:ascii="Times New Roman" w:hAnsi="Times New Roman" w:cs="Times New Roman"/>
          <w:sz w:val="24"/>
          <w:szCs w:val="24"/>
        </w:rPr>
        <w:t>,</w:t>
      </w:r>
      <w:r w:rsidRPr="00E85B48">
        <w:rPr>
          <w:rFonts w:ascii="Times New Roman" w:hAnsi="Times New Roman" w:cs="Times New Roman"/>
          <w:sz w:val="24"/>
          <w:szCs w:val="24"/>
        </w:rPr>
        <w:t xml:space="preserve"> and operation of the measure, as well as </w:t>
      </w:r>
      <w:proofErr w:type="gramStart"/>
      <w:r w:rsidRPr="00E85B48">
        <w:rPr>
          <w:rFonts w:ascii="Times New Roman" w:hAnsi="Times New Roman" w:cs="Times New Roman"/>
          <w:sz w:val="24"/>
          <w:szCs w:val="24"/>
        </w:rPr>
        <w:t>take</w:t>
      </w:r>
      <w:r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B48">
        <w:rPr>
          <w:rFonts w:ascii="Times New Roman" w:hAnsi="Times New Roman" w:cs="Times New Roman"/>
          <w:sz w:val="24"/>
          <w:szCs w:val="24"/>
        </w:rPr>
        <w:t>into account</w:t>
      </w:r>
      <w:proofErr w:type="gramEnd"/>
      <w:r w:rsidRPr="00E85B48">
        <w:rPr>
          <w:rFonts w:ascii="Times New Roman" w:hAnsi="Times New Roman" w:cs="Times New Roman"/>
          <w:sz w:val="24"/>
          <w:szCs w:val="24"/>
        </w:rPr>
        <w:t xml:space="preserve"> all relevant evidence adduced by the parties.</w:t>
      </w:r>
      <w:r w:rsidRPr="00E85B48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912374" w:rsidRPr="00E85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31110" w14:textId="13E5C721" w:rsidR="00F70004" w:rsidRDefault="007F6D87" w:rsidP="009E1179">
      <w:pPr>
        <w:pStyle w:val="ListParagraph"/>
        <w:numPr>
          <w:ilvl w:val="0"/>
          <w:numId w:val="2"/>
        </w:numPr>
        <w:spacing w:before="100" w:beforeAutospacing="1"/>
        <w:ind w:left="0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sz w:val="24"/>
          <w:szCs w:val="24"/>
        </w:rPr>
        <w:t>In its first written submission, the EU contend</w:t>
      </w:r>
      <w:r w:rsidR="002E4D49">
        <w:rPr>
          <w:rFonts w:ascii="Times New Roman" w:hAnsi="Times New Roman" w:cs="Times New Roman"/>
          <w:sz w:val="24"/>
          <w:szCs w:val="24"/>
        </w:rPr>
        <w:t>ed</w:t>
      </w:r>
      <w:r w:rsidRPr="00E85B48">
        <w:rPr>
          <w:rFonts w:ascii="Times New Roman" w:hAnsi="Times New Roman" w:cs="Times New Roman"/>
          <w:sz w:val="24"/>
          <w:szCs w:val="24"/>
        </w:rPr>
        <w:t xml:space="preserve"> that the trade impact of the measures at issue </w:t>
      </w:r>
      <w:r w:rsidR="00342644" w:rsidRPr="00E85B48">
        <w:rPr>
          <w:rFonts w:ascii="Times New Roman" w:hAnsi="Times New Roman" w:cs="Times New Roman"/>
          <w:sz w:val="24"/>
          <w:szCs w:val="24"/>
        </w:rPr>
        <w:t xml:space="preserve">is </w:t>
      </w:r>
      <w:r w:rsidR="001012CD" w:rsidRPr="00E85B48">
        <w:rPr>
          <w:rFonts w:ascii="Times New Roman" w:hAnsi="Times New Roman" w:cs="Times New Roman"/>
          <w:sz w:val="24"/>
          <w:szCs w:val="24"/>
        </w:rPr>
        <w:t>‘</w:t>
      </w:r>
      <w:r w:rsidRPr="00E85B48">
        <w:rPr>
          <w:rFonts w:ascii="Times New Roman" w:hAnsi="Times New Roman" w:cs="Times New Roman"/>
          <w:sz w:val="24"/>
          <w:szCs w:val="24"/>
        </w:rPr>
        <w:t>not very important</w:t>
      </w:r>
      <w:r w:rsidR="00E05B74" w:rsidRPr="00E85B48">
        <w:rPr>
          <w:rFonts w:ascii="Times New Roman" w:hAnsi="Times New Roman" w:cs="Times New Roman"/>
          <w:sz w:val="24"/>
          <w:szCs w:val="24"/>
        </w:rPr>
        <w:t>’</w:t>
      </w:r>
      <w:r w:rsidRPr="00E85B48">
        <w:rPr>
          <w:rFonts w:ascii="Times New Roman" w:hAnsi="Times New Roman" w:cs="Times New Roman"/>
          <w:sz w:val="24"/>
          <w:szCs w:val="24"/>
        </w:rPr>
        <w:t xml:space="preserve"> because they do not prevent market access.</w:t>
      </w:r>
      <w:r w:rsidR="00A67BCB" w:rsidRPr="00E85B48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4843EE" w:rsidRPr="00E85B48">
        <w:rPr>
          <w:rFonts w:ascii="Times New Roman" w:hAnsi="Times New Roman" w:cs="Times New Roman"/>
          <w:sz w:val="24"/>
          <w:szCs w:val="24"/>
        </w:rPr>
        <w:t>Australia does not agree</w:t>
      </w:r>
      <w:r w:rsidR="00E671FB">
        <w:rPr>
          <w:rFonts w:ascii="Times New Roman" w:hAnsi="Times New Roman" w:cs="Times New Roman"/>
          <w:sz w:val="24"/>
          <w:szCs w:val="24"/>
        </w:rPr>
        <w:t xml:space="preserve"> with this contention</w:t>
      </w:r>
      <w:r w:rsidR="004843EE" w:rsidRPr="00E85B48">
        <w:rPr>
          <w:rFonts w:ascii="Times New Roman" w:hAnsi="Times New Roman" w:cs="Times New Roman"/>
          <w:sz w:val="24"/>
          <w:szCs w:val="24"/>
        </w:rPr>
        <w:t xml:space="preserve">. </w:t>
      </w:r>
      <w:r w:rsidR="0035150F" w:rsidRPr="00E85B48">
        <w:rPr>
          <w:rFonts w:ascii="Times New Roman" w:hAnsi="Times New Roman" w:cs="Times New Roman"/>
          <w:sz w:val="24"/>
          <w:szCs w:val="24"/>
        </w:rPr>
        <w:t>T</w:t>
      </w:r>
      <w:r w:rsidRPr="00E85B48">
        <w:rPr>
          <w:rFonts w:ascii="Times New Roman" w:hAnsi="Times New Roman" w:cs="Times New Roman"/>
          <w:sz w:val="24"/>
          <w:szCs w:val="24"/>
        </w:rPr>
        <w:t>he prevention of market access is not the appropriate legal standard for determining the degree of ‘trade restrictiveness’ under Article 2.2.</w:t>
      </w:r>
    </w:p>
    <w:p w14:paraId="64A17462" w14:textId="1116A48E" w:rsidR="001900F8" w:rsidRPr="001900F8" w:rsidRDefault="001900F8" w:rsidP="001900F8">
      <w:pPr>
        <w:pStyle w:val="ListParagraph"/>
        <w:numPr>
          <w:ilvl w:val="0"/>
          <w:numId w:val="2"/>
        </w:numPr>
        <w:spacing w:before="100" w:beforeAutospacing="1"/>
        <w:ind w:left="0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1900F8">
        <w:rPr>
          <w:rFonts w:ascii="Times New Roman" w:hAnsi="Times New Roman" w:cs="Times New Roman"/>
          <w:sz w:val="24"/>
          <w:szCs w:val="24"/>
        </w:rPr>
        <w:t>It is well established that Article 2.2 of the TBT Agreement recognises trade restrictiveness is permissible</w:t>
      </w:r>
      <w:r>
        <w:rPr>
          <w:rFonts w:ascii="Times New Roman" w:hAnsi="Times New Roman" w:cs="Times New Roman"/>
          <w:sz w:val="24"/>
          <w:szCs w:val="24"/>
        </w:rPr>
        <w:t>. W</w:t>
      </w:r>
      <w:r w:rsidRPr="001900F8">
        <w:rPr>
          <w:rFonts w:ascii="Times New Roman" w:hAnsi="Times New Roman" w:cs="Times New Roman"/>
          <w:sz w:val="24"/>
          <w:szCs w:val="24"/>
        </w:rPr>
        <w:t xml:space="preserve">hat is </w:t>
      </w:r>
      <w:proofErr w:type="gramStart"/>
      <w:r w:rsidRPr="001900F8">
        <w:rPr>
          <w:rFonts w:ascii="Times New Roman" w:hAnsi="Times New Roman" w:cs="Times New Roman"/>
          <w:sz w:val="24"/>
          <w:szCs w:val="24"/>
        </w:rPr>
        <w:t>actually prohibited</w:t>
      </w:r>
      <w:proofErr w:type="gramEnd"/>
      <w:r w:rsidRPr="001900F8">
        <w:rPr>
          <w:rFonts w:ascii="Times New Roman" w:hAnsi="Times New Roman" w:cs="Times New Roman"/>
          <w:sz w:val="24"/>
          <w:szCs w:val="24"/>
        </w:rPr>
        <w:t xml:space="preserve"> are those restrictions on international trade that go </w:t>
      </w:r>
      <w:r w:rsidRPr="001900F8">
        <w:rPr>
          <w:rFonts w:ascii="Times New Roman" w:hAnsi="Times New Roman" w:cs="Times New Roman"/>
          <w:sz w:val="24"/>
          <w:szCs w:val="24"/>
        </w:rPr>
        <w:lastRenderedPageBreak/>
        <w:t xml:space="preserve">beyond what is necessary to achieve the degree of contribution that a technical regulation makes to </w:t>
      </w:r>
      <w:r w:rsidR="001224C3">
        <w:rPr>
          <w:rFonts w:ascii="Times New Roman" w:hAnsi="Times New Roman" w:cs="Times New Roman"/>
          <w:sz w:val="24"/>
          <w:szCs w:val="24"/>
        </w:rPr>
        <w:t>a</w:t>
      </w:r>
      <w:r w:rsidR="001224C3" w:rsidRPr="001900F8">
        <w:rPr>
          <w:rFonts w:ascii="Times New Roman" w:hAnsi="Times New Roman" w:cs="Times New Roman"/>
          <w:sz w:val="24"/>
          <w:szCs w:val="24"/>
        </w:rPr>
        <w:t xml:space="preserve"> </w:t>
      </w:r>
      <w:r w:rsidRPr="001900F8">
        <w:rPr>
          <w:rFonts w:ascii="Times New Roman" w:hAnsi="Times New Roman" w:cs="Times New Roman"/>
          <w:sz w:val="24"/>
          <w:szCs w:val="24"/>
        </w:rPr>
        <w:t xml:space="preserve">legitimate objective.  </w:t>
      </w:r>
    </w:p>
    <w:p w14:paraId="64C69731" w14:textId="162173B3" w:rsidR="0035150F" w:rsidRPr="001900F8" w:rsidRDefault="007F0797" w:rsidP="001900F8">
      <w:pPr>
        <w:pStyle w:val="ListParagraph"/>
        <w:numPr>
          <w:ilvl w:val="0"/>
          <w:numId w:val="2"/>
        </w:numPr>
        <w:spacing w:before="100" w:beforeAutospacing="1"/>
        <w:ind w:left="0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1900F8">
        <w:rPr>
          <w:rFonts w:ascii="Times New Roman" w:hAnsi="Times New Roman" w:cs="Times New Roman"/>
          <w:sz w:val="24"/>
          <w:szCs w:val="24"/>
        </w:rPr>
        <w:t xml:space="preserve">In determining the degree of ‘trade restrictiveness,’ a panel should not limit its examination to a subset of the evidence, such as market access. </w:t>
      </w:r>
      <w:r w:rsidR="00DB17F4" w:rsidRPr="001900F8">
        <w:rPr>
          <w:rFonts w:ascii="Times New Roman" w:hAnsi="Times New Roman" w:cs="Times New Roman"/>
          <w:color w:val="000000"/>
          <w:sz w:val="24"/>
          <w:szCs w:val="24"/>
        </w:rPr>
        <w:t xml:space="preserve">Rather, </w:t>
      </w:r>
      <w:proofErr w:type="gramStart"/>
      <w:r w:rsidR="00342644" w:rsidRPr="001900F8">
        <w:rPr>
          <w:rFonts w:ascii="Times New Roman" w:hAnsi="Times New Roman" w:cs="Times New Roman"/>
          <w:color w:val="000000"/>
          <w:sz w:val="24"/>
          <w:szCs w:val="24"/>
        </w:rPr>
        <w:t>qualitative</w:t>
      </w:r>
      <w:proofErr w:type="gramEnd"/>
      <w:r w:rsidR="007F6D87" w:rsidRPr="001900F8">
        <w:rPr>
          <w:rFonts w:ascii="Times New Roman" w:hAnsi="Times New Roman" w:cs="Times New Roman"/>
          <w:color w:val="000000"/>
          <w:sz w:val="24"/>
          <w:szCs w:val="24"/>
        </w:rPr>
        <w:t xml:space="preserve"> or quantitative arguments and evidence </w:t>
      </w:r>
      <w:r w:rsidR="007F6D87" w:rsidRPr="001900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demonstrating the complete prevention of market access</w:t>
      </w:r>
      <w:r w:rsidR="007F6D87" w:rsidRPr="001900F8">
        <w:rPr>
          <w:rFonts w:ascii="Times New Roman" w:hAnsi="Times New Roman" w:cs="Times New Roman"/>
          <w:color w:val="000000"/>
          <w:sz w:val="24"/>
          <w:szCs w:val="24"/>
        </w:rPr>
        <w:t>, could be probative to the extent that such evidence demonstrates the degree to which the measures have a limiting effect on trade.</w:t>
      </w:r>
      <w:r w:rsidR="00912374" w:rsidRPr="001900F8">
        <w:rPr>
          <w:rFonts w:ascii="Times New Roman" w:hAnsi="Times New Roman" w:cs="Times New Roman"/>
          <w:sz w:val="24"/>
          <w:szCs w:val="24"/>
        </w:rPr>
        <w:t xml:space="preserve"> </w:t>
      </w:r>
      <w:r w:rsidR="002D4254">
        <w:rPr>
          <w:rFonts w:ascii="Times New Roman" w:hAnsi="Times New Roman" w:cs="Times New Roman"/>
          <w:sz w:val="24"/>
          <w:szCs w:val="24"/>
        </w:rPr>
        <w:t xml:space="preserve">The relevant question is whether the </w:t>
      </w:r>
      <w:r w:rsidR="00E851AD">
        <w:rPr>
          <w:rFonts w:ascii="Times New Roman" w:hAnsi="Times New Roman" w:cs="Times New Roman"/>
          <w:sz w:val="24"/>
          <w:szCs w:val="24"/>
        </w:rPr>
        <w:t xml:space="preserve">trade </w:t>
      </w:r>
      <w:r w:rsidR="00AB543F">
        <w:rPr>
          <w:rFonts w:ascii="Times New Roman" w:hAnsi="Times New Roman" w:cs="Times New Roman"/>
          <w:sz w:val="24"/>
          <w:szCs w:val="24"/>
        </w:rPr>
        <w:t>restrictiveness</w:t>
      </w:r>
      <w:r w:rsidR="00E851AD">
        <w:rPr>
          <w:rFonts w:ascii="Times New Roman" w:hAnsi="Times New Roman" w:cs="Times New Roman"/>
          <w:sz w:val="24"/>
          <w:szCs w:val="24"/>
        </w:rPr>
        <w:t xml:space="preserve"> is </w:t>
      </w:r>
      <w:r w:rsidR="00035ADF">
        <w:rPr>
          <w:rFonts w:ascii="Times New Roman" w:hAnsi="Times New Roman" w:cs="Times New Roman"/>
          <w:sz w:val="24"/>
          <w:szCs w:val="24"/>
        </w:rPr>
        <w:t xml:space="preserve">beyond what is required for a legitimate objective, not whether there is </w:t>
      </w:r>
      <w:r w:rsidR="00AB543F">
        <w:rPr>
          <w:rFonts w:ascii="Times New Roman" w:hAnsi="Times New Roman" w:cs="Times New Roman"/>
          <w:sz w:val="24"/>
          <w:szCs w:val="24"/>
        </w:rPr>
        <w:t xml:space="preserve">market access. </w:t>
      </w:r>
    </w:p>
    <w:p w14:paraId="3AE3A213" w14:textId="5BEF2EA2" w:rsidR="006A6B2B" w:rsidRPr="00E85B48" w:rsidRDefault="007F0797" w:rsidP="009E1179">
      <w:pPr>
        <w:pStyle w:val="ListParagraph"/>
        <w:numPr>
          <w:ilvl w:val="0"/>
          <w:numId w:val="2"/>
        </w:numPr>
        <w:spacing w:before="100" w:beforeAutospacing="1"/>
        <w:ind w:left="0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sz w:val="24"/>
          <w:szCs w:val="24"/>
        </w:rPr>
        <w:t>Second</w:t>
      </w:r>
      <w:r w:rsidR="009939E5" w:rsidRPr="00E85B48">
        <w:rPr>
          <w:rFonts w:ascii="Times New Roman" w:hAnsi="Times New Roman" w:cs="Times New Roman"/>
          <w:sz w:val="24"/>
          <w:szCs w:val="24"/>
        </w:rPr>
        <w:t xml:space="preserve">, </w:t>
      </w:r>
      <w:r w:rsidR="00416C1F" w:rsidRPr="00E85B48">
        <w:rPr>
          <w:rFonts w:ascii="Times New Roman" w:hAnsi="Times New Roman" w:cs="Times New Roman"/>
          <w:sz w:val="24"/>
          <w:szCs w:val="24"/>
        </w:rPr>
        <w:t>Australia recalls that</w:t>
      </w:r>
      <w:r w:rsidR="00E17BFC" w:rsidRPr="00E85B48">
        <w:rPr>
          <w:rFonts w:ascii="Times New Roman" w:hAnsi="Times New Roman" w:cs="Times New Roman"/>
          <w:sz w:val="24"/>
          <w:szCs w:val="24"/>
        </w:rPr>
        <w:t>, in addition to claims under Article 2.2,</w:t>
      </w:r>
      <w:r w:rsidR="00416C1F" w:rsidRPr="00E85B48">
        <w:rPr>
          <w:rFonts w:ascii="Times New Roman" w:hAnsi="Times New Roman" w:cs="Times New Roman"/>
          <w:sz w:val="24"/>
          <w:szCs w:val="24"/>
        </w:rPr>
        <w:t xml:space="preserve"> this </w:t>
      </w:r>
      <w:r w:rsidR="006A0BA2">
        <w:rPr>
          <w:rFonts w:ascii="Times New Roman" w:hAnsi="Times New Roman" w:cs="Times New Roman"/>
          <w:sz w:val="24"/>
          <w:szCs w:val="24"/>
        </w:rPr>
        <w:t>dispute</w:t>
      </w:r>
      <w:r w:rsidR="006A0BA2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416C1F" w:rsidRPr="00E85B48">
        <w:rPr>
          <w:rFonts w:ascii="Times New Roman" w:hAnsi="Times New Roman" w:cs="Times New Roman"/>
          <w:sz w:val="24"/>
          <w:szCs w:val="24"/>
        </w:rPr>
        <w:t>involves claims under Article 2.1</w:t>
      </w:r>
      <w:r w:rsidR="00E671FB">
        <w:rPr>
          <w:rFonts w:ascii="Times New Roman" w:hAnsi="Times New Roman" w:cs="Times New Roman"/>
          <w:sz w:val="24"/>
          <w:szCs w:val="24"/>
        </w:rPr>
        <w:t xml:space="preserve"> of the TBT Agreement</w:t>
      </w:r>
      <w:r w:rsidR="00416C1F" w:rsidRPr="00E85B48">
        <w:rPr>
          <w:rFonts w:ascii="Times New Roman" w:hAnsi="Times New Roman" w:cs="Times New Roman"/>
          <w:sz w:val="24"/>
          <w:szCs w:val="24"/>
        </w:rPr>
        <w:t>.</w:t>
      </w:r>
      <w:r w:rsidR="00912374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416C1F" w:rsidRPr="00E85B48">
        <w:rPr>
          <w:rFonts w:ascii="Times New Roman" w:hAnsi="Times New Roman" w:cs="Times New Roman"/>
          <w:sz w:val="24"/>
          <w:szCs w:val="24"/>
        </w:rPr>
        <w:t xml:space="preserve">In Australia's view, </w:t>
      </w:r>
      <w:r w:rsidR="00416C1F" w:rsidRPr="00E85B48">
        <w:rPr>
          <w:rFonts w:ascii="Times New Roman" w:hAnsi="Times New Roman" w:cs="Times New Roman"/>
          <w:color w:val="000000"/>
          <w:sz w:val="24"/>
          <w:szCs w:val="24"/>
        </w:rPr>
        <w:t>a finding of less favourable treatment by the Panel in relation to Malaysia’s claims under Article 2.1</w:t>
      </w:r>
      <w:r w:rsidR="00416C1F" w:rsidRPr="00E85B48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6"/>
      </w:r>
      <w:r w:rsidR="00416C1F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may have probative value in the Panel’s assessment of ‘trade restrictiveness’ under Article 2.2.</w:t>
      </w:r>
      <w:r w:rsidR="00912374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621F8C" w14:textId="1E083C12" w:rsidR="00256D54" w:rsidRPr="00E85B48" w:rsidRDefault="00DD549D" w:rsidP="009E1179">
      <w:pPr>
        <w:pStyle w:val="ListParagraph"/>
        <w:numPr>
          <w:ilvl w:val="0"/>
          <w:numId w:val="2"/>
        </w:numPr>
        <w:spacing w:before="100" w:beforeAutospacing="1"/>
        <w:ind w:left="0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sz w:val="24"/>
          <w:szCs w:val="24"/>
        </w:rPr>
        <w:t xml:space="preserve">In support of this view, </w:t>
      </w:r>
      <w:r w:rsidR="00704464" w:rsidRPr="00E85B48">
        <w:rPr>
          <w:rFonts w:ascii="Times New Roman" w:hAnsi="Times New Roman" w:cs="Times New Roman"/>
          <w:sz w:val="24"/>
          <w:szCs w:val="24"/>
        </w:rPr>
        <w:t>Australia recalls that t</w:t>
      </w:r>
      <w:r w:rsidR="0035150F" w:rsidRPr="00E85B48">
        <w:rPr>
          <w:rFonts w:ascii="Times New Roman" w:hAnsi="Times New Roman" w:cs="Times New Roman"/>
          <w:sz w:val="24"/>
          <w:szCs w:val="24"/>
        </w:rPr>
        <w:t>he Appellate Body</w:t>
      </w:r>
      <w:r w:rsidR="007F6D87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0E1B96" w:rsidRPr="00E85B48">
        <w:rPr>
          <w:rFonts w:ascii="Times New Roman" w:hAnsi="Times New Roman" w:cs="Times New Roman"/>
          <w:sz w:val="24"/>
          <w:szCs w:val="24"/>
        </w:rPr>
        <w:t xml:space="preserve">in </w:t>
      </w:r>
      <w:r w:rsidR="000E1B96" w:rsidRPr="00E85B48">
        <w:rPr>
          <w:rFonts w:ascii="Times New Roman" w:hAnsi="Times New Roman" w:cs="Times New Roman"/>
          <w:i/>
          <w:iCs/>
          <w:sz w:val="24"/>
          <w:szCs w:val="24"/>
        </w:rPr>
        <w:t>Australia – Tobacco Plain Packaging</w:t>
      </w:r>
      <w:r w:rsidR="000E1B96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256D54" w:rsidRPr="00E85B48">
        <w:rPr>
          <w:rFonts w:ascii="Times New Roman" w:hAnsi="Times New Roman" w:cs="Times New Roman"/>
          <w:sz w:val="24"/>
          <w:szCs w:val="24"/>
        </w:rPr>
        <w:t>indicated that</w:t>
      </w:r>
      <w:r w:rsidR="0035150F" w:rsidRPr="00E85B48">
        <w:rPr>
          <w:rFonts w:ascii="Times New Roman" w:hAnsi="Times New Roman" w:cs="Times New Roman"/>
          <w:sz w:val="24"/>
          <w:szCs w:val="24"/>
        </w:rPr>
        <w:t>,</w:t>
      </w:r>
      <w:r w:rsidR="00256D54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6A6B2B" w:rsidRPr="00E85B48">
        <w:rPr>
          <w:rFonts w:ascii="Times New Roman" w:hAnsi="Times New Roman" w:cs="Times New Roman"/>
          <w:sz w:val="24"/>
          <w:szCs w:val="24"/>
        </w:rPr>
        <w:t>when</w:t>
      </w:r>
      <w:r w:rsidR="002D4F36" w:rsidRPr="00E85B48">
        <w:rPr>
          <w:rFonts w:ascii="Times New Roman" w:hAnsi="Times New Roman" w:cs="Times New Roman"/>
          <w:sz w:val="24"/>
          <w:szCs w:val="24"/>
        </w:rPr>
        <w:t xml:space="preserve"> assessing a claim under Article 2.1 of the TBT Agreement</w:t>
      </w:r>
      <w:r w:rsidR="0035150F" w:rsidRPr="00E85B48">
        <w:rPr>
          <w:rFonts w:ascii="Times New Roman" w:hAnsi="Times New Roman" w:cs="Times New Roman"/>
          <w:sz w:val="24"/>
          <w:szCs w:val="24"/>
        </w:rPr>
        <w:t>,</w:t>
      </w:r>
      <w:r w:rsidR="002D4F36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256D54" w:rsidRPr="00E85B48">
        <w:rPr>
          <w:rFonts w:ascii="Times New Roman" w:hAnsi="Times New Roman" w:cs="Times New Roman"/>
          <w:sz w:val="24"/>
          <w:szCs w:val="24"/>
        </w:rPr>
        <w:t xml:space="preserve">a measure modifying the conditions of competition for </w:t>
      </w:r>
      <w:r w:rsidR="0035150F" w:rsidRPr="00E85B48">
        <w:rPr>
          <w:rFonts w:ascii="Times New Roman" w:hAnsi="Times New Roman" w:cs="Times New Roman"/>
          <w:sz w:val="24"/>
          <w:szCs w:val="24"/>
        </w:rPr>
        <w:t xml:space="preserve">a group of </w:t>
      </w:r>
      <w:r w:rsidR="00256D54" w:rsidRPr="00E85B48">
        <w:rPr>
          <w:rFonts w:ascii="Times New Roman" w:hAnsi="Times New Roman" w:cs="Times New Roman"/>
          <w:sz w:val="24"/>
          <w:szCs w:val="24"/>
        </w:rPr>
        <w:t>imported products</w:t>
      </w:r>
      <w:r w:rsidR="002D5D34">
        <w:rPr>
          <w:rFonts w:ascii="Times New Roman" w:hAnsi="Times New Roman" w:cs="Times New Roman"/>
          <w:sz w:val="24"/>
          <w:szCs w:val="24"/>
        </w:rPr>
        <w:t xml:space="preserve"> </w:t>
      </w:r>
      <w:r w:rsidR="003F6C2F">
        <w:rPr>
          <w:rFonts w:ascii="Times New Roman" w:hAnsi="Times New Roman" w:cs="Times New Roman"/>
          <w:sz w:val="24"/>
          <w:szCs w:val="24"/>
        </w:rPr>
        <w:t xml:space="preserve">– </w:t>
      </w:r>
      <w:r w:rsidR="003F6C2F" w:rsidRPr="00E85B48">
        <w:rPr>
          <w:rFonts w:ascii="Times New Roman" w:hAnsi="Times New Roman" w:cs="Times New Roman"/>
          <w:sz w:val="24"/>
          <w:szCs w:val="24"/>
        </w:rPr>
        <w:t>as</w:t>
      </w:r>
      <w:r w:rsidR="00256D54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0E1B96" w:rsidRPr="00E85B48">
        <w:rPr>
          <w:rFonts w:ascii="Times New Roman" w:hAnsi="Times New Roman" w:cs="Times New Roman"/>
          <w:sz w:val="24"/>
          <w:szCs w:val="24"/>
        </w:rPr>
        <w:t>compared to</w:t>
      </w:r>
      <w:r w:rsidR="00256D54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35150F" w:rsidRPr="00E85B48">
        <w:rPr>
          <w:rFonts w:ascii="Times New Roman" w:hAnsi="Times New Roman" w:cs="Times New Roman"/>
          <w:sz w:val="24"/>
          <w:szCs w:val="24"/>
        </w:rPr>
        <w:t xml:space="preserve">a group of </w:t>
      </w:r>
      <w:r w:rsidR="00256D54" w:rsidRPr="00E85B48">
        <w:rPr>
          <w:rFonts w:ascii="Times New Roman" w:hAnsi="Times New Roman" w:cs="Times New Roman"/>
          <w:sz w:val="24"/>
          <w:szCs w:val="24"/>
        </w:rPr>
        <w:t>domestic products</w:t>
      </w:r>
      <w:r w:rsidR="002D5D34">
        <w:rPr>
          <w:rFonts w:ascii="Times New Roman" w:hAnsi="Times New Roman" w:cs="Times New Roman"/>
          <w:sz w:val="24"/>
          <w:szCs w:val="24"/>
        </w:rPr>
        <w:t xml:space="preserve"> –</w:t>
      </w:r>
      <w:r w:rsidR="00256D54" w:rsidRPr="00E85B48">
        <w:rPr>
          <w:rFonts w:ascii="Times New Roman" w:hAnsi="Times New Roman" w:cs="Times New Roman"/>
          <w:sz w:val="24"/>
          <w:szCs w:val="24"/>
        </w:rPr>
        <w:t xml:space="preserve"> may suffice to indicate that the technical regulation is </w:t>
      </w:r>
      <w:r w:rsidR="002D4F36" w:rsidRPr="00E85B48">
        <w:rPr>
          <w:rFonts w:ascii="Times New Roman" w:hAnsi="Times New Roman" w:cs="Times New Roman"/>
          <w:sz w:val="24"/>
          <w:szCs w:val="24"/>
        </w:rPr>
        <w:t>'</w:t>
      </w:r>
      <w:r w:rsidR="00256D54" w:rsidRPr="00E85B48">
        <w:rPr>
          <w:rFonts w:ascii="Times New Roman" w:hAnsi="Times New Roman" w:cs="Times New Roman"/>
          <w:sz w:val="24"/>
          <w:szCs w:val="24"/>
        </w:rPr>
        <w:t>trade restrictive</w:t>
      </w:r>
      <w:r w:rsidR="002D4F36" w:rsidRPr="00E85B48">
        <w:rPr>
          <w:rFonts w:ascii="Times New Roman" w:hAnsi="Times New Roman" w:cs="Times New Roman"/>
          <w:sz w:val="24"/>
          <w:szCs w:val="24"/>
        </w:rPr>
        <w:t>'</w:t>
      </w:r>
      <w:r w:rsidR="00256D54" w:rsidRPr="00E85B48">
        <w:rPr>
          <w:rFonts w:ascii="Times New Roman" w:hAnsi="Times New Roman" w:cs="Times New Roman"/>
          <w:sz w:val="24"/>
          <w:szCs w:val="24"/>
        </w:rPr>
        <w:t xml:space="preserve"> within the meaning of Article 2.2.</w:t>
      </w:r>
      <w:r w:rsidR="00416C1F" w:rsidRPr="00E85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65330" w14:textId="068C50ED" w:rsidR="002C1544" w:rsidRPr="00E85B48" w:rsidRDefault="002C1544" w:rsidP="009E1179">
      <w:pPr>
        <w:pStyle w:val="ListParagraph"/>
        <w:spacing w:before="100" w:beforeAutospacing="1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E85B48">
        <w:rPr>
          <w:rFonts w:ascii="Times New Roman" w:hAnsi="Times New Roman" w:cs="Times New Roman"/>
          <w:b/>
          <w:bCs/>
          <w:sz w:val="24"/>
          <w:szCs w:val="24"/>
        </w:rPr>
        <w:t>Degree of Contribution that the Technical Regulation makes to the Achievement of a Legitimate Objective</w:t>
      </w:r>
    </w:p>
    <w:p w14:paraId="4B53F171" w14:textId="53BFD7CC" w:rsidR="006047C8" w:rsidRPr="00E85B48" w:rsidRDefault="004E09CC" w:rsidP="009E1179">
      <w:pPr>
        <w:pStyle w:val="ListParagraph"/>
        <w:numPr>
          <w:ilvl w:val="0"/>
          <w:numId w:val="2"/>
        </w:numPr>
        <w:spacing w:before="100" w:beforeAutospacing="1"/>
        <w:ind w:left="0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Next Australia will provide views on the </w:t>
      </w:r>
      <w:r w:rsidR="00416C1F" w:rsidRPr="00E85B48">
        <w:rPr>
          <w:rFonts w:ascii="Times New Roman" w:hAnsi="Times New Roman" w:cs="Times New Roman"/>
          <w:color w:val="000000"/>
          <w:sz w:val="24"/>
          <w:szCs w:val="24"/>
        </w:rPr>
        <w:t>degree of contribution that a technical regulation makes to the achievement of a legitimate objective</w:t>
      </w:r>
      <w:r w:rsidR="001C4736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047C8" w:rsidRPr="00E85B48">
        <w:rPr>
          <w:rFonts w:ascii="Times New Roman" w:hAnsi="Times New Roman" w:cs="Times New Roman"/>
          <w:sz w:val="24"/>
          <w:szCs w:val="24"/>
        </w:rPr>
        <w:t xml:space="preserve">Australia's comments </w:t>
      </w:r>
      <w:r w:rsidR="00C64CB9">
        <w:rPr>
          <w:rFonts w:ascii="Times New Roman" w:hAnsi="Times New Roman" w:cs="Times New Roman"/>
          <w:sz w:val="24"/>
          <w:szCs w:val="24"/>
        </w:rPr>
        <w:t>concern</w:t>
      </w:r>
      <w:r w:rsidR="006047C8" w:rsidRPr="00E85B48">
        <w:rPr>
          <w:rFonts w:ascii="Times New Roman" w:hAnsi="Times New Roman" w:cs="Times New Roman"/>
          <w:sz w:val="24"/>
          <w:szCs w:val="24"/>
        </w:rPr>
        <w:t xml:space="preserve"> consideration of 'evidence'</w:t>
      </w:r>
      <w:r w:rsidR="007E3BB9" w:rsidRPr="00E85B48">
        <w:rPr>
          <w:rFonts w:ascii="Times New Roman" w:hAnsi="Times New Roman" w:cs="Times New Roman"/>
          <w:sz w:val="24"/>
          <w:szCs w:val="24"/>
        </w:rPr>
        <w:t xml:space="preserve"> relating to the application of the measure</w:t>
      </w:r>
      <w:r w:rsidR="006047C8" w:rsidRPr="00E85B48">
        <w:rPr>
          <w:rFonts w:ascii="Times New Roman" w:hAnsi="Times New Roman" w:cs="Times New Roman"/>
          <w:sz w:val="24"/>
          <w:szCs w:val="24"/>
        </w:rPr>
        <w:t>.</w:t>
      </w:r>
    </w:p>
    <w:p w14:paraId="00B0EEC7" w14:textId="569AEC45" w:rsidR="00523CC3" w:rsidRPr="00E85B48" w:rsidRDefault="002C1544" w:rsidP="009E1179">
      <w:pPr>
        <w:pStyle w:val="ListParagraph"/>
        <w:numPr>
          <w:ilvl w:val="0"/>
          <w:numId w:val="2"/>
        </w:numPr>
        <w:spacing w:before="100" w:beforeAutospacing="1"/>
        <w:ind w:left="0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sz w:val="24"/>
          <w:szCs w:val="24"/>
        </w:rPr>
        <w:t xml:space="preserve">The </w:t>
      </w:r>
      <w:r w:rsidR="00416C1F" w:rsidRPr="00E85B48">
        <w:rPr>
          <w:rFonts w:ascii="Times New Roman" w:hAnsi="Times New Roman" w:cs="Times New Roman"/>
          <w:sz w:val="24"/>
          <w:szCs w:val="24"/>
        </w:rPr>
        <w:t>EU</w:t>
      </w:r>
      <w:r w:rsidRPr="00E85B48">
        <w:rPr>
          <w:rFonts w:ascii="Times New Roman" w:hAnsi="Times New Roman" w:cs="Times New Roman"/>
          <w:sz w:val="24"/>
          <w:szCs w:val="24"/>
        </w:rPr>
        <w:t xml:space="preserve"> contends that</w:t>
      </w:r>
      <w:r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the Panel, while considering the </w:t>
      </w:r>
      <w:r w:rsidR="00196390" w:rsidRPr="00E8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scientific evidence</w:t>
      </w:r>
      <w:r w:rsidR="00196390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related to the measure,</w:t>
      </w:r>
      <w:r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B48">
        <w:rPr>
          <w:rFonts w:ascii="Times New Roman" w:hAnsi="Times New Roman" w:cs="Times New Roman"/>
          <w:sz w:val="24"/>
          <w:szCs w:val="24"/>
          <w:lang w:val="en-IE"/>
        </w:rPr>
        <w:t xml:space="preserve">should limit its examination to whether the measures at issue </w:t>
      </w:r>
      <w:r w:rsidR="008E5B5B">
        <w:rPr>
          <w:rFonts w:ascii="Times New Roman" w:hAnsi="Times New Roman" w:cs="Times New Roman"/>
          <w:sz w:val="24"/>
          <w:szCs w:val="24"/>
          <w:lang w:val="en-IE"/>
        </w:rPr>
        <w:t xml:space="preserve">have </w:t>
      </w:r>
      <w:r w:rsidRPr="00E85B48">
        <w:rPr>
          <w:rFonts w:ascii="Times New Roman" w:hAnsi="Times New Roman" w:cs="Times New Roman"/>
          <w:sz w:val="24"/>
          <w:szCs w:val="24"/>
          <w:lang w:val="en-IE"/>
        </w:rPr>
        <w:t xml:space="preserve">adequate support </w:t>
      </w:r>
      <w:r w:rsidR="001B58DB">
        <w:rPr>
          <w:rFonts w:ascii="Times New Roman" w:hAnsi="Times New Roman" w:cs="Times New Roman"/>
          <w:sz w:val="24"/>
          <w:szCs w:val="24"/>
          <w:lang w:val="en-IE"/>
        </w:rPr>
        <w:t>from</w:t>
      </w:r>
      <w:r w:rsidRPr="00E85B48">
        <w:rPr>
          <w:rFonts w:ascii="Times New Roman" w:hAnsi="Times New Roman" w:cs="Times New Roman"/>
          <w:sz w:val="24"/>
          <w:szCs w:val="24"/>
          <w:lang w:val="en-IE"/>
        </w:rPr>
        <w:t xml:space="preserve"> qualified scientific opinions.</w:t>
      </w:r>
      <w:r w:rsidRPr="00E85B48">
        <w:rPr>
          <w:rStyle w:val="FootnoteReference"/>
          <w:rFonts w:ascii="Times New Roman" w:hAnsi="Times New Roman" w:cs="Times New Roman"/>
          <w:sz w:val="24"/>
          <w:szCs w:val="24"/>
          <w:lang w:val="en-IE"/>
        </w:rPr>
        <w:footnoteReference w:id="7"/>
      </w:r>
      <w:r w:rsidR="00912374" w:rsidRPr="00E85B48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  <w:r w:rsidRPr="00E85B48">
        <w:rPr>
          <w:rFonts w:ascii="Times New Roman" w:hAnsi="Times New Roman" w:cs="Times New Roman"/>
          <w:sz w:val="24"/>
          <w:szCs w:val="24"/>
          <w:lang w:val="en-IE"/>
        </w:rPr>
        <w:t>This is irrespective of whether the scientific opinions represent the majority view.</w:t>
      </w:r>
      <w:r w:rsidRPr="00E85B48">
        <w:rPr>
          <w:rStyle w:val="FootnoteReference"/>
          <w:rFonts w:ascii="Times New Roman" w:hAnsi="Times New Roman" w:cs="Times New Roman"/>
          <w:sz w:val="24"/>
          <w:szCs w:val="24"/>
          <w:lang w:val="en-IE"/>
        </w:rPr>
        <w:footnoteReference w:id="8"/>
      </w:r>
      <w:r w:rsidR="00196390" w:rsidRPr="00E85B48">
        <w:rPr>
          <w:rFonts w:ascii="Times New Roman" w:hAnsi="Times New Roman" w:cs="Times New Roman"/>
          <w:sz w:val="24"/>
          <w:szCs w:val="24"/>
          <w:lang w:val="en-IE"/>
        </w:rPr>
        <w:t xml:space="preserve"> Australia disagrees with </w:t>
      </w:r>
      <w:r w:rsidR="001F661B" w:rsidRPr="00E85B48">
        <w:rPr>
          <w:rFonts w:ascii="Times New Roman" w:hAnsi="Times New Roman" w:cs="Times New Roman"/>
          <w:sz w:val="24"/>
          <w:szCs w:val="24"/>
          <w:lang w:val="en-IE"/>
        </w:rPr>
        <w:t>the EU's characterisation of the limited role for the Panel in examining scientific evidence</w:t>
      </w:r>
      <w:r w:rsidR="00196390" w:rsidRPr="00E85B48">
        <w:rPr>
          <w:rFonts w:ascii="Times New Roman" w:hAnsi="Times New Roman" w:cs="Times New Roman"/>
          <w:sz w:val="24"/>
          <w:szCs w:val="24"/>
          <w:lang w:val="en-IE"/>
        </w:rPr>
        <w:t>.</w:t>
      </w:r>
      <w:r w:rsidR="00912374" w:rsidRPr="00E85B48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</w:p>
    <w:p w14:paraId="475320F3" w14:textId="42BBAD71" w:rsidR="00196390" w:rsidRPr="00E85B48" w:rsidRDefault="00AE4751" w:rsidP="009E1179">
      <w:pPr>
        <w:pStyle w:val="ListParagraph"/>
        <w:numPr>
          <w:ilvl w:val="0"/>
          <w:numId w:val="2"/>
        </w:numPr>
        <w:spacing w:before="100" w:beforeAutospacing="1"/>
        <w:ind w:left="0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sz w:val="24"/>
          <w:szCs w:val="24"/>
        </w:rPr>
        <w:t>In Australia's view, i</w:t>
      </w:r>
      <w:r w:rsidR="00196390" w:rsidRPr="00E85B48">
        <w:rPr>
          <w:rFonts w:ascii="Times New Roman" w:hAnsi="Times New Roman" w:cs="Times New Roman"/>
          <w:sz w:val="24"/>
          <w:szCs w:val="24"/>
        </w:rPr>
        <w:t>t is appropriate for a panel to consider the extent to which the body of evidence before it collectively provides a reasonable basis in support of the proposition.</w:t>
      </w:r>
      <w:r w:rsidR="00196390" w:rsidRPr="00E85B48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912374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874286" w:rsidRPr="00E85B48">
        <w:rPr>
          <w:rFonts w:ascii="Times New Roman" w:hAnsi="Times New Roman" w:cs="Times New Roman"/>
          <w:sz w:val="24"/>
          <w:szCs w:val="24"/>
        </w:rPr>
        <w:t>A</w:t>
      </w:r>
      <w:r w:rsidR="00196390" w:rsidRPr="00E85B48">
        <w:rPr>
          <w:rFonts w:ascii="Times New Roman" w:hAnsi="Times New Roman" w:cs="Times New Roman"/>
          <w:sz w:val="24"/>
          <w:szCs w:val="24"/>
        </w:rPr>
        <w:t xml:space="preserve"> panel should have regard to whether such evidence </w:t>
      </w:r>
      <w:r w:rsidR="00E05B74" w:rsidRPr="00E85B48">
        <w:rPr>
          <w:rFonts w:ascii="Times New Roman" w:hAnsi="Times New Roman" w:cs="Times New Roman"/>
          <w:sz w:val="24"/>
          <w:szCs w:val="24"/>
        </w:rPr>
        <w:t>‘</w:t>
      </w:r>
      <w:r w:rsidR="00196390" w:rsidRPr="00E85B48">
        <w:rPr>
          <w:rFonts w:ascii="Times New Roman" w:hAnsi="Times New Roman" w:cs="Times New Roman"/>
          <w:sz w:val="24"/>
          <w:szCs w:val="24"/>
        </w:rPr>
        <w:t>comes from a qualified and respected source</w:t>
      </w:r>
      <w:r w:rsidR="00E05B74" w:rsidRPr="00E85B48">
        <w:rPr>
          <w:rFonts w:ascii="Times New Roman" w:hAnsi="Times New Roman" w:cs="Times New Roman"/>
          <w:sz w:val="24"/>
          <w:szCs w:val="24"/>
        </w:rPr>
        <w:t>’</w:t>
      </w:r>
      <w:r w:rsidR="00196390" w:rsidRPr="00E85B48">
        <w:rPr>
          <w:rFonts w:ascii="Times New Roman" w:hAnsi="Times New Roman" w:cs="Times New Roman"/>
          <w:sz w:val="24"/>
          <w:szCs w:val="24"/>
        </w:rPr>
        <w:t xml:space="preserve">, whether it has the </w:t>
      </w:r>
      <w:r w:rsidR="00E05B74" w:rsidRPr="00E85B48">
        <w:rPr>
          <w:rFonts w:ascii="Times New Roman" w:hAnsi="Times New Roman" w:cs="Times New Roman"/>
          <w:sz w:val="24"/>
          <w:szCs w:val="24"/>
        </w:rPr>
        <w:t>‘</w:t>
      </w:r>
      <w:r w:rsidR="00196390" w:rsidRPr="00E85B48">
        <w:rPr>
          <w:rFonts w:ascii="Times New Roman" w:hAnsi="Times New Roman" w:cs="Times New Roman"/>
          <w:sz w:val="24"/>
          <w:szCs w:val="24"/>
        </w:rPr>
        <w:t>necessary scientific and methodological rigor to be considered reputable science</w:t>
      </w:r>
      <w:r w:rsidR="00E05B74" w:rsidRPr="00E85B48">
        <w:rPr>
          <w:rFonts w:ascii="Times New Roman" w:hAnsi="Times New Roman" w:cs="Times New Roman"/>
          <w:sz w:val="24"/>
          <w:szCs w:val="24"/>
        </w:rPr>
        <w:t>’</w:t>
      </w:r>
      <w:r w:rsidR="00196390" w:rsidRPr="00E85B48">
        <w:rPr>
          <w:rFonts w:ascii="Times New Roman" w:hAnsi="Times New Roman" w:cs="Times New Roman"/>
          <w:sz w:val="24"/>
          <w:szCs w:val="24"/>
        </w:rPr>
        <w:t xml:space="preserve"> or reflects </w:t>
      </w:r>
      <w:r w:rsidR="00E05B74" w:rsidRPr="00E85B48">
        <w:rPr>
          <w:rFonts w:ascii="Times New Roman" w:hAnsi="Times New Roman" w:cs="Times New Roman"/>
          <w:sz w:val="24"/>
          <w:szCs w:val="24"/>
        </w:rPr>
        <w:t>‘</w:t>
      </w:r>
      <w:r w:rsidR="00196390" w:rsidRPr="00E85B48">
        <w:rPr>
          <w:rFonts w:ascii="Times New Roman" w:hAnsi="Times New Roman" w:cs="Times New Roman"/>
          <w:sz w:val="24"/>
          <w:szCs w:val="24"/>
        </w:rPr>
        <w:t>legitimate science according to the standards of the relevant scientific community</w:t>
      </w:r>
      <w:r w:rsidR="00E05B74" w:rsidRPr="00E85B48">
        <w:rPr>
          <w:rFonts w:ascii="Times New Roman" w:hAnsi="Times New Roman" w:cs="Times New Roman"/>
          <w:sz w:val="24"/>
          <w:szCs w:val="24"/>
        </w:rPr>
        <w:t>’</w:t>
      </w:r>
      <w:r w:rsidR="00196390" w:rsidRPr="00E85B48">
        <w:rPr>
          <w:rFonts w:ascii="Times New Roman" w:hAnsi="Times New Roman" w:cs="Times New Roman"/>
          <w:sz w:val="24"/>
          <w:szCs w:val="24"/>
        </w:rPr>
        <w:t xml:space="preserve">, and </w:t>
      </w:r>
      <w:r w:rsidR="00E05B74" w:rsidRPr="00E85B48">
        <w:rPr>
          <w:rFonts w:ascii="Times New Roman" w:hAnsi="Times New Roman" w:cs="Times New Roman"/>
          <w:sz w:val="24"/>
          <w:szCs w:val="24"/>
        </w:rPr>
        <w:t>‘</w:t>
      </w:r>
      <w:r w:rsidR="00196390" w:rsidRPr="00E85B48">
        <w:rPr>
          <w:rFonts w:ascii="Times New Roman" w:hAnsi="Times New Roman" w:cs="Times New Roman"/>
          <w:sz w:val="24"/>
          <w:szCs w:val="24"/>
        </w:rPr>
        <w:t>whether the reasoning articulated on the basis of the scientific evidence is objective and coherent.</w:t>
      </w:r>
      <w:r w:rsidR="00E05B74" w:rsidRPr="00E85B48">
        <w:rPr>
          <w:rFonts w:ascii="Times New Roman" w:hAnsi="Times New Roman" w:cs="Times New Roman"/>
          <w:sz w:val="24"/>
          <w:szCs w:val="24"/>
        </w:rPr>
        <w:t>’</w:t>
      </w:r>
      <w:r w:rsidR="006378D5" w:rsidRPr="00E85B48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196390" w:rsidRPr="00E85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E58EC" w14:textId="4A5CCE2B" w:rsidR="00867AF1" w:rsidRPr="00E85B48" w:rsidRDefault="007A391D" w:rsidP="009E1179">
      <w:pPr>
        <w:pStyle w:val="ListParagraph"/>
        <w:numPr>
          <w:ilvl w:val="0"/>
          <w:numId w:val="2"/>
        </w:numPr>
        <w:spacing w:before="100" w:beforeAutospacing="1"/>
        <w:ind w:left="0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sz w:val="24"/>
          <w:szCs w:val="24"/>
        </w:rPr>
        <w:lastRenderedPageBreak/>
        <w:t>Furthermore</w:t>
      </w:r>
      <w:r w:rsidR="008F1588" w:rsidRPr="00E85B48">
        <w:rPr>
          <w:rFonts w:ascii="Times New Roman" w:hAnsi="Times New Roman" w:cs="Times New Roman"/>
          <w:sz w:val="24"/>
          <w:szCs w:val="24"/>
        </w:rPr>
        <w:t>,</w:t>
      </w:r>
      <w:r w:rsidR="007F74AE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0F36C5" w:rsidRPr="00E85B48">
        <w:rPr>
          <w:rFonts w:ascii="Times New Roman" w:hAnsi="Times New Roman" w:cs="Times New Roman"/>
          <w:sz w:val="24"/>
          <w:szCs w:val="24"/>
        </w:rPr>
        <w:t xml:space="preserve">as recognised by the Panel in </w:t>
      </w:r>
      <w:r w:rsidR="000F36C5" w:rsidRPr="00E85B48">
        <w:rPr>
          <w:rFonts w:ascii="Times New Roman" w:hAnsi="Times New Roman" w:cs="Times New Roman"/>
          <w:i/>
          <w:iCs/>
          <w:sz w:val="24"/>
          <w:szCs w:val="24"/>
        </w:rPr>
        <w:t>Australia – Tobacco Plain Packaging</w:t>
      </w:r>
      <w:r w:rsidR="000F36C5" w:rsidRPr="00E85B48">
        <w:rPr>
          <w:rFonts w:ascii="Times New Roman" w:hAnsi="Times New Roman" w:cs="Times New Roman"/>
          <w:sz w:val="24"/>
          <w:szCs w:val="24"/>
        </w:rPr>
        <w:t xml:space="preserve">, </w:t>
      </w:r>
      <w:r w:rsidR="00196390" w:rsidRPr="00E85B48">
        <w:rPr>
          <w:rFonts w:ascii="Times New Roman" w:hAnsi="Times New Roman" w:cs="Times New Roman"/>
          <w:sz w:val="24"/>
          <w:szCs w:val="24"/>
        </w:rPr>
        <w:t>Australia submits that limitations</w:t>
      </w:r>
      <w:r w:rsidR="00C64CB9">
        <w:rPr>
          <w:rFonts w:ascii="Times New Roman" w:hAnsi="Times New Roman" w:cs="Times New Roman"/>
          <w:sz w:val="24"/>
          <w:szCs w:val="24"/>
        </w:rPr>
        <w:t xml:space="preserve"> on,</w:t>
      </w:r>
      <w:r w:rsidR="00196390" w:rsidRPr="00E85B48">
        <w:rPr>
          <w:rFonts w:ascii="Times New Roman" w:hAnsi="Times New Roman" w:cs="Times New Roman"/>
          <w:sz w:val="24"/>
          <w:szCs w:val="24"/>
        </w:rPr>
        <w:t xml:space="preserve"> or the lack of</w:t>
      </w:r>
      <w:r w:rsidR="00C64CB9">
        <w:rPr>
          <w:rFonts w:ascii="Times New Roman" w:hAnsi="Times New Roman" w:cs="Times New Roman"/>
          <w:sz w:val="24"/>
          <w:szCs w:val="24"/>
        </w:rPr>
        <w:t>,</w:t>
      </w:r>
      <w:r w:rsidR="00196390" w:rsidRPr="00E85B48">
        <w:rPr>
          <w:rFonts w:ascii="Times New Roman" w:hAnsi="Times New Roman" w:cs="Times New Roman"/>
          <w:sz w:val="24"/>
          <w:szCs w:val="24"/>
        </w:rPr>
        <w:t xml:space="preserve"> available evidence in demonstrating ‘contribution’ has probative value and should also be considered by the Panel.</w:t>
      </w:r>
      <w:r w:rsidR="00196390" w:rsidRPr="00E85B48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</w:p>
    <w:p w14:paraId="36E64095" w14:textId="10DE68E8" w:rsidR="00867AF1" w:rsidRPr="00E85B48" w:rsidRDefault="00867AF1" w:rsidP="009E1179">
      <w:pPr>
        <w:pStyle w:val="ListParagraph"/>
        <w:spacing w:before="100" w:beforeAutospacing="1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E85B48">
        <w:rPr>
          <w:rFonts w:ascii="Times New Roman" w:hAnsi="Times New Roman" w:cs="Times New Roman"/>
          <w:b/>
          <w:bCs/>
          <w:sz w:val="24"/>
          <w:szCs w:val="24"/>
        </w:rPr>
        <w:t>Less Trade Restrictive Alternatives</w:t>
      </w:r>
    </w:p>
    <w:p w14:paraId="72C039B9" w14:textId="04D4CBEA" w:rsidR="00867AF1" w:rsidRPr="00E85B48" w:rsidRDefault="005E0ED9" w:rsidP="009E1179">
      <w:pPr>
        <w:pStyle w:val="ListParagraph"/>
        <w:numPr>
          <w:ilvl w:val="0"/>
          <w:numId w:val="2"/>
        </w:numPr>
        <w:spacing w:before="100" w:beforeAutospacing="1"/>
        <w:ind w:left="0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Australia will now turn</w:t>
      </w:r>
      <w:r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027661" w:rsidRPr="00E85B48">
        <w:rPr>
          <w:rFonts w:ascii="Times New Roman" w:hAnsi="Times New Roman" w:cs="Times New Roman"/>
          <w:sz w:val="24"/>
          <w:szCs w:val="24"/>
        </w:rPr>
        <w:t>to</w:t>
      </w:r>
      <w:r w:rsidR="00867AF1" w:rsidRPr="00E85B48">
        <w:rPr>
          <w:rFonts w:ascii="Times New Roman" w:hAnsi="Times New Roman" w:cs="Times New Roman"/>
          <w:sz w:val="24"/>
          <w:szCs w:val="24"/>
        </w:rPr>
        <w:t xml:space="preserve"> the comparative analysis that should be undertaken when considering</w:t>
      </w:r>
      <w:r w:rsidR="00C64CB9">
        <w:rPr>
          <w:rFonts w:ascii="Times New Roman" w:hAnsi="Times New Roman" w:cs="Times New Roman"/>
          <w:sz w:val="24"/>
          <w:szCs w:val="24"/>
        </w:rPr>
        <w:t xml:space="preserve"> whether</w:t>
      </w:r>
      <w:r w:rsidR="00867AF1" w:rsidRPr="00E85B48">
        <w:rPr>
          <w:rFonts w:ascii="Times New Roman" w:hAnsi="Times New Roman" w:cs="Times New Roman"/>
          <w:sz w:val="24"/>
          <w:szCs w:val="24"/>
        </w:rPr>
        <w:t xml:space="preserve"> the t</w:t>
      </w:r>
      <w:r w:rsidR="00323F59" w:rsidRPr="00E85B48">
        <w:rPr>
          <w:rFonts w:ascii="Times New Roman" w:hAnsi="Times New Roman" w:cs="Times New Roman"/>
          <w:sz w:val="24"/>
          <w:szCs w:val="24"/>
        </w:rPr>
        <w:t>echnical regulation is ‘more trade restrictive than necessary’</w:t>
      </w:r>
      <w:r w:rsidR="00027661" w:rsidRPr="00E85B48">
        <w:rPr>
          <w:rFonts w:ascii="Times New Roman" w:hAnsi="Times New Roman" w:cs="Times New Roman"/>
          <w:sz w:val="24"/>
          <w:szCs w:val="24"/>
        </w:rPr>
        <w:t>.</w:t>
      </w:r>
      <w:r w:rsidR="00912374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027661" w:rsidRPr="00E85B48">
        <w:rPr>
          <w:rFonts w:ascii="Times New Roman" w:hAnsi="Times New Roman" w:cs="Times New Roman"/>
          <w:sz w:val="24"/>
          <w:szCs w:val="24"/>
        </w:rPr>
        <w:t>Australia</w:t>
      </w:r>
      <w:r w:rsidR="00323F59" w:rsidRPr="00E85B48">
        <w:rPr>
          <w:rFonts w:ascii="Times New Roman" w:hAnsi="Times New Roman" w:cs="Times New Roman"/>
          <w:sz w:val="24"/>
          <w:szCs w:val="24"/>
        </w:rPr>
        <w:t xml:space="preserve"> recall</w:t>
      </w:r>
      <w:r w:rsidR="00027661" w:rsidRPr="00E85B48">
        <w:rPr>
          <w:rFonts w:ascii="Times New Roman" w:hAnsi="Times New Roman" w:cs="Times New Roman"/>
          <w:sz w:val="24"/>
          <w:szCs w:val="24"/>
        </w:rPr>
        <w:t>s</w:t>
      </w:r>
      <w:r w:rsidR="00323F59" w:rsidRPr="00E85B48">
        <w:rPr>
          <w:rFonts w:ascii="Times New Roman" w:hAnsi="Times New Roman" w:cs="Times New Roman"/>
          <w:sz w:val="24"/>
          <w:szCs w:val="24"/>
        </w:rPr>
        <w:t xml:space="preserve"> that the Appellate Body</w:t>
      </w:r>
      <w:r w:rsidR="00AF2163">
        <w:rPr>
          <w:rFonts w:ascii="Times New Roman" w:hAnsi="Times New Roman" w:cs="Times New Roman"/>
          <w:sz w:val="24"/>
          <w:szCs w:val="24"/>
        </w:rPr>
        <w:t xml:space="preserve"> has said that</w:t>
      </w:r>
      <w:r w:rsidR="00323F59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E671FB">
        <w:rPr>
          <w:rFonts w:ascii="Times New Roman" w:hAnsi="Times New Roman" w:cs="Times New Roman"/>
          <w:sz w:val="24"/>
          <w:szCs w:val="24"/>
        </w:rPr>
        <w:t xml:space="preserve">it </w:t>
      </w:r>
      <w:r w:rsidR="00FE3ED2" w:rsidRPr="00E85B48">
        <w:rPr>
          <w:rFonts w:ascii="Times New Roman" w:hAnsi="Times New Roman" w:cs="Times New Roman"/>
          <w:sz w:val="24"/>
          <w:szCs w:val="24"/>
        </w:rPr>
        <w:t xml:space="preserve">does not expect </w:t>
      </w:r>
      <w:r w:rsidR="00323F59" w:rsidRPr="00E85B48">
        <w:rPr>
          <w:rFonts w:ascii="Times New Roman" w:hAnsi="Times New Roman" w:cs="Times New Roman"/>
          <w:sz w:val="24"/>
          <w:szCs w:val="24"/>
        </w:rPr>
        <w:t xml:space="preserve">a </w:t>
      </w:r>
      <w:r w:rsidR="00AF6909" w:rsidRPr="00E85B48">
        <w:rPr>
          <w:rFonts w:ascii="Times New Roman" w:hAnsi="Times New Roman" w:cs="Times New Roman"/>
          <w:sz w:val="24"/>
          <w:szCs w:val="24"/>
        </w:rPr>
        <w:t>'</w:t>
      </w:r>
      <w:r w:rsidR="00323F59" w:rsidRPr="00E85B48">
        <w:rPr>
          <w:rFonts w:ascii="Times New Roman" w:hAnsi="Times New Roman" w:cs="Times New Roman"/>
          <w:sz w:val="24"/>
          <w:szCs w:val="24"/>
        </w:rPr>
        <w:t>complainant…to</w:t>
      </w:r>
      <w:r w:rsidR="00323F59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provide detailed information on how a proposed alternative would be implemented by the respondent in practice</w:t>
      </w:r>
      <w:proofErr w:type="gramStart"/>
      <w:r w:rsidR="00D2366E" w:rsidRPr="00E85B48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6151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366E" w:rsidRPr="00E85B4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23F59" w:rsidRPr="00E85B48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323F59" w:rsidRPr="00E85B48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12"/>
      </w:r>
    </w:p>
    <w:p w14:paraId="2AFE4390" w14:textId="064D125B" w:rsidR="00323F59" w:rsidRPr="00E85B48" w:rsidRDefault="00323F59" w:rsidP="009E1179">
      <w:pPr>
        <w:pStyle w:val="ListParagraph"/>
        <w:numPr>
          <w:ilvl w:val="0"/>
          <w:numId w:val="2"/>
        </w:numPr>
        <w:spacing w:before="100" w:beforeAutospacing="1"/>
        <w:ind w:left="0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In Australia’s view, </w:t>
      </w:r>
      <w:r w:rsidR="00AA2600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while the complainant must establish a </w:t>
      </w:r>
      <w:r w:rsidR="00AA2600" w:rsidRPr="00E85B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prima facie</w:t>
      </w:r>
      <w:r w:rsidR="00AA2600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case, </w:t>
      </w:r>
      <w:r w:rsidR="001B69FA" w:rsidRPr="00E85B48">
        <w:rPr>
          <w:rFonts w:ascii="Times New Roman" w:hAnsi="Times New Roman" w:cs="Times New Roman"/>
          <w:color w:val="000000"/>
          <w:sz w:val="24"/>
          <w:szCs w:val="24"/>
        </w:rPr>
        <w:t>it is for the respondent to establish that a proposed alternative measure is not reasonably available</w:t>
      </w:r>
      <w:r w:rsidRPr="00E85B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85B48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13"/>
      </w:r>
    </w:p>
    <w:p w14:paraId="68ECA812" w14:textId="0583C3E1" w:rsidR="00323F59" w:rsidRPr="00E85B48" w:rsidRDefault="00323F59" w:rsidP="009E1179">
      <w:pPr>
        <w:pStyle w:val="ListParagraph"/>
        <w:spacing w:before="100" w:beforeAutospacing="1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E85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Article XX of GATT 1994</w:t>
      </w:r>
    </w:p>
    <w:p w14:paraId="68BACAA0" w14:textId="6AA6E48F" w:rsidR="00323F59" w:rsidRPr="00E85B48" w:rsidRDefault="00E539E5" w:rsidP="009E1179">
      <w:pPr>
        <w:pStyle w:val="ListParagraph"/>
        <w:numPr>
          <w:ilvl w:val="0"/>
          <w:numId w:val="2"/>
        </w:numPr>
        <w:spacing w:before="100" w:beforeAutospacing="1"/>
        <w:ind w:left="0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Finally, Australia would like to provide some comments on </w:t>
      </w:r>
      <w:r w:rsidRPr="00E85B48">
        <w:rPr>
          <w:rFonts w:ascii="Times New Roman" w:hAnsi="Times New Roman" w:cs="Times New Roman"/>
          <w:sz w:val="24"/>
          <w:szCs w:val="24"/>
        </w:rPr>
        <w:t>the meaning of ‘necess</w:t>
      </w:r>
      <w:r w:rsidR="00834039" w:rsidRPr="00E85B48">
        <w:rPr>
          <w:rFonts w:ascii="Times New Roman" w:hAnsi="Times New Roman" w:cs="Times New Roman"/>
          <w:sz w:val="24"/>
          <w:szCs w:val="24"/>
        </w:rPr>
        <w:t>ary</w:t>
      </w:r>
      <w:r w:rsidRPr="00E85B48">
        <w:rPr>
          <w:rFonts w:ascii="Times New Roman" w:hAnsi="Times New Roman" w:cs="Times New Roman"/>
          <w:sz w:val="24"/>
          <w:szCs w:val="24"/>
        </w:rPr>
        <w:t>’ and ‘relat</w:t>
      </w:r>
      <w:r w:rsidR="00E55E83" w:rsidRPr="00E85B48">
        <w:rPr>
          <w:rFonts w:ascii="Times New Roman" w:hAnsi="Times New Roman" w:cs="Times New Roman"/>
          <w:sz w:val="24"/>
          <w:szCs w:val="24"/>
        </w:rPr>
        <w:t>ing</w:t>
      </w:r>
      <w:r w:rsidRPr="00E85B48">
        <w:rPr>
          <w:rFonts w:ascii="Times New Roman" w:hAnsi="Times New Roman" w:cs="Times New Roman"/>
          <w:sz w:val="24"/>
          <w:szCs w:val="24"/>
        </w:rPr>
        <w:t xml:space="preserve"> to’ in certain paragraphs of Article XX of the GATT 1994.</w:t>
      </w:r>
    </w:p>
    <w:p w14:paraId="170DB9DF" w14:textId="4CC56749" w:rsidR="00426DF6" w:rsidRPr="00E85B48" w:rsidRDefault="00500379" w:rsidP="009E1179">
      <w:pPr>
        <w:pStyle w:val="ListParagraph"/>
        <w:numPr>
          <w:ilvl w:val="0"/>
          <w:numId w:val="2"/>
        </w:numPr>
        <w:spacing w:before="100" w:beforeAutospacing="1"/>
        <w:ind w:left="0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451E5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aragraphs (a) and (b) of Article XX require that the measures at issue </w:t>
      </w:r>
      <w:r w:rsidRPr="00E85B48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D451E5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‘necessary’</w:t>
      </w:r>
      <w:r w:rsidR="00736A13">
        <w:rPr>
          <w:rFonts w:ascii="Times New Roman" w:hAnsi="Times New Roman" w:cs="Times New Roman"/>
          <w:color w:val="000000"/>
          <w:sz w:val="24"/>
          <w:szCs w:val="24"/>
        </w:rPr>
        <w:t>, w</w:t>
      </w:r>
      <w:r w:rsidR="00657C47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hile the standard under paragraph (g) requires that the measures at issue </w:t>
      </w:r>
      <w:r w:rsidR="00EB439A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r w:rsidR="00657C47" w:rsidRPr="00E85B48">
        <w:rPr>
          <w:rFonts w:ascii="Times New Roman" w:hAnsi="Times New Roman" w:cs="Times New Roman"/>
          <w:color w:val="000000"/>
          <w:sz w:val="24"/>
          <w:szCs w:val="24"/>
        </w:rPr>
        <w:t>'relat</w:t>
      </w:r>
      <w:r w:rsidR="00E55E83" w:rsidRPr="00E85B48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="00657C47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to' the conservation of exhaustible natural resources.</w:t>
      </w:r>
      <w:r w:rsidR="00912374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9B1" w:rsidRPr="00E85B48">
        <w:rPr>
          <w:rFonts w:ascii="Times New Roman" w:hAnsi="Times New Roman" w:cs="Times New Roman"/>
          <w:color w:val="000000"/>
          <w:sz w:val="24"/>
          <w:szCs w:val="24"/>
        </w:rPr>
        <w:t>Both standards have been interpreted by the Appellate Body</w:t>
      </w:r>
      <w:r w:rsidR="00563154" w:rsidRPr="00E85B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12374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315501" w14:textId="59AC3A28" w:rsidR="00500379" w:rsidRPr="00E85B48" w:rsidRDefault="00500379" w:rsidP="009E1179">
      <w:pPr>
        <w:pStyle w:val="ListParagraph"/>
        <w:numPr>
          <w:ilvl w:val="0"/>
          <w:numId w:val="2"/>
        </w:numPr>
        <w:spacing w:before="100" w:beforeAutospacing="1"/>
        <w:ind w:left="0" w:hanging="426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E85B48">
        <w:rPr>
          <w:rFonts w:ascii="Times New Roman" w:hAnsi="Times New Roman" w:cs="Times New Roman"/>
          <w:color w:val="000000"/>
          <w:sz w:val="24"/>
          <w:szCs w:val="24"/>
        </w:rPr>
        <w:t>‘</w:t>
      </w:r>
      <w:r w:rsidR="008C2A29" w:rsidRPr="00E85B4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85B48">
        <w:rPr>
          <w:rFonts w:ascii="Times New Roman" w:hAnsi="Times New Roman" w:cs="Times New Roman"/>
          <w:color w:val="000000"/>
          <w:sz w:val="24"/>
          <w:szCs w:val="24"/>
        </w:rPr>
        <w:t>ecess</w:t>
      </w:r>
      <w:r w:rsidR="00932886" w:rsidRPr="00E85B48">
        <w:rPr>
          <w:rFonts w:ascii="Times New Roman" w:hAnsi="Times New Roman" w:cs="Times New Roman"/>
          <w:color w:val="000000"/>
          <w:sz w:val="24"/>
          <w:szCs w:val="24"/>
        </w:rPr>
        <w:t>ary</w:t>
      </w:r>
      <w:r w:rsidRPr="00E85B48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8C2A29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involves a holistic weighting and balancing of </w:t>
      </w:r>
      <w:proofErr w:type="gramStart"/>
      <w:r w:rsidRPr="00E85B48">
        <w:rPr>
          <w:rFonts w:ascii="Times New Roman" w:hAnsi="Times New Roman" w:cs="Times New Roman"/>
          <w:color w:val="000000"/>
          <w:sz w:val="24"/>
          <w:szCs w:val="24"/>
        </w:rPr>
        <w:t>a number of</w:t>
      </w:r>
      <w:proofErr w:type="gramEnd"/>
      <w:r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factors, such as the importance of the interest furthered by the measure</w:t>
      </w:r>
      <w:r w:rsidR="00912374" w:rsidRPr="00E85B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E06">
        <w:rPr>
          <w:rFonts w:ascii="Times New Roman" w:hAnsi="Times New Roman" w:cs="Times New Roman"/>
          <w:color w:val="000000"/>
          <w:sz w:val="24"/>
          <w:szCs w:val="24"/>
        </w:rPr>
        <w:t>its</w:t>
      </w:r>
      <w:r w:rsidR="00976E06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B48">
        <w:rPr>
          <w:rFonts w:ascii="Times New Roman" w:hAnsi="Times New Roman" w:cs="Times New Roman"/>
          <w:color w:val="000000"/>
          <w:sz w:val="24"/>
          <w:szCs w:val="24"/>
        </w:rPr>
        <w:t>contribution to the objectives pursued</w:t>
      </w:r>
      <w:r w:rsidR="00912374" w:rsidRPr="00E85B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and the trade restrictiveness of the measure at issue</w:t>
      </w:r>
      <w:r w:rsidR="00360D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A6F0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60D1D">
        <w:rPr>
          <w:rFonts w:ascii="Times New Roman" w:hAnsi="Times New Roman" w:cs="Times New Roman"/>
          <w:color w:val="000000"/>
          <w:sz w:val="24"/>
          <w:szCs w:val="24"/>
        </w:rPr>
        <w:t xml:space="preserve">t also </w:t>
      </w:r>
      <w:r w:rsidR="003A6F04">
        <w:rPr>
          <w:rFonts w:ascii="Times New Roman" w:hAnsi="Times New Roman" w:cs="Times New Roman"/>
          <w:color w:val="000000"/>
          <w:sz w:val="24"/>
          <w:szCs w:val="24"/>
        </w:rPr>
        <w:t xml:space="preserve">involves </w:t>
      </w:r>
      <w:r w:rsidRPr="00E85B48">
        <w:rPr>
          <w:rFonts w:ascii="Times New Roman" w:hAnsi="Times New Roman" w:cs="Times New Roman"/>
          <w:color w:val="000000"/>
          <w:sz w:val="24"/>
          <w:szCs w:val="24"/>
        </w:rPr>
        <w:t>comparing the measure to possible alternative measures that achieve the same level of protection while being less trade restrictive.</w:t>
      </w:r>
      <w:r w:rsidRPr="00E85B48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4412">
        <w:rPr>
          <w:rFonts w:ascii="Times New Roman" w:hAnsi="Times New Roman" w:cs="Times New Roman"/>
          <w:color w:val="000000"/>
          <w:sz w:val="24"/>
          <w:szCs w:val="24"/>
        </w:rPr>
        <w:t xml:space="preserve">By comparison, </w:t>
      </w:r>
      <w:r w:rsidR="006F1D40" w:rsidRPr="00E85B48">
        <w:rPr>
          <w:rFonts w:ascii="Times New Roman" w:hAnsi="Times New Roman" w:cs="Times New Roman"/>
          <w:color w:val="000000"/>
          <w:sz w:val="24"/>
          <w:szCs w:val="24"/>
        </w:rPr>
        <w:t>‘</w:t>
      </w:r>
      <w:r w:rsidR="008270E5" w:rsidRPr="00E85B4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6F1D40" w:rsidRPr="00E85B48">
        <w:rPr>
          <w:rFonts w:ascii="Times New Roman" w:hAnsi="Times New Roman" w:cs="Times New Roman"/>
          <w:color w:val="000000"/>
          <w:sz w:val="24"/>
          <w:szCs w:val="24"/>
        </w:rPr>
        <w:t>elat</w:t>
      </w:r>
      <w:r w:rsidR="00DE608E" w:rsidRPr="00E85B48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="006F1D40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to’ require</w:t>
      </w:r>
      <w:r w:rsidR="009145F3" w:rsidRPr="00E85B4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F1D40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5B74" w:rsidRPr="00E85B48">
        <w:rPr>
          <w:rFonts w:ascii="Times New Roman" w:hAnsi="Times New Roman" w:cs="Times New Roman"/>
          <w:color w:val="000000"/>
          <w:sz w:val="24"/>
          <w:szCs w:val="24"/>
        </w:rPr>
        <w:t>‘</w:t>
      </w:r>
      <w:r w:rsidR="006F1D40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a close and genuine relationship of ends and </w:t>
      </w:r>
      <w:proofErr w:type="gramStart"/>
      <w:r w:rsidR="006F1D40" w:rsidRPr="00E85B48">
        <w:rPr>
          <w:rFonts w:ascii="Times New Roman" w:hAnsi="Times New Roman" w:cs="Times New Roman"/>
          <w:color w:val="000000"/>
          <w:sz w:val="24"/>
          <w:szCs w:val="24"/>
        </w:rPr>
        <w:t>means</w:t>
      </w:r>
      <w:r w:rsidR="00E05B74" w:rsidRPr="00E85B48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gramEnd"/>
      <w:r w:rsidR="006F1D40" w:rsidRPr="00E85B48">
        <w:rPr>
          <w:rFonts w:ascii="Times New Roman" w:hAnsi="Times New Roman" w:cs="Times New Roman"/>
          <w:color w:val="000000"/>
          <w:sz w:val="24"/>
          <w:szCs w:val="24"/>
        </w:rPr>
        <w:t xml:space="preserve"> between the measure at issue and the conservation objective.</w:t>
      </w:r>
      <w:r w:rsidR="006F1D40" w:rsidRPr="00E85B4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5"/>
      </w:r>
      <w:r w:rsidR="006F1D40" w:rsidRPr="00E85B4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14:paraId="2F31AD64" w14:textId="5D8485E9" w:rsidR="006F1D40" w:rsidRPr="00E85B48" w:rsidRDefault="006F1D40" w:rsidP="009E1179">
      <w:pPr>
        <w:pStyle w:val="ListParagraph"/>
        <w:numPr>
          <w:ilvl w:val="0"/>
          <w:numId w:val="2"/>
        </w:numPr>
        <w:spacing w:before="100" w:beforeAutospacing="1"/>
        <w:ind w:left="0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sz w:val="24"/>
          <w:szCs w:val="24"/>
        </w:rPr>
        <w:t>These two are considerably different legal standards.</w:t>
      </w:r>
      <w:r w:rsidR="00912374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="00AA1C10">
        <w:rPr>
          <w:rFonts w:ascii="Times New Roman" w:hAnsi="Times New Roman" w:cs="Times New Roman"/>
          <w:sz w:val="24"/>
          <w:szCs w:val="24"/>
        </w:rPr>
        <w:t>Relying</w:t>
      </w:r>
      <w:r w:rsidR="00BF6E68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Pr="00E85B48">
        <w:rPr>
          <w:rFonts w:ascii="Times New Roman" w:hAnsi="Times New Roman" w:cs="Times New Roman"/>
          <w:sz w:val="24"/>
          <w:szCs w:val="24"/>
        </w:rPr>
        <w:t xml:space="preserve">upon Articles XX(a) and (b) requires more than the mere establishment of a </w:t>
      </w:r>
      <w:r w:rsidR="00E05B74" w:rsidRPr="00E85B48">
        <w:rPr>
          <w:rFonts w:ascii="Times New Roman" w:hAnsi="Times New Roman" w:cs="Times New Roman"/>
          <w:sz w:val="24"/>
          <w:szCs w:val="24"/>
        </w:rPr>
        <w:t>‘</w:t>
      </w:r>
      <w:r w:rsidRPr="00E85B48">
        <w:rPr>
          <w:rFonts w:ascii="Times New Roman" w:hAnsi="Times New Roman" w:cs="Times New Roman"/>
          <w:sz w:val="24"/>
          <w:szCs w:val="24"/>
        </w:rPr>
        <w:t xml:space="preserve">close and genuine relationship of ends and </w:t>
      </w:r>
      <w:proofErr w:type="gramStart"/>
      <w:r w:rsidRPr="00E85B48">
        <w:rPr>
          <w:rFonts w:ascii="Times New Roman" w:hAnsi="Times New Roman" w:cs="Times New Roman"/>
          <w:sz w:val="24"/>
          <w:szCs w:val="24"/>
        </w:rPr>
        <w:t>means</w:t>
      </w:r>
      <w:r w:rsidR="00E05B74" w:rsidRPr="00E85B48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E85B48">
        <w:rPr>
          <w:rFonts w:ascii="Times New Roman" w:hAnsi="Times New Roman" w:cs="Times New Roman"/>
          <w:sz w:val="24"/>
          <w:szCs w:val="24"/>
        </w:rPr>
        <w:t xml:space="preserve"> between the measure at issue and the legitimate policy objectives</w:t>
      </w:r>
      <w:r w:rsidR="00E671FB">
        <w:rPr>
          <w:rFonts w:ascii="Times New Roman" w:hAnsi="Times New Roman" w:cs="Times New Roman"/>
          <w:sz w:val="24"/>
          <w:szCs w:val="24"/>
        </w:rPr>
        <w:t>. It instead requires</w:t>
      </w:r>
      <w:r w:rsidRPr="00E85B48">
        <w:rPr>
          <w:rFonts w:ascii="Times New Roman" w:hAnsi="Times New Roman" w:cs="Times New Roman"/>
          <w:sz w:val="24"/>
          <w:szCs w:val="24"/>
        </w:rPr>
        <w:t xml:space="preserve"> a holistic weighting and balancing of a range of factors.</w:t>
      </w:r>
      <w:r w:rsidR="00912374" w:rsidRPr="00E85B48">
        <w:rPr>
          <w:rFonts w:ascii="Times New Roman" w:hAnsi="Times New Roman" w:cs="Times New Roman"/>
          <w:sz w:val="24"/>
          <w:szCs w:val="24"/>
        </w:rPr>
        <w:t xml:space="preserve"> </w:t>
      </w:r>
      <w:r w:rsidRPr="00E85B48">
        <w:rPr>
          <w:rFonts w:ascii="Times New Roman" w:hAnsi="Times New Roman" w:cs="Times New Roman"/>
          <w:sz w:val="24"/>
          <w:szCs w:val="24"/>
        </w:rPr>
        <w:t xml:space="preserve">These two legal standards should not be conflated. </w:t>
      </w:r>
    </w:p>
    <w:p w14:paraId="29A0A9BC" w14:textId="6244922E" w:rsidR="00867AF1" w:rsidRPr="00E85B48" w:rsidRDefault="00867AF1" w:rsidP="009E1179">
      <w:pPr>
        <w:pStyle w:val="ListParagraph"/>
        <w:spacing w:before="100" w:beforeAutospacing="1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E85B48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0F8E11C2" w14:textId="714A1EB2" w:rsidR="00867AF1" w:rsidRPr="00E85B48" w:rsidRDefault="00867AF1" w:rsidP="009E1179">
      <w:pPr>
        <w:pStyle w:val="ListParagraph"/>
        <w:numPr>
          <w:ilvl w:val="0"/>
          <w:numId w:val="2"/>
        </w:numPr>
        <w:spacing w:before="100" w:beforeAutospacing="1"/>
        <w:ind w:left="0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85B48">
        <w:rPr>
          <w:rFonts w:ascii="Times New Roman" w:hAnsi="Times New Roman" w:cs="Times New Roman"/>
          <w:sz w:val="24"/>
          <w:szCs w:val="24"/>
        </w:rPr>
        <w:t>Australia thanks the Panel for th</w:t>
      </w:r>
      <w:r w:rsidR="00CA324B" w:rsidRPr="00E85B48">
        <w:rPr>
          <w:rFonts w:ascii="Times New Roman" w:hAnsi="Times New Roman" w:cs="Times New Roman"/>
          <w:sz w:val="24"/>
          <w:szCs w:val="24"/>
        </w:rPr>
        <w:t>e</w:t>
      </w:r>
      <w:r w:rsidRPr="00E85B48">
        <w:rPr>
          <w:rFonts w:ascii="Times New Roman" w:hAnsi="Times New Roman" w:cs="Times New Roman"/>
          <w:sz w:val="24"/>
          <w:szCs w:val="24"/>
        </w:rPr>
        <w:t xml:space="preserve"> opportunity to present </w:t>
      </w:r>
      <w:r w:rsidR="00776B95" w:rsidRPr="00E85B48">
        <w:rPr>
          <w:rFonts w:ascii="Times New Roman" w:hAnsi="Times New Roman" w:cs="Times New Roman"/>
          <w:sz w:val="24"/>
          <w:szCs w:val="24"/>
        </w:rPr>
        <w:t xml:space="preserve">these </w:t>
      </w:r>
      <w:r w:rsidRPr="00E85B48">
        <w:rPr>
          <w:rFonts w:ascii="Times New Roman" w:hAnsi="Times New Roman" w:cs="Times New Roman"/>
          <w:sz w:val="24"/>
          <w:szCs w:val="24"/>
        </w:rPr>
        <w:t xml:space="preserve">views. </w:t>
      </w:r>
    </w:p>
    <w:sectPr w:rsidR="00867AF1" w:rsidRPr="00E85B48" w:rsidSect="00E85B48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77DA" w14:textId="77777777" w:rsidR="00CE04C1" w:rsidRDefault="00CE04C1" w:rsidP="000E2489">
      <w:pPr>
        <w:spacing w:after="0" w:line="240" w:lineRule="auto"/>
      </w:pPr>
      <w:r>
        <w:separator/>
      </w:r>
    </w:p>
  </w:endnote>
  <w:endnote w:type="continuationSeparator" w:id="0">
    <w:p w14:paraId="4253C5B2" w14:textId="77777777" w:rsidR="00CE04C1" w:rsidRDefault="00CE04C1" w:rsidP="000E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256E" w14:textId="77777777" w:rsidR="00CE04C1" w:rsidRDefault="00CE04C1" w:rsidP="000E2489">
      <w:pPr>
        <w:spacing w:after="0" w:line="240" w:lineRule="auto"/>
      </w:pPr>
      <w:r>
        <w:separator/>
      </w:r>
    </w:p>
  </w:footnote>
  <w:footnote w:type="continuationSeparator" w:id="0">
    <w:p w14:paraId="6CE6D55F" w14:textId="77777777" w:rsidR="00CE04C1" w:rsidRDefault="00CE04C1" w:rsidP="000E2489">
      <w:pPr>
        <w:spacing w:after="0" w:line="240" w:lineRule="auto"/>
      </w:pPr>
      <w:r>
        <w:continuationSeparator/>
      </w:r>
    </w:p>
  </w:footnote>
  <w:footnote w:id="1">
    <w:p w14:paraId="1260E2D8" w14:textId="531056D5" w:rsidR="000E2489" w:rsidRPr="00E85B48" w:rsidRDefault="000E2489">
      <w:pPr>
        <w:pStyle w:val="FootnoteText"/>
        <w:rPr>
          <w:rFonts w:ascii="Times New Roman" w:hAnsi="Times New Roman" w:cs="Times New Roman"/>
        </w:rPr>
      </w:pPr>
      <w:r w:rsidRPr="00E85B48">
        <w:rPr>
          <w:rStyle w:val="FootnoteReference"/>
          <w:rFonts w:ascii="Times New Roman" w:hAnsi="Times New Roman" w:cs="Times New Roman"/>
        </w:rPr>
        <w:footnoteRef/>
      </w:r>
      <w:r w:rsidRPr="00E85B48">
        <w:rPr>
          <w:rFonts w:ascii="Times New Roman" w:hAnsi="Times New Roman" w:cs="Times New Roman"/>
        </w:rPr>
        <w:t xml:space="preserve"> The Agreement on Technical Barriers to Trade</w:t>
      </w:r>
      <w:r w:rsidR="005C5864" w:rsidRPr="00E85B48">
        <w:rPr>
          <w:rFonts w:ascii="Times New Roman" w:hAnsi="Times New Roman" w:cs="Times New Roman"/>
        </w:rPr>
        <w:t>.</w:t>
      </w:r>
    </w:p>
  </w:footnote>
  <w:footnote w:id="2">
    <w:p w14:paraId="10A4162E" w14:textId="34DFFF8C" w:rsidR="000E2489" w:rsidRPr="00E85B48" w:rsidRDefault="000E2489">
      <w:pPr>
        <w:pStyle w:val="FootnoteText"/>
        <w:rPr>
          <w:rFonts w:ascii="Times New Roman" w:hAnsi="Times New Roman" w:cs="Times New Roman"/>
        </w:rPr>
      </w:pPr>
      <w:r w:rsidRPr="00E85B48">
        <w:rPr>
          <w:rStyle w:val="FootnoteReference"/>
          <w:rFonts w:ascii="Times New Roman" w:hAnsi="Times New Roman" w:cs="Times New Roman"/>
        </w:rPr>
        <w:footnoteRef/>
      </w:r>
      <w:r w:rsidRPr="00E85B48">
        <w:rPr>
          <w:rFonts w:ascii="Times New Roman" w:hAnsi="Times New Roman" w:cs="Times New Roman"/>
        </w:rPr>
        <w:t xml:space="preserve"> The General Agreement on Tariffs and Trade 1994</w:t>
      </w:r>
      <w:r w:rsidR="005C5864" w:rsidRPr="00E85B48">
        <w:rPr>
          <w:rFonts w:ascii="Times New Roman" w:hAnsi="Times New Roman" w:cs="Times New Roman"/>
        </w:rPr>
        <w:t>.</w:t>
      </w:r>
    </w:p>
  </w:footnote>
  <w:footnote w:id="3">
    <w:p w14:paraId="166CA4DE" w14:textId="66C53F6E" w:rsidR="0001481D" w:rsidRPr="00E85B48" w:rsidRDefault="0001481D">
      <w:pPr>
        <w:pStyle w:val="FootnoteText"/>
        <w:rPr>
          <w:rFonts w:ascii="Times New Roman" w:hAnsi="Times New Roman" w:cs="Times New Roman"/>
        </w:rPr>
      </w:pPr>
      <w:r w:rsidRPr="00E85B48">
        <w:rPr>
          <w:rStyle w:val="FootnoteReference"/>
          <w:rFonts w:ascii="Times New Roman" w:hAnsi="Times New Roman" w:cs="Times New Roman"/>
        </w:rPr>
        <w:footnoteRef/>
      </w:r>
      <w:r w:rsidRPr="00E85B48">
        <w:rPr>
          <w:rFonts w:ascii="Times New Roman" w:hAnsi="Times New Roman" w:cs="Times New Roman"/>
        </w:rPr>
        <w:t xml:space="preserve"> </w:t>
      </w:r>
      <w:r w:rsidRPr="00E85B48">
        <w:rPr>
          <w:rFonts w:ascii="Times New Roman" w:hAnsi="Times New Roman" w:cs="Times New Roman"/>
          <w:i/>
          <w:iCs/>
        </w:rPr>
        <w:t xml:space="preserve">EU </w:t>
      </w:r>
      <w:r w:rsidR="00E23A35" w:rsidRPr="00E85B48">
        <w:rPr>
          <w:rFonts w:ascii="Times New Roman" w:hAnsi="Times New Roman" w:cs="Times New Roman"/>
          <w:i/>
          <w:iCs/>
        </w:rPr>
        <w:t>— Palm</w:t>
      </w:r>
      <w:r w:rsidRPr="00E85B48">
        <w:rPr>
          <w:rFonts w:ascii="Times New Roman" w:hAnsi="Times New Roman" w:cs="Times New Roman"/>
          <w:i/>
          <w:iCs/>
        </w:rPr>
        <w:t xml:space="preserve"> Oil (Indonesia)</w:t>
      </w:r>
      <w:r w:rsidR="005C5864" w:rsidRPr="00E85B48">
        <w:rPr>
          <w:rFonts w:ascii="Times New Roman" w:hAnsi="Times New Roman" w:cs="Times New Roman"/>
        </w:rPr>
        <w:t>.</w:t>
      </w:r>
    </w:p>
  </w:footnote>
  <w:footnote w:id="4">
    <w:p w14:paraId="32494248" w14:textId="77777777" w:rsidR="00674AEB" w:rsidRPr="00E85B48" w:rsidRDefault="00674AEB" w:rsidP="00674AEB">
      <w:pPr>
        <w:pStyle w:val="FootnoteText"/>
        <w:rPr>
          <w:rFonts w:ascii="Times New Roman" w:hAnsi="Times New Roman" w:cs="Times New Roman"/>
        </w:rPr>
      </w:pPr>
      <w:r w:rsidRPr="00E85B48">
        <w:rPr>
          <w:rStyle w:val="FootnoteReference"/>
          <w:rFonts w:ascii="Times New Roman" w:hAnsi="Times New Roman" w:cs="Times New Roman"/>
        </w:rPr>
        <w:footnoteRef/>
      </w:r>
      <w:r w:rsidRPr="00E85B48">
        <w:rPr>
          <w:rFonts w:ascii="Times New Roman" w:hAnsi="Times New Roman" w:cs="Times New Roman"/>
        </w:rPr>
        <w:t xml:space="preserve"> Appellate Body Reports, </w:t>
      </w:r>
      <w:r w:rsidRPr="00E85B48">
        <w:rPr>
          <w:rFonts w:ascii="Times New Roman" w:hAnsi="Times New Roman" w:cs="Times New Roman"/>
          <w:i/>
          <w:iCs/>
        </w:rPr>
        <w:t>Australia – Tobacco Plain Packaging</w:t>
      </w:r>
      <w:r w:rsidRPr="00E85B48">
        <w:rPr>
          <w:rFonts w:ascii="Times New Roman" w:hAnsi="Times New Roman" w:cs="Times New Roman"/>
        </w:rPr>
        <w:t>, paras. 6.392-6.393.</w:t>
      </w:r>
    </w:p>
  </w:footnote>
  <w:footnote w:id="5">
    <w:p w14:paraId="39E76318" w14:textId="35377EB1" w:rsidR="00A67BCB" w:rsidRPr="00E85B48" w:rsidRDefault="00A67BCB">
      <w:pPr>
        <w:pStyle w:val="FootnoteText"/>
        <w:rPr>
          <w:rFonts w:ascii="Times New Roman" w:hAnsi="Times New Roman" w:cs="Times New Roman"/>
        </w:rPr>
      </w:pPr>
      <w:r w:rsidRPr="00E85B48">
        <w:rPr>
          <w:rStyle w:val="FootnoteReference"/>
          <w:rFonts w:ascii="Times New Roman" w:hAnsi="Times New Roman" w:cs="Times New Roman"/>
        </w:rPr>
        <w:footnoteRef/>
      </w:r>
      <w:r w:rsidRPr="00E85B48">
        <w:rPr>
          <w:rFonts w:ascii="Times New Roman" w:hAnsi="Times New Roman" w:cs="Times New Roman"/>
        </w:rPr>
        <w:t xml:space="preserve"> </w:t>
      </w:r>
      <w:r w:rsidR="00DC2ECD" w:rsidRPr="00E85B48">
        <w:rPr>
          <w:rFonts w:ascii="Times New Roman" w:hAnsi="Times New Roman" w:cs="Times New Roman"/>
        </w:rPr>
        <w:t xml:space="preserve">See </w:t>
      </w:r>
      <w:proofErr w:type="spellStart"/>
      <w:r w:rsidR="00DC2ECD" w:rsidRPr="00E85B48">
        <w:rPr>
          <w:rFonts w:ascii="Times New Roman" w:hAnsi="Times New Roman" w:cs="Times New Roman"/>
        </w:rPr>
        <w:t>eg</w:t>
      </w:r>
      <w:proofErr w:type="spellEnd"/>
      <w:r w:rsidR="00DC2ECD" w:rsidRPr="00E85B48">
        <w:rPr>
          <w:rFonts w:ascii="Times New Roman" w:hAnsi="Times New Roman" w:cs="Times New Roman"/>
        </w:rPr>
        <w:t>, European Union’s First Written Submission, para 842.</w:t>
      </w:r>
    </w:p>
  </w:footnote>
  <w:footnote w:id="6">
    <w:p w14:paraId="3D040701" w14:textId="77777777" w:rsidR="00416C1F" w:rsidRPr="00E85B48" w:rsidRDefault="00416C1F" w:rsidP="00416C1F">
      <w:pPr>
        <w:pStyle w:val="FootnoteText"/>
        <w:rPr>
          <w:rFonts w:ascii="Times New Roman" w:hAnsi="Times New Roman" w:cs="Times New Roman"/>
        </w:rPr>
      </w:pPr>
      <w:r w:rsidRPr="00E85B48">
        <w:rPr>
          <w:rStyle w:val="FootnoteReference"/>
          <w:rFonts w:ascii="Times New Roman" w:hAnsi="Times New Roman" w:cs="Times New Roman"/>
        </w:rPr>
        <w:footnoteRef/>
      </w:r>
      <w:r w:rsidRPr="00E85B48">
        <w:rPr>
          <w:rFonts w:ascii="Times New Roman" w:hAnsi="Times New Roman" w:cs="Times New Roman"/>
        </w:rPr>
        <w:t xml:space="preserve"> Malaysia’s First Written Submission, paras 522 – 585. </w:t>
      </w:r>
    </w:p>
  </w:footnote>
  <w:footnote w:id="7">
    <w:p w14:paraId="0C18650E" w14:textId="77777777" w:rsidR="002C1544" w:rsidRPr="00E85B48" w:rsidRDefault="002C1544" w:rsidP="002C1544">
      <w:pPr>
        <w:pStyle w:val="FootnoteText"/>
        <w:rPr>
          <w:rFonts w:ascii="Times New Roman" w:hAnsi="Times New Roman" w:cs="Times New Roman"/>
        </w:rPr>
      </w:pPr>
      <w:r w:rsidRPr="00E85B48">
        <w:rPr>
          <w:rStyle w:val="FootnoteReference"/>
          <w:rFonts w:ascii="Times New Roman" w:hAnsi="Times New Roman" w:cs="Times New Roman"/>
        </w:rPr>
        <w:footnoteRef/>
      </w:r>
      <w:r w:rsidRPr="00E85B48">
        <w:rPr>
          <w:rFonts w:ascii="Times New Roman" w:hAnsi="Times New Roman" w:cs="Times New Roman"/>
        </w:rPr>
        <w:t xml:space="preserve"> European Union’s First Written Submission, para 362.</w:t>
      </w:r>
    </w:p>
  </w:footnote>
  <w:footnote w:id="8">
    <w:p w14:paraId="1EE98ECC" w14:textId="77777777" w:rsidR="002C1544" w:rsidRPr="00E85B48" w:rsidRDefault="002C1544" w:rsidP="002C1544">
      <w:pPr>
        <w:pStyle w:val="FootnoteText"/>
        <w:rPr>
          <w:rFonts w:ascii="Times New Roman" w:hAnsi="Times New Roman" w:cs="Times New Roman"/>
        </w:rPr>
      </w:pPr>
      <w:r w:rsidRPr="00E85B48">
        <w:rPr>
          <w:rStyle w:val="FootnoteReference"/>
          <w:rFonts w:ascii="Times New Roman" w:hAnsi="Times New Roman" w:cs="Times New Roman"/>
        </w:rPr>
        <w:footnoteRef/>
      </w:r>
      <w:r w:rsidRPr="00E85B48">
        <w:rPr>
          <w:rFonts w:ascii="Times New Roman" w:hAnsi="Times New Roman" w:cs="Times New Roman"/>
        </w:rPr>
        <w:t xml:space="preserve"> Ibid, para 781.</w:t>
      </w:r>
    </w:p>
  </w:footnote>
  <w:footnote w:id="9">
    <w:p w14:paraId="0F428C97" w14:textId="381F5D4A" w:rsidR="00196390" w:rsidRPr="00E85B48" w:rsidRDefault="00196390">
      <w:pPr>
        <w:pStyle w:val="FootnoteText"/>
        <w:rPr>
          <w:rFonts w:ascii="Times New Roman" w:hAnsi="Times New Roman" w:cs="Times New Roman"/>
        </w:rPr>
      </w:pPr>
      <w:r w:rsidRPr="00E85B48">
        <w:rPr>
          <w:rStyle w:val="FootnoteReference"/>
          <w:rFonts w:ascii="Times New Roman" w:hAnsi="Times New Roman" w:cs="Times New Roman"/>
        </w:rPr>
        <w:footnoteRef/>
      </w:r>
      <w:r w:rsidRPr="00E85B48">
        <w:rPr>
          <w:rFonts w:ascii="Times New Roman" w:hAnsi="Times New Roman" w:cs="Times New Roman"/>
        </w:rPr>
        <w:t xml:space="preserve"> </w:t>
      </w:r>
      <w:r w:rsidR="00A143C3" w:rsidRPr="00E85B48">
        <w:rPr>
          <w:rFonts w:ascii="Times New Roman" w:hAnsi="Times New Roman" w:cs="Times New Roman"/>
        </w:rPr>
        <w:t>Panel</w:t>
      </w:r>
      <w:r w:rsidRPr="00E85B48">
        <w:rPr>
          <w:rFonts w:ascii="Times New Roman" w:hAnsi="Times New Roman" w:cs="Times New Roman"/>
        </w:rPr>
        <w:t xml:space="preserve"> Reports, </w:t>
      </w:r>
      <w:r w:rsidRPr="00E85B48">
        <w:rPr>
          <w:rFonts w:ascii="Times New Roman" w:hAnsi="Times New Roman" w:cs="Times New Roman"/>
          <w:i/>
          <w:iCs/>
        </w:rPr>
        <w:t>Australia – Tobacco Plain Packaging</w:t>
      </w:r>
      <w:r w:rsidRPr="00E85B48">
        <w:rPr>
          <w:rFonts w:ascii="Times New Roman" w:hAnsi="Times New Roman" w:cs="Times New Roman"/>
        </w:rPr>
        <w:t>, para. 7.627.</w:t>
      </w:r>
    </w:p>
  </w:footnote>
  <w:footnote w:id="10">
    <w:p w14:paraId="620AE256" w14:textId="264AC32A" w:rsidR="006378D5" w:rsidRPr="00E85B48" w:rsidRDefault="006378D5">
      <w:pPr>
        <w:pStyle w:val="FootnoteText"/>
        <w:rPr>
          <w:rFonts w:ascii="Times New Roman" w:hAnsi="Times New Roman" w:cs="Times New Roman"/>
        </w:rPr>
      </w:pPr>
      <w:r w:rsidRPr="00E85B48">
        <w:rPr>
          <w:rStyle w:val="FootnoteReference"/>
          <w:rFonts w:ascii="Times New Roman" w:hAnsi="Times New Roman" w:cs="Times New Roman"/>
        </w:rPr>
        <w:footnoteRef/>
      </w:r>
      <w:r w:rsidRPr="00E85B48">
        <w:rPr>
          <w:rFonts w:ascii="Times New Roman" w:hAnsi="Times New Roman" w:cs="Times New Roman"/>
        </w:rPr>
        <w:t xml:space="preserve"> </w:t>
      </w:r>
      <w:r w:rsidR="00A143C3" w:rsidRPr="00E85B48">
        <w:rPr>
          <w:rFonts w:ascii="Times New Roman" w:hAnsi="Times New Roman" w:cs="Times New Roman"/>
        </w:rPr>
        <w:t>Panel</w:t>
      </w:r>
      <w:r w:rsidRPr="00E85B48">
        <w:rPr>
          <w:rFonts w:ascii="Times New Roman" w:hAnsi="Times New Roman" w:cs="Times New Roman"/>
        </w:rPr>
        <w:t xml:space="preserve"> Reports, </w:t>
      </w:r>
      <w:r w:rsidRPr="00E85B48">
        <w:rPr>
          <w:rFonts w:ascii="Times New Roman" w:hAnsi="Times New Roman" w:cs="Times New Roman"/>
          <w:i/>
          <w:iCs/>
        </w:rPr>
        <w:t>Australia – Tobacco Plain Packaging</w:t>
      </w:r>
      <w:r w:rsidRPr="00E85B48">
        <w:rPr>
          <w:rFonts w:ascii="Times New Roman" w:hAnsi="Times New Roman" w:cs="Times New Roman"/>
        </w:rPr>
        <w:t>, para. 7.516.</w:t>
      </w:r>
    </w:p>
  </w:footnote>
  <w:footnote w:id="11">
    <w:p w14:paraId="4BBC1145" w14:textId="1D2DEF96" w:rsidR="00196390" w:rsidRPr="00E85B48" w:rsidRDefault="00196390" w:rsidP="00196390">
      <w:pPr>
        <w:pStyle w:val="FootnoteText"/>
        <w:rPr>
          <w:rFonts w:ascii="Times New Roman" w:hAnsi="Times New Roman" w:cs="Times New Roman"/>
        </w:rPr>
      </w:pPr>
      <w:r w:rsidRPr="00E85B48">
        <w:rPr>
          <w:rStyle w:val="FootnoteReference"/>
          <w:rFonts w:ascii="Times New Roman" w:hAnsi="Times New Roman" w:cs="Times New Roman"/>
        </w:rPr>
        <w:footnoteRef/>
      </w:r>
      <w:r w:rsidRPr="00E85B48">
        <w:rPr>
          <w:rFonts w:ascii="Times New Roman" w:hAnsi="Times New Roman" w:cs="Times New Roman"/>
        </w:rPr>
        <w:t xml:space="preserve"> </w:t>
      </w:r>
      <w:r w:rsidR="00A143C3" w:rsidRPr="00E85B48">
        <w:rPr>
          <w:rFonts w:ascii="Times New Roman" w:hAnsi="Times New Roman" w:cs="Times New Roman"/>
        </w:rPr>
        <w:t>Panel</w:t>
      </w:r>
      <w:r w:rsidRPr="00E85B48">
        <w:rPr>
          <w:rFonts w:ascii="Times New Roman" w:hAnsi="Times New Roman" w:cs="Times New Roman"/>
        </w:rPr>
        <w:t xml:space="preserve"> Reports, </w:t>
      </w:r>
      <w:r w:rsidRPr="00E85B48">
        <w:rPr>
          <w:rFonts w:ascii="Times New Roman" w:hAnsi="Times New Roman" w:cs="Times New Roman"/>
          <w:i/>
          <w:iCs/>
        </w:rPr>
        <w:t>Australia – Tobacco Plain Packaging</w:t>
      </w:r>
      <w:r w:rsidRPr="00E85B48">
        <w:rPr>
          <w:rFonts w:ascii="Times New Roman" w:hAnsi="Times New Roman" w:cs="Times New Roman"/>
        </w:rPr>
        <w:t>, paras 7.938 - 7.943.</w:t>
      </w:r>
    </w:p>
  </w:footnote>
  <w:footnote w:id="12">
    <w:p w14:paraId="5DDDBF25" w14:textId="77777777" w:rsidR="00323F59" w:rsidRPr="00E85B48" w:rsidRDefault="00323F59" w:rsidP="00323F59">
      <w:pPr>
        <w:pStyle w:val="FootnoteText"/>
        <w:rPr>
          <w:rFonts w:ascii="Times New Roman" w:hAnsi="Times New Roman" w:cs="Times New Roman"/>
        </w:rPr>
      </w:pPr>
      <w:r w:rsidRPr="00E85B48">
        <w:rPr>
          <w:rStyle w:val="FootnoteReference"/>
          <w:rFonts w:ascii="Times New Roman" w:hAnsi="Times New Roman" w:cs="Times New Roman"/>
        </w:rPr>
        <w:footnoteRef/>
      </w:r>
      <w:r w:rsidRPr="00E85B48">
        <w:rPr>
          <w:rFonts w:ascii="Times New Roman" w:hAnsi="Times New Roman" w:cs="Times New Roman"/>
        </w:rPr>
        <w:t xml:space="preserve"> Appellate Body Reports, </w:t>
      </w:r>
      <w:r w:rsidRPr="00E85B48">
        <w:rPr>
          <w:rFonts w:ascii="Times New Roman" w:hAnsi="Times New Roman" w:cs="Times New Roman"/>
          <w:i/>
          <w:iCs/>
        </w:rPr>
        <w:t>US – COOL (Article 21.5 – Canada and Mexico)</w:t>
      </w:r>
      <w:r w:rsidRPr="00E85B48">
        <w:rPr>
          <w:rFonts w:ascii="Times New Roman" w:hAnsi="Times New Roman" w:cs="Times New Roman"/>
        </w:rPr>
        <w:t>, para 5.338</w:t>
      </w:r>
    </w:p>
  </w:footnote>
  <w:footnote w:id="13">
    <w:p w14:paraId="3F2B699B" w14:textId="37E9DAEF" w:rsidR="00323F59" w:rsidRPr="00E85B48" w:rsidRDefault="00323F59" w:rsidP="00323F59">
      <w:pPr>
        <w:pStyle w:val="FootnoteText"/>
        <w:rPr>
          <w:rFonts w:ascii="Times New Roman" w:hAnsi="Times New Roman" w:cs="Times New Roman"/>
        </w:rPr>
      </w:pPr>
      <w:r w:rsidRPr="00E85B48">
        <w:rPr>
          <w:rStyle w:val="FootnoteReference"/>
          <w:rFonts w:ascii="Times New Roman" w:hAnsi="Times New Roman" w:cs="Times New Roman"/>
        </w:rPr>
        <w:footnoteRef/>
      </w:r>
      <w:r w:rsidRPr="00E85B48">
        <w:rPr>
          <w:rFonts w:ascii="Times New Roman" w:hAnsi="Times New Roman" w:cs="Times New Roman"/>
        </w:rPr>
        <w:t xml:space="preserve"> Ibid.</w:t>
      </w:r>
    </w:p>
  </w:footnote>
  <w:footnote w:id="14">
    <w:p w14:paraId="709A7916" w14:textId="02514F42" w:rsidR="00500379" w:rsidRPr="00E85B48" w:rsidRDefault="00500379" w:rsidP="00500379">
      <w:pPr>
        <w:pStyle w:val="FootnoteText"/>
        <w:rPr>
          <w:rFonts w:ascii="Times New Roman" w:hAnsi="Times New Roman" w:cs="Times New Roman"/>
        </w:rPr>
      </w:pPr>
      <w:r w:rsidRPr="00E85B48">
        <w:rPr>
          <w:rStyle w:val="FootnoteReference"/>
          <w:rFonts w:ascii="Times New Roman" w:hAnsi="Times New Roman" w:cs="Times New Roman"/>
        </w:rPr>
        <w:footnoteRef/>
      </w:r>
      <w:r w:rsidRPr="00E85B48">
        <w:rPr>
          <w:rFonts w:ascii="Times New Roman" w:hAnsi="Times New Roman" w:cs="Times New Roman"/>
        </w:rPr>
        <w:t xml:space="preserve"> Appellate Body Report, </w:t>
      </w:r>
      <w:r w:rsidRPr="00E85B48">
        <w:rPr>
          <w:rFonts w:ascii="Times New Roman" w:hAnsi="Times New Roman" w:cs="Times New Roman"/>
          <w:i/>
          <w:iCs/>
        </w:rPr>
        <w:t xml:space="preserve">Brazil – </w:t>
      </w:r>
      <w:proofErr w:type="spellStart"/>
      <w:r w:rsidRPr="00E85B48">
        <w:rPr>
          <w:rFonts w:ascii="Times New Roman" w:hAnsi="Times New Roman" w:cs="Times New Roman"/>
          <w:i/>
          <w:iCs/>
        </w:rPr>
        <w:t>Retreaded</w:t>
      </w:r>
      <w:proofErr w:type="spellEnd"/>
      <w:r w:rsidRPr="00E85B48">
        <w:rPr>
          <w:rFonts w:ascii="Times New Roman" w:hAnsi="Times New Roman" w:cs="Times New Roman"/>
          <w:i/>
          <w:iCs/>
        </w:rPr>
        <w:t xml:space="preserve"> Tyres, </w:t>
      </w:r>
      <w:r w:rsidRPr="00E85B48">
        <w:rPr>
          <w:rFonts w:ascii="Times New Roman" w:hAnsi="Times New Roman" w:cs="Times New Roman"/>
        </w:rPr>
        <w:t xml:space="preserve">para 178 - 182; Appellate Body Report, </w:t>
      </w:r>
      <w:r w:rsidRPr="00E85B48">
        <w:rPr>
          <w:rFonts w:ascii="Times New Roman" w:hAnsi="Times New Roman" w:cs="Times New Roman"/>
          <w:i/>
          <w:iCs/>
        </w:rPr>
        <w:t xml:space="preserve">US – Gambling, </w:t>
      </w:r>
      <w:r w:rsidRPr="00E85B48">
        <w:rPr>
          <w:rFonts w:ascii="Times New Roman" w:hAnsi="Times New Roman" w:cs="Times New Roman"/>
        </w:rPr>
        <w:t xml:space="preserve">para. 307; Appellate Body Report, </w:t>
      </w:r>
      <w:r w:rsidRPr="00E85B48">
        <w:rPr>
          <w:rFonts w:ascii="Times New Roman" w:hAnsi="Times New Roman" w:cs="Times New Roman"/>
          <w:i/>
          <w:iCs/>
        </w:rPr>
        <w:t xml:space="preserve">Korea – Various Measures on Beef, </w:t>
      </w:r>
      <w:r w:rsidRPr="00E85B48">
        <w:rPr>
          <w:rFonts w:ascii="Times New Roman" w:hAnsi="Times New Roman" w:cs="Times New Roman"/>
        </w:rPr>
        <w:t xml:space="preserve">para. 164; Appellate Body Report, </w:t>
      </w:r>
      <w:r w:rsidRPr="00E85B48">
        <w:rPr>
          <w:rFonts w:ascii="Times New Roman" w:hAnsi="Times New Roman" w:cs="Times New Roman"/>
          <w:i/>
          <w:iCs/>
        </w:rPr>
        <w:t>Colombia – Textiles</w:t>
      </w:r>
      <w:r w:rsidRPr="00E85B48">
        <w:rPr>
          <w:rFonts w:ascii="Times New Roman" w:hAnsi="Times New Roman" w:cs="Times New Roman"/>
        </w:rPr>
        <w:t>, paras. 5.71-5.74</w:t>
      </w:r>
      <w:r w:rsidR="009E1179">
        <w:rPr>
          <w:rFonts w:ascii="Times New Roman" w:hAnsi="Times New Roman" w:cs="Times New Roman"/>
        </w:rPr>
        <w:t>.</w:t>
      </w:r>
    </w:p>
  </w:footnote>
  <w:footnote w:id="15">
    <w:p w14:paraId="547141A6" w14:textId="77777777" w:rsidR="006F1D40" w:rsidRPr="00E85B48" w:rsidRDefault="006F1D40" w:rsidP="006F1D40">
      <w:pPr>
        <w:pStyle w:val="FootnoteText"/>
        <w:rPr>
          <w:rFonts w:ascii="Times New Roman" w:hAnsi="Times New Roman" w:cs="Times New Roman"/>
        </w:rPr>
      </w:pPr>
      <w:r w:rsidRPr="00E85B48">
        <w:rPr>
          <w:rStyle w:val="FootnoteReference"/>
          <w:rFonts w:ascii="Times New Roman" w:hAnsi="Times New Roman" w:cs="Times New Roman"/>
        </w:rPr>
        <w:footnoteRef/>
      </w:r>
      <w:r w:rsidRPr="00E85B48">
        <w:rPr>
          <w:rFonts w:ascii="Times New Roman" w:hAnsi="Times New Roman" w:cs="Times New Roman"/>
        </w:rPr>
        <w:t xml:space="preserve"> Appellate Body Reports, </w:t>
      </w:r>
      <w:r w:rsidRPr="00E85B48">
        <w:rPr>
          <w:rFonts w:ascii="Times New Roman" w:hAnsi="Times New Roman" w:cs="Times New Roman"/>
          <w:i/>
          <w:iCs/>
        </w:rPr>
        <w:t>China – Rare Earths</w:t>
      </w:r>
      <w:r w:rsidRPr="00E85B48">
        <w:rPr>
          <w:rFonts w:ascii="Times New Roman" w:hAnsi="Times New Roman" w:cs="Times New Roman"/>
        </w:rPr>
        <w:t>, para. 5.90.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68"/>
      <w:gridCol w:w="4693"/>
    </w:tblGrid>
    <w:tr w:rsidR="00E85B48" w:rsidRPr="00E85B48" w14:paraId="3DFB16EA" w14:textId="77777777" w:rsidTr="005A6D22">
      <w:trPr>
        <w:trHeight w:val="90"/>
      </w:trPr>
      <w:tc>
        <w:tcPr>
          <w:tcW w:w="4968" w:type="dxa"/>
          <w:tcBorders>
            <w:top w:val="nil"/>
            <w:left w:val="nil"/>
            <w:bottom w:val="nil"/>
            <w:right w:val="nil"/>
          </w:tcBorders>
        </w:tcPr>
        <w:p w14:paraId="7D5B4265" w14:textId="0CFCD825" w:rsidR="00E85B48" w:rsidRDefault="00E85B48" w:rsidP="00E85B48">
          <w:pPr>
            <w:tabs>
              <w:tab w:val="center" w:pos="3420"/>
              <w:tab w:val="right" w:pos="8306"/>
            </w:tabs>
            <w:spacing w:after="0" w:line="240" w:lineRule="auto"/>
            <w:ind w:right="59"/>
            <w:rPr>
              <w:rFonts w:ascii="Times New Roman" w:eastAsia="SimSun" w:hAnsi="Times New Roman" w:cs="Times New Roman"/>
              <w:i/>
              <w:iCs/>
              <w:sz w:val="20"/>
              <w:szCs w:val="20"/>
            </w:rPr>
          </w:pPr>
          <w:r w:rsidRPr="00E85B48">
            <w:rPr>
              <w:rFonts w:ascii="Times New Roman" w:eastAsia="SimSun" w:hAnsi="Times New Roman" w:cs="Times New Roman"/>
              <w:i/>
              <w:iCs/>
              <w:sz w:val="20"/>
              <w:szCs w:val="20"/>
            </w:rPr>
            <w:t>EU and Certain Member States</w:t>
          </w:r>
          <w:r w:rsidR="00662B97">
            <w:rPr>
              <w:rFonts w:ascii="Times New Roman" w:eastAsia="SimSun" w:hAnsi="Times New Roman" w:cs="Times New Roman"/>
              <w:i/>
              <w:iCs/>
              <w:sz w:val="20"/>
              <w:szCs w:val="20"/>
            </w:rPr>
            <w:t xml:space="preserve"> – Palm </w:t>
          </w:r>
          <w:r w:rsidRPr="00E85B48">
            <w:rPr>
              <w:rFonts w:ascii="Times New Roman" w:eastAsia="SimSun" w:hAnsi="Times New Roman" w:cs="Times New Roman"/>
              <w:i/>
              <w:iCs/>
              <w:sz w:val="20"/>
              <w:szCs w:val="20"/>
            </w:rPr>
            <w:t>Oil (Malaysia) (DS</w:t>
          </w:r>
          <w:r>
            <w:rPr>
              <w:rFonts w:ascii="Times New Roman" w:eastAsia="SimSun" w:hAnsi="Times New Roman" w:cs="Times New Roman"/>
              <w:i/>
              <w:iCs/>
              <w:sz w:val="20"/>
              <w:szCs w:val="20"/>
            </w:rPr>
            <w:t>600</w:t>
          </w:r>
          <w:r w:rsidRPr="00E85B48">
            <w:rPr>
              <w:rFonts w:ascii="Times New Roman" w:eastAsia="SimSun" w:hAnsi="Times New Roman" w:cs="Times New Roman"/>
              <w:i/>
              <w:iCs/>
              <w:sz w:val="20"/>
              <w:szCs w:val="20"/>
            </w:rPr>
            <w:t>)</w:t>
          </w:r>
        </w:p>
        <w:p w14:paraId="0CBA3DED" w14:textId="24196598" w:rsidR="00AA1C7D" w:rsidRPr="00E85B48" w:rsidRDefault="00AA1C7D" w:rsidP="00E85B48">
          <w:pPr>
            <w:tabs>
              <w:tab w:val="center" w:pos="3420"/>
              <w:tab w:val="right" w:pos="8306"/>
            </w:tabs>
            <w:spacing w:after="0" w:line="240" w:lineRule="auto"/>
            <w:ind w:right="59"/>
            <w:rPr>
              <w:rFonts w:ascii="Times New Roman" w:eastAsia="SimSun" w:hAnsi="Times New Roman" w:cs="Times New Roman"/>
              <w:i/>
              <w:iCs/>
              <w:sz w:val="20"/>
              <w:szCs w:val="20"/>
            </w:rPr>
          </w:pPr>
        </w:p>
      </w:tc>
      <w:tc>
        <w:tcPr>
          <w:tcW w:w="4693" w:type="dxa"/>
          <w:tcBorders>
            <w:top w:val="nil"/>
            <w:left w:val="nil"/>
            <w:bottom w:val="nil"/>
            <w:right w:val="nil"/>
          </w:tcBorders>
        </w:tcPr>
        <w:p w14:paraId="5FE66C8F" w14:textId="77777777" w:rsidR="00E85B48" w:rsidRPr="00E85B48" w:rsidRDefault="00E85B48" w:rsidP="00E85B48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imes New Roman" w:eastAsia="SimSun" w:hAnsi="Times New Roman" w:cs="Times New Roman"/>
              <w:i/>
              <w:iCs/>
              <w:sz w:val="20"/>
              <w:szCs w:val="20"/>
            </w:rPr>
          </w:pPr>
          <w:r w:rsidRPr="00E85B48">
            <w:rPr>
              <w:rFonts w:ascii="Times New Roman" w:eastAsia="SimSun" w:hAnsi="Times New Roman" w:cs="Times New Roman"/>
              <w:i/>
              <w:iCs/>
              <w:sz w:val="20"/>
              <w:szCs w:val="20"/>
            </w:rPr>
            <w:t>Third Party Oral Statement of Australia</w:t>
          </w:r>
        </w:p>
        <w:p w14:paraId="0FB215CD" w14:textId="38BDECBA" w:rsidR="00E85B48" w:rsidRPr="00E85B48" w:rsidRDefault="00E85B48" w:rsidP="00E85B48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imes New Roman" w:eastAsia="SimSun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eastAsia="SimSun" w:hAnsi="Times New Roman" w:cs="Times New Roman"/>
              <w:i/>
              <w:iCs/>
              <w:sz w:val="20"/>
              <w:szCs w:val="20"/>
            </w:rPr>
            <w:t>11</w:t>
          </w:r>
          <w:r w:rsidRPr="00E85B48">
            <w:rPr>
              <w:rFonts w:ascii="Times New Roman" w:eastAsia="SimSun" w:hAnsi="Times New Roman" w:cs="Times New Roman"/>
              <w:i/>
              <w:iCs/>
              <w:sz w:val="20"/>
              <w:szCs w:val="20"/>
            </w:rPr>
            <w:t xml:space="preserve"> </w:t>
          </w:r>
          <w:r>
            <w:rPr>
              <w:rFonts w:ascii="Times New Roman" w:eastAsia="SimSun" w:hAnsi="Times New Roman" w:cs="Times New Roman"/>
              <w:i/>
              <w:iCs/>
              <w:sz w:val="20"/>
              <w:szCs w:val="20"/>
            </w:rPr>
            <w:t>May</w:t>
          </w:r>
          <w:r w:rsidRPr="00E85B48">
            <w:rPr>
              <w:rFonts w:ascii="Times New Roman" w:eastAsia="SimSun" w:hAnsi="Times New Roman" w:cs="Times New Roman"/>
              <w:i/>
              <w:iCs/>
              <w:sz w:val="20"/>
              <w:szCs w:val="20"/>
            </w:rPr>
            <w:t xml:space="preserve"> 20</w:t>
          </w:r>
          <w:r>
            <w:rPr>
              <w:rFonts w:ascii="Times New Roman" w:eastAsia="SimSun" w:hAnsi="Times New Roman" w:cs="Times New Roman"/>
              <w:i/>
              <w:iCs/>
              <w:sz w:val="20"/>
              <w:szCs w:val="20"/>
            </w:rPr>
            <w:t>22</w:t>
          </w:r>
        </w:p>
      </w:tc>
    </w:tr>
  </w:tbl>
  <w:p w14:paraId="18FEE8E1" w14:textId="670C8BCD" w:rsidR="00E85B48" w:rsidRDefault="00E85B48" w:rsidP="00E85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0FE8"/>
    <w:multiLevelType w:val="hybridMultilevel"/>
    <w:tmpl w:val="E42ADA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72809"/>
    <w:multiLevelType w:val="hybridMultilevel"/>
    <w:tmpl w:val="A370AC2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41"/>
    <w:rsid w:val="00004715"/>
    <w:rsid w:val="0001481D"/>
    <w:rsid w:val="00016165"/>
    <w:rsid w:val="00027661"/>
    <w:rsid w:val="00035ADF"/>
    <w:rsid w:val="000536B2"/>
    <w:rsid w:val="00060DA8"/>
    <w:rsid w:val="000B70EE"/>
    <w:rsid w:val="000E1B96"/>
    <w:rsid w:val="000E22A2"/>
    <w:rsid w:val="000E2489"/>
    <w:rsid w:val="000F08FF"/>
    <w:rsid w:val="000F36C5"/>
    <w:rsid w:val="000F38EC"/>
    <w:rsid w:val="000F411C"/>
    <w:rsid w:val="001012CD"/>
    <w:rsid w:val="0011061E"/>
    <w:rsid w:val="001224C3"/>
    <w:rsid w:val="001234A4"/>
    <w:rsid w:val="0014138F"/>
    <w:rsid w:val="001510D0"/>
    <w:rsid w:val="001661E2"/>
    <w:rsid w:val="001826B0"/>
    <w:rsid w:val="001900F8"/>
    <w:rsid w:val="00196390"/>
    <w:rsid w:val="001B58DB"/>
    <w:rsid w:val="001B69FA"/>
    <w:rsid w:val="001C4736"/>
    <w:rsid w:val="001D06EF"/>
    <w:rsid w:val="001D497C"/>
    <w:rsid w:val="001D70A9"/>
    <w:rsid w:val="001F28BF"/>
    <w:rsid w:val="001F661B"/>
    <w:rsid w:val="00204A76"/>
    <w:rsid w:val="00244090"/>
    <w:rsid w:val="00256D54"/>
    <w:rsid w:val="002863B1"/>
    <w:rsid w:val="002A434D"/>
    <w:rsid w:val="002A7981"/>
    <w:rsid w:val="002B16F9"/>
    <w:rsid w:val="002C1544"/>
    <w:rsid w:val="002D4254"/>
    <w:rsid w:val="002D4F36"/>
    <w:rsid w:val="002D5D34"/>
    <w:rsid w:val="002E4D49"/>
    <w:rsid w:val="00300B37"/>
    <w:rsid w:val="00301F5E"/>
    <w:rsid w:val="00323F59"/>
    <w:rsid w:val="00342644"/>
    <w:rsid w:val="0035150F"/>
    <w:rsid w:val="00360D1D"/>
    <w:rsid w:val="0037372F"/>
    <w:rsid w:val="0039302D"/>
    <w:rsid w:val="003A6F04"/>
    <w:rsid w:val="003B3128"/>
    <w:rsid w:val="003E2472"/>
    <w:rsid w:val="003F6C2F"/>
    <w:rsid w:val="00406241"/>
    <w:rsid w:val="004168E2"/>
    <w:rsid w:val="00416C1F"/>
    <w:rsid w:val="00426DF6"/>
    <w:rsid w:val="004455DE"/>
    <w:rsid w:val="0044699D"/>
    <w:rsid w:val="004548B6"/>
    <w:rsid w:val="00475B07"/>
    <w:rsid w:val="00476F5F"/>
    <w:rsid w:val="004843EE"/>
    <w:rsid w:val="00484993"/>
    <w:rsid w:val="00486BA0"/>
    <w:rsid w:val="00495026"/>
    <w:rsid w:val="004E09CC"/>
    <w:rsid w:val="00500379"/>
    <w:rsid w:val="00503D86"/>
    <w:rsid w:val="00512067"/>
    <w:rsid w:val="00514E26"/>
    <w:rsid w:val="00521D32"/>
    <w:rsid w:val="00523CC3"/>
    <w:rsid w:val="005264C5"/>
    <w:rsid w:val="00563154"/>
    <w:rsid w:val="0056795D"/>
    <w:rsid w:val="00575FBF"/>
    <w:rsid w:val="00580661"/>
    <w:rsid w:val="005846DA"/>
    <w:rsid w:val="005B11BD"/>
    <w:rsid w:val="005B5F9F"/>
    <w:rsid w:val="005C0E4C"/>
    <w:rsid w:val="005C5864"/>
    <w:rsid w:val="005D4FF2"/>
    <w:rsid w:val="005E0ED9"/>
    <w:rsid w:val="005E7006"/>
    <w:rsid w:val="006047C8"/>
    <w:rsid w:val="006151D6"/>
    <w:rsid w:val="006378D5"/>
    <w:rsid w:val="00652679"/>
    <w:rsid w:val="006530FA"/>
    <w:rsid w:val="00657C47"/>
    <w:rsid w:val="00662B97"/>
    <w:rsid w:val="0067312F"/>
    <w:rsid w:val="00674AEB"/>
    <w:rsid w:val="00681BF8"/>
    <w:rsid w:val="00694AD7"/>
    <w:rsid w:val="006A0BA2"/>
    <w:rsid w:val="006A6B2B"/>
    <w:rsid w:val="006B6631"/>
    <w:rsid w:val="006F1D40"/>
    <w:rsid w:val="00704464"/>
    <w:rsid w:val="00722AE6"/>
    <w:rsid w:val="00736A13"/>
    <w:rsid w:val="00751CB7"/>
    <w:rsid w:val="00755BD3"/>
    <w:rsid w:val="00776B95"/>
    <w:rsid w:val="007A391D"/>
    <w:rsid w:val="007C7152"/>
    <w:rsid w:val="007D4947"/>
    <w:rsid w:val="007E3BB9"/>
    <w:rsid w:val="007F0797"/>
    <w:rsid w:val="007F6D87"/>
    <w:rsid w:val="007F74AE"/>
    <w:rsid w:val="0081132C"/>
    <w:rsid w:val="00812F7D"/>
    <w:rsid w:val="008159D8"/>
    <w:rsid w:val="008270E5"/>
    <w:rsid w:val="00834039"/>
    <w:rsid w:val="00843D44"/>
    <w:rsid w:val="00847322"/>
    <w:rsid w:val="008655FD"/>
    <w:rsid w:val="00867AF1"/>
    <w:rsid w:val="0087176B"/>
    <w:rsid w:val="00874286"/>
    <w:rsid w:val="00892E10"/>
    <w:rsid w:val="008C2A29"/>
    <w:rsid w:val="008E5B5B"/>
    <w:rsid w:val="008F1588"/>
    <w:rsid w:val="00912374"/>
    <w:rsid w:val="009145F3"/>
    <w:rsid w:val="00925BA9"/>
    <w:rsid w:val="009310A2"/>
    <w:rsid w:val="00932886"/>
    <w:rsid w:val="0093325B"/>
    <w:rsid w:val="00933EB7"/>
    <w:rsid w:val="00937B59"/>
    <w:rsid w:val="00957CF1"/>
    <w:rsid w:val="00960711"/>
    <w:rsid w:val="00961014"/>
    <w:rsid w:val="00976E06"/>
    <w:rsid w:val="00987029"/>
    <w:rsid w:val="009939E5"/>
    <w:rsid w:val="009948A3"/>
    <w:rsid w:val="009E1179"/>
    <w:rsid w:val="009F6124"/>
    <w:rsid w:val="00A00F76"/>
    <w:rsid w:val="00A143C3"/>
    <w:rsid w:val="00A35712"/>
    <w:rsid w:val="00A67BCB"/>
    <w:rsid w:val="00AA1C10"/>
    <w:rsid w:val="00AA1C7D"/>
    <w:rsid w:val="00AA2600"/>
    <w:rsid w:val="00AB543F"/>
    <w:rsid w:val="00AB5F0D"/>
    <w:rsid w:val="00AE28D7"/>
    <w:rsid w:val="00AE4751"/>
    <w:rsid w:val="00AF19B1"/>
    <w:rsid w:val="00AF2163"/>
    <w:rsid w:val="00AF6909"/>
    <w:rsid w:val="00B00D8F"/>
    <w:rsid w:val="00B072F4"/>
    <w:rsid w:val="00B64F28"/>
    <w:rsid w:val="00B7335D"/>
    <w:rsid w:val="00B7348F"/>
    <w:rsid w:val="00BC6DF3"/>
    <w:rsid w:val="00BD1B91"/>
    <w:rsid w:val="00BF6E68"/>
    <w:rsid w:val="00C04CCE"/>
    <w:rsid w:val="00C06D8F"/>
    <w:rsid w:val="00C37B85"/>
    <w:rsid w:val="00C46FB1"/>
    <w:rsid w:val="00C64CB9"/>
    <w:rsid w:val="00C75562"/>
    <w:rsid w:val="00C826A8"/>
    <w:rsid w:val="00CA324B"/>
    <w:rsid w:val="00CE04C1"/>
    <w:rsid w:val="00CF3869"/>
    <w:rsid w:val="00D03892"/>
    <w:rsid w:val="00D2366E"/>
    <w:rsid w:val="00D30319"/>
    <w:rsid w:val="00D451E5"/>
    <w:rsid w:val="00D74412"/>
    <w:rsid w:val="00DB17F4"/>
    <w:rsid w:val="00DB4E06"/>
    <w:rsid w:val="00DB64C2"/>
    <w:rsid w:val="00DC2ECD"/>
    <w:rsid w:val="00DD0D77"/>
    <w:rsid w:val="00DD549D"/>
    <w:rsid w:val="00DE608E"/>
    <w:rsid w:val="00DE79D0"/>
    <w:rsid w:val="00E05B74"/>
    <w:rsid w:val="00E17BFC"/>
    <w:rsid w:val="00E201BE"/>
    <w:rsid w:val="00E23A35"/>
    <w:rsid w:val="00E47E71"/>
    <w:rsid w:val="00E539E5"/>
    <w:rsid w:val="00E55E83"/>
    <w:rsid w:val="00E642D0"/>
    <w:rsid w:val="00E65DC4"/>
    <w:rsid w:val="00E671FB"/>
    <w:rsid w:val="00E80C01"/>
    <w:rsid w:val="00E84F7A"/>
    <w:rsid w:val="00E851AD"/>
    <w:rsid w:val="00E85B48"/>
    <w:rsid w:val="00EB439A"/>
    <w:rsid w:val="00EC4509"/>
    <w:rsid w:val="00EF310C"/>
    <w:rsid w:val="00EF6211"/>
    <w:rsid w:val="00F01D55"/>
    <w:rsid w:val="00F70004"/>
    <w:rsid w:val="00FA4D5E"/>
    <w:rsid w:val="00FD2A10"/>
    <w:rsid w:val="00FE3ED2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987400"/>
  <w15:chartTrackingRefBased/>
  <w15:docId w15:val="{31CE8C4F-9CB4-471F-A4F1-40E5E58F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241"/>
    <w:pPr>
      <w:ind w:left="720"/>
      <w:contextualSpacing/>
    </w:pPr>
  </w:style>
  <w:style w:type="paragraph" w:styleId="FootnoteText">
    <w:name w:val="footnote text"/>
    <w:aliases w:val="fn,footnote text,Footnote Text 2,Footnotes,ft,fn cafc,Footnote ak,Footnotes Char,Footnote ak Char,footnote citation,Footnotes Char Char,Footnote Text Char Char,fn Char Char,footnote text Char Char Char Ch,Ca,C,f,Footnote Text Char1"/>
    <w:basedOn w:val="Normal"/>
    <w:link w:val="FootnoteTextChar"/>
    <w:unhideWhenUsed/>
    <w:qFormat/>
    <w:rsid w:val="000E24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,footnote text Char,Footnote Text 2 Char,Footnotes Char1,ft Char,fn cafc Char,Footnote ak Char1,Footnotes Char Char1,Footnote ak Char Char,footnote citation Char,Footnotes Char Char Char,Footnote Text Char Char Char,Ca Char"/>
    <w:basedOn w:val="DefaultParagraphFont"/>
    <w:link w:val="FootnoteText"/>
    <w:rsid w:val="000E2489"/>
    <w:rPr>
      <w:sz w:val="20"/>
      <w:szCs w:val="20"/>
    </w:rPr>
  </w:style>
  <w:style w:type="character" w:styleId="FootnoteReference">
    <w:name w:val="footnote reference"/>
    <w:aliases w:val="Ref,de nota al pie,註腳內容,Footnote Reference1,Ref1,de nota al pie1,de nota al pie + (Asian) MS Mincho,11 pt,註?腳Ò®é»,11 p,註?腳內—e,????,-E Fußnotenzeichen,16 Point,Superscript 6 Point,註??腳內—e,11,-E Fuﬂnotenzeichen,註?腳內Ñe,-E Fu§notenzeichen"/>
    <w:basedOn w:val="DefaultParagraphFont"/>
    <w:unhideWhenUsed/>
    <w:rsid w:val="000E248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70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00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5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48"/>
  </w:style>
  <w:style w:type="paragraph" w:styleId="Footer">
    <w:name w:val="footer"/>
    <w:basedOn w:val="Normal"/>
    <w:link w:val="FooterChar"/>
    <w:uiPriority w:val="99"/>
    <w:unhideWhenUsed/>
    <w:rsid w:val="00E85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8ADA-7BF9-47D8-95D5-E6CE6923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1254</Words>
  <Characters>6937</Characters>
  <Application>Microsoft Office Word</Application>
  <DocSecurity>4</DocSecurity>
  <Lines>141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 Dhamija</dc:creator>
  <cp:keywords> [SEC=OFFICIAL:Sensitive]</cp:keywords>
  <dc:description/>
  <cp:lastModifiedBy>Rori Moyo</cp:lastModifiedBy>
  <cp:revision>2</cp:revision>
  <cp:lastPrinted>2022-05-04T03:33:00Z</cp:lastPrinted>
  <dcterms:created xsi:type="dcterms:W3CDTF">2022-05-12T14:48:00Z</dcterms:created>
  <dcterms:modified xsi:type="dcterms:W3CDTF">2022-05-12T14:48:00Z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7CEA5343103A464CB19719B270BB7438</vt:lpwstr>
  </property>
  <property fmtid="{D5CDD505-2E9C-101B-9397-08002B2CF9AE}" pid="9" name="PM_ProtectiveMarkingValue_Footer">
    <vt:lpwstr>OFFICIAL: Sensitive</vt:lpwstr>
  </property>
  <property fmtid="{D5CDD505-2E9C-101B-9397-08002B2CF9AE}" pid="10" name="PM_Originator_Hash_SHA1">
    <vt:lpwstr>CC001E8AE00D75FFA54AF4AA42DDDB0FD82457D9</vt:lpwstr>
  </property>
  <property fmtid="{D5CDD505-2E9C-101B-9397-08002B2CF9AE}" pid="11" name="PM_OriginationTimeStamp">
    <vt:lpwstr>2022-05-12T14:47:25Z</vt:lpwstr>
  </property>
  <property fmtid="{D5CDD505-2E9C-101B-9397-08002B2CF9AE}" pid="12" name="PM_ProtectiveMarkingValue_Header">
    <vt:lpwstr>OFFICIAL: Sensitive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6CE78A85A6F6602790A3DFB9482CBCEF</vt:lpwstr>
  </property>
  <property fmtid="{D5CDD505-2E9C-101B-9397-08002B2CF9AE}" pid="20" name="PM_Hash_Salt">
    <vt:lpwstr>063F003D49931084E7D6E12E8C5F8B82</vt:lpwstr>
  </property>
  <property fmtid="{D5CDD505-2E9C-101B-9397-08002B2CF9AE}" pid="21" name="PM_Hash_SHA1">
    <vt:lpwstr>9582B35889C216E33282914A672A97C8DFA332C0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</Properties>
</file>