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8A11" w14:textId="77777777" w:rsidR="00354A06" w:rsidRPr="0007327B" w:rsidRDefault="00354A06" w:rsidP="005714C3">
      <w:pPr>
        <w:pStyle w:val="BTNSSBodyTextNoSpacingSmall"/>
        <w:rPr>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5714C3" w:rsidRPr="0007327B" w14:paraId="4E2A817E" w14:textId="77777777" w:rsidTr="008A4C51">
        <w:trPr>
          <w:trHeight w:val="4365"/>
        </w:trPr>
        <w:tc>
          <w:tcPr>
            <w:tcW w:w="9060" w:type="dxa"/>
          </w:tcPr>
          <w:p w14:paraId="5A839773" w14:textId="77777777" w:rsidR="005714C3" w:rsidRPr="0007327B" w:rsidRDefault="005714C3" w:rsidP="005714C3">
            <w:pPr>
              <w:pStyle w:val="BTBodyText"/>
              <w:spacing w:after="240"/>
              <w:jc w:val="center"/>
              <w:rPr>
                <w:b/>
                <w:bCs/>
                <w:sz w:val="32"/>
                <w:szCs w:val="32"/>
              </w:rPr>
            </w:pPr>
            <w:r w:rsidRPr="0007327B">
              <w:rPr>
                <w:b/>
                <w:bCs/>
                <w:sz w:val="32"/>
                <w:szCs w:val="32"/>
              </w:rPr>
              <w:t>Before the World Trade Organization</w:t>
            </w:r>
          </w:p>
          <w:p w14:paraId="0555F87D" w14:textId="77777777" w:rsidR="005714C3" w:rsidRPr="0007327B" w:rsidRDefault="005714C3" w:rsidP="005714C3">
            <w:pPr>
              <w:pStyle w:val="BTBodyText"/>
              <w:spacing w:after="240"/>
              <w:jc w:val="center"/>
              <w:rPr>
                <w:b/>
                <w:bCs/>
                <w:sz w:val="32"/>
                <w:szCs w:val="32"/>
              </w:rPr>
            </w:pPr>
            <w:r w:rsidRPr="0007327B">
              <w:rPr>
                <w:b/>
                <w:bCs/>
                <w:sz w:val="32"/>
                <w:szCs w:val="32"/>
              </w:rPr>
              <w:t>Panel Proceedings</w:t>
            </w:r>
          </w:p>
        </w:tc>
      </w:tr>
      <w:tr w:rsidR="005714C3" w:rsidRPr="0007327B" w14:paraId="295D43FA" w14:textId="77777777" w:rsidTr="00BE0B1C">
        <w:trPr>
          <w:trHeight w:val="737"/>
        </w:trPr>
        <w:tc>
          <w:tcPr>
            <w:tcW w:w="9060" w:type="dxa"/>
          </w:tcPr>
          <w:p w14:paraId="4FB68D73" w14:textId="042FB538" w:rsidR="005714C3" w:rsidRPr="0007327B" w:rsidRDefault="00D43B32" w:rsidP="00DA5381">
            <w:pPr>
              <w:pStyle w:val="WTODTWTODisputeTitle"/>
            </w:pPr>
            <w:r>
              <w:t>China – Measures Concerning Trade in Goods</w:t>
            </w:r>
          </w:p>
        </w:tc>
      </w:tr>
      <w:tr w:rsidR="005714C3" w:rsidRPr="0007327B" w14:paraId="45F53074" w14:textId="77777777" w:rsidTr="008A4C51">
        <w:trPr>
          <w:trHeight w:val="3175"/>
        </w:trPr>
        <w:tc>
          <w:tcPr>
            <w:tcW w:w="9060" w:type="dxa"/>
          </w:tcPr>
          <w:p w14:paraId="7A05A76E" w14:textId="29F2A95A" w:rsidR="005714C3" w:rsidRPr="0007327B" w:rsidRDefault="005714C3" w:rsidP="00DA5381">
            <w:pPr>
              <w:pStyle w:val="DSNDSNumber"/>
            </w:pPr>
            <w:r w:rsidRPr="0007327B">
              <w:t>(DS</w:t>
            </w:r>
            <w:r w:rsidR="00D43B32">
              <w:t>610</w:t>
            </w:r>
            <w:r w:rsidRPr="0007327B">
              <w:t>)</w:t>
            </w:r>
          </w:p>
        </w:tc>
      </w:tr>
      <w:tr w:rsidR="005714C3" w:rsidRPr="0007327B" w14:paraId="35AE792A" w14:textId="77777777" w:rsidTr="00DD4BA0">
        <w:trPr>
          <w:trHeight w:val="3798"/>
        </w:trPr>
        <w:tc>
          <w:tcPr>
            <w:tcW w:w="9060" w:type="dxa"/>
          </w:tcPr>
          <w:p w14:paraId="6A50B7F7" w14:textId="1E9D7EC5" w:rsidR="005714C3" w:rsidRPr="0007327B" w:rsidRDefault="00D43B32" w:rsidP="00DA5381">
            <w:pPr>
              <w:pStyle w:val="DTDocumentTitle"/>
            </w:pPr>
            <w:r>
              <w:t xml:space="preserve">Third Party Oral Statement of Australia </w:t>
            </w:r>
          </w:p>
        </w:tc>
      </w:tr>
      <w:tr w:rsidR="005714C3" w:rsidRPr="0007327B" w14:paraId="03AFCFF3" w14:textId="77777777" w:rsidTr="00BE0B1C">
        <w:trPr>
          <w:trHeight w:val="624"/>
        </w:trPr>
        <w:tc>
          <w:tcPr>
            <w:tcW w:w="9060" w:type="dxa"/>
          </w:tcPr>
          <w:p w14:paraId="016B1275" w14:textId="3E2B32E5" w:rsidR="005714C3" w:rsidRPr="0007327B" w:rsidRDefault="00D43B32" w:rsidP="00DA5381">
            <w:pPr>
              <w:pStyle w:val="DDDocumentDate"/>
            </w:pPr>
            <w:r>
              <w:t>28 November 2023</w:t>
            </w:r>
          </w:p>
        </w:tc>
      </w:tr>
    </w:tbl>
    <w:p w14:paraId="0AC94EA9" w14:textId="77777777" w:rsidR="005714C3" w:rsidRPr="0007327B" w:rsidRDefault="005714C3" w:rsidP="00BE0B1C">
      <w:pPr>
        <w:pStyle w:val="BTNSSBodyTextNoSpacingSmall"/>
      </w:pPr>
    </w:p>
    <w:p w14:paraId="67DB5CE7" w14:textId="77777777" w:rsidR="00006269" w:rsidRPr="0007327B" w:rsidRDefault="00006269" w:rsidP="00BE0B1C">
      <w:pPr>
        <w:pStyle w:val="BTNSSBodyTextNoSpacingSmall"/>
      </w:pPr>
      <w:r w:rsidRPr="0007327B">
        <w:br w:type="page"/>
      </w:r>
    </w:p>
    <w:p w14:paraId="37837427" w14:textId="77777777" w:rsidR="008A408F" w:rsidRPr="0007327B" w:rsidRDefault="008A408F" w:rsidP="008A408F">
      <w:pPr>
        <w:pStyle w:val="BTNSSBodyTextNoSpacingSmall"/>
        <w:rPr>
          <w:sz w:val="2"/>
          <w:szCs w:val="2"/>
        </w:rPr>
      </w:pPr>
    </w:p>
    <w:sdt>
      <w:sdtPr>
        <w:rPr>
          <w:b w:val="0"/>
          <w:caps w:val="0"/>
          <w:sz w:val="8"/>
          <w:szCs w:val="8"/>
          <w:lang w:val="en-AU"/>
        </w:rPr>
        <w:id w:val="-1730524273"/>
        <w:docPartObj>
          <w:docPartGallery w:val="Table of Contents"/>
          <w:docPartUnique/>
        </w:docPartObj>
      </w:sdtPr>
      <w:sdtEndPr>
        <w:rPr>
          <w:bCs/>
        </w:rPr>
      </w:sdtEndPr>
      <w:sdtContent>
        <w:p w14:paraId="490BBDA8" w14:textId="77777777" w:rsidR="008A408F" w:rsidRPr="0007327B" w:rsidRDefault="008A408F" w:rsidP="008A408F">
          <w:pPr>
            <w:pStyle w:val="TOCHeading"/>
            <w:rPr>
              <w:lang w:val="en-AU"/>
            </w:rPr>
          </w:pPr>
          <w:r w:rsidRPr="0007327B">
            <w:rPr>
              <w:lang w:val="en-AU"/>
            </w:rPr>
            <w:t>Table of Contents</w:t>
          </w:r>
        </w:p>
        <w:p w14:paraId="5B9CDB19" w14:textId="695E0E8F" w:rsidR="00142D8B" w:rsidRDefault="008A408F">
          <w:pPr>
            <w:pStyle w:val="TOC1"/>
            <w:rPr>
              <w:rFonts w:asciiTheme="minorHAnsi" w:eastAsiaTheme="minorEastAsia" w:hAnsiTheme="minorHAnsi"/>
              <w:b w:val="0"/>
              <w:caps w:val="0"/>
              <w:noProof/>
              <w:sz w:val="22"/>
              <w:szCs w:val="22"/>
              <w:lang w:eastAsia="en-AU"/>
            </w:rPr>
          </w:pPr>
          <w:r w:rsidRPr="0007327B">
            <w:fldChar w:fldCharType="begin"/>
          </w:r>
          <w:r w:rsidRPr="0007327B">
            <w:instrText xml:space="preserve"> TOC \o "1-5" \h \z \u </w:instrText>
          </w:r>
          <w:r w:rsidRPr="0007327B">
            <w:fldChar w:fldCharType="separate"/>
          </w:r>
          <w:hyperlink w:anchor="_Toc151728719" w:history="1">
            <w:r w:rsidR="00142D8B" w:rsidRPr="00437DC2">
              <w:rPr>
                <w:rStyle w:val="Hyperlink"/>
                <w:noProof/>
              </w:rPr>
              <w:t>Table of Cases</w:t>
            </w:r>
            <w:r w:rsidR="00142D8B">
              <w:rPr>
                <w:noProof/>
                <w:webHidden/>
              </w:rPr>
              <w:tab/>
            </w:r>
            <w:r w:rsidR="00142D8B">
              <w:rPr>
                <w:noProof/>
                <w:webHidden/>
              </w:rPr>
              <w:fldChar w:fldCharType="begin"/>
            </w:r>
            <w:r w:rsidR="00142D8B">
              <w:rPr>
                <w:noProof/>
                <w:webHidden/>
              </w:rPr>
              <w:instrText xml:space="preserve"> PAGEREF _Toc151728719 \h </w:instrText>
            </w:r>
            <w:r w:rsidR="00142D8B">
              <w:rPr>
                <w:noProof/>
                <w:webHidden/>
              </w:rPr>
            </w:r>
            <w:r w:rsidR="00142D8B">
              <w:rPr>
                <w:noProof/>
                <w:webHidden/>
              </w:rPr>
              <w:fldChar w:fldCharType="separate"/>
            </w:r>
            <w:r w:rsidR="00142D8B">
              <w:rPr>
                <w:noProof/>
                <w:webHidden/>
              </w:rPr>
              <w:t>2</w:t>
            </w:r>
            <w:r w:rsidR="00142D8B">
              <w:rPr>
                <w:noProof/>
                <w:webHidden/>
              </w:rPr>
              <w:fldChar w:fldCharType="end"/>
            </w:r>
          </w:hyperlink>
        </w:p>
        <w:p w14:paraId="2B8E400D" w14:textId="5272FE9D" w:rsidR="00142D8B" w:rsidRDefault="00E6270E">
          <w:pPr>
            <w:pStyle w:val="TOC1"/>
            <w:rPr>
              <w:rFonts w:asciiTheme="minorHAnsi" w:eastAsiaTheme="minorEastAsia" w:hAnsiTheme="minorHAnsi"/>
              <w:b w:val="0"/>
              <w:caps w:val="0"/>
              <w:noProof/>
              <w:sz w:val="22"/>
              <w:szCs w:val="22"/>
              <w:lang w:eastAsia="en-AU"/>
            </w:rPr>
          </w:pPr>
          <w:hyperlink w:anchor="_Toc151728720" w:history="1">
            <w:r w:rsidR="00142D8B" w:rsidRPr="00437DC2">
              <w:rPr>
                <w:rStyle w:val="Hyperlink"/>
                <w:noProof/>
              </w:rPr>
              <w:t>List of Acronyms, Abbreviations and Short Forms</w:t>
            </w:r>
            <w:r w:rsidR="00142D8B">
              <w:rPr>
                <w:noProof/>
                <w:webHidden/>
              </w:rPr>
              <w:tab/>
            </w:r>
            <w:r w:rsidR="00142D8B">
              <w:rPr>
                <w:noProof/>
                <w:webHidden/>
              </w:rPr>
              <w:fldChar w:fldCharType="begin"/>
            </w:r>
            <w:r w:rsidR="00142D8B">
              <w:rPr>
                <w:noProof/>
                <w:webHidden/>
              </w:rPr>
              <w:instrText xml:space="preserve"> PAGEREF _Toc151728720 \h </w:instrText>
            </w:r>
            <w:r w:rsidR="00142D8B">
              <w:rPr>
                <w:noProof/>
                <w:webHidden/>
              </w:rPr>
            </w:r>
            <w:r w:rsidR="00142D8B">
              <w:rPr>
                <w:noProof/>
                <w:webHidden/>
              </w:rPr>
              <w:fldChar w:fldCharType="separate"/>
            </w:r>
            <w:r w:rsidR="00142D8B">
              <w:rPr>
                <w:noProof/>
                <w:webHidden/>
              </w:rPr>
              <w:t>3</w:t>
            </w:r>
            <w:r w:rsidR="00142D8B">
              <w:rPr>
                <w:noProof/>
                <w:webHidden/>
              </w:rPr>
              <w:fldChar w:fldCharType="end"/>
            </w:r>
          </w:hyperlink>
        </w:p>
        <w:p w14:paraId="0B3BF0C4" w14:textId="7CB1DA52" w:rsidR="00142D8B" w:rsidRDefault="00E6270E">
          <w:pPr>
            <w:pStyle w:val="TOC1"/>
            <w:rPr>
              <w:rFonts w:asciiTheme="minorHAnsi" w:eastAsiaTheme="minorEastAsia" w:hAnsiTheme="minorHAnsi"/>
              <w:b w:val="0"/>
              <w:caps w:val="0"/>
              <w:noProof/>
              <w:sz w:val="22"/>
              <w:szCs w:val="22"/>
              <w:lang w:eastAsia="en-AU"/>
            </w:rPr>
          </w:pPr>
          <w:hyperlink w:anchor="_Toc151728721" w:history="1">
            <w:r w:rsidR="00142D8B" w:rsidRPr="00437DC2">
              <w:rPr>
                <w:rStyle w:val="Hyperlink"/>
                <w:noProof/>
              </w:rPr>
              <w:t>I.</w:t>
            </w:r>
            <w:r w:rsidR="00142D8B">
              <w:rPr>
                <w:rFonts w:asciiTheme="minorHAnsi" w:eastAsiaTheme="minorEastAsia" w:hAnsiTheme="minorHAnsi"/>
                <w:b w:val="0"/>
                <w:caps w:val="0"/>
                <w:noProof/>
                <w:sz w:val="22"/>
                <w:szCs w:val="22"/>
                <w:lang w:eastAsia="en-AU"/>
              </w:rPr>
              <w:tab/>
            </w:r>
            <w:r w:rsidR="00142D8B" w:rsidRPr="00437DC2">
              <w:rPr>
                <w:rStyle w:val="Hyperlink"/>
                <w:noProof/>
              </w:rPr>
              <w:t>Introduction</w:t>
            </w:r>
            <w:r w:rsidR="00142D8B">
              <w:rPr>
                <w:noProof/>
                <w:webHidden/>
              </w:rPr>
              <w:tab/>
            </w:r>
            <w:r w:rsidR="00142D8B">
              <w:rPr>
                <w:noProof/>
                <w:webHidden/>
              </w:rPr>
              <w:fldChar w:fldCharType="begin"/>
            </w:r>
            <w:r w:rsidR="00142D8B">
              <w:rPr>
                <w:noProof/>
                <w:webHidden/>
              </w:rPr>
              <w:instrText xml:space="preserve"> PAGEREF _Toc151728721 \h </w:instrText>
            </w:r>
            <w:r w:rsidR="00142D8B">
              <w:rPr>
                <w:noProof/>
                <w:webHidden/>
              </w:rPr>
            </w:r>
            <w:r w:rsidR="00142D8B">
              <w:rPr>
                <w:noProof/>
                <w:webHidden/>
              </w:rPr>
              <w:fldChar w:fldCharType="separate"/>
            </w:r>
            <w:r w:rsidR="00142D8B">
              <w:rPr>
                <w:noProof/>
                <w:webHidden/>
              </w:rPr>
              <w:t>4</w:t>
            </w:r>
            <w:r w:rsidR="00142D8B">
              <w:rPr>
                <w:noProof/>
                <w:webHidden/>
              </w:rPr>
              <w:fldChar w:fldCharType="end"/>
            </w:r>
          </w:hyperlink>
        </w:p>
        <w:p w14:paraId="159051F8" w14:textId="74672A1A" w:rsidR="00142D8B" w:rsidRDefault="00E6270E">
          <w:pPr>
            <w:pStyle w:val="TOC1"/>
            <w:rPr>
              <w:rFonts w:asciiTheme="minorHAnsi" w:eastAsiaTheme="minorEastAsia" w:hAnsiTheme="minorHAnsi"/>
              <w:b w:val="0"/>
              <w:caps w:val="0"/>
              <w:noProof/>
              <w:sz w:val="22"/>
              <w:szCs w:val="22"/>
              <w:lang w:eastAsia="en-AU"/>
            </w:rPr>
          </w:pPr>
          <w:hyperlink w:anchor="_Toc151728722" w:history="1">
            <w:r w:rsidR="00142D8B" w:rsidRPr="00437DC2">
              <w:rPr>
                <w:rStyle w:val="Hyperlink"/>
                <w:noProof/>
              </w:rPr>
              <w:t>II.</w:t>
            </w:r>
            <w:r w:rsidR="00142D8B">
              <w:rPr>
                <w:rFonts w:asciiTheme="minorHAnsi" w:eastAsiaTheme="minorEastAsia" w:hAnsiTheme="minorHAnsi"/>
                <w:b w:val="0"/>
                <w:caps w:val="0"/>
                <w:noProof/>
                <w:sz w:val="22"/>
                <w:szCs w:val="22"/>
                <w:lang w:eastAsia="en-AU"/>
              </w:rPr>
              <w:tab/>
            </w:r>
            <w:r w:rsidR="00142D8B" w:rsidRPr="00437DC2">
              <w:rPr>
                <w:rStyle w:val="Hyperlink"/>
                <w:noProof/>
              </w:rPr>
              <w:t>Uncontested facts</w:t>
            </w:r>
            <w:r w:rsidR="00142D8B">
              <w:rPr>
                <w:noProof/>
                <w:webHidden/>
              </w:rPr>
              <w:tab/>
            </w:r>
            <w:r w:rsidR="00142D8B">
              <w:rPr>
                <w:noProof/>
                <w:webHidden/>
              </w:rPr>
              <w:fldChar w:fldCharType="begin"/>
            </w:r>
            <w:r w:rsidR="00142D8B">
              <w:rPr>
                <w:noProof/>
                <w:webHidden/>
              </w:rPr>
              <w:instrText xml:space="preserve"> PAGEREF _Toc151728722 \h </w:instrText>
            </w:r>
            <w:r w:rsidR="00142D8B">
              <w:rPr>
                <w:noProof/>
                <w:webHidden/>
              </w:rPr>
            </w:r>
            <w:r w:rsidR="00142D8B">
              <w:rPr>
                <w:noProof/>
                <w:webHidden/>
              </w:rPr>
              <w:fldChar w:fldCharType="separate"/>
            </w:r>
            <w:r w:rsidR="00142D8B">
              <w:rPr>
                <w:noProof/>
                <w:webHidden/>
              </w:rPr>
              <w:t>5</w:t>
            </w:r>
            <w:r w:rsidR="00142D8B">
              <w:rPr>
                <w:noProof/>
                <w:webHidden/>
              </w:rPr>
              <w:fldChar w:fldCharType="end"/>
            </w:r>
          </w:hyperlink>
        </w:p>
        <w:p w14:paraId="5CA54480" w14:textId="1B6235AD" w:rsidR="00142D8B" w:rsidRDefault="00E6270E">
          <w:pPr>
            <w:pStyle w:val="TOC1"/>
            <w:rPr>
              <w:rFonts w:asciiTheme="minorHAnsi" w:eastAsiaTheme="minorEastAsia" w:hAnsiTheme="minorHAnsi"/>
              <w:b w:val="0"/>
              <w:caps w:val="0"/>
              <w:noProof/>
              <w:sz w:val="22"/>
              <w:szCs w:val="22"/>
              <w:lang w:eastAsia="en-AU"/>
            </w:rPr>
          </w:pPr>
          <w:hyperlink w:anchor="_Toc151728723" w:history="1">
            <w:r w:rsidR="00142D8B" w:rsidRPr="00437DC2">
              <w:rPr>
                <w:rStyle w:val="Hyperlink"/>
                <w:noProof/>
              </w:rPr>
              <w:t>III.</w:t>
            </w:r>
            <w:r w:rsidR="00142D8B">
              <w:rPr>
                <w:rFonts w:asciiTheme="minorHAnsi" w:eastAsiaTheme="minorEastAsia" w:hAnsiTheme="minorHAnsi"/>
                <w:b w:val="0"/>
                <w:caps w:val="0"/>
                <w:noProof/>
                <w:sz w:val="22"/>
                <w:szCs w:val="22"/>
                <w:lang w:eastAsia="en-AU"/>
              </w:rPr>
              <w:tab/>
            </w:r>
            <w:r w:rsidR="00142D8B" w:rsidRPr="00437DC2">
              <w:rPr>
                <w:rStyle w:val="Hyperlink"/>
                <w:noProof/>
              </w:rPr>
              <w:t>China's approach and the operation of burden of proof</w:t>
            </w:r>
            <w:r w:rsidR="00142D8B">
              <w:rPr>
                <w:noProof/>
                <w:webHidden/>
              </w:rPr>
              <w:tab/>
            </w:r>
            <w:r w:rsidR="00142D8B">
              <w:rPr>
                <w:noProof/>
                <w:webHidden/>
              </w:rPr>
              <w:fldChar w:fldCharType="begin"/>
            </w:r>
            <w:r w:rsidR="00142D8B">
              <w:rPr>
                <w:noProof/>
                <w:webHidden/>
              </w:rPr>
              <w:instrText xml:space="preserve"> PAGEREF _Toc151728723 \h </w:instrText>
            </w:r>
            <w:r w:rsidR="00142D8B">
              <w:rPr>
                <w:noProof/>
                <w:webHidden/>
              </w:rPr>
            </w:r>
            <w:r w:rsidR="00142D8B">
              <w:rPr>
                <w:noProof/>
                <w:webHidden/>
              </w:rPr>
              <w:fldChar w:fldCharType="separate"/>
            </w:r>
            <w:r w:rsidR="00142D8B">
              <w:rPr>
                <w:noProof/>
                <w:webHidden/>
              </w:rPr>
              <w:t>7</w:t>
            </w:r>
            <w:r w:rsidR="00142D8B">
              <w:rPr>
                <w:noProof/>
                <w:webHidden/>
              </w:rPr>
              <w:fldChar w:fldCharType="end"/>
            </w:r>
          </w:hyperlink>
        </w:p>
        <w:p w14:paraId="4B41BF30" w14:textId="531828FF" w:rsidR="00142D8B" w:rsidRDefault="00E6270E">
          <w:pPr>
            <w:pStyle w:val="TOC1"/>
            <w:rPr>
              <w:rFonts w:asciiTheme="minorHAnsi" w:eastAsiaTheme="minorEastAsia" w:hAnsiTheme="minorHAnsi"/>
              <w:b w:val="0"/>
              <w:caps w:val="0"/>
              <w:noProof/>
              <w:sz w:val="22"/>
              <w:szCs w:val="22"/>
              <w:lang w:eastAsia="en-AU"/>
            </w:rPr>
          </w:pPr>
          <w:hyperlink w:anchor="_Toc151728724" w:history="1">
            <w:r w:rsidR="00142D8B" w:rsidRPr="00437DC2">
              <w:rPr>
                <w:rStyle w:val="Hyperlink"/>
                <w:noProof/>
              </w:rPr>
              <w:t>IV.</w:t>
            </w:r>
            <w:r w:rsidR="00142D8B">
              <w:rPr>
                <w:rFonts w:asciiTheme="minorHAnsi" w:eastAsiaTheme="minorEastAsia" w:hAnsiTheme="minorHAnsi"/>
                <w:b w:val="0"/>
                <w:caps w:val="0"/>
                <w:noProof/>
                <w:sz w:val="22"/>
                <w:szCs w:val="22"/>
                <w:lang w:eastAsia="en-AU"/>
              </w:rPr>
              <w:tab/>
            </w:r>
            <w:r w:rsidR="00142D8B" w:rsidRPr="00437DC2">
              <w:rPr>
                <w:rStyle w:val="Hyperlink"/>
                <w:noProof/>
              </w:rPr>
              <w:t>"Existence" of a measure under WTO rules</w:t>
            </w:r>
            <w:r w:rsidR="00142D8B">
              <w:rPr>
                <w:noProof/>
                <w:webHidden/>
              </w:rPr>
              <w:tab/>
            </w:r>
            <w:r w:rsidR="00142D8B">
              <w:rPr>
                <w:noProof/>
                <w:webHidden/>
              </w:rPr>
              <w:fldChar w:fldCharType="begin"/>
            </w:r>
            <w:r w:rsidR="00142D8B">
              <w:rPr>
                <w:noProof/>
                <w:webHidden/>
              </w:rPr>
              <w:instrText xml:space="preserve"> PAGEREF _Toc151728724 \h </w:instrText>
            </w:r>
            <w:r w:rsidR="00142D8B">
              <w:rPr>
                <w:noProof/>
                <w:webHidden/>
              </w:rPr>
            </w:r>
            <w:r w:rsidR="00142D8B">
              <w:rPr>
                <w:noProof/>
                <w:webHidden/>
              </w:rPr>
              <w:fldChar w:fldCharType="separate"/>
            </w:r>
            <w:r w:rsidR="00142D8B">
              <w:rPr>
                <w:noProof/>
                <w:webHidden/>
              </w:rPr>
              <w:t>9</w:t>
            </w:r>
            <w:r w:rsidR="00142D8B">
              <w:rPr>
                <w:noProof/>
                <w:webHidden/>
              </w:rPr>
              <w:fldChar w:fldCharType="end"/>
            </w:r>
          </w:hyperlink>
        </w:p>
        <w:p w14:paraId="3450625D" w14:textId="6E80304C" w:rsidR="00142D8B" w:rsidRDefault="00E6270E">
          <w:pPr>
            <w:pStyle w:val="TOC1"/>
            <w:rPr>
              <w:rFonts w:asciiTheme="minorHAnsi" w:eastAsiaTheme="minorEastAsia" w:hAnsiTheme="minorHAnsi"/>
              <w:b w:val="0"/>
              <w:caps w:val="0"/>
              <w:noProof/>
              <w:sz w:val="22"/>
              <w:szCs w:val="22"/>
              <w:lang w:eastAsia="en-AU"/>
            </w:rPr>
          </w:pPr>
          <w:hyperlink w:anchor="_Toc151728725" w:history="1">
            <w:r w:rsidR="00142D8B" w:rsidRPr="00437DC2">
              <w:rPr>
                <w:rStyle w:val="Hyperlink"/>
                <w:noProof/>
              </w:rPr>
              <w:t>V.</w:t>
            </w:r>
            <w:r w:rsidR="00142D8B">
              <w:rPr>
                <w:rFonts w:asciiTheme="minorHAnsi" w:eastAsiaTheme="minorEastAsia" w:hAnsiTheme="minorHAnsi"/>
                <w:b w:val="0"/>
                <w:caps w:val="0"/>
                <w:noProof/>
                <w:sz w:val="22"/>
                <w:szCs w:val="22"/>
                <w:lang w:eastAsia="en-AU"/>
              </w:rPr>
              <w:tab/>
            </w:r>
            <w:r w:rsidR="00142D8B" w:rsidRPr="00437DC2">
              <w:rPr>
                <w:rStyle w:val="Hyperlink"/>
                <w:noProof/>
              </w:rPr>
              <w:t>Systemic implications</w:t>
            </w:r>
            <w:r w:rsidR="00142D8B">
              <w:rPr>
                <w:noProof/>
                <w:webHidden/>
              </w:rPr>
              <w:tab/>
            </w:r>
            <w:r w:rsidR="00142D8B">
              <w:rPr>
                <w:noProof/>
                <w:webHidden/>
              </w:rPr>
              <w:fldChar w:fldCharType="begin"/>
            </w:r>
            <w:r w:rsidR="00142D8B">
              <w:rPr>
                <w:noProof/>
                <w:webHidden/>
              </w:rPr>
              <w:instrText xml:space="preserve"> PAGEREF _Toc151728725 \h </w:instrText>
            </w:r>
            <w:r w:rsidR="00142D8B">
              <w:rPr>
                <w:noProof/>
                <w:webHidden/>
              </w:rPr>
            </w:r>
            <w:r w:rsidR="00142D8B">
              <w:rPr>
                <w:noProof/>
                <w:webHidden/>
              </w:rPr>
              <w:fldChar w:fldCharType="separate"/>
            </w:r>
            <w:r w:rsidR="00142D8B">
              <w:rPr>
                <w:noProof/>
                <w:webHidden/>
              </w:rPr>
              <w:t>10</w:t>
            </w:r>
            <w:r w:rsidR="00142D8B">
              <w:rPr>
                <w:noProof/>
                <w:webHidden/>
              </w:rPr>
              <w:fldChar w:fldCharType="end"/>
            </w:r>
          </w:hyperlink>
        </w:p>
        <w:p w14:paraId="070CD191" w14:textId="0ADA6008" w:rsidR="008A408F" w:rsidRPr="0007327B" w:rsidRDefault="008A408F" w:rsidP="008A408F">
          <w:pPr>
            <w:pStyle w:val="BTNSSBodyTextNoSpacingSmall"/>
          </w:pPr>
          <w:r w:rsidRPr="0007327B">
            <w:rPr>
              <w:rFonts w:eastAsiaTheme="majorEastAsia" w:cstheme="majorBidi"/>
              <w:sz w:val="24"/>
              <w:szCs w:val="32"/>
            </w:rPr>
            <w:fldChar w:fldCharType="end"/>
          </w:r>
        </w:p>
      </w:sdtContent>
    </w:sdt>
    <w:p w14:paraId="11D04F77" w14:textId="77777777" w:rsidR="008A408F" w:rsidRPr="0007327B" w:rsidRDefault="008A408F" w:rsidP="008A408F">
      <w:pPr>
        <w:pStyle w:val="BTNSSBodyTextNoSpacingSmall"/>
      </w:pPr>
    </w:p>
    <w:p w14:paraId="7F854D03" w14:textId="77777777" w:rsidR="008A408F" w:rsidRPr="0007327B" w:rsidRDefault="008A408F" w:rsidP="008A408F">
      <w:pPr>
        <w:pStyle w:val="SHSectionHeading"/>
      </w:pPr>
      <w:bookmarkStart w:id="0" w:name="_Toc151728719"/>
      <w:r w:rsidRPr="0007327B">
        <w:t>Table of Cases</w:t>
      </w:r>
      <w:bookmarkEnd w:id="0"/>
    </w:p>
    <w:tbl>
      <w:tblPr>
        <w:tblStyle w:val="TableGrid"/>
        <w:tblW w:w="5000" w:type="pct"/>
        <w:tblLook w:val="04A0" w:firstRow="1" w:lastRow="0" w:firstColumn="1" w:lastColumn="0" w:noHBand="0" w:noVBand="1"/>
      </w:tblPr>
      <w:tblGrid>
        <w:gridCol w:w="2265"/>
        <w:gridCol w:w="6795"/>
      </w:tblGrid>
      <w:tr w:rsidR="008A408F" w:rsidRPr="0007327B" w14:paraId="167B0CD9" w14:textId="77777777" w:rsidTr="00534449">
        <w:trPr>
          <w:cantSplit/>
          <w:trHeight w:val="397"/>
          <w:tblHeader/>
        </w:trPr>
        <w:tc>
          <w:tcPr>
            <w:tcW w:w="2265" w:type="dxa"/>
            <w:shd w:val="clear" w:color="auto" w:fill="D9D9D9" w:themeFill="background1" w:themeFillShade="D9"/>
          </w:tcPr>
          <w:p w14:paraId="37E8628D" w14:textId="77777777" w:rsidR="008A408F" w:rsidRPr="0007327B" w:rsidRDefault="008A408F" w:rsidP="00534449">
            <w:pPr>
              <w:pStyle w:val="THTableHeading"/>
              <w:jc w:val="center"/>
            </w:pPr>
            <w:r w:rsidRPr="0007327B">
              <w:t>Short Title</w:t>
            </w:r>
          </w:p>
        </w:tc>
        <w:tc>
          <w:tcPr>
            <w:tcW w:w="6795" w:type="dxa"/>
            <w:shd w:val="clear" w:color="auto" w:fill="D9D9D9" w:themeFill="background1" w:themeFillShade="D9"/>
          </w:tcPr>
          <w:p w14:paraId="69199BCE" w14:textId="77777777" w:rsidR="008A408F" w:rsidRPr="0007327B" w:rsidRDefault="008A408F" w:rsidP="00534449">
            <w:pPr>
              <w:pStyle w:val="THTableHeading"/>
              <w:jc w:val="center"/>
            </w:pPr>
            <w:r w:rsidRPr="0007327B">
              <w:t>Full Case Title and Citation</w:t>
            </w:r>
          </w:p>
        </w:tc>
      </w:tr>
      <w:tr w:rsidR="00466412" w:rsidRPr="0007327B" w14:paraId="598C925F" w14:textId="77777777" w:rsidTr="00534449">
        <w:trPr>
          <w:cantSplit/>
          <w:trHeight w:val="397"/>
        </w:trPr>
        <w:tc>
          <w:tcPr>
            <w:tcW w:w="2265" w:type="dxa"/>
          </w:tcPr>
          <w:p w14:paraId="012972B1" w14:textId="1516AF93" w:rsidR="00466412" w:rsidRDefault="00466412" w:rsidP="00534449">
            <w:pPr>
              <w:pStyle w:val="TTTableText"/>
            </w:pPr>
            <w:r w:rsidRPr="00FF37D7">
              <w:rPr>
                <w:i/>
                <w:iCs/>
              </w:rPr>
              <w:t>Argentina – Import Measures</w:t>
            </w:r>
          </w:p>
        </w:tc>
        <w:tc>
          <w:tcPr>
            <w:tcW w:w="6795" w:type="dxa"/>
          </w:tcPr>
          <w:p w14:paraId="2E219637" w14:textId="33D56B80" w:rsidR="00466412" w:rsidRDefault="00904C7D" w:rsidP="00534449">
            <w:pPr>
              <w:pStyle w:val="TTTableText"/>
            </w:pPr>
            <w:r w:rsidRPr="00A91D40">
              <w:rPr>
                <w:color w:val="000000"/>
              </w:rPr>
              <w:t xml:space="preserve">Panel Reports, </w:t>
            </w:r>
            <w:r w:rsidRPr="00A91D40">
              <w:rPr>
                <w:i/>
                <w:color w:val="000000"/>
              </w:rPr>
              <w:t>Argentina – Measures Affecting the Importation of Goods</w:t>
            </w:r>
            <w:r w:rsidRPr="00A91D40">
              <w:rPr>
                <w:color w:val="000000"/>
              </w:rPr>
              <w:t xml:space="preserve">, </w:t>
            </w:r>
            <w:r w:rsidRPr="0012704C">
              <w:rPr>
                <w:color w:val="000000"/>
              </w:rPr>
              <w:t>WT/DS438/R</w:t>
            </w:r>
            <w:r w:rsidRPr="00A91D40">
              <w:rPr>
                <w:color w:val="000000"/>
              </w:rPr>
              <w:t xml:space="preserve"> and Add.1 / </w:t>
            </w:r>
            <w:r w:rsidRPr="0012704C">
              <w:rPr>
                <w:color w:val="000000"/>
              </w:rPr>
              <w:t>WT/DS444/R</w:t>
            </w:r>
            <w:r w:rsidRPr="00A91D40">
              <w:rPr>
                <w:color w:val="000000"/>
              </w:rPr>
              <w:t xml:space="preserve"> and Add.1 / </w:t>
            </w:r>
            <w:r w:rsidRPr="0012704C">
              <w:rPr>
                <w:color w:val="000000"/>
              </w:rPr>
              <w:t>WT/DS445/R</w:t>
            </w:r>
            <w:r w:rsidRPr="00A91D40">
              <w:rPr>
                <w:color w:val="000000"/>
              </w:rPr>
              <w:t xml:space="preserve"> and Add.1, adopted 26 January 2015, as modified (WT/DS438/R) and upheld (WT/DS444/R / WT/DS445/R) by Appellate Body Reports WT/DS438/AB/R / WT/DS444/AB/R / WT/DS445/AB/R, DSR 2015:II, p. 783</w:t>
            </w:r>
          </w:p>
        </w:tc>
      </w:tr>
      <w:tr w:rsidR="00600903" w:rsidRPr="0007327B" w14:paraId="765FF7C5" w14:textId="77777777" w:rsidTr="00534449">
        <w:trPr>
          <w:cantSplit/>
          <w:trHeight w:val="397"/>
        </w:trPr>
        <w:tc>
          <w:tcPr>
            <w:tcW w:w="2265" w:type="dxa"/>
          </w:tcPr>
          <w:p w14:paraId="5E5B4961" w14:textId="646B48D6" w:rsidR="00600903" w:rsidRDefault="00600903" w:rsidP="00600903">
            <w:pPr>
              <w:pStyle w:val="TTTableText"/>
              <w:rPr>
                <w:i/>
                <w:iCs/>
              </w:rPr>
            </w:pPr>
            <w:r w:rsidRPr="00A655CF">
              <w:rPr>
                <w:i/>
                <w:iCs/>
              </w:rPr>
              <w:t>Argentina – Textiles and Apparel</w:t>
            </w:r>
          </w:p>
        </w:tc>
        <w:tc>
          <w:tcPr>
            <w:tcW w:w="6795" w:type="dxa"/>
          </w:tcPr>
          <w:p w14:paraId="6F1AE8C0" w14:textId="4EBE4933" w:rsidR="00600903" w:rsidRPr="00600903" w:rsidRDefault="00904C7D" w:rsidP="00600903">
            <w:pPr>
              <w:pStyle w:val="TTTableText"/>
            </w:pPr>
            <w:r w:rsidRPr="00014EBA">
              <w:rPr>
                <w:color w:val="000000"/>
              </w:rPr>
              <w:t xml:space="preserve">Panel Report, </w:t>
            </w:r>
            <w:r w:rsidRPr="00014EBA">
              <w:rPr>
                <w:i/>
                <w:color w:val="000000"/>
              </w:rPr>
              <w:t>Argentina – Measures Affecting Imports of Footwear, Textiles, Apparel and Other Items</w:t>
            </w:r>
            <w:r w:rsidRPr="00014EBA">
              <w:rPr>
                <w:color w:val="000000"/>
              </w:rPr>
              <w:t xml:space="preserve">, </w:t>
            </w:r>
            <w:r w:rsidRPr="0012704C">
              <w:rPr>
                <w:color w:val="000000"/>
              </w:rPr>
              <w:t>WT/DS56/R</w:t>
            </w:r>
            <w:r w:rsidRPr="00014EBA">
              <w:rPr>
                <w:color w:val="000000"/>
              </w:rPr>
              <w:t>, adopted 22 April 1998, as modified by Appellate Body Report WT/DS56/AB/R, DSR 1998:III, p. 1033</w:t>
            </w:r>
          </w:p>
        </w:tc>
      </w:tr>
      <w:tr w:rsidR="00466412" w:rsidRPr="0007327B" w14:paraId="301E5B7C" w14:textId="77777777" w:rsidTr="00534449">
        <w:trPr>
          <w:cantSplit/>
          <w:trHeight w:val="397"/>
        </w:trPr>
        <w:tc>
          <w:tcPr>
            <w:tcW w:w="2265" w:type="dxa"/>
          </w:tcPr>
          <w:p w14:paraId="75886CBD" w14:textId="2E534ED8" w:rsidR="00466412" w:rsidRDefault="00600903" w:rsidP="00534449">
            <w:pPr>
              <w:pStyle w:val="TTTableText"/>
            </w:pPr>
            <w:r>
              <w:rPr>
                <w:i/>
                <w:iCs/>
              </w:rPr>
              <w:t>Korea – Stainless Steel Bars</w:t>
            </w:r>
          </w:p>
        </w:tc>
        <w:tc>
          <w:tcPr>
            <w:tcW w:w="6795" w:type="dxa"/>
          </w:tcPr>
          <w:p w14:paraId="0DC094EF" w14:textId="174397AA" w:rsidR="00466412" w:rsidRDefault="00904C7D" w:rsidP="00534449">
            <w:pPr>
              <w:pStyle w:val="TTTableText"/>
            </w:pPr>
            <w:r w:rsidRPr="00904C7D">
              <w:t>Panel Report,</w:t>
            </w:r>
            <w:r w:rsidRPr="00904C7D">
              <w:rPr>
                <w:i/>
                <w:iCs/>
              </w:rPr>
              <w:t xml:space="preserve"> Korea – Sunset Review of Anti</w:t>
            </w:r>
            <w:r w:rsidRPr="00904C7D">
              <w:rPr>
                <w:i/>
                <w:iCs/>
              </w:rPr>
              <w:noBreakHyphen/>
              <w:t>Dumping Duties on Stainless Steel Bars</w:t>
            </w:r>
            <w:r w:rsidRPr="00904C7D">
              <w:t xml:space="preserve">, </w:t>
            </w:r>
            <w:r w:rsidRPr="005C68DA">
              <w:t>WT/DS553/R</w:t>
            </w:r>
            <w:r w:rsidRPr="00904C7D">
              <w:t xml:space="preserve"> and Add.1, circulated to WTO Members 30 November 2020, appealed 22 January 2021</w:t>
            </w:r>
          </w:p>
        </w:tc>
      </w:tr>
      <w:tr w:rsidR="00600903" w:rsidRPr="0007327B" w14:paraId="36E24F55" w14:textId="77777777" w:rsidTr="00534449">
        <w:trPr>
          <w:cantSplit/>
          <w:trHeight w:val="397"/>
        </w:trPr>
        <w:tc>
          <w:tcPr>
            <w:tcW w:w="2265" w:type="dxa"/>
          </w:tcPr>
          <w:p w14:paraId="2EFC3F22" w14:textId="2DA8269A" w:rsidR="00600903" w:rsidRDefault="00600903" w:rsidP="00534449">
            <w:pPr>
              <w:pStyle w:val="TTTableText"/>
              <w:rPr>
                <w:i/>
                <w:iCs/>
              </w:rPr>
            </w:pPr>
            <w:r w:rsidRPr="00FF37D7">
              <w:rPr>
                <w:i/>
                <w:iCs/>
              </w:rPr>
              <w:t>Thailand – H-Beams</w:t>
            </w:r>
          </w:p>
        </w:tc>
        <w:tc>
          <w:tcPr>
            <w:tcW w:w="6795" w:type="dxa"/>
          </w:tcPr>
          <w:p w14:paraId="1E0EBFD7" w14:textId="1B0D3858" w:rsidR="00600903" w:rsidRDefault="00904C7D" w:rsidP="00534449">
            <w:pPr>
              <w:pStyle w:val="TTTableText"/>
            </w:pPr>
            <w:r w:rsidRPr="00904C7D">
              <w:t xml:space="preserve">Panel Report, </w:t>
            </w:r>
            <w:r w:rsidRPr="00904C7D">
              <w:rPr>
                <w:i/>
              </w:rPr>
              <w:t>Thailand – Anti-Dumping Duties on Angles, Shapes and Sections of Iron or Non-Alloy Steel and H-Beams from Poland</w:t>
            </w:r>
            <w:r w:rsidRPr="00904C7D">
              <w:t xml:space="preserve">, </w:t>
            </w:r>
            <w:r w:rsidRPr="005C68DA">
              <w:t>WT/DS122/R</w:t>
            </w:r>
            <w:r w:rsidRPr="00904C7D">
              <w:t>, adopted 5 April 2001, as modified by Appellate Body Report WT/DS122/AB/R, DSR 2001:VII, p. 2741</w:t>
            </w:r>
          </w:p>
        </w:tc>
      </w:tr>
      <w:tr w:rsidR="00600903" w:rsidRPr="0007327B" w14:paraId="6389803A" w14:textId="77777777" w:rsidTr="00534449">
        <w:trPr>
          <w:cantSplit/>
          <w:trHeight w:val="397"/>
        </w:trPr>
        <w:tc>
          <w:tcPr>
            <w:tcW w:w="2265" w:type="dxa"/>
          </w:tcPr>
          <w:p w14:paraId="2D1CCEA4" w14:textId="5C338A39" w:rsidR="00600903" w:rsidRDefault="00600903" w:rsidP="00600903">
            <w:pPr>
              <w:pStyle w:val="TTTableText"/>
              <w:rPr>
                <w:i/>
                <w:iCs/>
              </w:rPr>
            </w:pPr>
            <w:r w:rsidRPr="00520A8F">
              <w:rPr>
                <w:i/>
                <w:iCs/>
              </w:rPr>
              <w:t>US – Corrosion-Resistant Steel Sunset Review</w:t>
            </w:r>
          </w:p>
        </w:tc>
        <w:tc>
          <w:tcPr>
            <w:tcW w:w="6795" w:type="dxa"/>
          </w:tcPr>
          <w:p w14:paraId="4530285E" w14:textId="244652DC" w:rsidR="00600903" w:rsidRPr="00600903" w:rsidRDefault="00904C7D" w:rsidP="00600903">
            <w:pPr>
              <w:pStyle w:val="TTTableText"/>
            </w:pPr>
            <w:r w:rsidRPr="00904C7D">
              <w:t xml:space="preserve">Appellate Body Report, </w:t>
            </w:r>
            <w:r w:rsidRPr="00904C7D">
              <w:rPr>
                <w:i/>
              </w:rPr>
              <w:t>United States – Sunset Review of Anti-Dumping Duties on Corrosion</w:t>
            </w:r>
            <w:r w:rsidRPr="00904C7D">
              <w:rPr>
                <w:i/>
              </w:rPr>
              <w:noBreakHyphen/>
              <w:t>Resistant Carbon Steel Flat Products from Japan</w:t>
            </w:r>
            <w:r w:rsidRPr="00904C7D">
              <w:t xml:space="preserve">, </w:t>
            </w:r>
            <w:r w:rsidRPr="005C68DA">
              <w:t>WT/DS244/AB/R</w:t>
            </w:r>
            <w:r w:rsidRPr="00904C7D">
              <w:t>, adopted 9 January 2004, DSR 2004:I, p. 3</w:t>
            </w:r>
          </w:p>
        </w:tc>
      </w:tr>
      <w:tr w:rsidR="00600903" w:rsidRPr="0007327B" w14:paraId="1EA48176" w14:textId="77777777" w:rsidTr="00534449">
        <w:trPr>
          <w:cantSplit/>
          <w:trHeight w:val="397"/>
        </w:trPr>
        <w:tc>
          <w:tcPr>
            <w:tcW w:w="2265" w:type="dxa"/>
          </w:tcPr>
          <w:p w14:paraId="659D99DE" w14:textId="56F4945E" w:rsidR="00600903" w:rsidRDefault="00600903" w:rsidP="00534449">
            <w:pPr>
              <w:pStyle w:val="TTTableText"/>
              <w:rPr>
                <w:i/>
                <w:iCs/>
              </w:rPr>
            </w:pPr>
            <w:r>
              <w:rPr>
                <w:i/>
                <w:iCs/>
              </w:rPr>
              <w:t>US – Wheat Gluten</w:t>
            </w:r>
          </w:p>
        </w:tc>
        <w:tc>
          <w:tcPr>
            <w:tcW w:w="6795" w:type="dxa"/>
          </w:tcPr>
          <w:p w14:paraId="6A24BE46" w14:textId="3AD7A8E8" w:rsidR="00600903" w:rsidRDefault="00904C7D" w:rsidP="00534449">
            <w:pPr>
              <w:pStyle w:val="TTTableText"/>
            </w:pPr>
            <w:r w:rsidRPr="00904C7D">
              <w:t xml:space="preserve">Appellate Body Report, </w:t>
            </w:r>
            <w:r w:rsidRPr="00904C7D">
              <w:rPr>
                <w:i/>
              </w:rPr>
              <w:t>United States – Definitive Safeguard Measures on Imports of Wheat Gluten from the European Communities</w:t>
            </w:r>
            <w:r w:rsidRPr="00904C7D">
              <w:t xml:space="preserve">, </w:t>
            </w:r>
            <w:r w:rsidRPr="005C68DA">
              <w:t>WT/DS166/AB/R</w:t>
            </w:r>
            <w:r w:rsidRPr="00904C7D">
              <w:t>, adopted 19 January 2001, DSR 2001:II, p. 717</w:t>
            </w:r>
          </w:p>
        </w:tc>
      </w:tr>
    </w:tbl>
    <w:p w14:paraId="48563A66" w14:textId="77777777" w:rsidR="008A408F" w:rsidRPr="0007327B" w:rsidRDefault="008A408F" w:rsidP="008A408F">
      <w:pPr>
        <w:pStyle w:val="BTNSSBodyTextNoSpacingSmall"/>
      </w:pPr>
    </w:p>
    <w:p w14:paraId="2F0B24B6" w14:textId="77777777" w:rsidR="008A408F" w:rsidRPr="0007327B" w:rsidRDefault="008A408F" w:rsidP="008A408F">
      <w:pPr>
        <w:pStyle w:val="SHSectionHeading"/>
      </w:pPr>
      <w:bookmarkStart w:id="1" w:name="_Toc151728720"/>
      <w:r w:rsidRPr="0007327B">
        <w:lastRenderedPageBreak/>
        <w:t>List of Acronyms, Abbreviations and Short Forms</w:t>
      </w:r>
      <w:bookmarkEnd w:id="1"/>
    </w:p>
    <w:tbl>
      <w:tblPr>
        <w:tblStyle w:val="TableGrid"/>
        <w:tblW w:w="5000" w:type="pct"/>
        <w:tblLook w:val="04A0" w:firstRow="1" w:lastRow="0" w:firstColumn="1" w:lastColumn="0" w:noHBand="0" w:noVBand="1"/>
      </w:tblPr>
      <w:tblGrid>
        <w:gridCol w:w="1696"/>
        <w:gridCol w:w="7364"/>
      </w:tblGrid>
      <w:tr w:rsidR="008A408F" w:rsidRPr="0007327B" w14:paraId="0F138047" w14:textId="77777777" w:rsidTr="00534449">
        <w:trPr>
          <w:cantSplit/>
          <w:trHeight w:val="397"/>
          <w:tblHeader/>
        </w:trPr>
        <w:tc>
          <w:tcPr>
            <w:tcW w:w="1696" w:type="dxa"/>
            <w:shd w:val="clear" w:color="auto" w:fill="D9D9D9" w:themeFill="background1" w:themeFillShade="D9"/>
          </w:tcPr>
          <w:p w14:paraId="598C22CC" w14:textId="77777777" w:rsidR="008A408F" w:rsidRPr="0007327B" w:rsidRDefault="008A408F" w:rsidP="00534449">
            <w:pPr>
              <w:pStyle w:val="THTableHeading"/>
              <w:jc w:val="center"/>
            </w:pPr>
            <w:r w:rsidRPr="0007327B">
              <w:t>Abbreviation</w:t>
            </w:r>
          </w:p>
        </w:tc>
        <w:tc>
          <w:tcPr>
            <w:tcW w:w="7364" w:type="dxa"/>
            <w:shd w:val="clear" w:color="auto" w:fill="D9D9D9" w:themeFill="background1" w:themeFillShade="D9"/>
          </w:tcPr>
          <w:p w14:paraId="701FCD4A" w14:textId="77777777" w:rsidR="008A408F" w:rsidRPr="0007327B" w:rsidRDefault="008A408F" w:rsidP="00534449">
            <w:pPr>
              <w:pStyle w:val="THTableHeading"/>
              <w:jc w:val="center"/>
            </w:pPr>
            <w:r w:rsidRPr="0007327B">
              <w:t>Full Form or Description</w:t>
            </w:r>
          </w:p>
        </w:tc>
      </w:tr>
      <w:tr w:rsidR="00052B40" w:rsidRPr="0007327B" w14:paraId="7444FF74" w14:textId="77777777" w:rsidTr="00534449">
        <w:trPr>
          <w:cantSplit/>
          <w:trHeight w:val="397"/>
        </w:trPr>
        <w:tc>
          <w:tcPr>
            <w:tcW w:w="1696" w:type="dxa"/>
          </w:tcPr>
          <w:p w14:paraId="1FB14397" w14:textId="22C8F5A1" w:rsidR="00052B40" w:rsidRDefault="00052B40" w:rsidP="00534449">
            <w:pPr>
              <w:pStyle w:val="TTTableText"/>
            </w:pPr>
            <w:r>
              <w:t>DSU</w:t>
            </w:r>
          </w:p>
        </w:tc>
        <w:tc>
          <w:tcPr>
            <w:tcW w:w="7364" w:type="dxa"/>
          </w:tcPr>
          <w:p w14:paraId="6E7AB37F" w14:textId="00B4EADA" w:rsidR="00052B40" w:rsidRPr="0007327B" w:rsidRDefault="00E338EB" w:rsidP="00534449">
            <w:pPr>
              <w:pStyle w:val="TTTableText"/>
            </w:pPr>
            <w:r>
              <w:t>Understanding on Rules and Procedures Governing the Settlement of Disputes</w:t>
            </w:r>
          </w:p>
        </w:tc>
      </w:tr>
      <w:tr w:rsidR="002312BB" w:rsidRPr="0007327B" w14:paraId="4FA2E7B0" w14:textId="77777777" w:rsidTr="00534449">
        <w:trPr>
          <w:cantSplit/>
          <w:trHeight w:val="397"/>
        </w:trPr>
        <w:tc>
          <w:tcPr>
            <w:tcW w:w="1696" w:type="dxa"/>
          </w:tcPr>
          <w:p w14:paraId="7DFD0900" w14:textId="1DF41AC7" w:rsidR="002312BB" w:rsidRDefault="002312BB" w:rsidP="00534449">
            <w:pPr>
              <w:pStyle w:val="TTTableText"/>
            </w:pPr>
            <w:r>
              <w:t>GATT</w:t>
            </w:r>
          </w:p>
        </w:tc>
        <w:tc>
          <w:tcPr>
            <w:tcW w:w="7364" w:type="dxa"/>
          </w:tcPr>
          <w:p w14:paraId="6F4F48A5" w14:textId="6D53CC8C" w:rsidR="002312BB" w:rsidRPr="0007327B" w:rsidRDefault="00E338EB" w:rsidP="00534449">
            <w:pPr>
              <w:pStyle w:val="TTTableText"/>
            </w:pPr>
            <w:r>
              <w:t>General Agreement on Tariffs and Trade</w:t>
            </w:r>
          </w:p>
        </w:tc>
      </w:tr>
      <w:tr w:rsidR="00E338EB" w:rsidRPr="0007327B" w14:paraId="6D5A230C" w14:textId="77777777" w:rsidTr="00534449">
        <w:trPr>
          <w:cantSplit/>
          <w:trHeight w:val="397"/>
        </w:trPr>
        <w:tc>
          <w:tcPr>
            <w:tcW w:w="1696" w:type="dxa"/>
          </w:tcPr>
          <w:p w14:paraId="5CCFA8CB" w14:textId="5774C101" w:rsidR="00E338EB" w:rsidRDefault="00E338EB" w:rsidP="00534449">
            <w:pPr>
              <w:pStyle w:val="TTTableText"/>
            </w:pPr>
            <w:r>
              <w:t>Member</w:t>
            </w:r>
          </w:p>
        </w:tc>
        <w:tc>
          <w:tcPr>
            <w:tcW w:w="7364" w:type="dxa"/>
          </w:tcPr>
          <w:p w14:paraId="258B5575" w14:textId="16E70440" w:rsidR="00E338EB" w:rsidRDefault="00E338EB" w:rsidP="00534449">
            <w:pPr>
              <w:pStyle w:val="TTTableText"/>
            </w:pPr>
            <w:r>
              <w:t>Member of the World Trade Organization</w:t>
            </w:r>
          </w:p>
        </w:tc>
      </w:tr>
      <w:tr w:rsidR="008A408F" w:rsidRPr="0007327B" w14:paraId="7C5C2165" w14:textId="77777777" w:rsidTr="00534449">
        <w:trPr>
          <w:cantSplit/>
          <w:trHeight w:val="397"/>
        </w:trPr>
        <w:tc>
          <w:tcPr>
            <w:tcW w:w="1696" w:type="dxa"/>
          </w:tcPr>
          <w:p w14:paraId="7A2CE8F3" w14:textId="361E4B85" w:rsidR="008A408F" w:rsidRPr="0007327B" w:rsidRDefault="004B2276" w:rsidP="00534449">
            <w:pPr>
              <w:pStyle w:val="TTTableText"/>
            </w:pPr>
            <w:r>
              <w:t>WTO</w:t>
            </w:r>
          </w:p>
        </w:tc>
        <w:tc>
          <w:tcPr>
            <w:tcW w:w="7364" w:type="dxa"/>
          </w:tcPr>
          <w:p w14:paraId="27F1A538" w14:textId="378DC414" w:rsidR="008A408F" w:rsidRPr="0007327B" w:rsidRDefault="00E338EB" w:rsidP="00534449">
            <w:pPr>
              <w:pStyle w:val="TTTableText"/>
            </w:pPr>
            <w:r>
              <w:t>World Trade Organization</w:t>
            </w:r>
          </w:p>
        </w:tc>
      </w:tr>
      <w:tr w:rsidR="002312BB" w:rsidRPr="0007327B" w14:paraId="1CCA9D23" w14:textId="77777777" w:rsidTr="00534449">
        <w:trPr>
          <w:cantSplit/>
          <w:trHeight w:val="397"/>
        </w:trPr>
        <w:tc>
          <w:tcPr>
            <w:tcW w:w="1696" w:type="dxa"/>
          </w:tcPr>
          <w:p w14:paraId="4A4E9DA7" w14:textId="28BDD733" w:rsidR="002312BB" w:rsidRDefault="002312BB" w:rsidP="00534449">
            <w:pPr>
              <w:pStyle w:val="TTTableText"/>
            </w:pPr>
            <w:r>
              <w:t>SPS Agreement</w:t>
            </w:r>
          </w:p>
        </w:tc>
        <w:tc>
          <w:tcPr>
            <w:tcW w:w="7364" w:type="dxa"/>
          </w:tcPr>
          <w:p w14:paraId="4502F054" w14:textId="117C830D" w:rsidR="002312BB" w:rsidRPr="0007327B" w:rsidRDefault="00E338EB" w:rsidP="00534449">
            <w:pPr>
              <w:pStyle w:val="TTTableText"/>
            </w:pPr>
            <w:r>
              <w:t>Agreement on the Application of Sanitary and Phytosanitary Measures</w:t>
            </w:r>
          </w:p>
        </w:tc>
      </w:tr>
    </w:tbl>
    <w:p w14:paraId="757A078A" w14:textId="77777777" w:rsidR="008A408F" w:rsidRPr="0007327B" w:rsidRDefault="008A408F" w:rsidP="008A408F">
      <w:pPr>
        <w:pStyle w:val="BTNSSBodyTextNoSpacingSmall"/>
      </w:pPr>
    </w:p>
    <w:p w14:paraId="6580300B" w14:textId="77777777" w:rsidR="008A408F" w:rsidRDefault="008A408F" w:rsidP="008A408F">
      <w:pPr>
        <w:pStyle w:val="BTBodyText"/>
      </w:pPr>
      <w:r>
        <w:br w:type="page"/>
      </w:r>
    </w:p>
    <w:p w14:paraId="01BFFA08" w14:textId="30DED663" w:rsidR="008A408F" w:rsidRPr="0007327B" w:rsidRDefault="008C3454" w:rsidP="008A408F">
      <w:pPr>
        <w:pStyle w:val="HL1HeadingLevel1"/>
      </w:pPr>
      <w:bookmarkStart w:id="2" w:name="_Toc151728721"/>
      <w:r>
        <w:lastRenderedPageBreak/>
        <w:t>Introduction</w:t>
      </w:r>
      <w:bookmarkEnd w:id="2"/>
      <w:r w:rsidR="008A408F">
        <w:t xml:space="preserve"> </w:t>
      </w:r>
    </w:p>
    <w:p w14:paraId="6EB14373" w14:textId="4C76E83D" w:rsidR="007E1909" w:rsidRDefault="008A408F" w:rsidP="008A408F">
      <w:pPr>
        <w:pStyle w:val="P1-N1Paragraph1-Number1"/>
      </w:pPr>
      <w:r>
        <w:t xml:space="preserve">Chair, </w:t>
      </w:r>
      <w:r w:rsidR="007E1909">
        <w:t xml:space="preserve">distinguished </w:t>
      </w:r>
      <w:r>
        <w:t>members of the Panel – good morning. Thank you for this opportunity to</w:t>
      </w:r>
      <w:r w:rsidR="007E1909">
        <w:t xml:space="preserve"> participate as a third party in this dispute, and to make an oral statement at this session.</w:t>
      </w:r>
      <w:r>
        <w:t xml:space="preserve"> </w:t>
      </w:r>
    </w:p>
    <w:p w14:paraId="5E2939A9" w14:textId="6A60D27B" w:rsidR="007E1909" w:rsidRDefault="007E1909" w:rsidP="007E1909">
      <w:pPr>
        <w:pStyle w:val="P1-N1Paragraph1-Number1"/>
        <w:rPr>
          <w:rFonts w:ascii="Times New Roman" w:hAnsi="Times New Roman" w:cs="Times New Roman"/>
        </w:rPr>
      </w:pPr>
      <w:r>
        <w:rPr>
          <w:bdr w:val="none" w:sz="0" w:space="0" w:color="auto" w:frame="1"/>
        </w:rPr>
        <w:t xml:space="preserve">Before proceeding to set out Australia’s views on the legal issues in this dispute, Australia would like to reiterate its ongoing support for Ukraine and to again condemn in the strongest terms Russia's </w:t>
      </w:r>
      <w:r w:rsidR="00A10890">
        <w:rPr>
          <w:bdr w:val="none" w:sz="0" w:space="0" w:color="auto" w:frame="1"/>
        </w:rPr>
        <w:t>illegal and immoral invasion of</w:t>
      </w:r>
      <w:r>
        <w:rPr>
          <w:bdr w:val="none" w:sz="0" w:space="0" w:color="auto" w:frame="1"/>
        </w:rPr>
        <w:t xml:space="preserve"> Ukraine. Russia</w:t>
      </w:r>
      <w:r w:rsidR="005C68DA">
        <w:rPr>
          <w:bdr w:val="none" w:sz="0" w:space="0" w:color="auto" w:frame="1"/>
        </w:rPr>
        <w:t>'</w:t>
      </w:r>
      <w:r>
        <w:rPr>
          <w:bdr w:val="none" w:sz="0" w:space="0" w:color="auto" w:frame="1"/>
        </w:rPr>
        <w:t>s aggression is a gross violation of international law, including the Charter of the United Nations, and is inconsistent with the global rules and norms that underpin multilateral organisations such as the WTO. There is no other place within the WTO system where the rules-based nature of the organisation is more evident than in the dispute settlement system and through disputes such as the one we are here for today. That is why we cannot talk about the rules without mentioning Russia</w:t>
      </w:r>
      <w:r w:rsidR="005C68DA">
        <w:rPr>
          <w:bdr w:val="none" w:sz="0" w:space="0" w:color="auto" w:frame="1"/>
        </w:rPr>
        <w:t>'</w:t>
      </w:r>
      <w:r>
        <w:rPr>
          <w:bdr w:val="none" w:sz="0" w:space="0" w:color="auto" w:frame="1"/>
        </w:rPr>
        <w:t>s gross violation of such rules.</w:t>
      </w:r>
    </w:p>
    <w:p w14:paraId="1DAB1B08" w14:textId="2EF4863A" w:rsidR="008A408F" w:rsidRDefault="007E1909" w:rsidP="007E1909">
      <w:pPr>
        <w:pStyle w:val="P1-N1Paragraph1-Number1"/>
      </w:pPr>
      <w:r>
        <w:t xml:space="preserve">Turning now to the </w:t>
      </w:r>
      <w:r w:rsidR="006E2EC7">
        <w:t>matter before the Panel</w:t>
      </w:r>
      <w:r>
        <w:t xml:space="preserve">, which </w:t>
      </w:r>
      <w:r w:rsidR="002B4A77">
        <w:t xml:space="preserve">raises </w:t>
      </w:r>
      <w:r w:rsidR="00E227D7">
        <w:t>issues of fundamental importance to the effective</w:t>
      </w:r>
      <w:r w:rsidR="00BE5EB5">
        <w:t xml:space="preserve"> </w:t>
      </w:r>
      <w:r w:rsidR="00E6011C">
        <w:t>functioning and credibility of the rules-based multilateral trading system</w:t>
      </w:r>
      <w:r w:rsidR="008A408F">
        <w:t>.</w:t>
      </w:r>
      <w:r>
        <w:t xml:space="preserve"> </w:t>
      </w:r>
      <w:r w:rsidR="00534449">
        <w:t>One central question in</w:t>
      </w:r>
      <w:r w:rsidR="008A408F">
        <w:t xml:space="preserve"> this matter is </w:t>
      </w:r>
      <w:r w:rsidR="00534449">
        <w:t xml:space="preserve">how the WTO rules respond to </w:t>
      </w:r>
      <w:r w:rsidR="00FD254F">
        <w:t>measures</w:t>
      </w:r>
      <w:r w:rsidR="00534449">
        <w:t xml:space="preserve"> </w:t>
      </w:r>
      <w:r w:rsidR="00FD254F">
        <w:t>that are</w:t>
      </w:r>
      <w:r w:rsidR="00534449">
        <w:t xml:space="preserve"> alleged to be unwritten, or otherwise deliberately concealed. </w:t>
      </w:r>
      <w:r w:rsidR="00E227D7">
        <w:t>If</w:t>
      </w:r>
      <w:r w:rsidR="008A408F">
        <w:t xml:space="preserve"> such conduct passes unseen by WTO rules and is permitted to grow unchallenged in the shadows</w:t>
      </w:r>
      <w:r w:rsidR="00E227D7">
        <w:t>, faith in the rules and the system will erode. The corrosive impact is even greater if such conduct is also designed to pressure, induce or otherwise interfere with a foreign government's exercise of its legitimate sovereign rights or choices, as the EU alleges</w:t>
      </w:r>
      <w:r w:rsidR="008A408F">
        <w:t>.</w:t>
      </w:r>
    </w:p>
    <w:p w14:paraId="4838CD5C" w14:textId="3A21EF58" w:rsidR="008A408F" w:rsidRDefault="008A408F" w:rsidP="008A408F">
      <w:pPr>
        <w:pStyle w:val="P1-N1Paragraph1-Number1"/>
      </w:pPr>
      <w:r>
        <w:t>I will not repeat all of Australia's written submissions here today. However, I would like to highlight four key points at the outset:</w:t>
      </w:r>
    </w:p>
    <w:p w14:paraId="462B18E4" w14:textId="03F9C6B9" w:rsidR="008A408F" w:rsidRDefault="008A408F" w:rsidP="008A408F">
      <w:pPr>
        <w:pStyle w:val="P2-B1Paragraph2-Bullet1"/>
        <w:tabs>
          <w:tab w:val="clear" w:pos="1701"/>
        </w:tabs>
        <w:ind w:left="720" w:hanging="360"/>
      </w:pPr>
      <w:r>
        <w:t xml:space="preserve">first, </w:t>
      </w:r>
      <w:r w:rsidR="00D914E5">
        <w:t xml:space="preserve">as you're well aware, </w:t>
      </w:r>
      <w:r>
        <w:t xml:space="preserve">the task of the Panel </w:t>
      </w:r>
      <w:r w:rsidR="007E1909">
        <w:t>includes making an</w:t>
      </w:r>
      <w:r>
        <w:t xml:space="preserve"> objective assessment of the facts of th</w:t>
      </w:r>
      <w:r w:rsidR="00052B40">
        <w:t>is</w:t>
      </w:r>
      <w:r>
        <w:t xml:space="preserve"> case, under Article 11 of the DSU. The Panel should assess the </w:t>
      </w:r>
      <w:r w:rsidR="00052B40">
        <w:t xml:space="preserve">totality of the </w:t>
      </w:r>
      <w:r>
        <w:t>evidence before it in a logical manner</w:t>
      </w:r>
      <w:r w:rsidR="00FD254F">
        <w:t>,</w:t>
      </w:r>
      <w:r>
        <w:t xml:space="preserve"> </w:t>
      </w:r>
      <w:r w:rsidR="00FD254F">
        <w:t>draw such</w:t>
      </w:r>
      <w:r>
        <w:t xml:space="preserve"> </w:t>
      </w:r>
      <w:r w:rsidR="00FD254F">
        <w:t>inferences as may be appropriate, and reach a conclusion as to</w:t>
      </w:r>
      <w:r>
        <w:t xml:space="preserve"> the existence of any "measures". It must then consider the consistency of those measures with relevant WTO commitments and obligations;</w:t>
      </w:r>
    </w:p>
    <w:p w14:paraId="7E66ADD4" w14:textId="79EAEE47" w:rsidR="008A408F" w:rsidRDefault="008A408F" w:rsidP="008A408F">
      <w:pPr>
        <w:pStyle w:val="P2-B1Paragraph2-Bullet1"/>
        <w:tabs>
          <w:tab w:val="clear" w:pos="1701"/>
        </w:tabs>
        <w:ind w:left="720" w:hanging="360"/>
      </w:pPr>
      <w:r>
        <w:lastRenderedPageBreak/>
        <w:t xml:space="preserve">second, Australia cautions against applying the findings of past panels inflexibly. Contrary to what China </w:t>
      </w:r>
      <w:r w:rsidR="00534449">
        <w:t>appears to have suggested in its first written submission</w:t>
      </w:r>
      <w:r>
        <w:t xml:space="preserve">, there are </w:t>
      </w:r>
      <w:r w:rsidR="00D914E5">
        <w:t xml:space="preserve">no </w:t>
      </w:r>
      <w:r>
        <w:t xml:space="preserve">strict rules or doctrines </w:t>
      </w:r>
      <w:r w:rsidR="00FD254F">
        <w:t>governing</w:t>
      </w:r>
      <w:r>
        <w:t xml:space="preserve"> the proof </w:t>
      </w:r>
      <w:r w:rsidR="004937CA">
        <w:t xml:space="preserve">or characteristics </w:t>
      </w:r>
      <w:r>
        <w:t>of unwritten measures</w:t>
      </w:r>
      <w:r w:rsidR="00466412">
        <w:t>. An unwritten measure is still a "measure</w:t>
      </w:r>
      <w:r w:rsidR="00A10890">
        <w:t>". It is a</w:t>
      </w:r>
      <w:r w:rsidR="00466412">
        <w:t xml:space="preserve"> concept which is broad and flexible</w:t>
      </w:r>
      <w:r w:rsidR="00A10890">
        <w:t>, and the same legal considerations apply</w:t>
      </w:r>
      <w:r>
        <w:t>;</w:t>
      </w:r>
    </w:p>
    <w:p w14:paraId="44279766" w14:textId="57330783" w:rsidR="008A408F" w:rsidRDefault="008A408F" w:rsidP="008A408F">
      <w:pPr>
        <w:pStyle w:val="P2-B1Paragraph2-Bullet1"/>
        <w:tabs>
          <w:tab w:val="clear" w:pos="1701"/>
        </w:tabs>
        <w:ind w:left="720" w:hanging="360"/>
      </w:pPr>
      <w:r>
        <w:t xml:space="preserve">third, as the "trier of facts" it is for the Panel to test and assess the weight, credibility and ultimately the probative value of the evidence before </w:t>
      </w:r>
      <w:r w:rsidR="00052B40">
        <w:t>it. This includes</w:t>
      </w:r>
      <w:r>
        <w:t xml:space="preserve"> the explanations offered by both sides. </w:t>
      </w:r>
      <w:r w:rsidR="00534449">
        <w:t xml:space="preserve">In making that evaluation the Panel can take into account </w:t>
      </w:r>
      <w:r>
        <w:t>context</w:t>
      </w:r>
      <w:r w:rsidR="00534449">
        <w:t>ual matters</w:t>
      </w:r>
      <w:r>
        <w:t>, including the asymmetry of available information</w:t>
      </w:r>
      <w:r w:rsidR="00E227D7">
        <w:t xml:space="preserve"> and the </w:t>
      </w:r>
      <w:r w:rsidR="00475B6B">
        <w:t>capability or potential</w:t>
      </w:r>
      <w:r w:rsidR="000066D8">
        <w:t xml:space="preserve"> to shield a measure from detection</w:t>
      </w:r>
      <w:r>
        <w:t>; and</w:t>
      </w:r>
    </w:p>
    <w:p w14:paraId="3DE807C9" w14:textId="59534806" w:rsidR="008A408F" w:rsidRDefault="008A408F" w:rsidP="008A408F">
      <w:pPr>
        <w:pStyle w:val="P2-B1Paragraph2-Bullet1"/>
        <w:tabs>
          <w:tab w:val="clear" w:pos="1701"/>
        </w:tabs>
        <w:ind w:left="720" w:hanging="360"/>
      </w:pPr>
      <w:r>
        <w:t>finally, in Australia's view, WTO rules have sufficient scope and flexibility to appropriately capture, analyse and discipline even disguised measures. The Panel has all the necessary tools at its disposal, and the obligation to apply the relevant rules fully</w:t>
      </w:r>
      <w:r w:rsidR="00C06471">
        <w:t>.</w:t>
      </w:r>
    </w:p>
    <w:p w14:paraId="097F7ACC" w14:textId="6FA7467B" w:rsidR="008A408F" w:rsidRDefault="008C3454" w:rsidP="008A408F">
      <w:pPr>
        <w:pStyle w:val="HL1HeadingLevel1"/>
      </w:pPr>
      <w:bookmarkStart w:id="3" w:name="_Toc151728722"/>
      <w:r>
        <w:t>Uncontested fa</w:t>
      </w:r>
      <w:r w:rsidR="00D26356">
        <w:t>ct</w:t>
      </w:r>
      <w:r>
        <w:t>s</w:t>
      </w:r>
      <w:bookmarkEnd w:id="3"/>
    </w:p>
    <w:p w14:paraId="7A96903D" w14:textId="0DF1FB00" w:rsidR="008A408F" w:rsidRDefault="008A408F" w:rsidP="008A408F">
      <w:pPr>
        <w:pStyle w:val="P1-N1Paragraph1-Number1"/>
      </w:pPr>
      <w:r>
        <w:t>Australia does not seek to stand in the Panel's role as</w:t>
      </w:r>
      <w:r w:rsidR="00AE3741">
        <w:t xml:space="preserve"> the</w:t>
      </w:r>
      <w:r>
        <w:t xml:space="preserve"> "trier of facts". However, certain uncontested facts can now be distilled from the parties' first written submissions and evidence. </w:t>
      </w:r>
      <w:r w:rsidR="00052B40">
        <w:t>We set out a</w:t>
      </w:r>
      <w:r w:rsidR="00C06471">
        <w:t xml:space="preserve"> summary of </w:t>
      </w:r>
      <w:r>
        <w:t>what we know:</w:t>
      </w:r>
    </w:p>
    <w:p w14:paraId="7D2873D6" w14:textId="0DD00E10" w:rsidR="008A408F" w:rsidRDefault="00631564" w:rsidP="008A408F">
      <w:pPr>
        <w:pStyle w:val="P1-N1Paragraph1-Number1"/>
        <w:numPr>
          <w:ilvl w:val="0"/>
          <w:numId w:val="8"/>
        </w:numPr>
      </w:pPr>
      <w:r>
        <w:t>U</w:t>
      </w:r>
      <w:r w:rsidR="008A408F">
        <w:t>ntil around the second half of 2021, the volume of trade between Lithuania and China followed an increasing trend.</w:t>
      </w:r>
      <w:r w:rsidR="008A408F">
        <w:rPr>
          <w:rStyle w:val="FootnoteReference"/>
        </w:rPr>
        <w:footnoteReference w:id="1"/>
      </w:r>
      <w:r w:rsidR="008A408F">
        <w:t xml:space="preserve"> </w:t>
      </w:r>
    </w:p>
    <w:p w14:paraId="13F0C65E" w14:textId="461C794D" w:rsidR="008A408F" w:rsidRDefault="008A408F" w:rsidP="008A408F">
      <w:pPr>
        <w:pStyle w:val="P1-N1Paragraph1-Number1"/>
        <w:numPr>
          <w:ilvl w:val="0"/>
          <w:numId w:val="8"/>
        </w:numPr>
      </w:pPr>
      <w:r>
        <w:t xml:space="preserve">Then, in July 2021, Lithuania permitted the opening of a so-called "Taiwanese Representative Office in Lithuania". In the </w:t>
      </w:r>
      <w:r w:rsidR="00AE3741">
        <w:t>EU's</w:t>
      </w:r>
      <w:r>
        <w:t xml:space="preserve"> words, this "prompted an immediate and robust diplomatic response from China"</w:t>
      </w:r>
      <w:r w:rsidR="002312BB">
        <w:t xml:space="preserve">. It </w:t>
      </w:r>
      <w:r>
        <w:t>culminat</w:t>
      </w:r>
      <w:r w:rsidR="002312BB">
        <w:t>ed</w:t>
      </w:r>
      <w:r>
        <w:t xml:space="preserve"> with China withdrawing its Ambassador to Lithuania and downgrading Lithuania's Embassy to China.</w:t>
      </w:r>
      <w:r>
        <w:rPr>
          <w:rStyle w:val="FootnoteReference"/>
        </w:rPr>
        <w:footnoteReference w:id="2"/>
      </w:r>
      <w:r>
        <w:t xml:space="preserve"> </w:t>
      </w:r>
    </w:p>
    <w:p w14:paraId="34300826" w14:textId="3EEB646A" w:rsidR="006355A2" w:rsidRDefault="008A408F" w:rsidP="008A408F">
      <w:pPr>
        <w:pStyle w:val="P1-N1Paragraph1-Number1"/>
        <w:numPr>
          <w:ilvl w:val="0"/>
          <w:numId w:val="8"/>
        </w:numPr>
      </w:pPr>
      <w:r>
        <w:lastRenderedPageBreak/>
        <w:t>China acknowledges its strong diplomatic opposition to the opening of the "Taiwanese Representative Office in Lithuania".</w:t>
      </w:r>
      <w:r>
        <w:rPr>
          <w:rStyle w:val="FootnoteReference"/>
        </w:rPr>
        <w:footnoteReference w:id="3"/>
      </w:r>
      <w:r>
        <w:t xml:space="preserve"> </w:t>
      </w:r>
      <w:r w:rsidR="006355A2">
        <w:t>It denies that this position</w:t>
      </w:r>
      <w:r>
        <w:t xml:space="preserve"> </w:t>
      </w:r>
      <w:r w:rsidR="006355A2">
        <w:t>impacted its trade relationship with Lithuania.</w:t>
      </w:r>
      <w:r w:rsidR="006355A2">
        <w:rPr>
          <w:rStyle w:val="FootnoteReference"/>
        </w:rPr>
        <w:footnoteReference w:id="4"/>
      </w:r>
    </w:p>
    <w:p w14:paraId="16F6ADBD" w14:textId="7F8F7268" w:rsidR="008A408F" w:rsidRDefault="006355A2" w:rsidP="008A408F">
      <w:pPr>
        <w:pStyle w:val="P1-N1Paragraph1-Number1"/>
        <w:numPr>
          <w:ilvl w:val="0"/>
          <w:numId w:val="8"/>
        </w:numPr>
      </w:pPr>
      <w:r>
        <w:t xml:space="preserve">In early 2021, </w:t>
      </w:r>
      <w:r w:rsidR="008A408F">
        <w:t xml:space="preserve">the Ambassador of China in Lithuania </w:t>
      </w:r>
      <w:r>
        <w:t xml:space="preserve">wrote to "Enterprise Lithuania", observing </w:t>
      </w:r>
      <w:r w:rsidR="008A408F">
        <w:t xml:space="preserve">that </w:t>
      </w:r>
      <w:r>
        <w:t>such matters were</w:t>
      </w:r>
      <w:r w:rsidR="008A408F">
        <w:t xml:space="preserve"> "of economic interest to Lithuanian businesses."</w:t>
      </w:r>
      <w:r w:rsidR="008A408F">
        <w:rPr>
          <w:rStyle w:val="FootnoteReference"/>
        </w:rPr>
        <w:footnoteReference w:id="5"/>
      </w:r>
    </w:p>
    <w:p w14:paraId="1073D7DF" w14:textId="525CA3CC" w:rsidR="008A408F" w:rsidRDefault="008A408F" w:rsidP="008A408F">
      <w:pPr>
        <w:pStyle w:val="P1-N1Paragraph1-Number1"/>
        <w:numPr>
          <w:ilvl w:val="0"/>
          <w:numId w:val="8"/>
        </w:numPr>
      </w:pPr>
      <w:r>
        <w:t>Thereafter, between November 2021 and January 2022, imports from Lithuania into China fell by over 99%</w:t>
      </w:r>
      <w:r>
        <w:rPr>
          <w:rStyle w:val="FootnoteReference"/>
        </w:rPr>
        <w:footnoteReference w:id="6"/>
      </w:r>
      <w:r>
        <w:t xml:space="preserve"> and didn't recover.</w:t>
      </w:r>
      <w:r>
        <w:rPr>
          <w:rStyle w:val="FootnoteReference"/>
        </w:rPr>
        <w:footnoteReference w:id="7"/>
      </w:r>
      <w:r>
        <w:t xml:space="preserve"> By comparison, the value of imports from the </w:t>
      </w:r>
      <w:r w:rsidR="00AE3741">
        <w:t>EU</w:t>
      </w:r>
      <w:r>
        <w:t xml:space="preserve"> into China as a whole actually increased slightly, during the same period.</w:t>
      </w:r>
      <w:r>
        <w:rPr>
          <w:rStyle w:val="FootnoteReference"/>
        </w:rPr>
        <w:footnoteReference w:id="8"/>
      </w:r>
    </w:p>
    <w:p w14:paraId="472D3FEE" w14:textId="77777777" w:rsidR="008A408F" w:rsidRDefault="008A408F" w:rsidP="008A408F">
      <w:pPr>
        <w:pStyle w:val="P1-N1Paragraph1-Number1"/>
        <w:numPr>
          <w:ilvl w:val="0"/>
          <w:numId w:val="8"/>
        </w:numPr>
      </w:pPr>
      <w:r>
        <w:t>At the time, companies importing goods from Lithuania into China experienced sudden and unexplained restrictions</w:t>
      </w:r>
      <w:r>
        <w:rPr>
          <w:rStyle w:val="FootnoteReference"/>
        </w:rPr>
        <w:footnoteReference w:id="9"/>
      </w:r>
      <w:r>
        <w:t xml:space="preserve"> in obtaining required customs clearances. Shipments of products covered by certificates issued by Lithuanian authorities were also reportedly being refused customs clearance in China.</w:t>
      </w:r>
      <w:r>
        <w:rPr>
          <w:rStyle w:val="FootnoteReference"/>
        </w:rPr>
        <w:footnoteReference w:id="10"/>
      </w:r>
      <w:r>
        <w:t xml:space="preserve"> </w:t>
      </w:r>
    </w:p>
    <w:p w14:paraId="2DFA76F6" w14:textId="66EE92F0" w:rsidR="008A408F" w:rsidRDefault="008A408F" w:rsidP="008A408F">
      <w:pPr>
        <w:pStyle w:val="P1-N1Paragraph1-Number1"/>
        <w:numPr>
          <w:ilvl w:val="0"/>
          <w:numId w:val="8"/>
        </w:numPr>
      </w:pPr>
      <w:r>
        <w:t xml:space="preserve">The </w:t>
      </w:r>
      <w:r w:rsidR="00AE3741">
        <w:t xml:space="preserve">EU </w:t>
      </w:r>
      <w:r>
        <w:t>actively sought to resolve customs delays with Chinese authorities, but received no substantive response.</w:t>
      </w:r>
      <w:r>
        <w:rPr>
          <w:rStyle w:val="FootnoteReference"/>
        </w:rPr>
        <w:footnoteReference w:id="11"/>
      </w:r>
    </w:p>
    <w:p w14:paraId="7CB28B9D" w14:textId="3D8EE19F" w:rsidR="008A408F" w:rsidRDefault="008A408F" w:rsidP="008A408F">
      <w:pPr>
        <w:pStyle w:val="P1-N1Paragraph1-Number1"/>
        <w:numPr>
          <w:ilvl w:val="0"/>
          <w:numId w:val="8"/>
        </w:numPr>
      </w:pPr>
      <w:r>
        <w:t xml:space="preserve">During the same period, a Spokesperson of </w:t>
      </w:r>
      <w:r w:rsidR="00C06471">
        <w:t xml:space="preserve">China's </w:t>
      </w:r>
      <w:r>
        <w:t>Ministry of Foreign Affairs stated that "[t]hose who undermine China's sovereignty will pay the price."</w:t>
      </w:r>
      <w:r>
        <w:rPr>
          <w:rStyle w:val="FootnoteReference"/>
        </w:rPr>
        <w:footnoteReference w:id="12"/>
      </w:r>
      <w:r>
        <w:t xml:space="preserve"> Meanwhile, the Ambassador of China to the </w:t>
      </w:r>
      <w:r w:rsidR="00AE3741">
        <w:t>EU</w:t>
      </w:r>
      <w:r>
        <w:t xml:space="preserve"> confirmed that Chinese buyers didn't want to buy from Lithuania; that Chinese customers were taking actions to punish those companies.</w:t>
      </w:r>
      <w:r>
        <w:rPr>
          <w:rStyle w:val="FootnoteReference"/>
        </w:rPr>
        <w:footnoteReference w:id="13"/>
      </w:r>
      <w:r>
        <w:t xml:space="preserve"> He stated: "[c]</w:t>
      </w:r>
      <w:r w:rsidR="00E338EB">
        <w:t>hange</w:t>
      </w:r>
      <w:r>
        <w:t xml:space="preserve"> the name and everything will return to normal."</w:t>
      </w:r>
      <w:r>
        <w:rPr>
          <w:rStyle w:val="FootnoteReference"/>
        </w:rPr>
        <w:footnoteReference w:id="14"/>
      </w:r>
      <w:r w:rsidR="002312BB">
        <w:t xml:space="preserve"> </w:t>
      </w:r>
    </w:p>
    <w:p w14:paraId="68A2F47A" w14:textId="58E4CD79" w:rsidR="008A408F" w:rsidRDefault="008A408F" w:rsidP="00346A62">
      <w:pPr>
        <w:pStyle w:val="P1-N1Paragraph1-Number1"/>
      </w:pPr>
      <w:r>
        <w:t xml:space="preserve">The </w:t>
      </w:r>
      <w:r w:rsidR="00AE3741">
        <w:t>EU</w:t>
      </w:r>
      <w:r>
        <w:t xml:space="preserve"> argues that these events, and others, demonstrate that "China has utilised and is utilising economic instruments at its disposal to voice its diplomatic discontent and, ultimately, to retaliate."</w:t>
      </w:r>
      <w:r>
        <w:rPr>
          <w:rStyle w:val="FootnoteReference"/>
        </w:rPr>
        <w:footnoteReference w:id="15"/>
      </w:r>
      <w:r>
        <w:t xml:space="preserve">  The </w:t>
      </w:r>
      <w:r w:rsidR="00AE3741">
        <w:t>EU</w:t>
      </w:r>
      <w:r>
        <w:t xml:space="preserve"> identifies </w:t>
      </w:r>
      <w:r w:rsidR="002B2157">
        <w:t>several</w:t>
      </w:r>
      <w:r>
        <w:t xml:space="preserve"> separate measures </w:t>
      </w:r>
      <w:r w:rsidR="00F338FC">
        <w:t>in this</w:t>
      </w:r>
      <w:r>
        <w:t xml:space="preserve"> "progressively </w:t>
      </w:r>
      <w:r>
        <w:lastRenderedPageBreak/>
        <w:t>supplemented" conduct,</w:t>
      </w:r>
      <w:r>
        <w:rPr>
          <w:rStyle w:val="FootnoteReference"/>
        </w:rPr>
        <w:footnoteReference w:id="16"/>
      </w:r>
      <w:r>
        <w:t xml:space="preserve"> and which it says breach China's obligations under either GATT or the SPS Agreement.</w:t>
      </w:r>
    </w:p>
    <w:p w14:paraId="4E89E2A2" w14:textId="045CBFF3" w:rsidR="008A408F" w:rsidRDefault="008A408F" w:rsidP="008A408F">
      <w:pPr>
        <w:pStyle w:val="P1-N1Paragraph1-Number1"/>
      </w:pPr>
      <w:r>
        <w:t>China on the other hand, denies that its strong diplomatic reaction permeated the trading relationship with Lithuania in any legally-meaningful manner.</w:t>
      </w:r>
      <w:r>
        <w:rPr>
          <w:rStyle w:val="FootnoteReference"/>
        </w:rPr>
        <w:footnoteReference w:id="17"/>
      </w:r>
      <w:r>
        <w:t xml:space="preserve"> It asserts that it has "always</w:t>
      </w:r>
      <w:r w:rsidR="00C45236">
        <w:t>"</w:t>
      </w:r>
      <w:r>
        <w:t xml:space="preserve"> administered its import</w:t>
      </w:r>
      <w:r w:rsidR="00C45236">
        <w:t>s</w:t>
      </w:r>
      <w:r>
        <w:t xml:space="preserve"> and export</w:t>
      </w:r>
      <w:r w:rsidR="00C45236">
        <w:t>s</w:t>
      </w:r>
      <w:r>
        <w:t xml:space="preserve"> in a WTO-consistent manner.</w:t>
      </w:r>
      <w:r>
        <w:rPr>
          <w:rStyle w:val="FootnoteReference"/>
        </w:rPr>
        <w:footnoteReference w:id="18"/>
      </w:r>
      <w:r>
        <w:t xml:space="preserve"> At the core of China's legal argument as Australia understands it, China denies that the evidence put forward by the </w:t>
      </w:r>
      <w:r w:rsidR="00AE3741">
        <w:t>EU</w:t>
      </w:r>
      <w:r>
        <w:t xml:space="preserve"> is sufficient to sustain a challengeable measure under WTO rules.</w:t>
      </w:r>
      <w:r>
        <w:rPr>
          <w:rStyle w:val="FootnoteReference"/>
        </w:rPr>
        <w:footnoteReference w:id="19"/>
      </w:r>
      <w:r>
        <w:t xml:space="preserve"> It asserts that the "import restriction" measure and the "overarching measure</w:t>
      </w:r>
      <w:r w:rsidR="00506F90">
        <w:t>"</w:t>
      </w:r>
      <w:r>
        <w:t xml:space="preserve"> therefore don't exist.</w:t>
      </w:r>
    </w:p>
    <w:p w14:paraId="1AC8336D" w14:textId="0D6881D2" w:rsidR="008A408F" w:rsidRPr="00631564" w:rsidRDefault="008854D5" w:rsidP="008A408F">
      <w:pPr>
        <w:pStyle w:val="P1-N1Paragraph1-Number1"/>
      </w:pPr>
      <w:r w:rsidRPr="00631564">
        <w:t xml:space="preserve">It is now for the Panel to assess whether the </w:t>
      </w:r>
      <w:r w:rsidR="00AE3741" w:rsidRPr="00631564">
        <w:t>EU</w:t>
      </w:r>
      <w:r w:rsidRPr="00631564">
        <w:t xml:space="preserve"> has convinced it of the validity of its case</w:t>
      </w:r>
      <w:r w:rsidR="00437451" w:rsidRPr="00631564">
        <w:t xml:space="preserve"> - or</w:t>
      </w:r>
      <w:r w:rsidRPr="00631564">
        <w:t xml:space="preserve"> whether China's </w:t>
      </w:r>
      <w:r w:rsidR="00437451" w:rsidRPr="00631564">
        <w:t>submissions</w:t>
      </w:r>
      <w:r w:rsidRPr="00631564">
        <w:t xml:space="preserve"> have effectively refuted the existence of the measures.</w:t>
      </w:r>
      <w:r w:rsidR="00437451" w:rsidRPr="00631564">
        <w:t xml:space="preserve"> </w:t>
      </w:r>
      <w:r w:rsidR="00F338FC" w:rsidRPr="00631564">
        <w:t>In doing so, it may wish to co</w:t>
      </w:r>
      <w:r w:rsidR="00AE3741" w:rsidRPr="00631564">
        <w:t>n</w:t>
      </w:r>
      <w:r w:rsidR="00F338FC" w:rsidRPr="00631564">
        <w:t xml:space="preserve">sider </w:t>
      </w:r>
      <w:r w:rsidR="00437451" w:rsidRPr="00631564">
        <w:t>which of these two very different explanations is the most plausible, in all of the circumstances</w:t>
      </w:r>
      <w:r w:rsidR="00F338FC" w:rsidRPr="00631564">
        <w:t>.</w:t>
      </w:r>
    </w:p>
    <w:p w14:paraId="0D699685" w14:textId="2F46C28C" w:rsidR="008A408F" w:rsidRPr="004C119B" w:rsidRDefault="008C3454" w:rsidP="008A408F">
      <w:pPr>
        <w:pStyle w:val="HL1HeadingLevel1"/>
      </w:pPr>
      <w:bookmarkStart w:id="4" w:name="_Toc151728723"/>
      <w:r>
        <w:t>China's approach</w:t>
      </w:r>
      <w:r w:rsidR="008B3AE5">
        <w:t xml:space="preserve"> and the</w:t>
      </w:r>
      <w:r w:rsidR="00C72BC5">
        <w:t xml:space="preserve"> operation of </w:t>
      </w:r>
      <w:r w:rsidR="008B3AE5">
        <w:t>burden of proof</w:t>
      </w:r>
      <w:bookmarkEnd w:id="4"/>
    </w:p>
    <w:p w14:paraId="4D41AE6F" w14:textId="1E372D73" w:rsidR="008A308E" w:rsidRPr="008A308E" w:rsidRDefault="008A308E" w:rsidP="008A408F">
      <w:pPr>
        <w:pStyle w:val="P1-N1Paragraph1-Number1"/>
      </w:pPr>
      <w:r>
        <w:t xml:space="preserve">The allegations made by the EU are serious. </w:t>
      </w:r>
      <w:r w:rsidRPr="00734ED3">
        <w:t xml:space="preserve">They raise </w:t>
      </w:r>
      <w:r w:rsidR="00FD254F">
        <w:t>important</w:t>
      </w:r>
      <w:r w:rsidR="00FD254F" w:rsidRPr="00734ED3">
        <w:t xml:space="preserve"> </w:t>
      </w:r>
      <w:r w:rsidRPr="00734ED3">
        <w:t xml:space="preserve">issues about the </w:t>
      </w:r>
      <w:r w:rsidR="00FD254F">
        <w:t>effectiveness</w:t>
      </w:r>
      <w:r w:rsidRPr="00734ED3">
        <w:t xml:space="preserve"> of rules that underpin the multilateral trading system. Even having regard only to the facts that </w:t>
      </w:r>
      <w:r w:rsidR="00D03384">
        <w:t xml:space="preserve">are seemingly </w:t>
      </w:r>
      <w:r w:rsidRPr="00734ED3">
        <w:t>uncontested</w:t>
      </w:r>
      <w:r>
        <w:t>,</w:t>
      </w:r>
      <w:r w:rsidRPr="00734ED3">
        <w:t xml:space="preserve"> there appears to be a proper basis for the EU to have raised these concerns</w:t>
      </w:r>
      <w:r>
        <w:t>.</w:t>
      </w:r>
      <w:r w:rsidRPr="00734ED3">
        <w:t xml:space="preserve"> Australia notes with concern that China does not appear to have engaged</w:t>
      </w:r>
      <w:r w:rsidR="00A10890">
        <w:t xml:space="preserve"> squarely</w:t>
      </w:r>
      <w:r w:rsidRPr="00734ED3">
        <w:t xml:space="preserve"> with them in its </w:t>
      </w:r>
      <w:r w:rsidR="004937CA">
        <w:t>f</w:t>
      </w:r>
      <w:r w:rsidRPr="00734ED3">
        <w:t xml:space="preserve">irst </w:t>
      </w:r>
      <w:r w:rsidR="004937CA">
        <w:t>w</w:t>
      </w:r>
      <w:r w:rsidRPr="00734ED3">
        <w:t xml:space="preserve">ritten </w:t>
      </w:r>
      <w:r w:rsidR="004937CA">
        <w:t>s</w:t>
      </w:r>
      <w:r w:rsidRPr="00734ED3">
        <w:t>ubmission.</w:t>
      </w:r>
    </w:p>
    <w:p w14:paraId="26C02F74" w14:textId="5E37ECC5" w:rsidR="008A408F" w:rsidRDefault="008A408F" w:rsidP="008A408F">
      <w:pPr>
        <w:pStyle w:val="P1-N1Paragraph1-Number1"/>
      </w:pPr>
      <w:r>
        <w:t>China</w:t>
      </w:r>
      <w:r w:rsidR="00346A62">
        <w:t xml:space="preserve">'s approach rests largely on discrediting the evidence and conclusions put forward by the </w:t>
      </w:r>
      <w:r w:rsidR="00AE3741">
        <w:t>EU</w:t>
      </w:r>
      <w:r w:rsidR="00346A62">
        <w:t>. It offers scarce alternative explanation</w:t>
      </w:r>
      <w:r>
        <w:t xml:space="preserve"> for either the cumulative or granular evidence asserted by the </w:t>
      </w:r>
      <w:r w:rsidR="00AE3741">
        <w:t>EU</w:t>
      </w:r>
      <w:r w:rsidR="002312BB">
        <w:t xml:space="preserve">. This is </w:t>
      </w:r>
      <w:r>
        <w:t xml:space="preserve">despite the fact that </w:t>
      </w:r>
      <w:r w:rsidR="00FB1839">
        <w:t xml:space="preserve">any </w:t>
      </w:r>
      <w:r>
        <w:t xml:space="preserve">such evidence </w:t>
      </w:r>
      <w:r w:rsidR="00FB1839">
        <w:t>would more likely be</w:t>
      </w:r>
      <w:r>
        <w:t xml:space="preserve"> within its remit and control. </w:t>
      </w:r>
      <w:r w:rsidR="00346A62">
        <w:t>China's case theory appears to be</w:t>
      </w:r>
      <w:r w:rsidR="00F338FC">
        <w:t xml:space="preserve"> </w:t>
      </w:r>
      <w:r w:rsidR="00346A62">
        <w:t xml:space="preserve">that the </w:t>
      </w:r>
      <w:r w:rsidR="00AE3741">
        <w:t>EU</w:t>
      </w:r>
      <w:r w:rsidR="00346A62">
        <w:t xml:space="preserve"> has simply</w:t>
      </w:r>
      <w:r>
        <w:t xml:space="preserve"> invent</w:t>
      </w:r>
      <w:r w:rsidR="00346A62">
        <w:t>ed</w:t>
      </w:r>
      <w:r>
        <w:t xml:space="preserve"> the measures at issue. China offers no explanation, for example, as to various absences or delays in correspondence identified by the </w:t>
      </w:r>
      <w:r w:rsidR="00AE3741">
        <w:t>EU.</w:t>
      </w:r>
      <w:r>
        <w:rPr>
          <w:rStyle w:val="FootnoteReference"/>
        </w:rPr>
        <w:footnoteReference w:id="20"/>
      </w:r>
      <w:r>
        <w:t xml:space="preserve"> </w:t>
      </w:r>
      <w:r w:rsidR="00AE3741">
        <w:t>N</w:t>
      </w:r>
      <w:r>
        <w:t xml:space="preserve">or why a cluster of import issues suddenly occurred at all. China also provides no </w:t>
      </w:r>
      <w:r w:rsidR="0032722C">
        <w:t xml:space="preserve">satisfactory </w:t>
      </w:r>
      <w:r>
        <w:t>answer as to why individual traders and service providers</w:t>
      </w:r>
      <w:r w:rsidR="00F338FC">
        <w:t>,</w:t>
      </w:r>
      <w:r>
        <w:t xml:space="preserve"> such as FedEx, perceived a general import issue. China </w:t>
      </w:r>
      <w:r w:rsidR="00346A62">
        <w:t>simply</w:t>
      </w:r>
      <w:r>
        <w:t xml:space="preserve"> </w:t>
      </w:r>
      <w:r w:rsidR="00905617">
        <w:lastRenderedPageBreak/>
        <w:t>suggests</w:t>
      </w:r>
      <w:r w:rsidR="00346A62">
        <w:t xml:space="preserve"> in rebuttal,</w:t>
      </w:r>
      <w:r>
        <w:t xml:space="preserve"> that the fact that traders took their own responsive actions, severs any causal link to the alleged measure.</w:t>
      </w:r>
      <w:r>
        <w:rPr>
          <w:rStyle w:val="FootnoteReference"/>
        </w:rPr>
        <w:footnoteReference w:id="21"/>
      </w:r>
    </w:p>
    <w:p w14:paraId="35E94564" w14:textId="1935BEBB" w:rsidR="008A408F" w:rsidRDefault="008A408F" w:rsidP="008A408F">
      <w:pPr>
        <w:pStyle w:val="P1-N1Paragraph1-Number1"/>
      </w:pPr>
      <w:r>
        <w:t xml:space="preserve">China speculates on the </w:t>
      </w:r>
      <w:r w:rsidRPr="00B25CB2">
        <w:rPr>
          <w:i/>
          <w:iCs/>
        </w:rPr>
        <w:t>possibility</w:t>
      </w:r>
      <w:r>
        <w:t xml:space="preserve"> of some alternative scenarios for various categories of evidence</w:t>
      </w:r>
      <w:r w:rsidR="002312BB">
        <w:t>. This includes:</w:t>
      </w:r>
      <w:r>
        <w:t xml:space="preserve"> the multiple steps of customs clearance "that can, in principle, contribute to delay";</w:t>
      </w:r>
      <w:r>
        <w:rPr>
          <w:rStyle w:val="FootnoteReference"/>
        </w:rPr>
        <w:footnoteReference w:id="22"/>
      </w:r>
      <w:r>
        <w:t xml:space="preserve"> pop-up messages which may occur for a "variety of reasons";</w:t>
      </w:r>
      <w:r>
        <w:rPr>
          <w:rStyle w:val="FootnoteReference"/>
        </w:rPr>
        <w:footnoteReference w:id="23"/>
      </w:r>
      <w:r>
        <w:t xml:space="preserve"> and the "many factors which might contribute to a delay at ports".</w:t>
      </w:r>
      <w:r>
        <w:rPr>
          <w:rStyle w:val="FootnoteReference"/>
        </w:rPr>
        <w:footnoteReference w:id="24"/>
      </w:r>
      <w:r>
        <w:t xml:space="preserve"> Yet China provides no concrete insight into such factors. At most, China makes vague references</w:t>
      </w:r>
      <w:r w:rsidR="002312BB">
        <w:t xml:space="preserve"> in its written submission,</w:t>
      </w:r>
      <w:r>
        <w:t xml:space="preserve"> to disruption due to the global pandemic</w:t>
      </w:r>
      <w:r w:rsidR="002312BB">
        <w:t>.</w:t>
      </w:r>
      <w:r>
        <w:rPr>
          <w:rStyle w:val="FootnoteReference"/>
        </w:rPr>
        <w:footnoteReference w:id="25"/>
      </w:r>
      <w:r>
        <w:t xml:space="preserve"> </w:t>
      </w:r>
      <w:r w:rsidR="002312BB">
        <w:t>Such disruption</w:t>
      </w:r>
      <w:r>
        <w:t xml:space="preserve"> would have inevitably confronted all countries. And while China is not obliged to offer any alternative theory, the absence of plausible explanation</w:t>
      </w:r>
      <w:r w:rsidR="001C4EB9">
        <w:t>s</w:t>
      </w:r>
      <w:r>
        <w:t xml:space="preserve"> is notable</w:t>
      </w:r>
      <w:r w:rsidR="001C4EB9">
        <w:t>,</w:t>
      </w:r>
      <w:r>
        <w:t xml:space="preserve"> given that </w:t>
      </w:r>
      <w:r w:rsidR="00FB1839">
        <w:t xml:space="preserve">any </w:t>
      </w:r>
      <w:r>
        <w:t xml:space="preserve">such information </w:t>
      </w:r>
      <w:r w:rsidR="00FB1839">
        <w:t>would more likely be</w:t>
      </w:r>
      <w:r>
        <w:t xml:space="preserve"> within China's purview. </w:t>
      </w:r>
    </w:p>
    <w:p w14:paraId="57787689" w14:textId="33CF1312" w:rsidR="00DA0544" w:rsidRPr="00FF37D7" w:rsidRDefault="00AE3741" w:rsidP="008A408F">
      <w:pPr>
        <w:pStyle w:val="P1-N1Paragraph1-Number1"/>
      </w:pPr>
      <w:r>
        <w:t>As a</w:t>
      </w:r>
      <w:r w:rsidR="00457E93" w:rsidRPr="00FF37D7">
        <w:t xml:space="preserve"> matter of logic, </w:t>
      </w:r>
      <w:r w:rsidR="008A408F" w:rsidRPr="004A17E8">
        <w:t>China</w:t>
      </w:r>
      <w:r>
        <w:t xml:space="preserve"> is</w:t>
      </w:r>
      <w:r w:rsidR="00D353B4" w:rsidRPr="00FF37D7">
        <w:t xml:space="preserve"> clearly </w:t>
      </w:r>
      <w:r w:rsidR="00285BB9" w:rsidRPr="00FF37D7">
        <w:t xml:space="preserve">better placed than the </w:t>
      </w:r>
      <w:r>
        <w:t>EU</w:t>
      </w:r>
      <w:r w:rsidR="00285BB9" w:rsidRPr="00FF37D7">
        <w:t>,</w:t>
      </w:r>
      <w:r w:rsidR="00D353B4" w:rsidRPr="00FF37D7">
        <w:t xml:space="preserve"> to shed light on </w:t>
      </w:r>
      <w:r w:rsidR="00285BB9" w:rsidRPr="00FF37D7">
        <w:t>China's</w:t>
      </w:r>
      <w:r w:rsidR="00D353B4" w:rsidRPr="00FF37D7">
        <w:t xml:space="preserve"> underlying intentions, objectives, actions and internal administration</w:t>
      </w:r>
      <w:r w:rsidR="008A408F" w:rsidRPr="004A17E8">
        <w:t xml:space="preserve">. </w:t>
      </w:r>
      <w:r w:rsidR="00285BB9" w:rsidRPr="00FF37D7">
        <w:t>As noted, China in</w:t>
      </w:r>
      <w:r w:rsidR="00CC3CCC" w:rsidRPr="00FF37D7">
        <w:t xml:space="preserve"> fact </w:t>
      </w:r>
      <w:r w:rsidR="00CC3CCC" w:rsidRPr="00FF37D7">
        <w:rPr>
          <w:i/>
          <w:iCs/>
        </w:rPr>
        <w:t xml:space="preserve">hints </w:t>
      </w:r>
      <w:r w:rsidR="00CC3CCC" w:rsidRPr="00FF37D7">
        <w:t xml:space="preserve">at alternative justifications for the </w:t>
      </w:r>
      <w:r w:rsidR="00285BB9" w:rsidRPr="00FF37D7">
        <w:t xml:space="preserve">various categories of </w:t>
      </w:r>
      <w:r w:rsidR="00CC3CCC" w:rsidRPr="00FF37D7">
        <w:t xml:space="preserve">evidence put forward by the </w:t>
      </w:r>
      <w:r>
        <w:t>EU</w:t>
      </w:r>
      <w:r w:rsidR="002312BB">
        <w:t>. But it does not provide</w:t>
      </w:r>
      <w:r w:rsidR="00CC3CCC" w:rsidRPr="00FF37D7">
        <w:t xml:space="preserve"> any concrete evidence of a</w:t>
      </w:r>
      <w:r w:rsidR="00B274EA">
        <w:t>n</w:t>
      </w:r>
      <w:r w:rsidR="00A10890">
        <w:t>y</w:t>
      </w:r>
      <w:r w:rsidR="00CC3CCC" w:rsidRPr="00FF37D7">
        <w:t xml:space="preserve"> alternative hypothes</w:t>
      </w:r>
      <w:r w:rsidR="002312BB">
        <w:t>e</w:t>
      </w:r>
      <w:r w:rsidR="00CC3CCC" w:rsidRPr="00FF37D7">
        <w:t>s</w:t>
      </w:r>
      <w:r w:rsidR="00E932CE" w:rsidRPr="00FF37D7">
        <w:t xml:space="preserve">. </w:t>
      </w:r>
      <w:r w:rsidR="00CC3CCC" w:rsidRPr="00FF37D7">
        <w:t xml:space="preserve">In Australia's view, these circumstances warrant the Panel exercising its authority to seek </w:t>
      </w:r>
      <w:r w:rsidR="0094537E" w:rsidRPr="00FF37D7">
        <w:t>further information from China</w:t>
      </w:r>
      <w:r w:rsidR="001C4EB9">
        <w:t>. This is because such enquiry may</w:t>
      </w:r>
      <w:r w:rsidR="00CC3CCC" w:rsidRPr="00FF37D7">
        <w:t xml:space="preserve"> </w:t>
      </w:r>
      <w:r w:rsidR="0094537E" w:rsidRPr="00FF37D7">
        <w:t>elucidate</w:t>
      </w:r>
      <w:r w:rsidR="00CC3CCC" w:rsidRPr="00FF37D7">
        <w:t xml:space="preserve"> its understanding of the</w:t>
      </w:r>
      <w:r w:rsidR="00DA0544" w:rsidRPr="00FF37D7">
        <w:t xml:space="preserve"> evidence </w:t>
      </w:r>
      <w:r w:rsidR="00285BB9" w:rsidRPr="00FF37D7">
        <w:t xml:space="preserve">- </w:t>
      </w:r>
      <w:r w:rsidR="00DA0544" w:rsidRPr="00FF37D7">
        <w:t>including the a</w:t>
      </w:r>
      <w:r w:rsidR="0094537E" w:rsidRPr="00FF37D7">
        <w:t>lternative hypotheses that China</w:t>
      </w:r>
      <w:r w:rsidR="00CC3CCC" w:rsidRPr="00FF37D7">
        <w:t xml:space="preserve"> </w:t>
      </w:r>
      <w:r w:rsidR="002312BB">
        <w:t>alludes to</w:t>
      </w:r>
      <w:r w:rsidR="00DA0544" w:rsidRPr="00FF37D7">
        <w:t xml:space="preserve">. </w:t>
      </w:r>
    </w:p>
    <w:p w14:paraId="4358B175" w14:textId="5479F186" w:rsidR="008B3AE5" w:rsidRPr="00C15360" w:rsidRDefault="00DA0544" w:rsidP="008A408F">
      <w:pPr>
        <w:pStyle w:val="P1-N1Paragraph1-Number1"/>
      </w:pPr>
      <w:r w:rsidRPr="00FF37D7">
        <w:t xml:space="preserve">The Panel is empowered to seek </w:t>
      </w:r>
      <w:r w:rsidR="00285BB9" w:rsidRPr="00FF37D7">
        <w:t>any</w:t>
      </w:r>
      <w:r w:rsidR="004A17E8">
        <w:t xml:space="preserve"> such</w:t>
      </w:r>
      <w:r w:rsidR="00285BB9" w:rsidRPr="00FF37D7">
        <w:t xml:space="preserve"> </w:t>
      </w:r>
      <w:r w:rsidRPr="00FF37D7">
        <w:t xml:space="preserve">additional information </w:t>
      </w:r>
      <w:r w:rsidRPr="00FF37D7">
        <w:rPr>
          <w:i/>
          <w:iCs/>
        </w:rPr>
        <w:t>prior</w:t>
      </w:r>
      <w:r w:rsidRPr="00FF37D7">
        <w:t xml:space="preserve"> to a complainant establishing its </w:t>
      </w:r>
      <w:r w:rsidRPr="00FF37D7">
        <w:rPr>
          <w:i/>
          <w:iCs/>
        </w:rPr>
        <w:t>prima facie</w:t>
      </w:r>
      <w:r w:rsidRPr="00FF37D7">
        <w:t xml:space="preserve"> case.</w:t>
      </w:r>
      <w:r w:rsidRPr="00FF37D7">
        <w:rPr>
          <w:rStyle w:val="FootnoteReference"/>
        </w:rPr>
        <w:footnoteReference w:id="26"/>
      </w:r>
      <w:r w:rsidR="00285BB9" w:rsidRPr="00FF37D7">
        <w:t xml:space="preserve"> </w:t>
      </w:r>
      <w:r w:rsidR="008B3AE5" w:rsidRPr="00FF37D7">
        <w:t xml:space="preserve">Australia agrees with Canada's written submission that a </w:t>
      </w:r>
      <w:r w:rsidR="001C75CF">
        <w:t>p</w:t>
      </w:r>
      <w:r w:rsidR="00285BB9" w:rsidRPr="00FF37D7">
        <w:t>anel</w:t>
      </w:r>
      <w:r w:rsidRPr="00FF37D7">
        <w:t xml:space="preserve"> need not be "frozen into inactivity"</w:t>
      </w:r>
      <w:r w:rsidR="00285BB9" w:rsidRPr="00FF37D7">
        <w:rPr>
          <w:rStyle w:val="FootnoteReference"/>
        </w:rPr>
        <w:footnoteReference w:id="27"/>
      </w:r>
      <w:r w:rsidRPr="00FF37D7">
        <w:t xml:space="preserve"> while the parties discharge their respective burdens of proof in turn</w:t>
      </w:r>
      <w:r w:rsidR="008B3AE5" w:rsidRPr="00FF37D7">
        <w:t>.</w:t>
      </w:r>
      <w:r w:rsidRPr="00FF37D7">
        <w:t xml:space="preserve"> </w:t>
      </w:r>
      <w:r w:rsidR="008B3AE5" w:rsidRPr="00FF37D7">
        <w:t>Indeed, a "primary task" of the Panel is to "help the parties resolve their dispute in a prompt and effective manner"</w:t>
      </w:r>
      <w:r w:rsidR="002312BB">
        <w:t>.</w:t>
      </w:r>
      <w:r w:rsidR="008B3AE5" w:rsidRPr="00FF37D7">
        <w:rPr>
          <w:rStyle w:val="FootnoteReference"/>
        </w:rPr>
        <w:footnoteReference w:id="28"/>
      </w:r>
      <w:r w:rsidR="008B3AE5" w:rsidRPr="00FF37D7">
        <w:t xml:space="preserve"> </w:t>
      </w:r>
      <w:r w:rsidR="002312BB">
        <w:t>I</w:t>
      </w:r>
      <w:r w:rsidR="008B3AE5" w:rsidRPr="00FF37D7">
        <w:t>t may take an active role in fulfilling th</w:t>
      </w:r>
      <w:r w:rsidR="002312BB">
        <w:t>at</w:t>
      </w:r>
      <w:r w:rsidR="008B3AE5" w:rsidRPr="00FF37D7">
        <w:t xml:space="preserve"> task. </w:t>
      </w:r>
      <w:r w:rsidR="008B3AE5" w:rsidRPr="004A17E8">
        <w:t xml:space="preserve">In Australia's view, the Panel is </w:t>
      </w:r>
      <w:r w:rsidR="00C15360" w:rsidRPr="004A17E8">
        <w:t xml:space="preserve">therefore </w:t>
      </w:r>
      <w:r w:rsidR="008B3AE5" w:rsidRPr="004A17E8">
        <w:t xml:space="preserve">entitled to seek further information </w:t>
      </w:r>
      <w:r w:rsidR="00C15360" w:rsidRPr="004A17E8">
        <w:t>which</w:t>
      </w:r>
      <w:r w:rsidR="00C15360">
        <w:t xml:space="preserve"> </w:t>
      </w:r>
      <w:r w:rsidR="00C15360">
        <w:lastRenderedPageBreak/>
        <w:t>will assist it to examine China's position and in doing so</w:t>
      </w:r>
      <w:r w:rsidR="001C4EB9">
        <w:t>,</w:t>
      </w:r>
      <w:r w:rsidR="008B3AE5">
        <w:t xml:space="preserve"> </w:t>
      </w:r>
      <w:r w:rsidR="00C15360">
        <w:t xml:space="preserve">to make findings relevant to the </w:t>
      </w:r>
      <w:r w:rsidR="00C15360" w:rsidRPr="00C15360">
        <w:t xml:space="preserve">complainant's </w:t>
      </w:r>
      <w:r w:rsidR="00C15360" w:rsidRPr="00C15360">
        <w:rPr>
          <w:i/>
          <w:iCs/>
        </w:rPr>
        <w:t xml:space="preserve">prima facie </w:t>
      </w:r>
      <w:r w:rsidR="00C15360" w:rsidRPr="00C15360">
        <w:t>case.</w:t>
      </w:r>
    </w:p>
    <w:p w14:paraId="7D7ADE3C" w14:textId="5ED93AD8" w:rsidR="004C119B" w:rsidRDefault="001C4EB9" w:rsidP="00C15360">
      <w:pPr>
        <w:pStyle w:val="P1-N1Paragraph1-Number1"/>
      </w:pPr>
      <w:r>
        <w:t xml:space="preserve">As a final point </w:t>
      </w:r>
      <w:r w:rsidR="00DE71BA">
        <w:t xml:space="preserve">on the </w:t>
      </w:r>
      <w:r>
        <w:t>burden of proof,</w:t>
      </w:r>
      <w:r w:rsidR="00C15360" w:rsidRPr="00C15360">
        <w:t xml:space="preserve"> Australia recalls</w:t>
      </w:r>
      <w:r w:rsidR="004C119B" w:rsidRPr="00FF37D7">
        <w:t xml:space="preserve"> "the requirement for collaboration of the parties in the presentation of the facts and evidence to the panel"</w:t>
      </w:r>
      <w:r>
        <w:t>.</w:t>
      </w:r>
      <w:r w:rsidR="004C119B" w:rsidRPr="00FF37D7">
        <w:rPr>
          <w:rStyle w:val="FootnoteReference"/>
        </w:rPr>
        <w:footnoteReference w:id="29"/>
      </w:r>
      <w:r w:rsidR="00C15360" w:rsidRPr="00FF37D7">
        <w:t xml:space="preserve"> </w:t>
      </w:r>
      <w:r w:rsidR="006E2EC7">
        <w:t>This</w:t>
      </w:r>
      <w:r w:rsidR="00C15360" w:rsidRPr="00FF37D7">
        <w:t xml:space="preserve"> is engaged </w:t>
      </w:r>
      <w:r w:rsidR="00C15360">
        <w:t xml:space="preserve">where the complainant has put forward </w:t>
      </w:r>
      <w:r w:rsidR="00C15360">
        <w:rPr>
          <w:i/>
          <w:iCs/>
        </w:rPr>
        <w:t xml:space="preserve">prima facie </w:t>
      </w:r>
      <w:r w:rsidR="00C15360">
        <w:t>evidence in support of its case.</w:t>
      </w:r>
      <w:r w:rsidR="00C15360">
        <w:rPr>
          <w:rStyle w:val="FootnoteReference"/>
        </w:rPr>
        <w:footnoteReference w:id="30"/>
      </w:r>
      <w:r w:rsidR="00C15360">
        <w:t xml:space="preserve"> </w:t>
      </w:r>
      <w:r w:rsidR="004C119B" w:rsidRPr="00FF37D7">
        <w:t xml:space="preserve">To quote the panel in </w:t>
      </w:r>
      <w:r w:rsidR="004C119B" w:rsidRPr="00FF37D7">
        <w:rPr>
          <w:i/>
          <w:iCs/>
        </w:rPr>
        <w:t>Argentina – Textiles and Apparel</w:t>
      </w:r>
      <w:r w:rsidR="004C119B" w:rsidRPr="00FF37D7">
        <w:t>:</w:t>
      </w:r>
    </w:p>
    <w:p w14:paraId="0F3D7737" w14:textId="20B9BA0A" w:rsidR="00C15360" w:rsidRDefault="00C15360" w:rsidP="00FF37D7">
      <w:pPr>
        <w:pStyle w:val="QQuotation"/>
      </w:pPr>
      <w:r w:rsidRPr="003F4AC3">
        <w:t xml:space="preserve">It is often said that the idea of peaceful settlement of disputes before international tribunals is largely based on the premise of co-operation of the litigating parties. In this context the most important result of </w:t>
      </w:r>
      <w:r w:rsidR="00C72BC5">
        <w:t>the</w:t>
      </w:r>
      <w:r w:rsidRPr="003F4AC3">
        <w:t xml:space="preserve"> rule of collaboration appears to be that the adversary is obligated to provide the tribunal with relevant documents which are in its sole possession.</w:t>
      </w:r>
      <w:r w:rsidRPr="003F4AC3">
        <w:rPr>
          <w:rStyle w:val="FootnoteReference"/>
        </w:rPr>
        <w:footnoteReference w:id="31"/>
      </w:r>
    </w:p>
    <w:p w14:paraId="04A7879D" w14:textId="48EB5897" w:rsidR="004C119B" w:rsidRDefault="007F4231" w:rsidP="004B2276">
      <w:pPr>
        <w:pStyle w:val="P1-N1Paragraph1-Number1"/>
      </w:pPr>
      <w:r>
        <w:t xml:space="preserve">This may inform </w:t>
      </w:r>
      <w:r w:rsidR="006870CE">
        <w:t xml:space="preserve">a </w:t>
      </w:r>
      <w:r>
        <w:t xml:space="preserve">panel's exercise of its fact-finding authority under DSU Article 13. </w:t>
      </w:r>
      <w:r w:rsidR="004A17E8">
        <w:t xml:space="preserve">If a party is </w:t>
      </w:r>
      <w:r w:rsidR="006870CE">
        <w:t xml:space="preserve">then </w:t>
      </w:r>
      <w:r w:rsidR="004A17E8">
        <w:t xml:space="preserve">unable or unwilling to provide such </w:t>
      </w:r>
      <w:r w:rsidR="00B274EA">
        <w:t xml:space="preserve">relevant </w:t>
      </w:r>
      <w:r w:rsidR="004A17E8">
        <w:t>information upon request, the Panel may take this into account in assessing the evidence on record</w:t>
      </w:r>
      <w:r w:rsidR="00110719">
        <w:t>,</w:t>
      </w:r>
      <w:r w:rsidR="004A17E8">
        <w:t xml:space="preserve"> and conclusions which should be drawn from it.</w:t>
      </w:r>
      <w:r>
        <w:rPr>
          <w:rStyle w:val="FootnoteReference"/>
        </w:rPr>
        <w:footnoteReference w:id="32"/>
      </w:r>
      <w:r w:rsidR="004A17E8">
        <w:t xml:space="preserve"> </w:t>
      </w:r>
    </w:p>
    <w:p w14:paraId="17091763" w14:textId="77777777" w:rsidR="008A408F" w:rsidRDefault="008A408F" w:rsidP="008A408F">
      <w:pPr>
        <w:pStyle w:val="HL1HeadingLevel1"/>
      </w:pPr>
      <w:bookmarkStart w:id="5" w:name="_Toc150960317"/>
      <w:bookmarkStart w:id="6" w:name="_Toc150961664"/>
      <w:bookmarkStart w:id="7" w:name="_Toc151019209"/>
      <w:bookmarkStart w:id="8" w:name="_Toc151728724"/>
      <w:bookmarkEnd w:id="5"/>
      <w:bookmarkEnd w:id="6"/>
      <w:bookmarkEnd w:id="7"/>
      <w:r>
        <w:t>"</w:t>
      </w:r>
      <w:r w:rsidRPr="00C72BC5">
        <w:t>Existence" of a measure under WTO rules</w:t>
      </w:r>
      <w:bookmarkEnd w:id="8"/>
    </w:p>
    <w:p w14:paraId="52D2F35A" w14:textId="02C6ED66" w:rsidR="008A408F" w:rsidRDefault="008A408F" w:rsidP="008A408F">
      <w:pPr>
        <w:pStyle w:val="P1-N1Paragraph1-Number1"/>
      </w:pPr>
      <w:r>
        <w:t xml:space="preserve">Australia </w:t>
      </w:r>
      <w:r w:rsidR="00B274EA">
        <w:t xml:space="preserve">also </w:t>
      </w:r>
      <w:r>
        <w:t xml:space="preserve">reiterates </w:t>
      </w:r>
      <w:r w:rsidR="00FB1839">
        <w:t>from its</w:t>
      </w:r>
      <w:r w:rsidR="005A2EED">
        <w:t xml:space="preserve"> written submission </w:t>
      </w:r>
      <w:r>
        <w:t xml:space="preserve">that </w:t>
      </w:r>
      <w:r w:rsidR="002C7221">
        <w:t xml:space="preserve">the concept of </w:t>
      </w:r>
      <w:r w:rsidR="005A2EED">
        <w:t xml:space="preserve">a </w:t>
      </w:r>
      <w:r w:rsidR="001C75CF">
        <w:t>"</w:t>
      </w:r>
      <w:r>
        <w:t>measure</w:t>
      </w:r>
      <w:r w:rsidR="001C75CF">
        <w:t>"</w:t>
      </w:r>
      <w:r>
        <w:t xml:space="preserve"> under WTO rules </w:t>
      </w:r>
      <w:r w:rsidR="005A2EED">
        <w:t xml:space="preserve">is </w:t>
      </w:r>
      <w:r>
        <w:t>broad</w:t>
      </w:r>
      <w:r w:rsidR="005A2EED">
        <w:t xml:space="preserve">. What can constitute a </w:t>
      </w:r>
      <w:r w:rsidR="001C75CF">
        <w:t>"</w:t>
      </w:r>
      <w:r w:rsidR="005A2EED">
        <w:t>measure</w:t>
      </w:r>
      <w:r w:rsidR="001C75CF">
        <w:t>"</w:t>
      </w:r>
      <w:r w:rsidR="005A2EED">
        <w:t xml:space="preserve"> does not need to fall into a </w:t>
      </w:r>
      <w:r w:rsidR="004B2276">
        <w:t>set</w:t>
      </w:r>
      <w:r w:rsidR="005A2EED">
        <w:t xml:space="preserve"> category.</w:t>
      </w:r>
      <w:r>
        <w:t xml:space="preserve"> </w:t>
      </w:r>
    </w:p>
    <w:p w14:paraId="49972ACE" w14:textId="5DADC764" w:rsidR="008B0542" w:rsidRDefault="008B0542" w:rsidP="008B0542">
      <w:pPr>
        <w:pStyle w:val="P1-N1Paragraph1-Number1"/>
      </w:pPr>
      <w:r>
        <w:t>A challengeable "measure" under WTO rules is not a device to restrict Members from bringing claims in good faith. Abusive or trade-restrictive conduct is not rendered "invisible" merely because it doesn't resemble the types of "measures" more typically considered by panel</w:t>
      </w:r>
      <w:r w:rsidR="00110719">
        <w:t>s.</w:t>
      </w:r>
      <w:r>
        <w:t xml:space="preserve"> </w:t>
      </w:r>
      <w:r w:rsidR="00110719">
        <w:t>Le</w:t>
      </w:r>
      <w:r>
        <w:t>t alone</w:t>
      </w:r>
      <w:r w:rsidR="00110719">
        <w:t>,</w:t>
      </w:r>
      <w:r>
        <w:t xml:space="preserve"> the improperly high test of an "unwritten measure" that China proposes. </w:t>
      </w:r>
    </w:p>
    <w:p w14:paraId="01CE9AFE" w14:textId="63D093CF" w:rsidR="008A408F" w:rsidRDefault="008A408F" w:rsidP="008A408F">
      <w:pPr>
        <w:pStyle w:val="P1-N1Paragraph1-Number1"/>
      </w:pPr>
      <w:r>
        <w:t xml:space="preserve">China </w:t>
      </w:r>
      <w:r w:rsidR="004B2276">
        <w:t>argues that the</w:t>
      </w:r>
      <w:r w:rsidR="00C83562">
        <w:t xml:space="preserve"> "import restriction" measure and the "overarching measure"</w:t>
      </w:r>
      <w:r w:rsidR="004B2276">
        <w:t xml:space="preserve"> </w:t>
      </w:r>
      <w:r>
        <w:t xml:space="preserve">simply don't exist, because the evidence doesn't satisfy the </w:t>
      </w:r>
      <w:r w:rsidR="0032722C">
        <w:t xml:space="preserve">artificially </w:t>
      </w:r>
      <w:r>
        <w:t xml:space="preserve">high standards that China presents. China effectively sets up a </w:t>
      </w:r>
      <w:r w:rsidRPr="004937CA">
        <w:t>"straw man"</w:t>
      </w:r>
      <w:r>
        <w:t xml:space="preserve"> through the </w:t>
      </w:r>
      <w:r w:rsidR="004937CA">
        <w:t xml:space="preserve">incorrect </w:t>
      </w:r>
      <w:r>
        <w:t xml:space="preserve">legal standards </w:t>
      </w:r>
      <w:r w:rsidR="004937CA">
        <w:lastRenderedPageBreak/>
        <w:t xml:space="preserve">that </w:t>
      </w:r>
      <w:r w:rsidR="003D6D30">
        <w:t xml:space="preserve">it </w:t>
      </w:r>
      <w:r w:rsidR="00C83562">
        <w:t xml:space="preserve">argues are </w:t>
      </w:r>
      <w:r>
        <w:t>applicable to an unwritten measure</w:t>
      </w:r>
      <w:r w:rsidR="004B2276">
        <w:t xml:space="preserve">. It then relies on </w:t>
      </w:r>
      <w:r>
        <w:t>that flawed framework to seek to prove that there are no measures.</w:t>
      </w:r>
    </w:p>
    <w:p w14:paraId="6E1CA6D6" w14:textId="2CB0E68F" w:rsidR="008A408F" w:rsidRDefault="008A408F" w:rsidP="008A408F">
      <w:pPr>
        <w:pStyle w:val="P1-N1Paragraph1-Number1"/>
      </w:pPr>
      <w:r>
        <w:t>Australia and other third parties have provided the Panel with extensive submissions which challenge China's supposed legal standards for these measures.</w:t>
      </w:r>
      <w:r w:rsidR="004B2276">
        <w:rPr>
          <w:rStyle w:val="FootnoteReference"/>
        </w:rPr>
        <w:footnoteReference w:id="33"/>
      </w:r>
      <w:r>
        <w:t xml:space="preserve"> There is simply no "high bar" for evidence, nor any need for "unwavering consistency" to establish the existence of an unwritten measure. </w:t>
      </w:r>
    </w:p>
    <w:p w14:paraId="1E11C763" w14:textId="1135AD97" w:rsidR="008A408F" w:rsidRDefault="008A408F" w:rsidP="008A408F">
      <w:pPr>
        <w:pStyle w:val="P1-N1Paragraph1-Number1"/>
      </w:pPr>
      <w:r>
        <w:t>To be clear, Australia is not arguing that a complainant is absolved from proving</w:t>
      </w:r>
      <w:r w:rsidR="00052B40">
        <w:t xml:space="preserve"> sufficiently,</w:t>
      </w:r>
      <w:r>
        <w:t xml:space="preserve"> the </w:t>
      </w:r>
      <w:r w:rsidR="009D230C">
        <w:t xml:space="preserve">existence of a </w:t>
      </w:r>
      <w:r>
        <w:t xml:space="preserve">measure that it challenges, merely because such measure is unwritten. A complainant is </w:t>
      </w:r>
      <w:r w:rsidRPr="005645BB">
        <w:rPr>
          <w:i/>
          <w:iCs/>
        </w:rPr>
        <w:t>always</w:t>
      </w:r>
      <w:r>
        <w:t xml:space="preserve"> required to establish its </w:t>
      </w:r>
      <w:r>
        <w:rPr>
          <w:i/>
          <w:iCs/>
        </w:rPr>
        <w:t>prima facie</w:t>
      </w:r>
      <w:r>
        <w:t xml:space="preserve"> case. But the concept of a "measure"</w:t>
      </w:r>
      <w:r w:rsidR="00361391">
        <w:t>, and its associated characteristics, must be interpreted and applied consistently with the "comprehensive nature of the right of Members to resort to [WTO] dispute settlement".</w:t>
      </w:r>
      <w:r w:rsidR="00361391">
        <w:rPr>
          <w:rStyle w:val="FootnoteReference"/>
        </w:rPr>
        <w:footnoteReference w:id="34"/>
      </w:r>
      <w:r w:rsidR="00361391">
        <w:t xml:space="preserve"> </w:t>
      </w:r>
      <w:r>
        <w:t xml:space="preserve"> </w:t>
      </w:r>
    </w:p>
    <w:p w14:paraId="242B377D" w14:textId="21941622" w:rsidR="00D52A17" w:rsidRDefault="007F5438" w:rsidP="008A408F">
      <w:pPr>
        <w:pStyle w:val="HL1HeadingLevel1"/>
      </w:pPr>
      <w:bookmarkStart w:id="9" w:name="_Toc150960319"/>
      <w:bookmarkStart w:id="10" w:name="_Toc150961666"/>
      <w:bookmarkStart w:id="11" w:name="_Toc151019211"/>
      <w:bookmarkStart w:id="12" w:name="_Toc150960320"/>
      <w:bookmarkStart w:id="13" w:name="_Toc150961667"/>
      <w:bookmarkStart w:id="14" w:name="_Toc151019212"/>
      <w:bookmarkStart w:id="15" w:name="_Toc151728725"/>
      <w:bookmarkEnd w:id="9"/>
      <w:bookmarkEnd w:id="10"/>
      <w:bookmarkEnd w:id="11"/>
      <w:bookmarkEnd w:id="12"/>
      <w:bookmarkEnd w:id="13"/>
      <w:bookmarkEnd w:id="14"/>
      <w:r>
        <w:t>Systemic implications</w:t>
      </w:r>
      <w:bookmarkEnd w:id="15"/>
      <w:r w:rsidR="00AE3741">
        <w:t xml:space="preserve"> </w:t>
      </w:r>
    </w:p>
    <w:p w14:paraId="33143C04" w14:textId="77777777" w:rsidR="00734ED3" w:rsidRDefault="00734ED3" w:rsidP="00734ED3">
      <w:pPr>
        <w:pStyle w:val="P1-N1Paragraph1-Number1"/>
      </w:pPr>
      <w:r>
        <w:t>I conclude with an observation on the important systemic implications which underpin this dispute.</w:t>
      </w:r>
    </w:p>
    <w:p w14:paraId="2A4F26B8" w14:textId="40578243" w:rsidR="00734ED3" w:rsidRDefault="00734ED3" w:rsidP="00734ED3">
      <w:pPr>
        <w:pStyle w:val="P1-N1Paragraph1-Number1"/>
      </w:pPr>
      <w:r>
        <w:t>As Australia has consistently said, Members</w:t>
      </w:r>
      <w:r w:rsidR="00904C7D">
        <w:t>'</w:t>
      </w:r>
      <w:r>
        <w:t xml:space="preserve"> compliance with the transparency obligations underpinning the WTO Agreements is fundamental to Members</w:t>
      </w:r>
      <w:r w:rsidR="00A10890">
        <w:t>'</w:t>
      </w:r>
      <w:r>
        <w:t xml:space="preserve"> confidence in the rules-based trading system. Unwritten or disguised trade-restrictive measures</w:t>
      </w:r>
      <w:r w:rsidRPr="00B47F1A">
        <w:t xml:space="preserve"> </w:t>
      </w:r>
      <w:r>
        <w:t>undermine confidence in the rules and, over time, can exacerbate non-compliance with those rules, eroding Members</w:t>
      </w:r>
      <w:r w:rsidR="00A10890">
        <w:t>'</w:t>
      </w:r>
      <w:r>
        <w:t xml:space="preserve"> confidence in the system as a whole. </w:t>
      </w:r>
    </w:p>
    <w:p w14:paraId="398D1C56" w14:textId="77777777" w:rsidR="00734ED3" w:rsidRDefault="00734ED3" w:rsidP="00734ED3">
      <w:pPr>
        <w:pStyle w:val="P1-N1Paragraph1-Number1"/>
      </w:pPr>
      <w:r>
        <w:t>Such measures are even more concerning if they are pursued in</w:t>
      </w:r>
      <w:r w:rsidRPr="005B5D15">
        <w:t xml:space="preserve"> an abusive, arbitrary or pretextual manner, in order to</w:t>
      </w:r>
      <w:r>
        <w:t xml:space="preserve"> </w:t>
      </w:r>
      <w:r w:rsidRPr="005B5D15">
        <w:t>pressure, induce or influence a foreign government into taking, or not taking, a decision or action in order to achieve a strategic political or policy objective.</w:t>
      </w:r>
      <w:r>
        <w:t xml:space="preserve">  Conduct of this nature undermines the predictability and stability of the trading environment for all Members and it must not be legitimised. </w:t>
      </w:r>
    </w:p>
    <w:p w14:paraId="7584F19F" w14:textId="39F5434C" w:rsidR="00734ED3" w:rsidRDefault="00734ED3" w:rsidP="00734ED3">
      <w:pPr>
        <w:pStyle w:val="P1-N1Paragraph1-Number1"/>
      </w:pPr>
      <w:r>
        <w:lastRenderedPageBreak/>
        <w:t xml:space="preserve">Australia notes that the conduct alleged by the EU has been </w:t>
      </w:r>
      <w:r w:rsidRPr="000D2BB4">
        <w:t>term</w:t>
      </w:r>
      <w:r>
        <w:t>ed</w:t>
      </w:r>
      <w:r w:rsidRPr="000D2BB4">
        <w:t xml:space="preserve"> "economic coercion" </w:t>
      </w:r>
      <w:r>
        <w:t>in some submissions in the course of this dispute.  The alleged behaviour the EU has described in its submissions has the features of conduct Australia has previously characterised as trade-related economic coercion.  As Australia has said, such conduct is inconsistent with fundamental WTO tenets of non-discrimination and the WTO's underlying objective to reduce barriers to trade.  We make this point to underscore the seriousness and systemic implications of this dispute, and the importance of addressing and deterring trade-related economic coercion wherever it arises.</w:t>
      </w:r>
    </w:p>
    <w:p w14:paraId="08364D90" w14:textId="3512B8F9" w:rsidR="00734ED3" w:rsidRDefault="00734ED3" w:rsidP="00734ED3">
      <w:pPr>
        <w:pStyle w:val="P1-N1Paragraph1-Number1"/>
      </w:pPr>
      <w:r>
        <w:t>Given the serious and systemic nature of the issues raised in this dispute, the Panel's reasoning and analysis has the potential to make an important contribution to bolstering Members' confidence and legitimate expectations that such conduct will be appropriately disciplined through the WTO dispute settlement system.</w:t>
      </w:r>
      <w:r w:rsidRPr="00142E24">
        <w:t xml:space="preserve"> </w:t>
      </w:r>
    </w:p>
    <w:p w14:paraId="4921EB52" w14:textId="7CBB1AE2" w:rsidR="00631564" w:rsidRPr="00631564" w:rsidRDefault="00734ED3" w:rsidP="00734ED3">
      <w:pPr>
        <w:pStyle w:val="P1-N1Paragraph1-Number1"/>
      </w:pPr>
      <w:r>
        <w:t>Australia thanks the Panel for its careful consideration of this matter.</w:t>
      </w:r>
    </w:p>
    <w:sectPr w:rsidR="00631564" w:rsidRPr="00631564" w:rsidSect="008F5B14">
      <w:headerReference w:type="default" r:id="rId7"/>
      <w:footerReference w:type="default" r:id="rId8"/>
      <w:headerReference w:type="first" r:id="rId9"/>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B546C" w14:textId="77777777" w:rsidR="003E251E" w:rsidRDefault="003E251E" w:rsidP="00006269">
      <w:pPr>
        <w:spacing w:after="0" w:line="240" w:lineRule="auto"/>
      </w:pPr>
      <w:r>
        <w:separator/>
      </w:r>
    </w:p>
  </w:endnote>
  <w:endnote w:type="continuationSeparator" w:id="0">
    <w:p w14:paraId="78D5E086" w14:textId="77777777" w:rsidR="003E251E" w:rsidRDefault="003E251E" w:rsidP="00006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6639" w14:textId="77777777" w:rsidR="006F45C7" w:rsidRDefault="006F45C7">
    <w:pPr>
      <w:pStyle w:val="Footer"/>
    </w:pPr>
    <w:r>
      <w:ptab w:relativeTo="margin" w:alignment="right" w:leader="none"/>
    </w:r>
    <w:r w:rsidRPr="00006269">
      <w:fldChar w:fldCharType="begin"/>
    </w:r>
    <w:r w:rsidRPr="00006269">
      <w:instrText xml:space="preserve"> PAGE   \* MERGEFORMAT </w:instrText>
    </w:r>
    <w:r w:rsidRPr="00006269">
      <w:fldChar w:fldCharType="separate"/>
    </w:r>
    <w:r w:rsidRPr="00006269">
      <w:rPr>
        <w:noProof/>
      </w:rPr>
      <w:t>1</w:t>
    </w:r>
    <w:r w:rsidRPr="000062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995B9" w14:textId="77777777" w:rsidR="003E251E" w:rsidRDefault="003E251E" w:rsidP="00006269">
      <w:pPr>
        <w:spacing w:after="0" w:line="240" w:lineRule="auto"/>
      </w:pPr>
      <w:r>
        <w:separator/>
      </w:r>
    </w:p>
  </w:footnote>
  <w:footnote w:type="continuationSeparator" w:id="0">
    <w:p w14:paraId="2EAAC7ED" w14:textId="77777777" w:rsidR="003E251E" w:rsidRDefault="003E251E" w:rsidP="00006269">
      <w:pPr>
        <w:spacing w:after="0" w:line="240" w:lineRule="auto"/>
      </w:pPr>
      <w:r>
        <w:continuationSeparator/>
      </w:r>
    </w:p>
  </w:footnote>
  <w:footnote w:id="1">
    <w:p w14:paraId="55CBEB1E" w14:textId="77777777" w:rsidR="006F45C7" w:rsidRDefault="006F45C7" w:rsidP="008A408F">
      <w:pPr>
        <w:pStyle w:val="FootnoteText"/>
      </w:pPr>
      <w:r>
        <w:rPr>
          <w:rStyle w:val="FootnoteReference"/>
        </w:rPr>
        <w:footnoteRef/>
      </w:r>
      <w:r>
        <w:t xml:space="preserve"> European Union's first written submission, para. 31 and Figure 1.</w:t>
      </w:r>
    </w:p>
  </w:footnote>
  <w:footnote w:id="2">
    <w:p w14:paraId="0B07BEDC" w14:textId="77777777" w:rsidR="006F45C7" w:rsidRDefault="006F45C7" w:rsidP="008A408F">
      <w:pPr>
        <w:pStyle w:val="FootnoteText"/>
      </w:pPr>
      <w:r>
        <w:rPr>
          <w:rStyle w:val="FootnoteReference"/>
        </w:rPr>
        <w:footnoteRef/>
      </w:r>
      <w:r>
        <w:t xml:space="preserve"> European Union's first written submission, para. 3.</w:t>
      </w:r>
    </w:p>
  </w:footnote>
  <w:footnote w:id="3">
    <w:p w14:paraId="4331B30C" w14:textId="77777777" w:rsidR="006F45C7" w:rsidRDefault="006F45C7" w:rsidP="008A408F">
      <w:pPr>
        <w:pStyle w:val="FootnoteText"/>
      </w:pPr>
      <w:r>
        <w:rPr>
          <w:rStyle w:val="FootnoteReference"/>
        </w:rPr>
        <w:footnoteRef/>
      </w:r>
      <w:r>
        <w:t xml:space="preserve"> China's first written submission, para. 2.</w:t>
      </w:r>
    </w:p>
  </w:footnote>
  <w:footnote w:id="4">
    <w:p w14:paraId="67781D9B" w14:textId="039BC039" w:rsidR="006355A2" w:rsidRDefault="006355A2">
      <w:pPr>
        <w:pStyle w:val="FootnoteText"/>
      </w:pPr>
      <w:r>
        <w:rPr>
          <w:rStyle w:val="FootnoteReference"/>
        </w:rPr>
        <w:footnoteRef/>
      </w:r>
      <w:r>
        <w:t xml:space="preserve"> China's first written submission, para. 4.</w:t>
      </w:r>
    </w:p>
  </w:footnote>
  <w:footnote w:id="5">
    <w:p w14:paraId="64AEA4E1" w14:textId="77777777" w:rsidR="006F45C7" w:rsidRDefault="006F45C7" w:rsidP="008A408F">
      <w:pPr>
        <w:pStyle w:val="FootnoteText"/>
      </w:pPr>
      <w:r>
        <w:rPr>
          <w:rStyle w:val="FootnoteReference"/>
        </w:rPr>
        <w:footnoteRef/>
      </w:r>
      <w:r>
        <w:t xml:space="preserve"> European Union's first written submission, para. 34 and Exhibit EU-4.</w:t>
      </w:r>
    </w:p>
  </w:footnote>
  <w:footnote w:id="6">
    <w:p w14:paraId="1AF83D8F" w14:textId="77777777" w:rsidR="006F45C7" w:rsidRDefault="006F45C7" w:rsidP="008A408F">
      <w:pPr>
        <w:pStyle w:val="FootnoteText"/>
      </w:pPr>
      <w:r>
        <w:rPr>
          <w:rStyle w:val="FootnoteReference"/>
        </w:rPr>
        <w:footnoteRef/>
      </w:r>
      <w:r>
        <w:t xml:space="preserve"> European Union's first written submission, para. 86 and Figure 2. See also, para. 66.</w:t>
      </w:r>
    </w:p>
  </w:footnote>
  <w:footnote w:id="7">
    <w:p w14:paraId="405E470E" w14:textId="77777777" w:rsidR="006F45C7" w:rsidRDefault="006F45C7" w:rsidP="008A408F">
      <w:pPr>
        <w:pStyle w:val="FootnoteText"/>
      </w:pPr>
      <w:r>
        <w:rPr>
          <w:rStyle w:val="FootnoteReference"/>
        </w:rPr>
        <w:footnoteRef/>
      </w:r>
      <w:r>
        <w:t xml:space="preserve"> European Union's first written submission, para. 71.</w:t>
      </w:r>
    </w:p>
  </w:footnote>
  <w:footnote w:id="8">
    <w:p w14:paraId="7BD8AF16" w14:textId="77777777" w:rsidR="006F45C7" w:rsidRDefault="006F45C7" w:rsidP="008A408F">
      <w:pPr>
        <w:pStyle w:val="FootnoteText"/>
      </w:pPr>
      <w:r>
        <w:rPr>
          <w:rStyle w:val="FootnoteReference"/>
        </w:rPr>
        <w:footnoteRef/>
      </w:r>
      <w:r>
        <w:t xml:space="preserve"> See graph at para. 69 of the European Union's first written submission.</w:t>
      </w:r>
    </w:p>
  </w:footnote>
  <w:footnote w:id="9">
    <w:p w14:paraId="42C1D860" w14:textId="77777777" w:rsidR="006F45C7" w:rsidRDefault="006F45C7" w:rsidP="008A408F">
      <w:pPr>
        <w:pStyle w:val="FootnoteText"/>
      </w:pPr>
      <w:r>
        <w:rPr>
          <w:rStyle w:val="FootnoteReference"/>
        </w:rPr>
        <w:footnoteRef/>
      </w:r>
      <w:r>
        <w:t xml:space="preserve"> European Union's first written submission, para. 54.</w:t>
      </w:r>
    </w:p>
  </w:footnote>
  <w:footnote w:id="10">
    <w:p w14:paraId="2196BE9B" w14:textId="77777777" w:rsidR="006F45C7" w:rsidRDefault="006F45C7" w:rsidP="008A408F">
      <w:pPr>
        <w:pStyle w:val="FootnoteText"/>
      </w:pPr>
      <w:r>
        <w:rPr>
          <w:rStyle w:val="FootnoteReference"/>
        </w:rPr>
        <w:footnoteRef/>
      </w:r>
      <w:r>
        <w:t xml:space="preserve"> European Union's first written submission, para. 7.</w:t>
      </w:r>
    </w:p>
  </w:footnote>
  <w:footnote w:id="11">
    <w:p w14:paraId="2F1B1115" w14:textId="77777777" w:rsidR="006F45C7" w:rsidRDefault="006F45C7" w:rsidP="008A408F">
      <w:pPr>
        <w:pStyle w:val="FootnoteText"/>
      </w:pPr>
      <w:r>
        <w:rPr>
          <w:rStyle w:val="FootnoteReference"/>
        </w:rPr>
        <w:footnoteRef/>
      </w:r>
      <w:r>
        <w:t xml:space="preserve"> European Union's first written submission, Para. 103 – 104.</w:t>
      </w:r>
    </w:p>
  </w:footnote>
  <w:footnote w:id="12">
    <w:p w14:paraId="3C6B2520" w14:textId="77777777" w:rsidR="006F45C7" w:rsidRDefault="006F45C7" w:rsidP="008A408F">
      <w:pPr>
        <w:pStyle w:val="FootnoteText"/>
      </w:pPr>
      <w:r>
        <w:rPr>
          <w:rStyle w:val="FootnoteReference"/>
        </w:rPr>
        <w:footnoteRef/>
      </w:r>
      <w:r>
        <w:t xml:space="preserve"> European Union's first written submission, para. 44 and Exhibit EU-12.</w:t>
      </w:r>
    </w:p>
  </w:footnote>
  <w:footnote w:id="13">
    <w:p w14:paraId="757C15F0" w14:textId="77777777" w:rsidR="006F45C7" w:rsidRDefault="006F45C7" w:rsidP="008A408F">
      <w:pPr>
        <w:pStyle w:val="FootnoteText"/>
      </w:pPr>
      <w:r>
        <w:rPr>
          <w:rStyle w:val="FootnoteReference"/>
        </w:rPr>
        <w:footnoteRef/>
      </w:r>
      <w:r>
        <w:t xml:space="preserve"> European Union's first written submission, para. 52 and Exhibit EU-18.</w:t>
      </w:r>
    </w:p>
  </w:footnote>
  <w:footnote w:id="14">
    <w:p w14:paraId="346285CF" w14:textId="1AA8377E" w:rsidR="006F45C7" w:rsidRDefault="006F45C7" w:rsidP="008A408F">
      <w:pPr>
        <w:pStyle w:val="FootnoteText"/>
      </w:pPr>
      <w:r>
        <w:rPr>
          <w:rStyle w:val="FootnoteReference"/>
        </w:rPr>
        <w:footnoteRef/>
      </w:r>
      <w:r>
        <w:t xml:space="preserve"> </w:t>
      </w:r>
      <w:r w:rsidR="00D03384">
        <w:t>European Union's first written submission, para. 52 and Exhibit EU-18.</w:t>
      </w:r>
    </w:p>
  </w:footnote>
  <w:footnote w:id="15">
    <w:p w14:paraId="42B42626" w14:textId="77777777" w:rsidR="006F45C7" w:rsidRDefault="006F45C7" w:rsidP="008A408F">
      <w:pPr>
        <w:pStyle w:val="FootnoteText"/>
      </w:pPr>
      <w:r>
        <w:rPr>
          <w:rStyle w:val="FootnoteReference"/>
        </w:rPr>
        <w:footnoteRef/>
      </w:r>
      <w:r>
        <w:t xml:space="preserve"> European Union's first written submission, para. 4.</w:t>
      </w:r>
    </w:p>
  </w:footnote>
  <w:footnote w:id="16">
    <w:p w14:paraId="14285261" w14:textId="77777777" w:rsidR="006F45C7" w:rsidRDefault="006F45C7" w:rsidP="008A408F">
      <w:pPr>
        <w:pStyle w:val="FootnoteText"/>
      </w:pPr>
      <w:r>
        <w:rPr>
          <w:rStyle w:val="FootnoteReference"/>
        </w:rPr>
        <w:footnoteRef/>
      </w:r>
      <w:r>
        <w:t xml:space="preserve"> European Union's first written submission, para. 5.</w:t>
      </w:r>
    </w:p>
  </w:footnote>
  <w:footnote w:id="17">
    <w:p w14:paraId="69ED0D28" w14:textId="77777777" w:rsidR="006F45C7" w:rsidRDefault="006F45C7" w:rsidP="008A408F">
      <w:pPr>
        <w:pStyle w:val="FootnoteText"/>
      </w:pPr>
      <w:r>
        <w:rPr>
          <w:rStyle w:val="FootnoteReference"/>
        </w:rPr>
        <w:footnoteRef/>
      </w:r>
      <w:r>
        <w:t xml:space="preserve"> China's first written submission, para. 4.</w:t>
      </w:r>
    </w:p>
  </w:footnote>
  <w:footnote w:id="18">
    <w:p w14:paraId="461EA108" w14:textId="77777777" w:rsidR="006F45C7" w:rsidRDefault="006F45C7" w:rsidP="008A408F">
      <w:pPr>
        <w:pStyle w:val="FootnoteText"/>
      </w:pPr>
      <w:r>
        <w:rPr>
          <w:rStyle w:val="FootnoteReference"/>
        </w:rPr>
        <w:footnoteRef/>
      </w:r>
      <w:r>
        <w:t xml:space="preserve"> China's first written submission, paras. 3 - 4.</w:t>
      </w:r>
    </w:p>
  </w:footnote>
  <w:footnote w:id="19">
    <w:p w14:paraId="20148028" w14:textId="77777777" w:rsidR="006F45C7" w:rsidRDefault="006F45C7" w:rsidP="008A408F">
      <w:pPr>
        <w:pStyle w:val="FootnoteText"/>
      </w:pPr>
      <w:r>
        <w:rPr>
          <w:rStyle w:val="FootnoteReference"/>
        </w:rPr>
        <w:footnoteRef/>
      </w:r>
      <w:r>
        <w:t xml:space="preserve"> See for example, the structure of China's arguments as set out in paras. 16 and 279 of its first written submission.</w:t>
      </w:r>
    </w:p>
  </w:footnote>
  <w:footnote w:id="20">
    <w:p w14:paraId="4D85469D" w14:textId="77777777" w:rsidR="006F45C7" w:rsidRDefault="006F45C7" w:rsidP="008A408F">
      <w:pPr>
        <w:pStyle w:val="FootnoteText"/>
      </w:pPr>
      <w:r>
        <w:rPr>
          <w:rStyle w:val="FootnoteReference"/>
        </w:rPr>
        <w:footnoteRef/>
      </w:r>
      <w:r>
        <w:t xml:space="preserve"> See for example, European Union's first written submission, paras. 104, 192. </w:t>
      </w:r>
    </w:p>
  </w:footnote>
  <w:footnote w:id="21">
    <w:p w14:paraId="0CF2C4D6" w14:textId="305EC164" w:rsidR="006F45C7" w:rsidRDefault="006F45C7" w:rsidP="008A408F">
      <w:pPr>
        <w:pStyle w:val="FootnoteText"/>
      </w:pPr>
      <w:r>
        <w:rPr>
          <w:rStyle w:val="FootnoteReference"/>
        </w:rPr>
        <w:footnoteRef/>
      </w:r>
      <w:r>
        <w:t xml:space="preserve"> China's first written submission, para. 9</w:t>
      </w:r>
      <w:r w:rsidR="00C72BC5">
        <w:t>3</w:t>
      </w:r>
      <w:r>
        <w:t>.</w:t>
      </w:r>
    </w:p>
  </w:footnote>
  <w:footnote w:id="22">
    <w:p w14:paraId="58760A60" w14:textId="77777777" w:rsidR="006F45C7" w:rsidRDefault="006F45C7" w:rsidP="008A408F">
      <w:pPr>
        <w:pStyle w:val="FootnoteText"/>
      </w:pPr>
      <w:r>
        <w:rPr>
          <w:rStyle w:val="FootnoteReference"/>
        </w:rPr>
        <w:footnoteRef/>
      </w:r>
      <w:r>
        <w:t xml:space="preserve"> China's first written submission, footnote 44.</w:t>
      </w:r>
    </w:p>
  </w:footnote>
  <w:footnote w:id="23">
    <w:p w14:paraId="4378ED66" w14:textId="77777777" w:rsidR="006F45C7" w:rsidRDefault="006F45C7" w:rsidP="008A408F">
      <w:pPr>
        <w:pStyle w:val="FootnoteText"/>
      </w:pPr>
      <w:r>
        <w:rPr>
          <w:rStyle w:val="FootnoteReference"/>
        </w:rPr>
        <w:footnoteRef/>
      </w:r>
      <w:r>
        <w:t xml:space="preserve"> China's first written submission, para. 44.</w:t>
      </w:r>
    </w:p>
  </w:footnote>
  <w:footnote w:id="24">
    <w:p w14:paraId="11384ACF" w14:textId="3E2DD832" w:rsidR="006F45C7" w:rsidRDefault="006F45C7" w:rsidP="008A408F">
      <w:pPr>
        <w:pStyle w:val="FootnoteText"/>
      </w:pPr>
      <w:r>
        <w:rPr>
          <w:rStyle w:val="FootnoteReference"/>
        </w:rPr>
        <w:footnoteRef/>
      </w:r>
      <w:r>
        <w:t xml:space="preserve"> China's first written submission, para. 5</w:t>
      </w:r>
      <w:r w:rsidR="00C72BC5">
        <w:t>4</w:t>
      </w:r>
      <w:r>
        <w:t>.</w:t>
      </w:r>
    </w:p>
  </w:footnote>
  <w:footnote w:id="25">
    <w:p w14:paraId="379A9821" w14:textId="77777777" w:rsidR="006F45C7" w:rsidRDefault="006F45C7" w:rsidP="008A408F">
      <w:pPr>
        <w:pStyle w:val="FootnoteText"/>
      </w:pPr>
      <w:r>
        <w:rPr>
          <w:rStyle w:val="FootnoteReference"/>
        </w:rPr>
        <w:footnoteRef/>
      </w:r>
      <w:r>
        <w:t xml:space="preserve"> See for example, China's first written submission, para. 55.</w:t>
      </w:r>
    </w:p>
  </w:footnote>
  <w:footnote w:id="26">
    <w:p w14:paraId="29C4B3D5" w14:textId="70E148B1" w:rsidR="00DA0544" w:rsidRDefault="00DA0544" w:rsidP="00DA0544">
      <w:pPr>
        <w:pStyle w:val="FootnoteText"/>
      </w:pPr>
      <w:r>
        <w:rPr>
          <w:rStyle w:val="FootnoteReference"/>
        </w:rPr>
        <w:footnoteRef/>
      </w:r>
      <w:r>
        <w:t xml:space="preserve"> </w:t>
      </w:r>
      <w:r w:rsidR="00C15360">
        <w:t xml:space="preserve">Panel Reports, </w:t>
      </w:r>
      <w:r w:rsidR="00C15360" w:rsidRPr="00FF37D7">
        <w:rPr>
          <w:i/>
          <w:iCs/>
        </w:rPr>
        <w:t>Thailand – H-Beams</w:t>
      </w:r>
      <w:r w:rsidR="00C15360">
        <w:t xml:space="preserve">, para. 7.50; </w:t>
      </w:r>
      <w:r w:rsidR="00C15360" w:rsidRPr="00FF37D7">
        <w:rPr>
          <w:i/>
          <w:iCs/>
        </w:rPr>
        <w:t>Argentina – Import Measures</w:t>
      </w:r>
      <w:r w:rsidR="00C15360">
        <w:t>, para. 6.59.</w:t>
      </w:r>
    </w:p>
  </w:footnote>
  <w:footnote w:id="27">
    <w:p w14:paraId="625883D3" w14:textId="7C8E8B7D" w:rsidR="00285BB9" w:rsidRPr="00285BB9" w:rsidRDefault="00285BB9">
      <w:pPr>
        <w:pStyle w:val="FootnoteText"/>
      </w:pPr>
      <w:r>
        <w:rPr>
          <w:rStyle w:val="FootnoteReference"/>
        </w:rPr>
        <w:footnoteRef/>
      </w:r>
      <w:r>
        <w:t xml:space="preserve"> Panel Report, </w:t>
      </w:r>
      <w:r>
        <w:rPr>
          <w:i/>
          <w:iCs/>
        </w:rPr>
        <w:t>Korea – Stainless Steel Bars</w:t>
      </w:r>
      <w:r>
        <w:t>, paras. 7.24 – 7.25 and footnotes therein.</w:t>
      </w:r>
    </w:p>
  </w:footnote>
  <w:footnote w:id="28">
    <w:p w14:paraId="0D7EEB50" w14:textId="42658A68" w:rsidR="008B3AE5" w:rsidRDefault="008B3AE5">
      <w:pPr>
        <w:pStyle w:val="FootnoteText"/>
      </w:pPr>
      <w:r>
        <w:rPr>
          <w:rStyle w:val="FootnoteReference"/>
        </w:rPr>
        <w:footnoteRef/>
      </w:r>
      <w:r>
        <w:t xml:space="preserve"> </w:t>
      </w:r>
      <w:r w:rsidR="00D03384">
        <w:t xml:space="preserve">Panel Report, </w:t>
      </w:r>
      <w:r w:rsidR="00D03384">
        <w:rPr>
          <w:i/>
          <w:iCs/>
        </w:rPr>
        <w:t>Korea – Stainless Steel Bars</w:t>
      </w:r>
      <w:r w:rsidR="00D03384">
        <w:t>, paras. 7.24 – 7.25.</w:t>
      </w:r>
    </w:p>
  </w:footnote>
  <w:footnote w:id="29">
    <w:p w14:paraId="21FDEAE7" w14:textId="12910C68" w:rsidR="004C119B" w:rsidRPr="00CB34EE" w:rsidRDefault="004C119B" w:rsidP="004C119B">
      <w:pPr>
        <w:pStyle w:val="FootnoteText"/>
      </w:pPr>
      <w:r>
        <w:rPr>
          <w:rStyle w:val="FootnoteReference"/>
        </w:rPr>
        <w:footnoteRef/>
      </w:r>
      <w:r>
        <w:t xml:space="preserve"> Panel Report</w:t>
      </w:r>
      <w:r w:rsidR="00600903">
        <w:t>s</w:t>
      </w:r>
      <w:r>
        <w:t xml:space="preserve">, </w:t>
      </w:r>
      <w:r>
        <w:rPr>
          <w:i/>
          <w:iCs/>
        </w:rPr>
        <w:t>Argentina – Textiles and Apparel</w:t>
      </w:r>
      <w:r>
        <w:t>, para. 6.40. The Panel's reasoning in this paragraph was not considered on appeal, although the Appellate Body upheld the Panel's examination of the evidence under Article 11 of the DSU on different grounds.</w:t>
      </w:r>
    </w:p>
  </w:footnote>
  <w:footnote w:id="30">
    <w:p w14:paraId="09D18C2E" w14:textId="4C7B8302" w:rsidR="00C15360" w:rsidRDefault="00C15360">
      <w:pPr>
        <w:pStyle w:val="FootnoteText"/>
      </w:pPr>
      <w:r>
        <w:rPr>
          <w:rStyle w:val="FootnoteReference"/>
        </w:rPr>
        <w:footnoteRef/>
      </w:r>
      <w:r>
        <w:t xml:space="preserve"> </w:t>
      </w:r>
      <w:r w:rsidR="00D03384">
        <w:t xml:space="preserve">Panel Reports, </w:t>
      </w:r>
      <w:r w:rsidR="00D03384">
        <w:rPr>
          <w:i/>
          <w:iCs/>
        </w:rPr>
        <w:t>Argentina – Textiles and Apparel</w:t>
      </w:r>
      <w:r w:rsidR="00D03384">
        <w:t>, para. 6.40.</w:t>
      </w:r>
    </w:p>
  </w:footnote>
  <w:footnote w:id="31">
    <w:p w14:paraId="21A07232" w14:textId="395DCBA7" w:rsidR="00C15360" w:rsidRDefault="00C15360" w:rsidP="00C15360">
      <w:pPr>
        <w:pStyle w:val="FootnoteText"/>
      </w:pPr>
      <w:r>
        <w:rPr>
          <w:rStyle w:val="FootnoteReference"/>
        </w:rPr>
        <w:footnoteRef/>
      </w:r>
      <w:r>
        <w:t xml:space="preserve"> </w:t>
      </w:r>
      <w:r w:rsidR="00D03384">
        <w:t xml:space="preserve">Panel Reports, </w:t>
      </w:r>
      <w:r w:rsidR="00D03384">
        <w:rPr>
          <w:i/>
          <w:iCs/>
        </w:rPr>
        <w:t>Argentina – Textiles and Apparel</w:t>
      </w:r>
      <w:r w:rsidR="00D03384">
        <w:t>, para. 6.40.</w:t>
      </w:r>
    </w:p>
  </w:footnote>
  <w:footnote w:id="32">
    <w:p w14:paraId="0F6F767F" w14:textId="05FBBD27" w:rsidR="007F4231" w:rsidRPr="007F4231" w:rsidRDefault="007F4231">
      <w:pPr>
        <w:pStyle w:val="FootnoteText"/>
      </w:pPr>
      <w:r>
        <w:rPr>
          <w:rStyle w:val="FootnoteReference"/>
        </w:rPr>
        <w:footnoteRef/>
      </w:r>
      <w:r>
        <w:t xml:space="preserve"> Appellate Body Report, </w:t>
      </w:r>
      <w:r>
        <w:rPr>
          <w:i/>
          <w:iCs/>
        </w:rPr>
        <w:t>US – Wheat Gluten</w:t>
      </w:r>
      <w:r>
        <w:t>, para. 174.</w:t>
      </w:r>
    </w:p>
  </w:footnote>
  <w:footnote w:id="33">
    <w:p w14:paraId="1989BB1E" w14:textId="7AC9E08A" w:rsidR="004B2276" w:rsidRDefault="004B2276">
      <w:pPr>
        <w:pStyle w:val="FootnoteText"/>
      </w:pPr>
      <w:r>
        <w:rPr>
          <w:rStyle w:val="FootnoteReference"/>
        </w:rPr>
        <w:footnoteRef/>
      </w:r>
      <w:r>
        <w:t xml:space="preserve"> See</w:t>
      </w:r>
      <w:r w:rsidR="009B2C75">
        <w:t xml:space="preserve"> in particular, the third party written submissions of Australia, </w:t>
      </w:r>
      <w:r>
        <w:t>paras. 20 – 29</w:t>
      </w:r>
      <w:r w:rsidR="00C8481C">
        <w:t>; Canada</w:t>
      </w:r>
      <w:r w:rsidR="009B2C75">
        <w:t xml:space="preserve">, </w:t>
      </w:r>
      <w:r w:rsidR="00C8481C">
        <w:t xml:space="preserve">paras. 28 </w:t>
      </w:r>
      <w:r w:rsidR="009B2C75">
        <w:t>–</w:t>
      </w:r>
      <w:r w:rsidR="00C8481C">
        <w:t xml:space="preserve"> 29</w:t>
      </w:r>
      <w:r w:rsidR="009B2C75">
        <w:t xml:space="preserve">; Switzerland, paras. 10 – 11; United Kingdom, paras. 16 – 18; and United States, paras. </w:t>
      </w:r>
      <w:r w:rsidR="00052B40">
        <w:t>5 – 8.</w:t>
      </w:r>
    </w:p>
  </w:footnote>
  <w:footnote w:id="34">
    <w:p w14:paraId="591BA856" w14:textId="5D0C44B1" w:rsidR="00361391" w:rsidRPr="00361391" w:rsidRDefault="00361391">
      <w:pPr>
        <w:pStyle w:val="FootnoteText"/>
      </w:pPr>
      <w:r>
        <w:rPr>
          <w:rStyle w:val="FootnoteReference"/>
        </w:rPr>
        <w:footnoteRef/>
      </w:r>
      <w:r>
        <w:t xml:space="preserve"> Appellate Body Report, </w:t>
      </w:r>
      <w:r>
        <w:rPr>
          <w:i/>
          <w:iCs/>
        </w:rPr>
        <w:t>US – Corrosion-Resistant Steel Sunset Review</w:t>
      </w:r>
      <w:r>
        <w:t>, para. 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FE9C" w14:textId="1E5483BD" w:rsidR="006F45C7" w:rsidRDefault="006F45C7">
    <w:pPr>
      <w:pStyle w:val="Header"/>
    </w:pPr>
    <w:r>
      <w:rPr>
        <w:i/>
        <w:iCs/>
      </w:rPr>
      <w:t>China – Measures Concerning Trade in Goods</w:t>
    </w:r>
    <w:r>
      <w:ptab w:relativeTo="margin" w:alignment="right" w:leader="none"/>
    </w:r>
    <w:r>
      <w:t>Third Party Oral Statement of Australia</w:t>
    </w:r>
  </w:p>
  <w:p w14:paraId="1BC753A2" w14:textId="3C9B2830" w:rsidR="006F45C7" w:rsidRDefault="006F45C7">
    <w:pPr>
      <w:pStyle w:val="Header"/>
    </w:pPr>
    <w:r>
      <w:t>(DS610)</w:t>
    </w:r>
    <w:r>
      <w:ptab w:relativeTo="margin" w:alignment="right" w:leader="none"/>
    </w:r>
    <w:r w:rsidR="00E6270E">
      <w:fldChar w:fldCharType="begin"/>
    </w:r>
    <w:r w:rsidR="00E6270E">
      <w:instrText xml:space="preserve"> STYLEREF  "[DD] Document Date"  \* MERGEFORMAT </w:instrText>
    </w:r>
    <w:r w:rsidR="00E6270E">
      <w:fldChar w:fldCharType="separate"/>
    </w:r>
    <w:r w:rsidR="00E6270E">
      <w:rPr>
        <w:noProof/>
      </w:rPr>
      <w:t>28 November 2023</w:t>
    </w:r>
    <w:r w:rsidR="00E6270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CEFB" w14:textId="35AE9B48" w:rsidR="006F45C7" w:rsidRPr="00D43B32" w:rsidRDefault="003E609E" w:rsidP="00D43B32">
    <w:pPr>
      <w:pStyle w:val="Header"/>
      <w:jc w:val="right"/>
      <w:rPr>
        <w:b/>
        <w:bCs/>
        <w:i/>
        <w:iCs/>
      </w:rPr>
    </w:pPr>
    <w:r>
      <w:rPr>
        <w:b/>
        <w:bCs/>
        <w:i/>
        <w:iCs/>
      </w:rPr>
      <w:t>As delivered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259A"/>
    <w:multiLevelType w:val="hybridMultilevel"/>
    <w:tmpl w:val="C0784592"/>
    <w:lvl w:ilvl="0" w:tplc="AE1A8D56">
      <w:start w:val="1"/>
      <w:numFmt w:val="decimal"/>
      <w:pStyle w:val="FCFigureCaption"/>
      <w:lvlText w:val="Figure %1"/>
      <w:lvlJc w:val="left"/>
      <w:pPr>
        <w:tabs>
          <w:tab w:val="num" w:pos="1134"/>
        </w:tabs>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A4596"/>
    <w:multiLevelType w:val="multilevel"/>
    <w:tmpl w:val="3EF6F766"/>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1702"/>
        </w:tabs>
        <w:ind w:left="1702" w:hanging="851"/>
      </w:pPr>
      <w:rPr>
        <w:rFonts w:hint="default"/>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2" w15:restartNumberingAfterBreak="0">
    <w:nsid w:val="28243105"/>
    <w:multiLevelType w:val="hybridMultilevel"/>
    <w:tmpl w:val="2FDED110"/>
    <w:lvl w:ilvl="0" w:tplc="CC0EB248">
      <w:start w:val="1"/>
      <w:numFmt w:val="decimal"/>
      <w:pStyle w:val="P1-N1Paragraph1-Number1"/>
      <w:lvlText w:val="%1."/>
      <w:lvlJc w:val="left"/>
      <w:pPr>
        <w:tabs>
          <w:tab w:val="num" w:pos="851"/>
        </w:tabs>
        <w:ind w:left="0" w:firstLine="0"/>
      </w:pPr>
      <w:rPr>
        <w:rFonts w:asciiTheme="minorHAnsi" w:hAnsiTheme="minorHAnsi" w:cstheme="minorHAnsi" w:hint="default"/>
      </w:rPr>
    </w:lvl>
    <w:lvl w:ilvl="1" w:tplc="35D2146C">
      <w:start w:val="1"/>
      <w:numFmt w:val="bullet"/>
      <w:pStyle w:val="P2-B1Paragraph2-Bullet1"/>
      <w:lvlText w:val=""/>
      <w:lvlJc w:val="left"/>
      <w:pPr>
        <w:tabs>
          <w:tab w:val="num" w:pos="1701"/>
        </w:tabs>
        <w:ind w:left="1701" w:hanging="850"/>
      </w:pPr>
      <w:rPr>
        <w:rFonts w:ascii="Symbol" w:hAnsi="Symbol" w:hint="default"/>
      </w:r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3" w15:restartNumberingAfterBreak="0">
    <w:nsid w:val="595D1099"/>
    <w:multiLevelType w:val="multilevel"/>
    <w:tmpl w:val="79A4006C"/>
    <w:lvl w:ilvl="0">
      <w:start w:val="1"/>
      <w:numFmt w:val="upperLetter"/>
      <w:pStyle w:val="AHL1AnnexHeadingLevel1"/>
      <w:lvlText w:val="ANNEX %1"/>
      <w:lvlJc w:val="left"/>
      <w:pPr>
        <w:tabs>
          <w:tab w:val="num" w:pos="1418"/>
        </w:tabs>
        <w:ind w:left="1418" w:hanging="1418"/>
      </w:pPr>
      <w:rPr>
        <w:rFonts w:hint="default"/>
      </w:rPr>
    </w:lvl>
    <w:lvl w:ilvl="1">
      <w:start w:val="1"/>
      <w:numFmt w:val="decimal"/>
      <w:pStyle w:val="AHL2AnnexHeadingLevel2"/>
      <w:lvlText w:val="%1.%2"/>
      <w:lvlJc w:val="left"/>
      <w:pPr>
        <w:tabs>
          <w:tab w:val="num" w:pos="851"/>
        </w:tabs>
        <w:ind w:left="851" w:hanging="851"/>
      </w:pPr>
      <w:rPr>
        <w:rFonts w:hint="default"/>
      </w:rPr>
    </w:lvl>
    <w:lvl w:ilvl="2">
      <w:start w:val="1"/>
      <w:numFmt w:val="decimal"/>
      <w:pStyle w:val="AHL3AnnexHeadingLevel3"/>
      <w:lvlText w:val="%1.%2.%3"/>
      <w:lvlJc w:val="left"/>
      <w:pPr>
        <w:tabs>
          <w:tab w:val="num" w:pos="1701"/>
        </w:tabs>
        <w:ind w:left="1701" w:hanging="850"/>
      </w:pPr>
      <w:rPr>
        <w:rFonts w:hint="default"/>
      </w:rPr>
    </w:lvl>
    <w:lvl w:ilvl="3">
      <w:start w:val="1"/>
      <w:numFmt w:val="decimal"/>
      <w:pStyle w:val="AHL4AnnexHeadingLevel4"/>
      <w:lvlText w:val="%1.%2.%3.%4"/>
      <w:lvlJc w:val="left"/>
      <w:pPr>
        <w:tabs>
          <w:tab w:val="num" w:pos="2835"/>
        </w:tabs>
        <w:ind w:left="2835" w:hanging="1134"/>
      </w:pPr>
      <w:rPr>
        <w:rFonts w:hint="default"/>
        <w:u w:val="single"/>
      </w:rPr>
    </w:lvl>
    <w:lvl w:ilvl="4">
      <w:start w:val="1"/>
      <w:numFmt w:val="none"/>
      <w:pStyle w:val="AHL5AnnexHeadingLevel5"/>
      <w:lvlText w:val=""/>
      <w:lvlJc w:val="left"/>
      <w:pPr>
        <w:ind w:left="2552" w:firstLine="0"/>
      </w:pPr>
      <w:rPr>
        <w:rFonts w:hint="default"/>
      </w:rPr>
    </w:lvl>
    <w:lvl w:ilvl="5">
      <w:start w:val="1"/>
      <w:numFmt w:val="none"/>
      <w:pStyle w:val="AHL6AnnexHeadingLevel6"/>
      <w:lvlText w:val=""/>
      <w:lvlJc w:val="left"/>
      <w:pPr>
        <w:ind w:left="3402" w:firstLine="0"/>
      </w:pPr>
      <w:rPr>
        <w:rFonts w:hint="default"/>
      </w:rPr>
    </w:lvl>
    <w:lvl w:ilvl="6">
      <w:start w:val="1"/>
      <w:numFmt w:val="none"/>
      <w:pStyle w:val="AHL7AnnexHeadingLevel7"/>
      <w:lvlText w:val=""/>
      <w:lvlJc w:val="left"/>
      <w:pPr>
        <w:ind w:left="4253" w:firstLine="0"/>
      </w:pPr>
      <w:rPr>
        <w:rFonts w:hint="default"/>
      </w:rPr>
    </w:lvl>
    <w:lvl w:ilvl="7">
      <w:start w:val="1"/>
      <w:numFmt w:val="none"/>
      <w:pStyle w:val="AHL8AnnexHeadingLevel8"/>
      <w:lvlText w:val=""/>
      <w:lvlJc w:val="left"/>
      <w:pPr>
        <w:ind w:left="5103" w:firstLine="0"/>
      </w:pPr>
      <w:rPr>
        <w:rFonts w:hint="default"/>
      </w:rPr>
    </w:lvl>
    <w:lvl w:ilvl="8">
      <w:start w:val="1"/>
      <w:numFmt w:val="none"/>
      <w:pStyle w:val="AHL9AnnexHeadingLevel9"/>
      <w:lvlText w:val=""/>
      <w:lvlJc w:val="left"/>
      <w:pPr>
        <w:ind w:left="5954" w:firstLine="0"/>
      </w:pPr>
      <w:rPr>
        <w:rFonts w:hint="default"/>
      </w:rPr>
    </w:lvl>
  </w:abstractNum>
  <w:abstractNum w:abstractNumId="4" w15:restartNumberingAfterBreak="0">
    <w:nsid w:val="67CE0D86"/>
    <w:multiLevelType w:val="hybridMultilevel"/>
    <w:tmpl w:val="48F8E010"/>
    <w:lvl w:ilvl="0" w:tplc="15ACE29E">
      <w:start w:val="1"/>
      <w:numFmt w:val="decimal"/>
      <w:pStyle w:val="TCTableCaption"/>
      <w:lvlText w:val="Table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13A0B57"/>
    <w:multiLevelType w:val="hybridMultilevel"/>
    <w:tmpl w:val="683E8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360361">
    <w:abstractNumId w:val="2"/>
  </w:num>
  <w:num w:numId="2" w16cid:durableId="1239443616">
    <w:abstractNumId w:val="1"/>
  </w:num>
  <w:num w:numId="3" w16cid:durableId="1342779155">
    <w:abstractNumId w:val="2"/>
    <w:lvlOverride w:ilvl="0">
      <w:startOverride w:val="1"/>
    </w:lvlOverride>
  </w:num>
  <w:num w:numId="4" w16cid:durableId="400716894">
    <w:abstractNumId w:val="0"/>
  </w:num>
  <w:num w:numId="5" w16cid:durableId="216746470">
    <w:abstractNumId w:val="4"/>
  </w:num>
  <w:num w:numId="6" w16cid:durableId="1464233459">
    <w:abstractNumId w:val="3"/>
  </w:num>
  <w:num w:numId="7" w16cid:durableId="288629435">
    <w:abstractNumId w:val="3"/>
  </w:num>
  <w:num w:numId="8" w16cid:durableId="13463086">
    <w:abstractNumId w:val="5"/>
  </w:num>
  <w:num w:numId="9" w16cid:durableId="1147431899">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A7A"/>
    <w:rsid w:val="000005AE"/>
    <w:rsid w:val="00004009"/>
    <w:rsid w:val="00006269"/>
    <w:rsid w:val="000066D8"/>
    <w:rsid w:val="00013F6E"/>
    <w:rsid w:val="00023C47"/>
    <w:rsid w:val="00024277"/>
    <w:rsid w:val="00024310"/>
    <w:rsid w:val="00025483"/>
    <w:rsid w:val="000264C6"/>
    <w:rsid w:val="00030A32"/>
    <w:rsid w:val="00031577"/>
    <w:rsid w:val="00034187"/>
    <w:rsid w:val="00034A65"/>
    <w:rsid w:val="00040482"/>
    <w:rsid w:val="00040D31"/>
    <w:rsid w:val="00044138"/>
    <w:rsid w:val="000453F8"/>
    <w:rsid w:val="00046BAF"/>
    <w:rsid w:val="00052B40"/>
    <w:rsid w:val="000662B0"/>
    <w:rsid w:val="000716BD"/>
    <w:rsid w:val="0007327B"/>
    <w:rsid w:val="00074965"/>
    <w:rsid w:val="00080AD0"/>
    <w:rsid w:val="00081602"/>
    <w:rsid w:val="00082549"/>
    <w:rsid w:val="00092452"/>
    <w:rsid w:val="00093175"/>
    <w:rsid w:val="000950D2"/>
    <w:rsid w:val="00095D1C"/>
    <w:rsid w:val="000A0FA4"/>
    <w:rsid w:val="000A4AE7"/>
    <w:rsid w:val="000A7866"/>
    <w:rsid w:val="000C14F5"/>
    <w:rsid w:val="000C69EE"/>
    <w:rsid w:val="000E4C65"/>
    <w:rsid w:val="000F4477"/>
    <w:rsid w:val="001006B8"/>
    <w:rsid w:val="00110719"/>
    <w:rsid w:val="00114812"/>
    <w:rsid w:val="0011547E"/>
    <w:rsid w:val="001212C0"/>
    <w:rsid w:val="0012151F"/>
    <w:rsid w:val="00122DDF"/>
    <w:rsid w:val="00127FBB"/>
    <w:rsid w:val="00142D8B"/>
    <w:rsid w:val="001570CB"/>
    <w:rsid w:val="00165108"/>
    <w:rsid w:val="0017192E"/>
    <w:rsid w:val="00180F56"/>
    <w:rsid w:val="00182727"/>
    <w:rsid w:val="001A3CEA"/>
    <w:rsid w:val="001A41B7"/>
    <w:rsid w:val="001A722E"/>
    <w:rsid w:val="001C4EB9"/>
    <w:rsid w:val="001C75CF"/>
    <w:rsid w:val="001C7E33"/>
    <w:rsid w:val="001E27A5"/>
    <w:rsid w:val="001F46B7"/>
    <w:rsid w:val="002070FA"/>
    <w:rsid w:val="002074D5"/>
    <w:rsid w:val="0021011F"/>
    <w:rsid w:val="00212CBA"/>
    <w:rsid w:val="00223CDC"/>
    <w:rsid w:val="00230197"/>
    <w:rsid w:val="00230749"/>
    <w:rsid w:val="002312BB"/>
    <w:rsid w:val="0023272D"/>
    <w:rsid w:val="00240054"/>
    <w:rsid w:val="00245FA1"/>
    <w:rsid w:val="0025000A"/>
    <w:rsid w:val="00257E1D"/>
    <w:rsid w:val="002603E6"/>
    <w:rsid w:val="0026128E"/>
    <w:rsid w:val="00264EA4"/>
    <w:rsid w:val="00267FE4"/>
    <w:rsid w:val="002774D9"/>
    <w:rsid w:val="00283DB2"/>
    <w:rsid w:val="00285BB9"/>
    <w:rsid w:val="00292554"/>
    <w:rsid w:val="002B1654"/>
    <w:rsid w:val="002B1EE0"/>
    <w:rsid w:val="002B2157"/>
    <w:rsid w:val="002B4A77"/>
    <w:rsid w:val="002C7221"/>
    <w:rsid w:val="002D4AB3"/>
    <w:rsid w:val="002E3A7A"/>
    <w:rsid w:val="002F1025"/>
    <w:rsid w:val="002F433F"/>
    <w:rsid w:val="003005A3"/>
    <w:rsid w:val="003012E9"/>
    <w:rsid w:val="00301483"/>
    <w:rsid w:val="0031054B"/>
    <w:rsid w:val="00317B7D"/>
    <w:rsid w:val="00323D58"/>
    <w:rsid w:val="0032722C"/>
    <w:rsid w:val="00330582"/>
    <w:rsid w:val="0034182B"/>
    <w:rsid w:val="00343C7D"/>
    <w:rsid w:val="00344876"/>
    <w:rsid w:val="00346A62"/>
    <w:rsid w:val="00354A06"/>
    <w:rsid w:val="003551E6"/>
    <w:rsid w:val="00355394"/>
    <w:rsid w:val="00361391"/>
    <w:rsid w:val="00380306"/>
    <w:rsid w:val="00380454"/>
    <w:rsid w:val="00380795"/>
    <w:rsid w:val="00396B82"/>
    <w:rsid w:val="003A10EE"/>
    <w:rsid w:val="003A26CB"/>
    <w:rsid w:val="003A3FC8"/>
    <w:rsid w:val="003A56A4"/>
    <w:rsid w:val="003A5EE8"/>
    <w:rsid w:val="003B0F81"/>
    <w:rsid w:val="003D6D30"/>
    <w:rsid w:val="003E251E"/>
    <w:rsid w:val="003E572A"/>
    <w:rsid w:val="003E609E"/>
    <w:rsid w:val="003F2C72"/>
    <w:rsid w:val="0040108F"/>
    <w:rsid w:val="0041074D"/>
    <w:rsid w:val="00420443"/>
    <w:rsid w:val="004341D6"/>
    <w:rsid w:val="004342E7"/>
    <w:rsid w:val="00437451"/>
    <w:rsid w:val="004524CE"/>
    <w:rsid w:val="00453C6C"/>
    <w:rsid w:val="00454A8F"/>
    <w:rsid w:val="00457E93"/>
    <w:rsid w:val="00466412"/>
    <w:rsid w:val="00475B6B"/>
    <w:rsid w:val="00477519"/>
    <w:rsid w:val="004937CA"/>
    <w:rsid w:val="004A17E8"/>
    <w:rsid w:val="004B2276"/>
    <w:rsid w:val="004C0D8E"/>
    <w:rsid w:val="004C119B"/>
    <w:rsid w:val="004C335E"/>
    <w:rsid w:val="004D5018"/>
    <w:rsid w:val="004D6BFA"/>
    <w:rsid w:val="004D7079"/>
    <w:rsid w:val="004D7C3F"/>
    <w:rsid w:val="004E4F02"/>
    <w:rsid w:val="0050080F"/>
    <w:rsid w:val="00505CB1"/>
    <w:rsid w:val="00506F90"/>
    <w:rsid w:val="00511AA2"/>
    <w:rsid w:val="00513A57"/>
    <w:rsid w:val="005256DD"/>
    <w:rsid w:val="00525CB3"/>
    <w:rsid w:val="00532210"/>
    <w:rsid w:val="00534449"/>
    <w:rsid w:val="00546B57"/>
    <w:rsid w:val="0054720A"/>
    <w:rsid w:val="00547F08"/>
    <w:rsid w:val="005714C3"/>
    <w:rsid w:val="00572CC9"/>
    <w:rsid w:val="00577B64"/>
    <w:rsid w:val="0058590A"/>
    <w:rsid w:val="005A1700"/>
    <w:rsid w:val="005A2EED"/>
    <w:rsid w:val="005A555B"/>
    <w:rsid w:val="005B6710"/>
    <w:rsid w:val="005C0E21"/>
    <w:rsid w:val="005C3B5D"/>
    <w:rsid w:val="005C68DA"/>
    <w:rsid w:val="005D0800"/>
    <w:rsid w:val="005E065F"/>
    <w:rsid w:val="005E4300"/>
    <w:rsid w:val="005E66D1"/>
    <w:rsid w:val="005E6A4E"/>
    <w:rsid w:val="005E7CD7"/>
    <w:rsid w:val="005F0DD5"/>
    <w:rsid w:val="005F3C3C"/>
    <w:rsid w:val="005F4454"/>
    <w:rsid w:val="00600903"/>
    <w:rsid w:val="0062041F"/>
    <w:rsid w:val="006220E2"/>
    <w:rsid w:val="00631564"/>
    <w:rsid w:val="00631C3B"/>
    <w:rsid w:val="006339F6"/>
    <w:rsid w:val="006355A2"/>
    <w:rsid w:val="0064589B"/>
    <w:rsid w:val="006471A1"/>
    <w:rsid w:val="006509E2"/>
    <w:rsid w:val="006550D0"/>
    <w:rsid w:val="00660305"/>
    <w:rsid w:val="00664C89"/>
    <w:rsid w:val="006667C2"/>
    <w:rsid w:val="00670656"/>
    <w:rsid w:val="00670FAE"/>
    <w:rsid w:val="00675218"/>
    <w:rsid w:val="006778A5"/>
    <w:rsid w:val="00682D63"/>
    <w:rsid w:val="006870CE"/>
    <w:rsid w:val="00695D05"/>
    <w:rsid w:val="006B1C9A"/>
    <w:rsid w:val="006C1D90"/>
    <w:rsid w:val="006D32E0"/>
    <w:rsid w:val="006D4F78"/>
    <w:rsid w:val="006E1F39"/>
    <w:rsid w:val="006E2EC7"/>
    <w:rsid w:val="006E2F9F"/>
    <w:rsid w:val="006E314A"/>
    <w:rsid w:val="006E716A"/>
    <w:rsid w:val="006F189E"/>
    <w:rsid w:val="006F1CC8"/>
    <w:rsid w:val="006F45C7"/>
    <w:rsid w:val="00701992"/>
    <w:rsid w:val="00701EB8"/>
    <w:rsid w:val="00706CC5"/>
    <w:rsid w:val="00706E5D"/>
    <w:rsid w:val="007263F9"/>
    <w:rsid w:val="007328E9"/>
    <w:rsid w:val="00733C5B"/>
    <w:rsid w:val="00734ED3"/>
    <w:rsid w:val="0073507D"/>
    <w:rsid w:val="00746AA8"/>
    <w:rsid w:val="00752167"/>
    <w:rsid w:val="00754A8D"/>
    <w:rsid w:val="007630FC"/>
    <w:rsid w:val="0076488C"/>
    <w:rsid w:val="00783558"/>
    <w:rsid w:val="00785050"/>
    <w:rsid w:val="00791E95"/>
    <w:rsid w:val="00795605"/>
    <w:rsid w:val="007A3465"/>
    <w:rsid w:val="007A3EF1"/>
    <w:rsid w:val="007A50A6"/>
    <w:rsid w:val="007B4AFE"/>
    <w:rsid w:val="007C5A23"/>
    <w:rsid w:val="007C7E5F"/>
    <w:rsid w:val="007D1A40"/>
    <w:rsid w:val="007D6A29"/>
    <w:rsid w:val="007D77DD"/>
    <w:rsid w:val="007E0EAC"/>
    <w:rsid w:val="007E1909"/>
    <w:rsid w:val="007E7DB4"/>
    <w:rsid w:val="007F0619"/>
    <w:rsid w:val="007F4231"/>
    <w:rsid w:val="007F5438"/>
    <w:rsid w:val="007F7C14"/>
    <w:rsid w:val="00800159"/>
    <w:rsid w:val="00806FA1"/>
    <w:rsid w:val="00810B3E"/>
    <w:rsid w:val="00823CED"/>
    <w:rsid w:val="00843211"/>
    <w:rsid w:val="00843CEE"/>
    <w:rsid w:val="00855B86"/>
    <w:rsid w:val="00866726"/>
    <w:rsid w:val="0086680B"/>
    <w:rsid w:val="0087103E"/>
    <w:rsid w:val="00871248"/>
    <w:rsid w:val="00875049"/>
    <w:rsid w:val="00876A03"/>
    <w:rsid w:val="0088439F"/>
    <w:rsid w:val="008854D5"/>
    <w:rsid w:val="00886E70"/>
    <w:rsid w:val="00887792"/>
    <w:rsid w:val="008929A5"/>
    <w:rsid w:val="0089352F"/>
    <w:rsid w:val="00893E27"/>
    <w:rsid w:val="008A1191"/>
    <w:rsid w:val="008A308E"/>
    <w:rsid w:val="008A34DD"/>
    <w:rsid w:val="008A3F4A"/>
    <w:rsid w:val="008A408F"/>
    <w:rsid w:val="008A4C51"/>
    <w:rsid w:val="008B0542"/>
    <w:rsid w:val="008B3AE5"/>
    <w:rsid w:val="008B4D06"/>
    <w:rsid w:val="008B5701"/>
    <w:rsid w:val="008C1917"/>
    <w:rsid w:val="008C25DF"/>
    <w:rsid w:val="008C302F"/>
    <w:rsid w:val="008C3454"/>
    <w:rsid w:val="008C4B51"/>
    <w:rsid w:val="008C7A74"/>
    <w:rsid w:val="008E0031"/>
    <w:rsid w:val="008E0CB0"/>
    <w:rsid w:val="008F5ACF"/>
    <w:rsid w:val="008F5B14"/>
    <w:rsid w:val="008F7779"/>
    <w:rsid w:val="00901A20"/>
    <w:rsid w:val="00904C7D"/>
    <w:rsid w:val="00905617"/>
    <w:rsid w:val="00926EA5"/>
    <w:rsid w:val="0093054A"/>
    <w:rsid w:val="00933C35"/>
    <w:rsid w:val="009410A9"/>
    <w:rsid w:val="009441C2"/>
    <w:rsid w:val="009442A5"/>
    <w:rsid w:val="0094537E"/>
    <w:rsid w:val="00962C06"/>
    <w:rsid w:val="00965125"/>
    <w:rsid w:val="00965368"/>
    <w:rsid w:val="00974667"/>
    <w:rsid w:val="00982909"/>
    <w:rsid w:val="00991E72"/>
    <w:rsid w:val="009935D9"/>
    <w:rsid w:val="009950B3"/>
    <w:rsid w:val="009A54F6"/>
    <w:rsid w:val="009B2C75"/>
    <w:rsid w:val="009B5207"/>
    <w:rsid w:val="009C7056"/>
    <w:rsid w:val="009D230C"/>
    <w:rsid w:val="009E004D"/>
    <w:rsid w:val="009E36A9"/>
    <w:rsid w:val="009F35DC"/>
    <w:rsid w:val="009F736B"/>
    <w:rsid w:val="00A10271"/>
    <w:rsid w:val="00A102FF"/>
    <w:rsid w:val="00A10890"/>
    <w:rsid w:val="00A137E6"/>
    <w:rsid w:val="00A24CA2"/>
    <w:rsid w:val="00A261D8"/>
    <w:rsid w:val="00A31E82"/>
    <w:rsid w:val="00A351B1"/>
    <w:rsid w:val="00A35F65"/>
    <w:rsid w:val="00A436EC"/>
    <w:rsid w:val="00A5375A"/>
    <w:rsid w:val="00A54F00"/>
    <w:rsid w:val="00A60B9D"/>
    <w:rsid w:val="00A62B63"/>
    <w:rsid w:val="00A73E97"/>
    <w:rsid w:val="00A75DFD"/>
    <w:rsid w:val="00A900B6"/>
    <w:rsid w:val="00A977A6"/>
    <w:rsid w:val="00AA0A64"/>
    <w:rsid w:val="00AA6C90"/>
    <w:rsid w:val="00AC0313"/>
    <w:rsid w:val="00AC4A0D"/>
    <w:rsid w:val="00AD0459"/>
    <w:rsid w:val="00AD31C4"/>
    <w:rsid w:val="00AD52FF"/>
    <w:rsid w:val="00AE3741"/>
    <w:rsid w:val="00AF4DE4"/>
    <w:rsid w:val="00B01888"/>
    <w:rsid w:val="00B03F76"/>
    <w:rsid w:val="00B10942"/>
    <w:rsid w:val="00B15968"/>
    <w:rsid w:val="00B15D11"/>
    <w:rsid w:val="00B20115"/>
    <w:rsid w:val="00B25CB2"/>
    <w:rsid w:val="00B274EA"/>
    <w:rsid w:val="00B36BF4"/>
    <w:rsid w:val="00B36F52"/>
    <w:rsid w:val="00B455DD"/>
    <w:rsid w:val="00B5067E"/>
    <w:rsid w:val="00B53688"/>
    <w:rsid w:val="00B57D6C"/>
    <w:rsid w:val="00B61586"/>
    <w:rsid w:val="00B61ED2"/>
    <w:rsid w:val="00B80E42"/>
    <w:rsid w:val="00B9074A"/>
    <w:rsid w:val="00B90D33"/>
    <w:rsid w:val="00B96619"/>
    <w:rsid w:val="00B9740F"/>
    <w:rsid w:val="00BA7965"/>
    <w:rsid w:val="00BC6191"/>
    <w:rsid w:val="00BD0E60"/>
    <w:rsid w:val="00BE0B1C"/>
    <w:rsid w:val="00BE5EB5"/>
    <w:rsid w:val="00BE7200"/>
    <w:rsid w:val="00BE74F9"/>
    <w:rsid w:val="00BF2E2B"/>
    <w:rsid w:val="00BF4AE2"/>
    <w:rsid w:val="00C06471"/>
    <w:rsid w:val="00C076FC"/>
    <w:rsid w:val="00C105A7"/>
    <w:rsid w:val="00C10D29"/>
    <w:rsid w:val="00C15360"/>
    <w:rsid w:val="00C22056"/>
    <w:rsid w:val="00C24A27"/>
    <w:rsid w:val="00C37370"/>
    <w:rsid w:val="00C428A1"/>
    <w:rsid w:val="00C438A2"/>
    <w:rsid w:val="00C45236"/>
    <w:rsid w:val="00C45722"/>
    <w:rsid w:val="00C45EAB"/>
    <w:rsid w:val="00C62992"/>
    <w:rsid w:val="00C715A9"/>
    <w:rsid w:val="00C72BC5"/>
    <w:rsid w:val="00C73188"/>
    <w:rsid w:val="00C7372D"/>
    <w:rsid w:val="00C737AF"/>
    <w:rsid w:val="00C740D8"/>
    <w:rsid w:val="00C74121"/>
    <w:rsid w:val="00C777CB"/>
    <w:rsid w:val="00C83562"/>
    <w:rsid w:val="00C83D06"/>
    <w:rsid w:val="00C84084"/>
    <w:rsid w:val="00C844C8"/>
    <w:rsid w:val="00C8481C"/>
    <w:rsid w:val="00C90D90"/>
    <w:rsid w:val="00C93194"/>
    <w:rsid w:val="00C971A5"/>
    <w:rsid w:val="00CA319E"/>
    <w:rsid w:val="00CA44BC"/>
    <w:rsid w:val="00CB069D"/>
    <w:rsid w:val="00CB0AF2"/>
    <w:rsid w:val="00CB34EE"/>
    <w:rsid w:val="00CB53DE"/>
    <w:rsid w:val="00CC3CCC"/>
    <w:rsid w:val="00CC4A2F"/>
    <w:rsid w:val="00CD02E2"/>
    <w:rsid w:val="00CD5454"/>
    <w:rsid w:val="00CE42CF"/>
    <w:rsid w:val="00D03384"/>
    <w:rsid w:val="00D26356"/>
    <w:rsid w:val="00D337F6"/>
    <w:rsid w:val="00D353B4"/>
    <w:rsid w:val="00D36654"/>
    <w:rsid w:val="00D373BD"/>
    <w:rsid w:val="00D43B32"/>
    <w:rsid w:val="00D456CA"/>
    <w:rsid w:val="00D47B0F"/>
    <w:rsid w:val="00D47F18"/>
    <w:rsid w:val="00D52037"/>
    <w:rsid w:val="00D52A17"/>
    <w:rsid w:val="00D55C93"/>
    <w:rsid w:val="00D7085B"/>
    <w:rsid w:val="00D72EAB"/>
    <w:rsid w:val="00D75394"/>
    <w:rsid w:val="00D77C72"/>
    <w:rsid w:val="00D81E5C"/>
    <w:rsid w:val="00D83F97"/>
    <w:rsid w:val="00D875D9"/>
    <w:rsid w:val="00D914E5"/>
    <w:rsid w:val="00D93FB2"/>
    <w:rsid w:val="00D94896"/>
    <w:rsid w:val="00DA0544"/>
    <w:rsid w:val="00DA2CAD"/>
    <w:rsid w:val="00DA5381"/>
    <w:rsid w:val="00DA6B4B"/>
    <w:rsid w:val="00DB0228"/>
    <w:rsid w:val="00DB68EC"/>
    <w:rsid w:val="00DB74A8"/>
    <w:rsid w:val="00DB7728"/>
    <w:rsid w:val="00DC15AF"/>
    <w:rsid w:val="00DD4BA0"/>
    <w:rsid w:val="00DD594C"/>
    <w:rsid w:val="00DE3B4A"/>
    <w:rsid w:val="00DE62B1"/>
    <w:rsid w:val="00DE71BA"/>
    <w:rsid w:val="00DF082E"/>
    <w:rsid w:val="00DF544C"/>
    <w:rsid w:val="00DF61D9"/>
    <w:rsid w:val="00E21513"/>
    <w:rsid w:val="00E227D7"/>
    <w:rsid w:val="00E24F85"/>
    <w:rsid w:val="00E25E73"/>
    <w:rsid w:val="00E31977"/>
    <w:rsid w:val="00E338EB"/>
    <w:rsid w:val="00E43246"/>
    <w:rsid w:val="00E44AD2"/>
    <w:rsid w:val="00E55D61"/>
    <w:rsid w:val="00E6011C"/>
    <w:rsid w:val="00E6270E"/>
    <w:rsid w:val="00E70A0C"/>
    <w:rsid w:val="00E717FB"/>
    <w:rsid w:val="00E752A8"/>
    <w:rsid w:val="00E8692B"/>
    <w:rsid w:val="00E87DCB"/>
    <w:rsid w:val="00E90685"/>
    <w:rsid w:val="00E932CE"/>
    <w:rsid w:val="00ED1747"/>
    <w:rsid w:val="00ED3D2C"/>
    <w:rsid w:val="00EE47D1"/>
    <w:rsid w:val="00EE6C76"/>
    <w:rsid w:val="00EF043D"/>
    <w:rsid w:val="00EF4D82"/>
    <w:rsid w:val="00F01A73"/>
    <w:rsid w:val="00F10E86"/>
    <w:rsid w:val="00F17867"/>
    <w:rsid w:val="00F20263"/>
    <w:rsid w:val="00F24279"/>
    <w:rsid w:val="00F338FC"/>
    <w:rsid w:val="00F4221D"/>
    <w:rsid w:val="00F42E2D"/>
    <w:rsid w:val="00F571DF"/>
    <w:rsid w:val="00F57DC7"/>
    <w:rsid w:val="00F60A58"/>
    <w:rsid w:val="00F6358A"/>
    <w:rsid w:val="00F74E25"/>
    <w:rsid w:val="00F90044"/>
    <w:rsid w:val="00F91CC1"/>
    <w:rsid w:val="00F93F5B"/>
    <w:rsid w:val="00F945DB"/>
    <w:rsid w:val="00FA3211"/>
    <w:rsid w:val="00FB1839"/>
    <w:rsid w:val="00FB59EA"/>
    <w:rsid w:val="00FC103A"/>
    <w:rsid w:val="00FD254F"/>
    <w:rsid w:val="00FD25CE"/>
    <w:rsid w:val="00FD3F64"/>
    <w:rsid w:val="00FE20C2"/>
    <w:rsid w:val="00FE663C"/>
    <w:rsid w:val="00FF1BC3"/>
    <w:rsid w:val="00FF2BB1"/>
    <w:rsid w:val="00FF37D7"/>
    <w:rsid w:val="00FF4B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A68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A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47D1"/>
  </w:style>
  <w:style w:type="paragraph" w:styleId="Heading1">
    <w:name w:val="heading 1"/>
    <w:basedOn w:val="Normal"/>
    <w:next w:val="BTBodyText"/>
    <w:link w:val="Heading1Char"/>
    <w:uiPriority w:val="33"/>
    <w:rsid w:val="00887792"/>
    <w:pPr>
      <w:keepNext/>
      <w:keepLines/>
      <w:outlineLvl w:val="0"/>
    </w:pPr>
    <w:rPr>
      <w:rFonts w:eastAsiaTheme="majorEastAsia" w:cstheme="majorBidi"/>
      <w:b/>
      <w:caps/>
      <w:sz w:val="28"/>
      <w:szCs w:val="32"/>
    </w:rPr>
  </w:style>
  <w:style w:type="paragraph" w:styleId="Heading2">
    <w:name w:val="heading 2"/>
    <w:basedOn w:val="Normal"/>
    <w:next w:val="BTBodyText"/>
    <w:link w:val="Heading2Char"/>
    <w:uiPriority w:val="33"/>
    <w:unhideWhenUsed/>
    <w:rsid w:val="00887792"/>
    <w:pPr>
      <w:keepNext/>
      <w:keepLines/>
      <w:outlineLvl w:val="1"/>
    </w:pPr>
    <w:rPr>
      <w:rFonts w:eastAsiaTheme="majorEastAsia" w:cstheme="majorBidi"/>
      <w:b/>
      <w:smallCaps/>
      <w:sz w:val="28"/>
      <w:szCs w:val="26"/>
    </w:rPr>
  </w:style>
  <w:style w:type="paragraph" w:styleId="Heading3">
    <w:name w:val="heading 3"/>
    <w:basedOn w:val="Normal"/>
    <w:next w:val="BTBodyText"/>
    <w:link w:val="Heading3Char"/>
    <w:uiPriority w:val="33"/>
    <w:unhideWhenUsed/>
    <w:rsid w:val="00887792"/>
    <w:pPr>
      <w:keepNext/>
      <w:keepLines/>
      <w:outlineLvl w:val="2"/>
    </w:pPr>
    <w:rPr>
      <w:rFonts w:eastAsiaTheme="majorEastAsia" w:cstheme="majorBidi"/>
      <w:b/>
    </w:rPr>
  </w:style>
  <w:style w:type="paragraph" w:styleId="Heading4">
    <w:name w:val="heading 4"/>
    <w:basedOn w:val="Normal"/>
    <w:next w:val="BTBodyText"/>
    <w:link w:val="Heading4Char"/>
    <w:uiPriority w:val="33"/>
    <w:unhideWhenUsed/>
    <w:rsid w:val="00887792"/>
    <w:pPr>
      <w:keepNext/>
      <w:keepLines/>
      <w:outlineLvl w:val="3"/>
    </w:pPr>
    <w:rPr>
      <w:rFonts w:eastAsiaTheme="majorEastAsia" w:cstheme="majorBidi"/>
      <w:iCs/>
      <w:u w:val="single"/>
    </w:rPr>
  </w:style>
  <w:style w:type="paragraph" w:styleId="Heading5">
    <w:name w:val="heading 5"/>
    <w:basedOn w:val="Normal"/>
    <w:next w:val="BTBodyText"/>
    <w:link w:val="Heading5Char"/>
    <w:uiPriority w:val="33"/>
    <w:unhideWhenUsed/>
    <w:rsid w:val="00887792"/>
    <w:pPr>
      <w:keepNext/>
      <w:keepLines/>
      <w:outlineLvl w:val="4"/>
    </w:pPr>
    <w:rPr>
      <w:rFonts w:eastAsiaTheme="majorEastAsia" w:cstheme="majorBidi"/>
      <w:i/>
    </w:rPr>
  </w:style>
  <w:style w:type="paragraph" w:styleId="Heading6">
    <w:name w:val="heading 6"/>
    <w:basedOn w:val="Normal"/>
    <w:next w:val="BTBodyText"/>
    <w:link w:val="Heading6Char"/>
    <w:uiPriority w:val="33"/>
    <w:unhideWhenUsed/>
    <w:rsid w:val="00887792"/>
    <w:pPr>
      <w:keepNext/>
      <w:keepLines/>
      <w:outlineLvl w:val="5"/>
    </w:pPr>
    <w:rPr>
      <w:rFonts w:eastAsiaTheme="majorEastAsia" w:cstheme="majorBidi"/>
      <w:u w:val="single"/>
    </w:rPr>
  </w:style>
  <w:style w:type="paragraph" w:styleId="Heading7">
    <w:name w:val="heading 7"/>
    <w:basedOn w:val="Normal"/>
    <w:next w:val="BTBodyText"/>
    <w:link w:val="Heading7Char"/>
    <w:uiPriority w:val="33"/>
    <w:unhideWhenUsed/>
    <w:rsid w:val="00887792"/>
    <w:pPr>
      <w:keepNext/>
      <w:keepLines/>
      <w:outlineLvl w:val="6"/>
    </w:pPr>
    <w:rPr>
      <w:rFonts w:eastAsiaTheme="majorEastAsia" w:cstheme="majorBidi"/>
      <w:i/>
      <w:iCs/>
    </w:rPr>
  </w:style>
  <w:style w:type="paragraph" w:styleId="Heading8">
    <w:name w:val="heading 8"/>
    <w:basedOn w:val="Normal"/>
    <w:next w:val="BTBodyText"/>
    <w:link w:val="Heading8Char"/>
    <w:uiPriority w:val="33"/>
    <w:unhideWhenUsed/>
    <w:rsid w:val="00887792"/>
    <w:pPr>
      <w:keepNext/>
      <w:keepLines/>
      <w:outlineLvl w:val="7"/>
    </w:pPr>
    <w:rPr>
      <w:rFonts w:eastAsiaTheme="majorEastAsia" w:cstheme="majorBidi"/>
      <w:szCs w:val="21"/>
      <w:u w:val="single"/>
    </w:rPr>
  </w:style>
  <w:style w:type="paragraph" w:styleId="Heading9">
    <w:name w:val="heading 9"/>
    <w:basedOn w:val="Normal"/>
    <w:next w:val="BTBodyText"/>
    <w:link w:val="Heading9Char"/>
    <w:uiPriority w:val="33"/>
    <w:unhideWhenUsed/>
    <w:rsid w:val="00887792"/>
    <w:pPr>
      <w:keepNext/>
      <w:keepLines/>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A06"/>
    <w:rPr>
      <w:rFonts w:ascii="Segoe UI" w:hAnsi="Segoe UI" w:cs="Segoe UI"/>
      <w:sz w:val="18"/>
      <w:szCs w:val="18"/>
    </w:rPr>
  </w:style>
  <w:style w:type="paragraph" w:customStyle="1" w:styleId="BTBodyText">
    <w:name w:val="[BT] Body Text"/>
    <w:basedOn w:val="Normal"/>
    <w:link w:val="BTBodyTextChar"/>
    <w:uiPriority w:val="2"/>
    <w:qFormat/>
    <w:rsid w:val="00354A06"/>
  </w:style>
  <w:style w:type="paragraph" w:customStyle="1" w:styleId="BTIBodyTextIndented">
    <w:name w:val="[BTI] Body Text Indented"/>
    <w:basedOn w:val="BTBodyText"/>
    <w:link w:val="BTIBodyTextIndentedChar"/>
    <w:uiPriority w:val="2"/>
    <w:qFormat/>
    <w:rsid w:val="00354A06"/>
    <w:pPr>
      <w:ind w:left="851"/>
    </w:pPr>
  </w:style>
  <w:style w:type="character" w:customStyle="1" w:styleId="BTBodyTextChar">
    <w:name w:val="[BT] Body Text Char"/>
    <w:basedOn w:val="DefaultParagraphFont"/>
    <w:link w:val="BTBodyText"/>
    <w:uiPriority w:val="2"/>
    <w:rsid w:val="00AD0459"/>
  </w:style>
  <w:style w:type="paragraph" w:customStyle="1" w:styleId="BTIIBodyTextTwiceIndented">
    <w:name w:val="[BTII] Body Text Twice Indented"/>
    <w:basedOn w:val="BTBodyText"/>
    <w:link w:val="BTIIBodyTextTwiceIndentedChar"/>
    <w:uiPriority w:val="2"/>
    <w:qFormat/>
    <w:rsid w:val="00354A06"/>
    <w:pPr>
      <w:ind w:left="1702"/>
    </w:pPr>
  </w:style>
  <w:style w:type="character" w:customStyle="1" w:styleId="BTIBodyTextIndentedChar">
    <w:name w:val="[BTI] Body Text Indented Char"/>
    <w:basedOn w:val="BTBodyTextChar"/>
    <w:link w:val="BTIBodyTextIndented"/>
    <w:uiPriority w:val="2"/>
    <w:rsid w:val="00AD0459"/>
  </w:style>
  <w:style w:type="paragraph" w:styleId="ListParagraph">
    <w:name w:val="List Paragraph"/>
    <w:basedOn w:val="Normal"/>
    <w:uiPriority w:val="34"/>
    <w:rsid w:val="003A10EE"/>
    <w:pPr>
      <w:ind w:left="851"/>
    </w:pPr>
  </w:style>
  <w:style w:type="character" w:customStyle="1" w:styleId="BTIIBodyTextTwiceIndentedChar">
    <w:name w:val="[BTII] Body Text Twice Indented Char"/>
    <w:basedOn w:val="BTBodyTextChar"/>
    <w:link w:val="BTIIBodyTextTwiceIndented"/>
    <w:uiPriority w:val="2"/>
    <w:rsid w:val="00AD0459"/>
  </w:style>
  <w:style w:type="paragraph" w:styleId="NoSpacing">
    <w:name w:val="No Spacing"/>
    <w:link w:val="NoSpacingChar"/>
    <w:uiPriority w:val="1"/>
    <w:rsid w:val="001F46B7"/>
    <w:pPr>
      <w:spacing w:after="0" w:line="240" w:lineRule="auto"/>
    </w:pPr>
  </w:style>
  <w:style w:type="paragraph" w:customStyle="1" w:styleId="BTNSBodyTextNoSpacing">
    <w:name w:val="[BTNS] Body Text No Spacing"/>
    <w:basedOn w:val="NoSpacing"/>
    <w:link w:val="BTNSBodyTextNoSpacingChar"/>
    <w:uiPriority w:val="2"/>
    <w:qFormat/>
    <w:rsid w:val="001F46B7"/>
  </w:style>
  <w:style w:type="paragraph" w:customStyle="1" w:styleId="BTNSSBodyTextNoSpacingSmall">
    <w:name w:val="[BTNSS] Body Text No Spacing Small"/>
    <w:basedOn w:val="BTNSBodyTextNoSpacing"/>
    <w:link w:val="BTNSSBodyTextNoSpacingSmallChar"/>
    <w:uiPriority w:val="2"/>
    <w:rsid w:val="001F46B7"/>
    <w:rPr>
      <w:sz w:val="8"/>
      <w:szCs w:val="8"/>
    </w:rPr>
  </w:style>
  <w:style w:type="character" w:customStyle="1" w:styleId="NoSpacingChar">
    <w:name w:val="No Spacing Char"/>
    <w:basedOn w:val="DefaultParagraphFont"/>
    <w:link w:val="NoSpacing"/>
    <w:uiPriority w:val="1"/>
    <w:rsid w:val="001F46B7"/>
  </w:style>
  <w:style w:type="character" w:customStyle="1" w:styleId="BTNSBodyTextNoSpacingChar">
    <w:name w:val="[BTNS] Body Text No Spacing Char"/>
    <w:basedOn w:val="NoSpacingChar"/>
    <w:link w:val="BTNSBodyTextNoSpacing"/>
    <w:uiPriority w:val="2"/>
    <w:rsid w:val="00B10942"/>
  </w:style>
  <w:style w:type="character" w:customStyle="1" w:styleId="BTNSSBodyTextNoSpacingSmallChar">
    <w:name w:val="[BTNSS] Body Text No Spacing Small Char"/>
    <w:basedOn w:val="BTNSBodyTextNoSpacingChar"/>
    <w:link w:val="BTNSSBodyTextNoSpacingSmall"/>
    <w:uiPriority w:val="2"/>
    <w:rsid w:val="00B10942"/>
    <w:rPr>
      <w:sz w:val="8"/>
      <w:szCs w:val="8"/>
    </w:rPr>
  </w:style>
  <w:style w:type="paragraph" w:customStyle="1" w:styleId="P1-N1Paragraph1-Number1">
    <w:name w:val="[P1-N1] Paragraph 1 - Number 1"/>
    <w:basedOn w:val="BTBodyText"/>
    <w:link w:val="P1-N1Paragraph1-Number1Char"/>
    <w:uiPriority w:val="6"/>
    <w:qFormat/>
    <w:rsid w:val="006F189E"/>
    <w:pPr>
      <w:numPr>
        <w:numId w:val="1"/>
      </w:numPr>
    </w:pPr>
  </w:style>
  <w:style w:type="paragraph" w:customStyle="1" w:styleId="P2-B1Paragraph2-Bullet1">
    <w:name w:val="[P2-B1] Paragraph 2 - Bullet 1"/>
    <w:basedOn w:val="BTBodyText"/>
    <w:link w:val="P2-B1Paragraph2-Bullet1Char"/>
    <w:uiPriority w:val="6"/>
    <w:qFormat/>
    <w:rsid w:val="00C45722"/>
    <w:pPr>
      <w:numPr>
        <w:ilvl w:val="1"/>
        <w:numId w:val="1"/>
      </w:numPr>
      <w:spacing w:after="120"/>
      <w:ind w:left="1702" w:hanging="851"/>
    </w:pPr>
  </w:style>
  <w:style w:type="character" w:customStyle="1" w:styleId="P1-N1Paragraph1-Number1Char">
    <w:name w:val="[P1-N1] Paragraph 1 - Number 1 Char"/>
    <w:basedOn w:val="BTBodyTextChar"/>
    <w:link w:val="P1-N1Paragraph1-Number1"/>
    <w:uiPriority w:val="6"/>
    <w:rsid w:val="002603E6"/>
  </w:style>
  <w:style w:type="paragraph" w:customStyle="1" w:styleId="P3-B2Paragraph3-Bullet2">
    <w:name w:val="[P3-B2] Paragraph 3 - Bullet 2"/>
    <w:basedOn w:val="BTBodyText"/>
    <w:link w:val="P3-B2Paragraph3-Bullet2Char"/>
    <w:uiPriority w:val="6"/>
    <w:qFormat/>
    <w:rsid w:val="00C45722"/>
    <w:pPr>
      <w:numPr>
        <w:ilvl w:val="2"/>
        <w:numId w:val="1"/>
      </w:numPr>
      <w:spacing w:after="120"/>
    </w:pPr>
  </w:style>
  <w:style w:type="character" w:customStyle="1" w:styleId="P2-B1Paragraph2-Bullet1Char">
    <w:name w:val="[P2-B1] Paragraph 2 - Bullet 1 Char"/>
    <w:basedOn w:val="BTBodyTextChar"/>
    <w:link w:val="P2-B1Paragraph2-Bullet1"/>
    <w:uiPriority w:val="6"/>
    <w:rsid w:val="00C45722"/>
  </w:style>
  <w:style w:type="paragraph" w:customStyle="1" w:styleId="P4-B3Paragraph4-Bullet3">
    <w:name w:val="[P4-B3] Paragraph 4 - Bullet 3"/>
    <w:basedOn w:val="BTBodyText"/>
    <w:link w:val="P4-B3Paragraph4-Bullet3Char"/>
    <w:uiPriority w:val="6"/>
    <w:rsid w:val="00C45722"/>
    <w:pPr>
      <w:numPr>
        <w:ilvl w:val="3"/>
        <w:numId w:val="1"/>
      </w:numPr>
      <w:spacing w:after="120"/>
      <w:ind w:left="3403" w:hanging="851"/>
    </w:pPr>
  </w:style>
  <w:style w:type="character" w:customStyle="1" w:styleId="P3-B2Paragraph3-Bullet2Char">
    <w:name w:val="[P3-B2] Paragraph 3 - Bullet 2 Char"/>
    <w:basedOn w:val="BTBodyTextChar"/>
    <w:link w:val="P3-B2Paragraph3-Bullet2"/>
    <w:uiPriority w:val="6"/>
    <w:rsid w:val="00C45722"/>
  </w:style>
  <w:style w:type="paragraph" w:customStyle="1" w:styleId="P5-B4Paragraph5-Bullet4">
    <w:name w:val="[P5-B4] Paragraph 5 - Bullet 4"/>
    <w:basedOn w:val="BTBodyText"/>
    <w:link w:val="P5-B4Paragraph5-Bullet4Char"/>
    <w:uiPriority w:val="6"/>
    <w:rsid w:val="00C45722"/>
    <w:pPr>
      <w:numPr>
        <w:ilvl w:val="4"/>
        <w:numId w:val="1"/>
      </w:numPr>
      <w:spacing w:after="120"/>
    </w:pPr>
  </w:style>
  <w:style w:type="character" w:customStyle="1" w:styleId="P4-B3Paragraph4-Bullet3Char">
    <w:name w:val="[P4-B3] Paragraph 4 - Bullet 3 Char"/>
    <w:basedOn w:val="BTBodyTextChar"/>
    <w:link w:val="P4-B3Paragraph4-Bullet3"/>
    <w:uiPriority w:val="6"/>
    <w:rsid w:val="00C45722"/>
  </w:style>
  <w:style w:type="paragraph" w:customStyle="1" w:styleId="P6-B5Paragraph6-Bullet5">
    <w:name w:val="[P6-B5] Paragraph 6 - Bullet 5"/>
    <w:basedOn w:val="BTBodyText"/>
    <w:link w:val="P6-B5Paragraph6-Bullet5Char"/>
    <w:uiPriority w:val="6"/>
    <w:rsid w:val="00C45722"/>
    <w:pPr>
      <w:numPr>
        <w:ilvl w:val="5"/>
        <w:numId w:val="1"/>
      </w:numPr>
      <w:spacing w:after="120"/>
      <w:ind w:left="5104" w:hanging="851"/>
    </w:pPr>
  </w:style>
  <w:style w:type="character" w:customStyle="1" w:styleId="P5-B4Paragraph5-Bullet4Char">
    <w:name w:val="[P5-B4] Paragraph 5 - Bullet 4 Char"/>
    <w:basedOn w:val="BTBodyTextChar"/>
    <w:link w:val="P5-B4Paragraph5-Bullet4"/>
    <w:uiPriority w:val="6"/>
    <w:rsid w:val="00C45722"/>
  </w:style>
  <w:style w:type="paragraph" w:customStyle="1" w:styleId="P7-B6Paragraph7-Bullet6">
    <w:name w:val="[P7-B6] Paragraph 7 - Bullet 6"/>
    <w:basedOn w:val="BTBodyText"/>
    <w:link w:val="P7-B6Paragraph7-Bullet6Char"/>
    <w:uiPriority w:val="6"/>
    <w:semiHidden/>
    <w:rsid w:val="00C45722"/>
    <w:pPr>
      <w:numPr>
        <w:ilvl w:val="6"/>
        <w:numId w:val="1"/>
      </w:numPr>
      <w:spacing w:after="120"/>
    </w:pPr>
  </w:style>
  <w:style w:type="character" w:customStyle="1" w:styleId="P6-B5Paragraph6-Bullet5Char">
    <w:name w:val="[P6-B5] Paragraph 6 - Bullet 5 Char"/>
    <w:basedOn w:val="BTBodyTextChar"/>
    <w:link w:val="P6-B5Paragraph6-Bullet5"/>
    <w:uiPriority w:val="6"/>
    <w:rsid w:val="00C45722"/>
  </w:style>
  <w:style w:type="paragraph" w:customStyle="1" w:styleId="P8-B7Paragraph8-Bullet7">
    <w:name w:val="[P8-B7] Paragraph 8 - Bullet 7"/>
    <w:basedOn w:val="BTBodyText"/>
    <w:link w:val="P8-B7Paragraph8-Bullet7Char"/>
    <w:uiPriority w:val="6"/>
    <w:semiHidden/>
    <w:rsid w:val="00C45722"/>
    <w:pPr>
      <w:numPr>
        <w:ilvl w:val="7"/>
        <w:numId w:val="1"/>
      </w:numPr>
      <w:spacing w:after="120"/>
      <w:ind w:left="6805" w:hanging="851"/>
    </w:pPr>
  </w:style>
  <w:style w:type="character" w:customStyle="1" w:styleId="P7-B6Paragraph7-Bullet6Char">
    <w:name w:val="[P7-B6] Paragraph 7 - Bullet 6 Char"/>
    <w:basedOn w:val="BTBodyTextChar"/>
    <w:link w:val="P7-B6Paragraph7-Bullet6"/>
    <w:uiPriority w:val="6"/>
    <w:semiHidden/>
    <w:rsid w:val="00C45722"/>
  </w:style>
  <w:style w:type="paragraph" w:customStyle="1" w:styleId="P9-B8Paragraph9-Bullet8">
    <w:name w:val="[P9-B8] Paragraph 9 - Bullet 8"/>
    <w:basedOn w:val="BTBodyText"/>
    <w:link w:val="P9-B8Paragraph9-Bullet8Char"/>
    <w:uiPriority w:val="6"/>
    <w:semiHidden/>
    <w:rsid w:val="00C45722"/>
    <w:pPr>
      <w:numPr>
        <w:ilvl w:val="8"/>
        <w:numId w:val="1"/>
      </w:numPr>
      <w:spacing w:after="120"/>
    </w:pPr>
  </w:style>
  <w:style w:type="character" w:customStyle="1" w:styleId="P8-B7Paragraph8-Bullet7Char">
    <w:name w:val="[P8-B7] Paragraph 8 - Bullet 7 Char"/>
    <w:basedOn w:val="BTBodyTextChar"/>
    <w:link w:val="P8-B7Paragraph8-Bullet7"/>
    <w:uiPriority w:val="6"/>
    <w:semiHidden/>
    <w:rsid w:val="00C45722"/>
  </w:style>
  <w:style w:type="paragraph" w:customStyle="1" w:styleId="QQuotation">
    <w:name w:val="[Q] Quotation"/>
    <w:basedOn w:val="BTIBodyTextIndented"/>
    <w:next w:val="P1-N1Paragraph1-Number1"/>
    <w:link w:val="QQuotationChar"/>
    <w:uiPriority w:val="8"/>
    <w:qFormat/>
    <w:rsid w:val="00EF4D82"/>
    <w:pPr>
      <w:spacing w:after="240" w:line="276" w:lineRule="auto"/>
    </w:pPr>
    <w:rPr>
      <w:sz w:val="22"/>
    </w:rPr>
  </w:style>
  <w:style w:type="character" w:customStyle="1" w:styleId="P9-B8Paragraph9-Bullet8Char">
    <w:name w:val="[P9-B8] Paragraph 9 - Bullet 8 Char"/>
    <w:basedOn w:val="BTBodyTextChar"/>
    <w:link w:val="P9-B8Paragraph9-Bullet8"/>
    <w:uiPriority w:val="6"/>
    <w:semiHidden/>
    <w:rsid w:val="00C45722"/>
  </w:style>
  <w:style w:type="character" w:customStyle="1" w:styleId="Heading1Char">
    <w:name w:val="Heading 1 Char"/>
    <w:basedOn w:val="DefaultParagraphFont"/>
    <w:link w:val="Heading1"/>
    <w:uiPriority w:val="33"/>
    <w:rsid w:val="002603E6"/>
    <w:rPr>
      <w:rFonts w:eastAsiaTheme="majorEastAsia" w:cstheme="majorBidi"/>
      <w:b/>
      <w:caps/>
      <w:sz w:val="28"/>
      <w:szCs w:val="32"/>
    </w:rPr>
  </w:style>
  <w:style w:type="character" w:customStyle="1" w:styleId="QQuotationChar">
    <w:name w:val="[Q] Quotation Char"/>
    <w:basedOn w:val="BTIBodyTextIndentedChar"/>
    <w:link w:val="QQuotation"/>
    <w:uiPriority w:val="8"/>
    <w:rsid w:val="00EF4D82"/>
    <w:rPr>
      <w:sz w:val="22"/>
    </w:rPr>
  </w:style>
  <w:style w:type="character" w:customStyle="1" w:styleId="Heading2Char">
    <w:name w:val="Heading 2 Char"/>
    <w:basedOn w:val="DefaultParagraphFont"/>
    <w:link w:val="Heading2"/>
    <w:uiPriority w:val="33"/>
    <w:rsid w:val="002603E6"/>
    <w:rPr>
      <w:rFonts w:eastAsiaTheme="majorEastAsia" w:cstheme="majorBidi"/>
      <w:b/>
      <w:smallCaps/>
      <w:sz w:val="28"/>
      <w:szCs w:val="26"/>
    </w:rPr>
  </w:style>
  <w:style w:type="character" w:customStyle="1" w:styleId="Heading3Char">
    <w:name w:val="Heading 3 Char"/>
    <w:basedOn w:val="DefaultParagraphFont"/>
    <w:link w:val="Heading3"/>
    <w:uiPriority w:val="33"/>
    <w:rsid w:val="002603E6"/>
    <w:rPr>
      <w:rFonts w:eastAsiaTheme="majorEastAsia" w:cstheme="majorBidi"/>
      <w:b/>
    </w:rPr>
  </w:style>
  <w:style w:type="character" w:customStyle="1" w:styleId="Heading4Char">
    <w:name w:val="Heading 4 Char"/>
    <w:basedOn w:val="DefaultParagraphFont"/>
    <w:link w:val="Heading4"/>
    <w:uiPriority w:val="33"/>
    <w:rsid w:val="002603E6"/>
    <w:rPr>
      <w:rFonts w:eastAsiaTheme="majorEastAsia" w:cstheme="majorBidi"/>
      <w:iCs/>
      <w:u w:val="single"/>
    </w:rPr>
  </w:style>
  <w:style w:type="character" w:customStyle="1" w:styleId="Heading5Char">
    <w:name w:val="Heading 5 Char"/>
    <w:basedOn w:val="DefaultParagraphFont"/>
    <w:link w:val="Heading5"/>
    <w:uiPriority w:val="33"/>
    <w:rsid w:val="002603E6"/>
    <w:rPr>
      <w:rFonts w:eastAsiaTheme="majorEastAsia" w:cstheme="majorBidi"/>
      <w:i/>
    </w:rPr>
  </w:style>
  <w:style w:type="character" w:customStyle="1" w:styleId="Heading6Char">
    <w:name w:val="Heading 6 Char"/>
    <w:basedOn w:val="DefaultParagraphFont"/>
    <w:link w:val="Heading6"/>
    <w:uiPriority w:val="33"/>
    <w:rsid w:val="002603E6"/>
    <w:rPr>
      <w:rFonts w:eastAsiaTheme="majorEastAsia" w:cstheme="majorBidi"/>
      <w:u w:val="single"/>
    </w:rPr>
  </w:style>
  <w:style w:type="character" w:customStyle="1" w:styleId="Heading7Char">
    <w:name w:val="Heading 7 Char"/>
    <w:basedOn w:val="DefaultParagraphFont"/>
    <w:link w:val="Heading7"/>
    <w:uiPriority w:val="33"/>
    <w:rsid w:val="002603E6"/>
    <w:rPr>
      <w:rFonts w:eastAsiaTheme="majorEastAsia" w:cstheme="majorBidi"/>
      <w:i/>
      <w:iCs/>
    </w:rPr>
  </w:style>
  <w:style w:type="character" w:customStyle="1" w:styleId="Heading8Char">
    <w:name w:val="Heading 8 Char"/>
    <w:basedOn w:val="DefaultParagraphFont"/>
    <w:link w:val="Heading8"/>
    <w:uiPriority w:val="33"/>
    <w:rsid w:val="002603E6"/>
    <w:rPr>
      <w:rFonts w:eastAsiaTheme="majorEastAsia" w:cstheme="majorBidi"/>
      <w:szCs w:val="21"/>
      <w:u w:val="single"/>
    </w:rPr>
  </w:style>
  <w:style w:type="character" w:customStyle="1" w:styleId="Heading9Char">
    <w:name w:val="Heading 9 Char"/>
    <w:basedOn w:val="DefaultParagraphFont"/>
    <w:link w:val="Heading9"/>
    <w:uiPriority w:val="33"/>
    <w:rsid w:val="002603E6"/>
    <w:rPr>
      <w:rFonts w:eastAsiaTheme="majorEastAsia" w:cstheme="majorBidi"/>
      <w:i/>
      <w:iCs/>
      <w:szCs w:val="21"/>
    </w:rPr>
  </w:style>
  <w:style w:type="paragraph" w:customStyle="1" w:styleId="HL1HeadingLevel1">
    <w:name w:val="[HL1] Heading Level 1"/>
    <w:basedOn w:val="Heading1"/>
    <w:next w:val="P1-N1Paragraph1-Number1"/>
    <w:link w:val="HL1HeadingLevel1Char"/>
    <w:uiPriority w:val="4"/>
    <w:qFormat/>
    <w:rsid w:val="00B9740F"/>
    <w:pPr>
      <w:numPr>
        <w:numId w:val="2"/>
      </w:numPr>
    </w:pPr>
  </w:style>
  <w:style w:type="paragraph" w:customStyle="1" w:styleId="HL2HeadingLevel2">
    <w:name w:val="[HL2] Heading Level 2"/>
    <w:basedOn w:val="Heading2"/>
    <w:next w:val="P1-N1Paragraph1-Number1"/>
    <w:link w:val="HL2HeadingLevel2Char"/>
    <w:uiPriority w:val="4"/>
    <w:qFormat/>
    <w:rsid w:val="00B9740F"/>
    <w:pPr>
      <w:numPr>
        <w:ilvl w:val="1"/>
        <w:numId w:val="2"/>
      </w:numPr>
    </w:pPr>
  </w:style>
  <w:style w:type="character" w:customStyle="1" w:styleId="HL1HeadingLevel1Char">
    <w:name w:val="[HL1] Heading Level 1 Char"/>
    <w:basedOn w:val="BTBodyTextChar"/>
    <w:link w:val="HL1HeadingLevel1"/>
    <w:uiPriority w:val="4"/>
    <w:rsid w:val="002603E6"/>
    <w:rPr>
      <w:rFonts w:eastAsiaTheme="majorEastAsia" w:cstheme="majorBidi"/>
      <w:b/>
      <w:caps/>
      <w:sz w:val="28"/>
      <w:szCs w:val="32"/>
    </w:rPr>
  </w:style>
  <w:style w:type="paragraph" w:customStyle="1" w:styleId="HL3HeadingLevel3">
    <w:name w:val="[HL3] Heading Level 3"/>
    <w:basedOn w:val="Heading3"/>
    <w:next w:val="P1-N1Paragraph1-Number1"/>
    <w:link w:val="HL3HeadingLevel3Char"/>
    <w:uiPriority w:val="4"/>
    <w:qFormat/>
    <w:rsid w:val="00B9740F"/>
    <w:pPr>
      <w:numPr>
        <w:ilvl w:val="2"/>
        <w:numId w:val="2"/>
      </w:numPr>
    </w:pPr>
  </w:style>
  <w:style w:type="character" w:customStyle="1" w:styleId="HL2HeadingLevel2Char">
    <w:name w:val="[HL2] Heading Level 2 Char"/>
    <w:basedOn w:val="BTBodyTextChar"/>
    <w:link w:val="HL2HeadingLevel2"/>
    <w:uiPriority w:val="4"/>
    <w:rsid w:val="002603E6"/>
    <w:rPr>
      <w:rFonts w:eastAsiaTheme="majorEastAsia" w:cstheme="majorBidi"/>
      <w:b/>
      <w:smallCaps/>
      <w:sz w:val="28"/>
      <w:szCs w:val="26"/>
    </w:rPr>
  </w:style>
  <w:style w:type="paragraph" w:customStyle="1" w:styleId="HL4HeadingLevel4">
    <w:name w:val="[HL4] Heading Level 4"/>
    <w:basedOn w:val="Heading4"/>
    <w:next w:val="P1-N1Paragraph1-Number1"/>
    <w:link w:val="HL4HeadingLevel4Char"/>
    <w:uiPriority w:val="4"/>
    <w:qFormat/>
    <w:rsid w:val="00B9740F"/>
    <w:pPr>
      <w:numPr>
        <w:ilvl w:val="3"/>
        <w:numId w:val="2"/>
      </w:numPr>
    </w:pPr>
  </w:style>
  <w:style w:type="character" w:customStyle="1" w:styleId="HL3HeadingLevel3Char">
    <w:name w:val="[HL3] Heading Level 3 Char"/>
    <w:basedOn w:val="BTBodyTextChar"/>
    <w:link w:val="HL3HeadingLevel3"/>
    <w:uiPriority w:val="4"/>
    <w:rsid w:val="002603E6"/>
    <w:rPr>
      <w:rFonts w:eastAsiaTheme="majorEastAsia" w:cstheme="majorBidi"/>
      <w:b/>
    </w:rPr>
  </w:style>
  <w:style w:type="paragraph" w:customStyle="1" w:styleId="HL5HeadingLevel5">
    <w:name w:val="[HL5] Heading Level 5"/>
    <w:basedOn w:val="Heading5"/>
    <w:next w:val="P1-N1Paragraph1-Number1"/>
    <w:link w:val="HL5HeadingLevel5Char"/>
    <w:uiPriority w:val="4"/>
    <w:qFormat/>
    <w:rsid w:val="00B9740F"/>
    <w:pPr>
      <w:numPr>
        <w:ilvl w:val="4"/>
        <w:numId w:val="2"/>
      </w:numPr>
    </w:pPr>
  </w:style>
  <w:style w:type="character" w:customStyle="1" w:styleId="HL4HeadingLevel4Char">
    <w:name w:val="[HL4] Heading Level 4 Char"/>
    <w:basedOn w:val="BTBodyTextChar"/>
    <w:link w:val="HL4HeadingLevel4"/>
    <w:uiPriority w:val="4"/>
    <w:rsid w:val="002603E6"/>
    <w:rPr>
      <w:rFonts w:eastAsiaTheme="majorEastAsia" w:cstheme="majorBidi"/>
      <w:iCs/>
      <w:u w:val="single"/>
    </w:rPr>
  </w:style>
  <w:style w:type="paragraph" w:customStyle="1" w:styleId="HL6HeadingLevel6">
    <w:name w:val="[HL6] Heading Level 6"/>
    <w:basedOn w:val="Heading6"/>
    <w:next w:val="P1-N1Paragraph1-Number1"/>
    <w:link w:val="HL6HeadingLevel6Char"/>
    <w:uiPriority w:val="4"/>
    <w:semiHidden/>
    <w:rsid w:val="00B9740F"/>
    <w:pPr>
      <w:numPr>
        <w:ilvl w:val="5"/>
        <w:numId w:val="2"/>
      </w:numPr>
    </w:pPr>
  </w:style>
  <w:style w:type="character" w:customStyle="1" w:styleId="HL5HeadingLevel5Char">
    <w:name w:val="[HL5] Heading Level 5 Char"/>
    <w:basedOn w:val="BTBodyTextChar"/>
    <w:link w:val="HL5HeadingLevel5"/>
    <w:uiPriority w:val="4"/>
    <w:rsid w:val="002603E6"/>
    <w:rPr>
      <w:rFonts w:eastAsiaTheme="majorEastAsia" w:cstheme="majorBidi"/>
      <w:i/>
    </w:rPr>
  </w:style>
  <w:style w:type="paragraph" w:customStyle="1" w:styleId="HL7HeadingLevel7">
    <w:name w:val="[HL7] Heading Level 7"/>
    <w:basedOn w:val="Heading7"/>
    <w:next w:val="P1-N1Paragraph1-Number1"/>
    <w:link w:val="HL7HeadingLevel7Char"/>
    <w:uiPriority w:val="4"/>
    <w:semiHidden/>
    <w:rsid w:val="00B9740F"/>
    <w:pPr>
      <w:numPr>
        <w:ilvl w:val="6"/>
        <w:numId w:val="2"/>
      </w:numPr>
    </w:pPr>
  </w:style>
  <w:style w:type="character" w:customStyle="1" w:styleId="HL6HeadingLevel6Char">
    <w:name w:val="[HL6] Heading Level 6 Char"/>
    <w:basedOn w:val="BTBodyTextChar"/>
    <w:link w:val="HL6HeadingLevel6"/>
    <w:uiPriority w:val="4"/>
    <w:semiHidden/>
    <w:rsid w:val="00C74121"/>
    <w:rPr>
      <w:rFonts w:eastAsiaTheme="majorEastAsia" w:cstheme="majorBidi"/>
      <w:u w:val="single"/>
    </w:rPr>
  </w:style>
  <w:style w:type="paragraph" w:customStyle="1" w:styleId="HL8HeadingLevel8">
    <w:name w:val="[HL8] Heading Level 8"/>
    <w:basedOn w:val="Heading8"/>
    <w:next w:val="P1-N1Paragraph1-Number1"/>
    <w:link w:val="HL8HeadingLevel8Char"/>
    <w:uiPriority w:val="4"/>
    <w:semiHidden/>
    <w:rsid w:val="00B9740F"/>
    <w:pPr>
      <w:numPr>
        <w:ilvl w:val="7"/>
        <w:numId w:val="2"/>
      </w:numPr>
    </w:pPr>
  </w:style>
  <w:style w:type="character" w:customStyle="1" w:styleId="HL7HeadingLevel7Char">
    <w:name w:val="[HL7] Heading Level 7 Char"/>
    <w:basedOn w:val="BTBodyTextChar"/>
    <w:link w:val="HL7HeadingLevel7"/>
    <w:uiPriority w:val="4"/>
    <w:semiHidden/>
    <w:rsid w:val="00C74121"/>
    <w:rPr>
      <w:rFonts w:eastAsiaTheme="majorEastAsia" w:cstheme="majorBidi"/>
      <w:i/>
      <w:iCs/>
    </w:rPr>
  </w:style>
  <w:style w:type="paragraph" w:customStyle="1" w:styleId="HL9HeadingLevel9">
    <w:name w:val="[HL9] Heading Level 9"/>
    <w:basedOn w:val="Heading9"/>
    <w:next w:val="P1-N1Paragraph1-Number1"/>
    <w:link w:val="HL9HeadingLevel9Char"/>
    <w:uiPriority w:val="4"/>
    <w:semiHidden/>
    <w:rsid w:val="00B9740F"/>
    <w:pPr>
      <w:numPr>
        <w:ilvl w:val="8"/>
        <w:numId w:val="2"/>
      </w:numPr>
    </w:pPr>
  </w:style>
  <w:style w:type="character" w:customStyle="1" w:styleId="HL8HeadingLevel8Char">
    <w:name w:val="[HL8] Heading Level 8 Char"/>
    <w:basedOn w:val="BTBodyTextChar"/>
    <w:link w:val="HL8HeadingLevel8"/>
    <w:uiPriority w:val="4"/>
    <w:semiHidden/>
    <w:rsid w:val="00C74121"/>
    <w:rPr>
      <w:rFonts w:eastAsiaTheme="majorEastAsia" w:cstheme="majorBidi"/>
      <w:szCs w:val="21"/>
      <w:u w:val="single"/>
    </w:rPr>
  </w:style>
  <w:style w:type="paragraph" w:customStyle="1" w:styleId="SHSectionHeading">
    <w:name w:val="[SH] Section Heading"/>
    <w:basedOn w:val="Heading1"/>
    <w:next w:val="BTBodyText"/>
    <w:link w:val="SHSectionHeadingChar"/>
    <w:uiPriority w:val="12"/>
    <w:qFormat/>
    <w:rsid w:val="002F433F"/>
    <w:pPr>
      <w:spacing w:before="240" w:after="0"/>
      <w:jc w:val="center"/>
    </w:pPr>
    <w:rPr>
      <w:sz w:val="24"/>
    </w:rPr>
  </w:style>
  <w:style w:type="character" w:customStyle="1" w:styleId="HL9HeadingLevel9Char">
    <w:name w:val="[HL9] Heading Level 9 Char"/>
    <w:basedOn w:val="BTBodyTextChar"/>
    <w:link w:val="HL9HeadingLevel9"/>
    <w:uiPriority w:val="4"/>
    <w:semiHidden/>
    <w:rsid w:val="00C74121"/>
    <w:rPr>
      <w:rFonts w:eastAsiaTheme="majorEastAsia" w:cstheme="majorBidi"/>
      <w:i/>
      <w:iCs/>
      <w:szCs w:val="21"/>
    </w:rPr>
  </w:style>
  <w:style w:type="paragraph" w:styleId="TOCHeading">
    <w:name w:val="TOC Heading"/>
    <w:basedOn w:val="Normal"/>
    <w:next w:val="Normal"/>
    <w:uiPriority w:val="39"/>
    <w:unhideWhenUsed/>
    <w:rsid w:val="00AC4A0D"/>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2F433F"/>
    <w:rPr>
      <w:rFonts w:eastAsiaTheme="majorEastAsia" w:cstheme="majorBidi"/>
      <w:b/>
      <w:caps/>
      <w:sz w:val="28"/>
      <w:szCs w:val="32"/>
    </w:rPr>
  </w:style>
  <w:style w:type="paragraph" w:styleId="TOC1">
    <w:name w:val="toc 1"/>
    <w:basedOn w:val="Normal"/>
    <w:next w:val="Normal"/>
    <w:autoRedefine/>
    <w:uiPriority w:val="39"/>
    <w:unhideWhenUsed/>
    <w:rsid w:val="00FB1839"/>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380795"/>
    <w:pPr>
      <w:tabs>
        <w:tab w:val="left" w:pos="1276"/>
        <w:tab w:val="right" w:leader="dot" w:pos="9060"/>
      </w:tabs>
      <w:spacing w:before="120" w:after="100" w:line="240" w:lineRule="auto"/>
      <w:ind w:left="1276" w:hanging="851"/>
    </w:pPr>
    <w:rPr>
      <w:b/>
      <w:smallCaps/>
    </w:rPr>
  </w:style>
  <w:style w:type="paragraph" w:styleId="TOC3">
    <w:name w:val="toc 3"/>
    <w:basedOn w:val="Normal"/>
    <w:next w:val="Normal"/>
    <w:autoRedefine/>
    <w:uiPriority w:val="39"/>
    <w:unhideWhenUsed/>
    <w:rsid w:val="00380795"/>
    <w:pPr>
      <w:tabs>
        <w:tab w:val="left" w:pos="1701"/>
        <w:tab w:val="right" w:leader="dot" w:pos="9060"/>
      </w:tabs>
      <w:spacing w:before="120" w:after="100" w:line="240" w:lineRule="auto"/>
      <w:ind w:left="1702" w:hanging="851"/>
    </w:pPr>
    <w:rPr>
      <w:b/>
    </w:rPr>
  </w:style>
  <w:style w:type="character" w:styleId="Hyperlink">
    <w:name w:val="Hyperlink"/>
    <w:basedOn w:val="DefaultParagraphFont"/>
    <w:uiPriority w:val="99"/>
    <w:unhideWhenUsed/>
    <w:rsid w:val="00D47F18"/>
    <w:rPr>
      <w:color w:val="0563C1" w:themeColor="hyperlink"/>
      <w:u w:val="single"/>
    </w:rPr>
  </w:style>
  <w:style w:type="paragraph" w:styleId="TOC4">
    <w:name w:val="toc 4"/>
    <w:basedOn w:val="Normal"/>
    <w:next w:val="Normal"/>
    <w:autoRedefine/>
    <w:uiPriority w:val="39"/>
    <w:unhideWhenUsed/>
    <w:rsid w:val="00380795"/>
    <w:pPr>
      <w:tabs>
        <w:tab w:val="left" w:pos="2127"/>
        <w:tab w:val="right" w:leader="dot" w:pos="9060"/>
      </w:tabs>
      <w:spacing w:before="120" w:after="100" w:line="240" w:lineRule="auto"/>
      <w:ind w:left="2127" w:hanging="851"/>
    </w:pPr>
    <w:rPr>
      <w:u w:val="single"/>
    </w:rPr>
  </w:style>
  <w:style w:type="paragraph" w:styleId="TOC5">
    <w:name w:val="toc 5"/>
    <w:basedOn w:val="Normal"/>
    <w:next w:val="Normal"/>
    <w:autoRedefine/>
    <w:uiPriority w:val="39"/>
    <w:unhideWhenUsed/>
    <w:rsid w:val="00380795"/>
    <w:pPr>
      <w:tabs>
        <w:tab w:val="left" w:pos="2552"/>
        <w:tab w:val="right" w:leader="dot" w:pos="9060"/>
      </w:tabs>
      <w:spacing w:before="120" w:after="100" w:line="240" w:lineRule="auto"/>
      <w:ind w:left="2552" w:hanging="851"/>
    </w:pPr>
    <w:rPr>
      <w:i/>
    </w:rPr>
  </w:style>
  <w:style w:type="paragraph" w:styleId="TOC6">
    <w:name w:val="toc 6"/>
    <w:basedOn w:val="Normal"/>
    <w:next w:val="Normal"/>
    <w:autoRedefine/>
    <w:uiPriority w:val="39"/>
    <w:unhideWhenUsed/>
    <w:rsid w:val="00380795"/>
    <w:pPr>
      <w:tabs>
        <w:tab w:val="left" w:pos="2977"/>
        <w:tab w:val="right" w:leader="dot" w:pos="9060"/>
      </w:tabs>
      <w:spacing w:before="120" w:after="100" w:line="240" w:lineRule="auto"/>
      <w:ind w:left="2977" w:hanging="851"/>
    </w:pPr>
  </w:style>
  <w:style w:type="paragraph" w:styleId="TOC7">
    <w:name w:val="toc 7"/>
    <w:basedOn w:val="Normal"/>
    <w:next w:val="Normal"/>
    <w:autoRedefine/>
    <w:uiPriority w:val="39"/>
    <w:unhideWhenUsed/>
    <w:rsid w:val="00380795"/>
    <w:pPr>
      <w:spacing w:before="120" w:after="100" w:line="240" w:lineRule="auto"/>
      <w:ind w:left="3403" w:hanging="851"/>
    </w:pPr>
  </w:style>
  <w:style w:type="paragraph" w:styleId="TOC8">
    <w:name w:val="toc 8"/>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styleId="TOC9">
    <w:name w:val="toc 9"/>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customStyle="1" w:styleId="FCFigureCaption">
    <w:name w:val="[FC] Figure Caption"/>
    <w:basedOn w:val="BTBodyText"/>
    <w:next w:val="BTBodyText"/>
    <w:link w:val="FCFigureCaptionChar"/>
    <w:uiPriority w:val="10"/>
    <w:qFormat/>
    <w:rsid w:val="00EE47D1"/>
    <w:pPr>
      <w:keepNext/>
      <w:numPr>
        <w:numId w:val="4"/>
      </w:numPr>
      <w:spacing w:before="240" w:after="0"/>
      <w:jc w:val="center"/>
      <w:outlineLvl w:val="7"/>
    </w:pPr>
    <w:rPr>
      <w:b/>
    </w:rPr>
  </w:style>
  <w:style w:type="character" w:customStyle="1" w:styleId="FCFigureCaptionChar">
    <w:name w:val="[FC] Figure Caption Char"/>
    <w:basedOn w:val="BTBodyTextChar"/>
    <w:link w:val="FCFigureCaption"/>
    <w:uiPriority w:val="10"/>
    <w:rsid w:val="00EE47D1"/>
    <w:rPr>
      <w:b/>
    </w:rPr>
  </w:style>
  <w:style w:type="paragraph" w:customStyle="1" w:styleId="TCTableCaption">
    <w:name w:val="[TC] Table Caption"/>
    <w:basedOn w:val="FCFigureCaption"/>
    <w:next w:val="BTBodyText"/>
    <w:link w:val="TCTableCaptionChar"/>
    <w:uiPriority w:val="10"/>
    <w:qFormat/>
    <w:rsid w:val="00ED1747"/>
    <w:pPr>
      <w:numPr>
        <w:numId w:val="5"/>
      </w:numPr>
      <w:outlineLvl w:val="8"/>
    </w:pPr>
  </w:style>
  <w:style w:type="table" w:styleId="TableGrid">
    <w:name w:val="Table Grid"/>
    <w:basedOn w:val="TableNormal"/>
    <w:uiPriority w:val="39"/>
    <w:rsid w:val="006F1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CTableCaptionChar">
    <w:name w:val="[TC] Table Caption Char"/>
    <w:basedOn w:val="BTBodyTextChar"/>
    <w:link w:val="TCTableCaption"/>
    <w:uiPriority w:val="10"/>
    <w:rsid w:val="00093175"/>
    <w:rPr>
      <w:b/>
    </w:rPr>
  </w:style>
  <w:style w:type="paragraph" w:customStyle="1" w:styleId="TTTableText">
    <w:name w:val="[TT] Table Text"/>
    <w:basedOn w:val="BTBodyText"/>
    <w:link w:val="TTTableTextChar"/>
    <w:uiPriority w:val="19"/>
    <w:qFormat/>
    <w:rsid w:val="008E0031"/>
    <w:pPr>
      <w:spacing w:before="40" w:after="40" w:line="240" w:lineRule="auto"/>
      <w:jc w:val="left"/>
    </w:pPr>
  </w:style>
  <w:style w:type="paragraph" w:customStyle="1" w:styleId="THTableHeading">
    <w:name w:val="[TH] Table Heading"/>
    <w:basedOn w:val="TTTableText"/>
    <w:link w:val="THTableHeadingChar"/>
    <w:uiPriority w:val="19"/>
    <w:qFormat/>
    <w:rsid w:val="008E0031"/>
    <w:rPr>
      <w:b/>
    </w:rPr>
  </w:style>
  <w:style w:type="character" w:customStyle="1" w:styleId="TTTableTextChar">
    <w:name w:val="[TT] Table Text Char"/>
    <w:basedOn w:val="BTBodyTextChar"/>
    <w:link w:val="TTTableText"/>
    <w:uiPriority w:val="19"/>
    <w:rsid w:val="00093175"/>
  </w:style>
  <w:style w:type="paragraph" w:customStyle="1" w:styleId="AHL1AnnexHeadingLevel1">
    <w:name w:val="[AHL1] Annex Heading Level 1"/>
    <w:basedOn w:val="Heading1"/>
    <w:next w:val="P1-N1Paragraph1-Number1"/>
    <w:link w:val="AHL1AnnexHeadingLevel1Char"/>
    <w:uiPriority w:val="15"/>
    <w:qFormat/>
    <w:rsid w:val="006C1D90"/>
    <w:pPr>
      <w:numPr>
        <w:numId w:val="6"/>
      </w:numPr>
    </w:pPr>
    <w:rPr>
      <w:caps w:val="0"/>
      <w:sz w:val="24"/>
    </w:rPr>
  </w:style>
  <w:style w:type="character" w:customStyle="1" w:styleId="THTableHeadingChar">
    <w:name w:val="[TH] Table Heading Char"/>
    <w:basedOn w:val="TTTableTextChar"/>
    <w:link w:val="THTableHeading"/>
    <w:uiPriority w:val="19"/>
    <w:rsid w:val="00093175"/>
    <w:rPr>
      <w:b/>
    </w:rPr>
  </w:style>
  <w:style w:type="paragraph" w:customStyle="1" w:styleId="AHL2AnnexHeadingLevel2">
    <w:name w:val="[AHL2] Annex Heading Level 2"/>
    <w:basedOn w:val="Heading2"/>
    <w:next w:val="P1-N1Paragraph1-Number1"/>
    <w:link w:val="AHL2AnnexHeadingLevel2Char"/>
    <w:uiPriority w:val="15"/>
    <w:qFormat/>
    <w:rsid w:val="006C1D90"/>
    <w:pPr>
      <w:numPr>
        <w:ilvl w:val="1"/>
        <w:numId w:val="6"/>
      </w:numPr>
    </w:pPr>
    <w:rPr>
      <w:sz w:val="24"/>
    </w:rPr>
  </w:style>
  <w:style w:type="character" w:customStyle="1" w:styleId="AHL1AnnexHeadingLevel1Char">
    <w:name w:val="[AHL1] Annex Heading Level 1 Char"/>
    <w:basedOn w:val="BTBodyTextChar"/>
    <w:link w:val="AHL1AnnexHeadingLevel1"/>
    <w:uiPriority w:val="15"/>
    <w:rsid w:val="00D456CA"/>
    <w:rPr>
      <w:rFonts w:eastAsiaTheme="majorEastAsia" w:cstheme="majorBidi"/>
      <w:b/>
      <w:szCs w:val="32"/>
    </w:rPr>
  </w:style>
  <w:style w:type="paragraph" w:customStyle="1" w:styleId="AHL3AnnexHeadingLevel3">
    <w:name w:val="[AHL3] Annex Heading Level 3"/>
    <w:basedOn w:val="Heading3"/>
    <w:next w:val="P1-N1Paragraph1-Number1"/>
    <w:link w:val="AHL3AnnexHeadingLevel3Char"/>
    <w:uiPriority w:val="15"/>
    <w:qFormat/>
    <w:rsid w:val="0093054A"/>
    <w:pPr>
      <w:numPr>
        <w:ilvl w:val="2"/>
        <w:numId w:val="6"/>
      </w:numPr>
    </w:pPr>
  </w:style>
  <w:style w:type="character" w:customStyle="1" w:styleId="AHL2AnnexHeadingLevel2Char">
    <w:name w:val="[AHL2] Annex Heading Level 2 Char"/>
    <w:basedOn w:val="BTBodyTextChar"/>
    <w:link w:val="AHL2AnnexHeadingLevel2"/>
    <w:uiPriority w:val="15"/>
    <w:rsid w:val="00D456CA"/>
    <w:rPr>
      <w:rFonts w:eastAsiaTheme="majorEastAsia" w:cstheme="majorBidi"/>
      <w:b/>
      <w:smallCaps/>
      <w:szCs w:val="26"/>
    </w:rPr>
  </w:style>
  <w:style w:type="paragraph" w:customStyle="1" w:styleId="AHL4AnnexHeadingLevel4">
    <w:name w:val="[AHL4] Annex Heading Level 4"/>
    <w:basedOn w:val="Heading4"/>
    <w:next w:val="P1-N1Paragraph1-Number1"/>
    <w:link w:val="AHL4AnnexHeadingLevel4Char"/>
    <w:uiPriority w:val="15"/>
    <w:semiHidden/>
    <w:rsid w:val="0093054A"/>
    <w:pPr>
      <w:numPr>
        <w:ilvl w:val="3"/>
        <w:numId w:val="6"/>
      </w:numPr>
    </w:pPr>
  </w:style>
  <w:style w:type="character" w:customStyle="1" w:styleId="AHL3AnnexHeadingLevel3Char">
    <w:name w:val="[AHL3] Annex Heading Level 3 Char"/>
    <w:basedOn w:val="BTBodyTextChar"/>
    <w:link w:val="AHL3AnnexHeadingLevel3"/>
    <w:uiPriority w:val="15"/>
    <w:rsid w:val="00D456CA"/>
    <w:rPr>
      <w:rFonts w:eastAsiaTheme="majorEastAsia" w:cstheme="majorBidi"/>
      <w:b/>
    </w:rPr>
  </w:style>
  <w:style w:type="paragraph" w:customStyle="1" w:styleId="AHL5AnnexHeadingLevel5">
    <w:name w:val="[AHL5] Annex Heading Level 5"/>
    <w:basedOn w:val="Heading5"/>
    <w:next w:val="P1-N1Paragraph1-Number1"/>
    <w:link w:val="AHL5AnnexHeadingLevel5Char"/>
    <w:uiPriority w:val="15"/>
    <w:semiHidden/>
    <w:rsid w:val="006C1D90"/>
    <w:pPr>
      <w:numPr>
        <w:ilvl w:val="4"/>
        <w:numId w:val="6"/>
      </w:numPr>
    </w:pPr>
    <w:rPr>
      <w:b/>
      <w:i w:val="0"/>
    </w:rPr>
  </w:style>
  <w:style w:type="character" w:customStyle="1" w:styleId="AHL4AnnexHeadingLevel4Char">
    <w:name w:val="[AHL4] Annex Heading Level 4 Char"/>
    <w:basedOn w:val="BTBodyTextChar"/>
    <w:link w:val="AHL4AnnexHeadingLevel4"/>
    <w:uiPriority w:val="15"/>
    <w:semiHidden/>
    <w:rsid w:val="00D456CA"/>
    <w:rPr>
      <w:rFonts w:eastAsiaTheme="majorEastAsia" w:cstheme="majorBidi"/>
      <w:iCs/>
      <w:u w:val="single"/>
    </w:rPr>
  </w:style>
  <w:style w:type="paragraph" w:customStyle="1" w:styleId="AHL6AnnexHeadingLevel6">
    <w:name w:val="[AHL6] Annex Heading Level 6"/>
    <w:basedOn w:val="Heading6"/>
    <w:next w:val="P1-N1Paragraph1-Number1"/>
    <w:link w:val="AHL6AnnexHeadingLevel6Char"/>
    <w:uiPriority w:val="15"/>
    <w:semiHidden/>
    <w:rsid w:val="0093054A"/>
    <w:pPr>
      <w:numPr>
        <w:ilvl w:val="5"/>
        <w:numId w:val="6"/>
      </w:numPr>
    </w:pPr>
  </w:style>
  <w:style w:type="character" w:customStyle="1" w:styleId="AHL5AnnexHeadingLevel5Char">
    <w:name w:val="[AHL5] Annex Heading Level 5 Char"/>
    <w:basedOn w:val="BTBodyTextChar"/>
    <w:link w:val="AHL5AnnexHeadingLevel5"/>
    <w:uiPriority w:val="15"/>
    <w:semiHidden/>
    <w:rsid w:val="00D456CA"/>
    <w:rPr>
      <w:rFonts w:eastAsiaTheme="majorEastAsia" w:cstheme="majorBidi"/>
      <w:b/>
    </w:rPr>
  </w:style>
  <w:style w:type="paragraph" w:customStyle="1" w:styleId="AHL7AnnexHeadingLevel7">
    <w:name w:val="[AHL7] Annex Heading Level 7"/>
    <w:basedOn w:val="Heading7"/>
    <w:next w:val="P1-N1Paragraph1-Number1"/>
    <w:link w:val="AHL7AnnexHeadingLevel7Char"/>
    <w:uiPriority w:val="15"/>
    <w:semiHidden/>
    <w:rsid w:val="0093054A"/>
    <w:pPr>
      <w:numPr>
        <w:ilvl w:val="6"/>
        <w:numId w:val="6"/>
      </w:numPr>
    </w:pPr>
  </w:style>
  <w:style w:type="character" w:customStyle="1" w:styleId="AHL6AnnexHeadingLevel6Char">
    <w:name w:val="[AHL6] Annex Heading Level 6 Char"/>
    <w:basedOn w:val="BTBodyTextChar"/>
    <w:link w:val="AHL6AnnexHeadingLevel6"/>
    <w:uiPriority w:val="15"/>
    <w:semiHidden/>
    <w:rsid w:val="00D456CA"/>
    <w:rPr>
      <w:rFonts w:eastAsiaTheme="majorEastAsia" w:cstheme="majorBidi"/>
      <w:u w:val="single"/>
    </w:rPr>
  </w:style>
  <w:style w:type="paragraph" w:customStyle="1" w:styleId="AHL8AnnexHeadingLevel8">
    <w:name w:val="[AHL8] Annex Heading Level 8"/>
    <w:basedOn w:val="Heading8"/>
    <w:next w:val="P1-N1Paragraph1-Number1"/>
    <w:link w:val="AHL8AnnexHeadingLevel8Char"/>
    <w:uiPriority w:val="15"/>
    <w:semiHidden/>
    <w:rsid w:val="0093054A"/>
    <w:pPr>
      <w:numPr>
        <w:ilvl w:val="7"/>
        <w:numId w:val="6"/>
      </w:numPr>
    </w:pPr>
  </w:style>
  <w:style w:type="character" w:customStyle="1" w:styleId="AHL7AnnexHeadingLevel7Char">
    <w:name w:val="[AHL7] Annex Heading Level 7 Char"/>
    <w:basedOn w:val="BTBodyTextChar"/>
    <w:link w:val="AHL7AnnexHeadingLevel7"/>
    <w:uiPriority w:val="15"/>
    <w:semiHidden/>
    <w:rsid w:val="00D456CA"/>
    <w:rPr>
      <w:rFonts w:eastAsiaTheme="majorEastAsia" w:cstheme="majorBidi"/>
      <w:i/>
      <w:iCs/>
    </w:rPr>
  </w:style>
  <w:style w:type="paragraph" w:customStyle="1" w:styleId="AHL9AnnexHeadingLevel9">
    <w:name w:val="[AHL9] Annex Heading Level 9"/>
    <w:basedOn w:val="Heading9"/>
    <w:next w:val="P1-N1Paragraph1-Number1"/>
    <w:link w:val="AHL9AnnexHeadingLevel9Char"/>
    <w:uiPriority w:val="15"/>
    <w:semiHidden/>
    <w:rsid w:val="0093054A"/>
    <w:pPr>
      <w:numPr>
        <w:ilvl w:val="8"/>
        <w:numId w:val="6"/>
      </w:numPr>
    </w:pPr>
  </w:style>
  <w:style w:type="character" w:customStyle="1" w:styleId="AHL8AnnexHeadingLevel8Char">
    <w:name w:val="[AHL8] Annex Heading Level 8 Char"/>
    <w:basedOn w:val="BTBodyTextChar"/>
    <w:link w:val="AHL8AnnexHeadingLevel8"/>
    <w:uiPriority w:val="15"/>
    <w:semiHidden/>
    <w:rsid w:val="00D456CA"/>
    <w:rPr>
      <w:rFonts w:eastAsiaTheme="majorEastAsia" w:cstheme="majorBidi"/>
      <w:szCs w:val="21"/>
      <w:u w:val="single"/>
    </w:rPr>
  </w:style>
  <w:style w:type="paragraph" w:styleId="Header">
    <w:name w:val="header"/>
    <w:basedOn w:val="Normal"/>
    <w:link w:val="HeaderChar"/>
    <w:uiPriority w:val="99"/>
    <w:unhideWhenUsed/>
    <w:rsid w:val="00006269"/>
    <w:pPr>
      <w:tabs>
        <w:tab w:val="center" w:pos="4536"/>
        <w:tab w:val="right" w:pos="9072"/>
      </w:tabs>
      <w:spacing w:after="0" w:line="240" w:lineRule="auto"/>
    </w:pPr>
    <w:rPr>
      <w:sz w:val="22"/>
    </w:rPr>
  </w:style>
  <w:style w:type="character" w:customStyle="1" w:styleId="AHL9AnnexHeadingLevel9Char">
    <w:name w:val="[AHL9] Annex Heading Level 9 Char"/>
    <w:basedOn w:val="BTBodyTextChar"/>
    <w:link w:val="AHL9AnnexHeadingLevel9"/>
    <w:uiPriority w:val="15"/>
    <w:semiHidden/>
    <w:rsid w:val="00D456CA"/>
    <w:rPr>
      <w:rFonts w:eastAsiaTheme="majorEastAsia" w:cstheme="majorBidi"/>
      <w:i/>
      <w:iCs/>
      <w:szCs w:val="21"/>
    </w:rPr>
  </w:style>
  <w:style w:type="character" w:customStyle="1" w:styleId="HeaderChar">
    <w:name w:val="Header Char"/>
    <w:basedOn w:val="DefaultParagraphFont"/>
    <w:link w:val="Header"/>
    <w:uiPriority w:val="99"/>
    <w:rsid w:val="00006269"/>
    <w:rPr>
      <w:sz w:val="22"/>
    </w:rPr>
  </w:style>
  <w:style w:type="paragraph" w:styleId="Footer">
    <w:name w:val="footer"/>
    <w:basedOn w:val="Normal"/>
    <w:link w:val="FooterChar"/>
    <w:uiPriority w:val="99"/>
    <w:unhideWhenUsed/>
    <w:rsid w:val="00006269"/>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006269"/>
    <w:rPr>
      <w:sz w:val="22"/>
    </w:rPr>
  </w:style>
  <w:style w:type="paragraph" w:styleId="FootnoteText">
    <w:name w:val="footnote text"/>
    <w:basedOn w:val="Normal"/>
    <w:link w:val="FootnoteTextChar"/>
    <w:uiPriority w:val="99"/>
    <w:rsid w:val="00EE47D1"/>
    <w:pPr>
      <w:spacing w:after="0" w:line="240" w:lineRule="auto"/>
    </w:pPr>
    <w:rPr>
      <w:sz w:val="18"/>
      <w:szCs w:val="20"/>
    </w:rPr>
  </w:style>
  <w:style w:type="character" w:customStyle="1" w:styleId="FootnoteTextChar">
    <w:name w:val="Footnote Text Char"/>
    <w:basedOn w:val="DefaultParagraphFont"/>
    <w:link w:val="FootnoteText"/>
    <w:uiPriority w:val="99"/>
    <w:rsid w:val="00EE47D1"/>
    <w:rPr>
      <w:sz w:val="18"/>
      <w:szCs w:val="20"/>
    </w:rPr>
  </w:style>
  <w:style w:type="character" w:styleId="FootnoteReference">
    <w:name w:val="footnote reference"/>
    <w:basedOn w:val="DefaultParagraphFont"/>
    <w:uiPriority w:val="99"/>
    <w:rsid w:val="00BD0E60"/>
    <w:rPr>
      <w:rFonts w:ascii="Calibri" w:hAnsi="Calibri"/>
      <w:vertAlign w:val="superscript"/>
    </w:rPr>
  </w:style>
  <w:style w:type="character" w:styleId="UnresolvedMention">
    <w:name w:val="Unresolved Mention"/>
    <w:basedOn w:val="DefaultParagraphFont"/>
    <w:uiPriority w:val="99"/>
    <w:semiHidden/>
    <w:unhideWhenUsed/>
    <w:rsid w:val="00030A32"/>
    <w:rPr>
      <w:color w:val="605E5C"/>
      <w:shd w:val="clear" w:color="auto" w:fill="E1DFDD"/>
    </w:rPr>
  </w:style>
  <w:style w:type="paragraph" w:customStyle="1" w:styleId="WTODTWTODisputeTitle">
    <w:name w:val="[WTODT] WTO Dispute Title"/>
    <w:basedOn w:val="BTBodyText"/>
    <w:link w:val="WTODTWTODisputeTitleChar"/>
    <w:uiPriority w:val="27"/>
    <w:rsid w:val="00DA5381"/>
    <w:pPr>
      <w:spacing w:line="240" w:lineRule="auto"/>
      <w:jc w:val="center"/>
    </w:pPr>
    <w:rPr>
      <w:b/>
      <w:bCs/>
      <w:smallCaps/>
      <w:sz w:val="40"/>
      <w:szCs w:val="40"/>
    </w:rPr>
  </w:style>
  <w:style w:type="paragraph" w:customStyle="1" w:styleId="DSNDSNumber">
    <w:name w:val="[DSN] DS Number"/>
    <w:basedOn w:val="BTBodyText"/>
    <w:link w:val="DSNDSNumberChar"/>
    <w:uiPriority w:val="27"/>
    <w:rsid w:val="00DA5381"/>
    <w:pPr>
      <w:spacing w:line="240" w:lineRule="auto"/>
      <w:jc w:val="center"/>
    </w:pPr>
  </w:style>
  <w:style w:type="character" w:customStyle="1" w:styleId="WTODTWTODisputeTitleChar">
    <w:name w:val="[WTODT] WTO Dispute Title Char"/>
    <w:basedOn w:val="BTBodyTextChar"/>
    <w:link w:val="WTODTWTODisputeTitle"/>
    <w:uiPriority w:val="27"/>
    <w:rsid w:val="0026128E"/>
    <w:rPr>
      <w:b/>
      <w:bCs/>
      <w:smallCaps/>
      <w:sz w:val="40"/>
      <w:szCs w:val="40"/>
    </w:rPr>
  </w:style>
  <w:style w:type="paragraph" w:customStyle="1" w:styleId="DTDocumentTitle">
    <w:name w:val="[DT] Document Title"/>
    <w:basedOn w:val="BTBodyText"/>
    <w:link w:val="DTDocumentTitleChar"/>
    <w:uiPriority w:val="27"/>
    <w:rsid w:val="00DA5381"/>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26128E"/>
  </w:style>
  <w:style w:type="paragraph" w:customStyle="1" w:styleId="DDDocumentDate">
    <w:name w:val="[DD] Document Date"/>
    <w:basedOn w:val="BTBodyText"/>
    <w:link w:val="DDDocumentDateChar"/>
    <w:uiPriority w:val="27"/>
    <w:rsid w:val="00DA5381"/>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26128E"/>
    <w:rPr>
      <w:b/>
      <w:bCs/>
      <w:smallCaps/>
      <w:sz w:val="36"/>
      <w:szCs w:val="36"/>
    </w:rPr>
  </w:style>
  <w:style w:type="character" w:customStyle="1" w:styleId="DDDocumentDateChar">
    <w:name w:val="[DD] Document Date Char"/>
    <w:basedOn w:val="BTBodyTextChar"/>
    <w:link w:val="DDDocumentDate"/>
    <w:uiPriority w:val="27"/>
    <w:rsid w:val="0026128E"/>
    <w:rPr>
      <w:sz w:val="32"/>
      <w:szCs w:val="32"/>
    </w:rPr>
  </w:style>
  <w:style w:type="character" w:styleId="PlaceholderText">
    <w:name w:val="Placeholder Text"/>
    <w:basedOn w:val="DefaultParagraphFont"/>
    <w:uiPriority w:val="99"/>
    <w:semiHidden/>
    <w:rsid w:val="00D52A17"/>
    <w:rPr>
      <w:color w:val="808080"/>
    </w:rPr>
  </w:style>
  <w:style w:type="character" w:styleId="CommentReference">
    <w:name w:val="annotation reference"/>
    <w:basedOn w:val="DefaultParagraphFont"/>
    <w:uiPriority w:val="99"/>
    <w:semiHidden/>
    <w:unhideWhenUsed/>
    <w:rsid w:val="001006B8"/>
    <w:rPr>
      <w:sz w:val="16"/>
      <w:szCs w:val="16"/>
    </w:rPr>
  </w:style>
  <w:style w:type="paragraph" w:styleId="CommentText">
    <w:name w:val="annotation text"/>
    <w:basedOn w:val="Normal"/>
    <w:link w:val="CommentTextChar"/>
    <w:uiPriority w:val="99"/>
    <w:unhideWhenUsed/>
    <w:rsid w:val="001006B8"/>
    <w:pPr>
      <w:spacing w:line="240" w:lineRule="auto"/>
    </w:pPr>
    <w:rPr>
      <w:sz w:val="20"/>
      <w:szCs w:val="20"/>
    </w:rPr>
  </w:style>
  <w:style w:type="character" w:customStyle="1" w:styleId="CommentTextChar">
    <w:name w:val="Comment Text Char"/>
    <w:basedOn w:val="DefaultParagraphFont"/>
    <w:link w:val="CommentText"/>
    <w:uiPriority w:val="99"/>
    <w:rsid w:val="001006B8"/>
    <w:rPr>
      <w:sz w:val="20"/>
      <w:szCs w:val="20"/>
    </w:rPr>
  </w:style>
  <w:style w:type="paragraph" w:styleId="CommentSubject">
    <w:name w:val="annotation subject"/>
    <w:basedOn w:val="CommentText"/>
    <w:next w:val="CommentText"/>
    <w:link w:val="CommentSubjectChar"/>
    <w:uiPriority w:val="99"/>
    <w:semiHidden/>
    <w:unhideWhenUsed/>
    <w:rsid w:val="001006B8"/>
    <w:rPr>
      <w:b/>
      <w:bCs/>
    </w:rPr>
  </w:style>
  <w:style w:type="character" w:customStyle="1" w:styleId="CommentSubjectChar">
    <w:name w:val="Comment Subject Char"/>
    <w:basedOn w:val="CommentTextChar"/>
    <w:link w:val="CommentSubject"/>
    <w:uiPriority w:val="99"/>
    <w:semiHidden/>
    <w:rsid w:val="001006B8"/>
    <w:rPr>
      <w:b/>
      <w:bCs/>
      <w:sz w:val="20"/>
      <w:szCs w:val="20"/>
    </w:rPr>
  </w:style>
  <w:style w:type="paragraph" w:styleId="Revision">
    <w:name w:val="Revision"/>
    <w:hidden/>
    <w:uiPriority w:val="99"/>
    <w:semiHidden/>
    <w:rsid w:val="00810B3E"/>
    <w:pPr>
      <w:spacing w:after="0" w:line="240" w:lineRule="auto"/>
      <w:jc w:val="left"/>
    </w:pPr>
  </w:style>
  <w:style w:type="paragraph" w:customStyle="1" w:styleId="xxmsonormal">
    <w:name w:val="x_x_msonormal"/>
    <w:basedOn w:val="Normal"/>
    <w:rsid w:val="007E1909"/>
    <w:pPr>
      <w:spacing w:before="100" w:beforeAutospacing="1" w:after="100" w:afterAutospacing="1" w:line="240" w:lineRule="auto"/>
      <w:jc w:val="left"/>
    </w:pPr>
    <w:rPr>
      <w:rFonts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
      <w:bodyDiv w:val="1"/>
      <w:marLeft w:val="0"/>
      <w:marRight w:val="0"/>
      <w:marTop w:val="0"/>
      <w:marBottom w:val="0"/>
      <w:divBdr>
        <w:top w:val="none" w:sz="0" w:space="0" w:color="auto"/>
        <w:left w:val="none" w:sz="0" w:space="0" w:color="auto"/>
        <w:bottom w:val="none" w:sz="0" w:space="0" w:color="auto"/>
        <w:right w:val="none" w:sz="0" w:space="0" w:color="auto"/>
      </w:divBdr>
    </w:div>
    <w:div w:id="127892912">
      <w:bodyDiv w:val="1"/>
      <w:marLeft w:val="0"/>
      <w:marRight w:val="0"/>
      <w:marTop w:val="0"/>
      <w:marBottom w:val="0"/>
      <w:divBdr>
        <w:top w:val="none" w:sz="0" w:space="0" w:color="auto"/>
        <w:left w:val="none" w:sz="0" w:space="0" w:color="auto"/>
        <w:bottom w:val="none" w:sz="0" w:space="0" w:color="auto"/>
        <w:right w:val="none" w:sz="0" w:space="0" w:color="auto"/>
      </w:divBdr>
    </w:div>
    <w:div w:id="1326282315">
      <w:bodyDiv w:val="1"/>
      <w:marLeft w:val="0"/>
      <w:marRight w:val="0"/>
      <w:marTop w:val="0"/>
      <w:marBottom w:val="0"/>
      <w:divBdr>
        <w:top w:val="none" w:sz="0" w:space="0" w:color="auto"/>
        <w:left w:val="none" w:sz="0" w:space="0" w:color="auto"/>
        <w:bottom w:val="none" w:sz="0" w:space="0" w:color="auto"/>
        <w:right w:val="none" w:sz="0" w:space="0" w:color="auto"/>
      </w:divBdr>
    </w:div>
    <w:div w:id="1371032027">
      <w:bodyDiv w:val="1"/>
      <w:marLeft w:val="0"/>
      <w:marRight w:val="0"/>
      <w:marTop w:val="0"/>
      <w:marBottom w:val="0"/>
      <w:divBdr>
        <w:top w:val="none" w:sz="0" w:space="0" w:color="auto"/>
        <w:left w:val="none" w:sz="0" w:space="0" w:color="auto"/>
        <w:bottom w:val="none" w:sz="0" w:space="0" w:color="auto"/>
        <w:right w:val="none" w:sz="0" w:space="0" w:color="auto"/>
      </w:divBdr>
    </w:div>
    <w:div w:id="15430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2673</Words>
  <Characters>14575</Characters>
  <Application>Microsoft Office Word</Application>
  <DocSecurity>0</DocSecurity>
  <Lines>265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 MEASURES CONCERNING TRADE IN GOODS - THIRD PARTY ORAL STATEMENT OF AUSTRALIA</dc:title>
  <dc:subject/>
  <dc:creator/>
  <cp:keywords>[SEC=OFFICIAL]</cp:keywords>
  <dc:description/>
  <cp:lastModifiedBy/>
  <cp:revision>1</cp:revision>
  <dcterms:created xsi:type="dcterms:W3CDTF">2024-05-14T01:33:00Z</dcterms:created>
  <dcterms:modified xsi:type="dcterms:W3CDTF">2024-05-14T01:33:00Z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v=2022.1;a=SHA256;h=D8C7464B4D3647DA14C145EE976A695A266C17AE0F4BD55F6B9E3B917976B9D1</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2024-05-14T01:32:54Z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D9F6E5C82DFAF7AB6E3D596D48DD43C72EDFDAB4</vt:lpwstr>
  </property>
  <property fmtid="{D5CDD505-2E9C-101B-9397-08002B2CF9AE}" pid="14" name="PM_DisplayValueSecClassificationWithQualifier">
    <vt:lpwstr>OFFICIAL</vt:lpwstr>
  </property>
  <property fmtid="{D5CDD505-2E9C-101B-9397-08002B2CF9AE}" pid="15" name="PM_Originating_FileId">
    <vt:lpwstr>3ADE6E7B240A4B62B7FBD84D34B99C4C</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3E9DB5AB808CA91EB3E8EC398CDB7F67B110581D6BB28BC88565729DCE387350</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4319217DDCAA27575EB1806B90231ED9</vt:lpwstr>
  </property>
  <property fmtid="{D5CDD505-2E9C-101B-9397-08002B2CF9AE}" pid="25" name="PM_Hash_Salt">
    <vt:lpwstr>4319217DDCAA27575EB1806B90231ED9</vt:lpwstr>
  </property>
  <property fmtid="{D5CDD505-2E9C-101B-9397-08002B2CF9AE}" pid="26" name="PM_Hash_SHA1">
    <vt:lpwstr>80D632C5097873502D6AE5FACDAC4D90468F9C56</vt:lpwstr>
  </property>
</Properties>
</file>