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0647" w14:textId="7337E278" w:rsidR="00667651" w:rsidRDefault="00667651" w:rsidP="00C566A8">
      <w:pPr>
        <w:pStyle w:val="BodyCopy"/>
        <w:rPr>
          <w:noProof/>
        </w:rPr>
      </w:pPr>
      <w:bookmarkStart w:id="0" w:name="_Hlk192230450"/>
    </w:p>
    <w:p w14:paraId="247BCE2D" w14:textId="54C766AA" w:rsidR="001B6539" w:rsidRPr="001B6539" w:rsidRDefault="00751646" w:rsidP="004954B7">
      <w:pPr>
        <w:pStyle w:val="cover-countries"/>
      </w:pPr>
      <w:bookmarkStart w:id="1" w:name="_Hlk187142170"/>
      <w:r w:rsidRPr="001B6539">
        <w:t>A</w:t>
      </w:r>
      <w:r w:rsidR="002A1C96">
        <w:t>u</w:t>
      </w:r>
      <w:r w:rsidRPr="001B6539">
        <w:t>stralia</w:t>
      </w:r>
      <w:r w:rsidR="2C27780B" w:rsidRPr="001B6539">
        <w:t xml:space="preserve"> </w:t>
      </w:r>
      <w:r w:rsidR="004954B7">
        <w:t>–</w:t>
      </w:r>
      <w:r w:rsidR="2C27780B" w:rsidRPr="001B6539">
        <w:t xml:space="preserve"> </w:t>
      </w:r>
      <w:r w:rsidR="00D90C84">
        <w:t>Pacific Regional</w:t>
      </w:r>
    </w:p>
    <w:p w14:paraId="29A0933E" w14:textId="3447CB46" w:rsidR="001B6539" w:rsidRDefault="00751646" w:rsidP="00E83E5F">
      <w:pPr>
        <w:pStyle w:val="cover-DPPandyears"/>
      </w:pPr>
      <w:r w:rsidRPr="001B6539">
        <w:t>Development Partnership Plan</w:t>
      </w:r>
      <w:r w:rsidR="002A1C96">
        <w:t> </w:t>
      </w:r>
      <w:r w:rsidRPr="001B6539">
        <w:t>202</w:t>
      </w:r>
      <w:r w:rsidR="00547BC4">
        <w:t>5</w:t>
      </w:r>
      <w:r w:rsidR="00410E47">
        <w:t>–</w:t>
      </w:r>
      <w:r w:rsidR="00D42AF3">
        <w:t>2029</w:t>
      </w:r>
    </w:p>
    <w:bookmarkEnd w:id="1"/>
    <w:p w14:paraId="103D7111" w14:textId="77777777" w:rsidR="001B6539" w:rsidRPr="001B6539" w:rsidRDefault="001B6539" w:rsidP="001B6539">
      <w:pPr>
        <w:pStyle w:val="H1-Heading1"/>
        <w:sectPr w:rsidR="001B6539" w:rsidRPr="001B6539" w:rsidSect="004B4E82">
          <w:footerReference w:type="default" r:id="rId8"/>
          <w:headerReference w:type="first" r:id="rId9"/>
          <w:endnotePr>
            <w:numFmt w:val="decimal"/>
          </w:endnotePr>
          <w:type w:val="continuous"/>
          <w:pgSz w:w="11906" w:h="16838" w:code="9"/>
          <w:pgMar w:top="1418" w:right="851" w:bottom="1276" w:left="851" w:header="340" w:footer="414" w:gutter="0"/>
          <w:pgNumType w:start="0"/>
          <w:cols w:space="708"/>
          <w:noEndnote/>
          <w:titlePg/>
          <w:docGrid w:linePitch="360"/>
        </w:sectPr>
      </w:pPr>
    </w:p>
    <w:p w14:paraId="60E2786B" w14:textId="77777777" w:rsidR="002F5C5E" w:rsidRPr="00506835" w:rsidRDefault="002F5C5E" w:rsidP="00547BC4">
      <w:pPr>
        <w:pStyle w:val="H2-Heading2"/>
        <w:spacing w:before="0"/>
      </w:pPr>
      <w:r w:rsidRPr="00506835">
        <w:lastRenderedPageBreak/>
        <w:t>Section 1: Introduction</w:t>
      </w:r>
    </w:p>
    <w:p w14:paraId="20274DDA" w14:textId="583ECC31" w:rsidR="002F4955" w:rsidRPr="005027D5" w:rsidRDefault="002F4955" w:rsidP="005027D5">
      <w:pPr>
        <w:pStyle w:val="H3-Heading3"/>
      </w:pPr>
      <w:r w:rsidRPr="005027D5">
        <w:t xml:space="preserve">Australia’s partnership with </w:t>
      </w:r>
      <w:r w:rsidR="00D42AF3" w:rsidRPr="005027D5">
        <w:t>the Pacific</w:t>
      </w:r>
    </w:p>
    <w:p w14:paraId="2C8E41BE" w14:textId="2A40555E" w:rsidR="00B95A00" w:rsidRDefault="00B95A00" w:rsidP="00C6118C">
      <w:r w:rsidRPr="007A5C13">
        <w:t xml:space="preserve">Australia sees the Pacific as family. </w:t>
      </w:r>
      <w:r w:rsidR="00157248">
        <w:t>W</w:t>
      </w:r>
      <w:r w:rsidRPr="007A5C13">
        <w:t xml:space="preserve">e share an ocean and a future </w:t>
      </w:r>
      <w:r w:rsidR="005369AF">
        <w:t>as</w:t>
      </w:r>
      <w:r w:rsidRPr="007A5C13">
        <w:t xml:space="preserve"> custodians of the Blue Pacific Continent. Our</w:t>
      </w:r>
      <w:r w:rsidR="005A7478">
        <w:t> </w:t>
      </w:r>
      <w:r w:rsidRPr="007A5C13">
        <w:t xml:space="preserve">relationships with Pacific countries are longstanding and enduring, based on true partnerships, respect and friendship. </w:t>
      </w:r>
      <w:r w:rsidR="0009071E" w:rsidRPr="007A5C13">
        <w:t xml:space="preserve">These relationships </w:t>
      </w:r>
      <w:r w:rsidRPr="007A5C13">
        <w:t xml:space="preserve">are central to </w:t>
      </w:r>
      <w:r w:rsidR="007A24CE">
        <w:t>Australia’s</w:t>
      </w:r>
      <w:r w:rsidR="007A24CE" w:rsidRPr="007A5C13">
        <w:t xml:space="preserve"> </w:t>
      </w:r>
      <w:r w:rsidRPr="007A5C13">
        <w:t xml:space="preserve">national interest and identity, recognising our shared geography, history and culture and the deeply interconnected nature of our </w:t>
      </w:r>
      <w:r w:rsidR="00157248">
        <w:t>region’s</w:t>
      </w:r>
      <w:r w:rsidR="007A24CE">
        <w:t xml:space="preserve"> peace,</w:t>
      </w:r>
      <w:r w:rsidR="00157248">
        <w:t xml:space="preserve"> stability and </w:t>
      </w:r>
      <w:r w:rsidRPr="007A5C13">
        <w:t>prosperity.</w:t>
      </w:r>
    </w:p>
    <w:p w14:paraId="6F260454" w14:textId="72046AB9" w:rsidR="000550DD" w:rsidRPr="00910370" w:rsidRDefault="000550DD" w:rsidP="00C6118C">
      <w:pPr>
        <w:rPr>
          <w:rFonts w:cs="Calibri Light"/>
          <w:lang w:eastAsia="en-AU"/>
        </w:rPr>
      </w:pPr>
      <w:r w:rsidRPr="000550DD">
        <w:t xml:space="preserve">As a founding member of the </w:t>
      </w:r>
      <w:r w:rsidR="005369AF">
        <w:t>Pacific Islands Forum (</w:t>
      </w:r>
      <w:r w:rsidRPr="000550DD">
        <w:t>PIF</w:t>
      </w:r>
      <w:r w:rsidR="005369AF">
        <w:t>)</w:t>
      </w:r>
      <w:r w:rsidRPr="000550DD">
        <w:t>, Australia is committed to working with the Pacific</w:t>
      </w:r>
      <w:r w:rsidR="00157248">
        <w:t xml:space="preserve"> –</w:t>
      </w:r>
      <w:r w:rsidRPr="000550DD">
        <w:t xml:space="preserve"> and through </w:t>
      </w:r>
      <w:r w:rsidR="00157248">
        <w:t xml:space="preserve">the </w:t>
      </w:r>
      <w:r w:rsidRPr="000550DD">
        <w:t>Pacific</w:t>
      </w:r>
      <w:r w:rsidR="00157248">
        <w:t>’s</w:t>
      </w:r>
      <w:r w:rsidRPr="000550DD">
        <w:t xml:space="preserve"> regional architecture</w:t>
      </w:r>
      <w:r w:rsidR="00157248">
        <w:t xml:space="preserve"> –</w:t>
      </w:r>
      <w:r w:rsidRPr="000550DD">
        <w:t xml:space="preserve"> to navigate shared challenges and safeguard our collective peace</w:t>
      </w:r>
      <w:r w:rsidR="0008056E">
        <w:t>, stability</w:t>
      </w:r>
      <w:r w:rsidRPr="000550DD">
        <w:t xml:space="preserve"> and prosperity. </w:t>
      </w:r>
      <w:r>
        <w:t xml:space="preserve">Our </w:t>
      </w:r>
      <w:r w:rsidRPr="007A5C13">
        <w:t xml:space="preserve">partnership </w:t>
      </w:r>
      <w:r w:rsidRPr="00523466">
        <w:t xml:space="preserve">is guided by the </w:t>
      </w:r>
      <w:r w:rsidR="0094335D">
        <w:t>PIF</w:t>
      </w:r>
      <w:r w:rsidRPr="00523466">
        <w:t xml:space="preserve">’s blueprint </w:t>
      </w:r>
      <w:r w:rsidR="0090156F">
        <w:t>to meet these challenges</w:t>
      </w:r>
      <w:r w:rsidRPr="00523466">
        <w:t xml:space="preserve">: the </w:t>
      </w:r>
      <w:r w:rsidRPr="005D50D9">
        <w:t>2050 Strategy for the Blue Pacific Continent</w:t>
      </w:r>
      <w:r w:rsidR="0094335D">
        <w:t xml:space="preserve"> (2050 Strategy)</w:t>
      </w:r>
      <w:r w:rsidR="000E6BBC">
        <w:t>.</w:t>
      </w:r>
      <w:r w:rsidR="004234D6">
        <w:rPr>
          <w:rStyle w:val="EndnoteReference"/>
        </w:rPr>
        <w:endnoteReference w:id="2"/>
      </w:r>
      <w:r w:rsidRPr="00523466">
        <w:t xml:space="preserve"> Endorsed by PIF </w:t>
      </w:r>
      <w:r w:rsidR="0008056E">
        <w:t>L</w:t>
      </w:r>
      <w:r w:rsidRPr="00523466">
        <w:t>eaders, the 2050 Strategy provides the blueprint to advance Pacific</w:t>
      </w:r>
      <w:r w:rsidR="00547BC4">
        <w:t xml:space="preserve"> </w:t>
      </w:r>
      <w:r w:rsidRPr="00523466">
        <w:t xml:space="preserve">led regionalism. It is a vision for the Pacific’s economic, environmental and </w:t>
      </w:r>
      <w:r w:rsidRPr="00910370">
        <w:rPr>
          <w:rFonts w:cs="Calibri Light"/>
          <w:lang w:eastAsia="en-AU"/>
        </w:rPr>
        <w:t>strategic future.</w:t>
      </w:r>
    </w:p>
    <w:p w14:paraId="7CC4C215" w14:textId="41CF66FF" w:rsidR="002C309A" w:rsidRDefault="002C309A" w:rsidP="00C6118C">
      <w:pPr>
        <w:rPr>
          <w:rFonts w:cs="Calibri Light"/>
          <w:lang w:eastAsia="en-AU"/>
        </w:rPr>
      </w:pPr>
      <w:r w:rsidRPr="00910370">
        <w:rPr>
          <w:rFonts w:cs="Calibri Light"/>
          <w:lang w:eastAsia="en-AU"/>
        </w:rPr>
        <w:t xml:space="preserve">Our engagement in the Pacific aims to support national sovereignty, promote prosperity and development, uphold </w:t>
      </w:r>
      <w:r w:rsidRPr="00173D81">
        <w:rPr>
          <w:rFonts w:cs="Calibri Light"/>
          <w:lang w:eastAsia="en-AU"/>
        </w:rPr>
        <w:t xml:space="preserve">regional unity, and foster peace and security. </w:t>
      </w:r>
      <w:r w:rsidR="00F91DB8">
        <w:rPr>
          <w:rFonts w:cs="Calibri Light"/>
          <w:lang w:eastAsia="en-AU"/>
        </w:rPr>
        <w:t>Our</w:t>
      </w:r>
      <w:r w:rsidR="00F91DB8" w:rsidRPr="00173D81">
        <w:rPr>
          <w:rFonts w:cs="Calibri Light"/>
          <w:lang w:eastAsia="en-AU"/>
        </w:rPr>
        <w:t xml:space="preserve"> </w:t>
      </w:r>
      <w:r w:rsidRPr="00173D81">
        <w:rPr>
          <w:rFonts w:cs="Calibri Light"/>
          <w:lang w:eastAsia="en-AU"/>
        </w:rPr>
        <w:t>engagement takes a whole-of-</w:t>
      </w:r>
      <w:r w:rsidR="003753D5">
        <w:rPr>
          <w:rFonts w:cs="Calibri Light"/>
          <w:lang w:eastAsia="en-AU"/>
        </w:rPr>
        <w:t>country</w:t>
      </w:r>
      <w:r w:rsidR="003753D5" w:rsidRPr="00173D81">
        <w:rPr>
          <w:rFonts w:cs="Calibri Light"/>
          <w:lang w:eastAsia="en-AU"/>
        </w:rPr>
        <w:t xml:space="preserve"> </w:t>
      </w:r>
      <w:r w:rsidRPr="00173D81">
        <w:rPr>
          <w:rFonts w:cs="Calibri Light"/>
          <w:lang w:eastAsia="en-AU"/>
        </w:rPr>
        <w:t>approach, recognising the breadth of our shared interests and the challenges we face collectively</w:t>
      </w:r>
      <w:r w:rsidR="00F91DB8">
        <w:rPr>
          <w:rFonts w:cs="Calibri Light"/>
          <w:lang w:eastAsia="en-AU"/>
        </w:rPr>
        <w:t>,</w:t>
      </w:r>
      <w:r w:rsidRPr="00173D81">
        <w:rPr>
          <w:rFonts w:cs="Calibri Light"/>
          <w:lang w:eastAsia="en-AU"/>
        </w:rPr>
        <w:t xml:space="preserve"> none</w:t>
      </w:r>
      <w:r w:rsidR="00F91DB8">
        <w:rPr>
          <w:rFonts w:cs="Calibri Light"/>
          <w:lang w:eastAsia="en-AU"/>
        </w:rPr>
        <w:t xml:space="preserve"> of which</w:t>
      </w:r>
      <w:r w:rsidR="00AF2A52">
        <w:rPr>
          <w:rFonts w:cs="Calibri Light"/>
          <w:lang w:eastAsia="en-AU"/>
        </w:rPr>
        <w:t xml:space="preserve"> is</w:t>
      </w:r>
      <w:r w:rsidRPr="00173D81">
        <w:rPr>
          <w:rFonts w:cs="Calibri Light"/>
          <w:lang w:eastAsia="en-AU"/>
        </w:rPr>
        <w:t xml:space="preserve"> greater than the threat of climate change.</w:t>
      </w:r>
    </w:p>
    <w:p w14:paraId="584B86F9" w14:textId="4CAF2F09" w:rsidR="003B57ED" w:rsidRDefault="000550DD" w:rsidP="00C6118C">
      <w:pPr>
        <w:rPr>
          <w:rFonts w:cs="Calibri Light"/>
          <w:lang w:eastAsia="en-AU"/>
        </w:rPr>
      </w:pPr>
      <w:r>
        <w:rPr>
          <w:rFonts w:cs="Calibri Light"/>
          <w:lang w:eastAsia="en-AU"/>
        </w:rPr>
        <w:t>A</w:t>
      </w:r>
      <w:r w:rsidR="0046568E" w:rsidRPr="00910370">
        <w:rPr>
          <w:rFonts w:cs="Calibri Light"/>
          <w:lang w:eastAsia="en-AU"/>
        </w:rPr>
        <w:t>ustralia is the region’s largest and longest standing development partner. In 2024</w:t>
      </w:r>
      <w:r w:rsidR="003753D5">
        <w:rPr>
          <w:rFonts w:cs="Calibri Light"/>
          <w:lang w:eastAsia="en-AU"/>
        </w:rPr>
        <w:t>–</w:t>
      </w:r>
      <w:r w:rsidR="0046568E" w:rsidRPr="00910370">
        <w:rPr>
          <w:rFonts w:cs="Calibri Light"/>
          <w:lang w:eastAsia="en-AU"/>
        </w:rPr>
        <w:t>25, Australia will provide a</w:t>
      </w:r>
      <w:r w:rsidR="00840721" w:rsidRPr="00910370">
        <w:rPr>
          <w:rFonts w:cs="Calibri Light"/>
          <w:lang w:eastAsia="en-AU"/>
        </w:rPr>
        <w:t xml:space="preserve"> record</w:t>
      </w:r>
      <w:r w:rsidR="0046568E" w:rsidRPr="00910370">
        <w:rPr>
          <w:rFonts w:cs="Calibri Light"/>
          <w:lang w:eastAsia="en-AU"/>
        </w:rPr>
        <w:t xml:space="preserve"> </w:t>
      </w:r>
      <w:r w:rsidR="00251025">
        <w:rPr>
          <w:rFonts w:cs="Calibri Light"/>
          <w:lang w:eastAsia="en-AU"/>
        </w:rPr>
        <w:t>$</w:t>
      </w:r>
      <w:r w:rsidR="00251025" w:rsidRPr="00910370">
        <w:rPr>
          <w:rFonts w:cs="Calibri Light"/>
          <w:lang w:eastAsia="en-AU"/>
        </w:rPr>
        <w:t>2</w:t>
      </w:r>
      <w:r w:rsidR="0046568E" w:rsidRPr="00910370">
        <w:rPr>
          <w:rFonts w:cs="Calibri Light"/>
          <w:lang w:eastAsia="en-AU"/>
        </w:rPr>
        <w:t>.05 billion in development assistance to the Pacific.</w:t>
      </w:r>
      <w:r w:rsidR="0075735F">
        <w:rPr>
          <w:rFonts w:cs="Calibri Light"/>
          <w:lang w:eastAsia="en-AU"/>
        </w:rPr>
        <w:t xml:space="preserve"> </w:t>
      </w:r>
      <w:r w:rsidR="00436D31" w:rsidRPr="00910370">
        <w:rPr>
          <w:rFonts w:cs="Calibri Light"/>
          <w:lang w:eastAsia="en-AU"/>
        </w:rPr>
        <w:t>Alongside our development program we are leveraging a broad range of national assets to support our Pacific family</w:t>
      </w:r>
      <w:r w:rsidR="003753D5">
        <w:rPr>
          <w:rFonts w:cs="Calibri Light"/>
          <w:lang w:eastAsia="en-AU"/>
        </w:rPr>
        <w:t>,</w:t>
      </w:r>
      <w:r w:rsidR="00436D31" w:rsidRPr="00910370">
        <w:rPr>
          <w:rFonts w:cs="Calibri Light"/>
          <w:lang w:eastAsia="en-AU"/>
        </w:rPr>
        <w:t xml:space="preserve"> including </w:t>
      </w:r>
      <w:r w:rsidR="00251025">
        <w:rPr>
          <w:rFonts w:cs="Calibri Light"/>
          <w:lang w:eastAsia="en-AU"/>
        </w:rPr>
        <w:t>our longstanding security and cooperation</w:t>
      </w:r>
      <w:r w:rsidR="003753D5">
        <w:rPr>
          <w:rFonts w:cs="Calibri Light"/>
          <w:lang w:eastAsia="en-AU"/>
        </w:rPr>
        <w:t>,</w:t>
      </w:r>
      <w:r w:rsidR="00251025">
        <w:rPr>
          <w:rFonts w:cs="Calibri Light"/>
          <w:lang w:eastAsia="en-AU"/>
        </w:rPr>
        <w:t xml:space="preserve"> and </w:t>
      </w:r>
      <w:r w:rsidR="00436D31" w:rsidRPr="00910370">
        <w:rPr>
          <w:rFonts w:cs="Calibri Light"/>
          <w:lang w:eastAsia="en-AU"/>
        </w:rPr>
        <w:t xml:space="preserve">access to labour market and migration pathways. </w:t>
      </w:r>
      <w:r w:rsidR="00BB75D4" w:rsidRPr="00910370">
        <w:rPr>
          <w:rFonts w:cs="Calibri Light"/>
          <w:lang w:eastAsia="en-AU"/>
        </w:rPr>
        <w:t>Australia has a long history as a major trade and investment partner with the Pacific</w:t>
      </w:r>
      <w:r w:rsidR="00251025">
        <w:rPr>
          <w:rFonts w:cs="Calibri Light"/>
          <w:lang w:eastAsia="en-AU"/>
        </w:rPr>
        <w:t>,</w:t>
      </w:r>
      <w:r w:rsidR="005132CF" w:rsidRPr="00910370">
        <w:rPr>
          <w:rFonts w:cs="Calibri Light"/>
          <w:lang w:eastAsia="en-AU"/>
        </w:rPr>
        <w:t xml:space="preserve"> </w:t>
      </w:r>
      <w:r w:rsidR="00BB75D4" w:rsidRPr="00910370">
        <w:rPr>
          <w:rFonts w:cs="Calibri Light"/>
          <w:lang w:eastAsia="en-AU"/>
        </w:rPr>
        <w:t>represent</w:t>
      </w:r>
      <w:r w:rsidR="005132CF" w:rsidRPr="00910370">
        <w:rPr>
          <w:rFonts w:cs="Calibri Light"/>
          <w:lang w:eastAsia="en-AU"/>
        </w:rPr>
        <w:t>ing</w:t>
      </w:r>
      <w:r w:rsidR="00BB75D4" w:rsidRPr="00910370">
        <w:rPr>
          <w:rFonts w:cs="Calibri Light"/>
          <w:lang w:eastAsia="en-AU"/>
        </w:rPr>
        <w:t xml:space="preserve"> approximately 18 per cent of the total merchandise trade (imports plus exports) of </w:t>
      </w:r>
      <w:proofErr w:type="gramStart"/>
      <w:r w:rsidR="00BB75D4" w:rsidRPr="00910370">
        <w:rPr>
          <w:rFonts w:cs="Calibri Light"/>
          <w:lang w:eastAsia="en-AU"/>
        </w:rPr>
        <w:t>Pacific island</w:t>
      </w:r>
      <w:proofErr w:type="gramEnd"/>
      <w:r w:rsidR="00BB75D4" w:rsidRPr="00910370">
        <w:rPr>
          <w:rFonts w:cs="Calibri Light"/>
          <w:lang w:eastAsia="en-AU"/>
        </w:rPr>
        <w:t xml:space="preserve"> countries</w:t>
      </w:r>
      <w:r w:rsidR="00FB4F59">
        <w:rPr>
          <w:rFonts w:cs="Calibri Light"/>
          <w:lang w:eastAsia="en-AU"/>
        </w:rPr>
        <w:t>.</w:t>
      </w:r>
      <w:r w:rsidR="00BB75D4" w:rsidRPr="00910370">
        <w:rPr>
          <w:rFonts w:cs="Calibri Light"/>
          <w:vertAlign w:val="superscript"/>
          <w:lang w:eastAsia="en-AU"/>
        </w:rPr>
        <w:endnoteReference w:id="3"/>
      </w:r>
      <w:r w:rsidR="00BB75D4" w:rsidRPr="00910370">
        <w:rPr>
          <w:rFonts w:cs="Calibri Light"/>
          <w:vertAlign w:val="superscript"/>
          <w:lang w:eastAsia="en-AU"/>
        </w:rPr>
        <w:t xml:space="preserve"> </w:t>
      </w:r>
    </w:p>
    <w:p w14:paraId="2F57B380" w14:textId="43B4A2B9" w:rsidR="00AC5C34" w:rsidRPr="003B57ED" w:rsidRDefault="003B57ED" w:rsidP="00C6118C">
      <w:pPr>
        <w:rPr>
          <w:rFonts w:cs="Calibri Light"/>
          <w:lang w:eastAsia="en-AU"/>
        </w:rPr>
      </w:pPr>
      <w:r>
        <w:rPr>
          <w:rFonts w:cs="Calibri Light"/>
          <w:lang w:eastAsia="en-AU"/>
        </w:rPr>
        <w:t>Australia</w:t>
      </w:r>
      <w:r w:rsidR="00AC5C34" w:rsidRPr="00910370">
        <w:rPr>
          <w:rFonts w:cs="Calibri Light"/>
          <w:lang w:eastAsia="en-AU"/>
        </w:rPr>
        <w:t xml:space="preserve"> is committed to delivering high-quality </w:t>
      </w:r>
      <w:r w:rsidR="001504FD">
        <w:rPr>
          <w:rFonts w:cs="Calibri Light"/>
          <w:lang w:eastAsia="en-AU"/>
        </w:rPr>
        <w:t xml:space="preserve">development </w:t>
      </w:r>
      <w:r w:rsidR="00AC5C34" w:rsidRPr="00910370">
        <w:rPr>
          <w:rFonts w:cs="Calibri Light"/>
          <w:lang w:eastAsia="en-AU"/>
        </w:rPr>
        <w:t>investments that respond to and reflect the needs of local communities across the Pacific. Listening to and respecting Pacific priorities and needs is a fundamental priority for our partnership.</w:t>
      </w:r>
    </w:p>
    <w:p w14:paraId="04EEBE1E" w14:textId="03D36302" w:rsidR="002F4955" w:rsidRPr="005027D5" w:rsidRDefault="002F4955" w:rsidP="005027D5">
      <w:pPr>
        <w:pStyle w:val="H3-Heading3"/>
      </w:pPr>
      <w:r w:rsidRPr="005027D5">
        <w:t>Purpose of the Development Partnership Plan </w:t>
      </w:r>
    </w:p>
    <w:p w14:paraId="6BFBB1D3" w14:textId="77AC4368" w:rsidR="002F4955" w:rsidRPr="00732DA8" w:rsidRDefault="002F4955" w:rsidP="00CA10BF">
      <w:pPr>
        <w:rPr>
          <w:color w:val="313E48"/>
          <w:lang w:eastAsia="en-AU"/>
        </w:rPr>
      </w:pPr>
      <w:r w:rsidRPr="00732DA8">
        <w:rPr>
          <w:lang w:eastAsia="en-AU"/>
        </w:rPr>
        <w:t xml:space="preserve">Australia’s </w:t>
      </w:r>
      <w:hyperlink r:id="rId10">
        <w:r w:rsidR="00D63287">
          <w:rPr>
            <w:rStyle w:val="Hyperlink"/>
            <w:rFonts w:cs="Calibri Light"/>
            <w:lang w:eastAsia="en-AU"/>
          </w:rPr>
          <w:t>I</w:t>
        </w:r>
        <w:r w:rsidRPr="00732DA8">
          <w:rPr>
            <w:rStyle w:val="Hyperlink"/>
            <w:rFonts w:cs="Calibri Light"/>
            <w:lang w:eastAsia="en-AU"/>
          </w:rPr>
          <w:t xml:space="preserve">nternational </w:t>
        </w:r>
        <w:r w:rsidR="00D63287">
          <w:rPr>
            <w:rStyle w:val="Hyperlink"/>
            <w:rFonts w:cs="Calibri Light"/>
            <w:lang w:eastAsia="en-AU"/>
          </w:rPr>
          <w:t>D</w:t>
        </w:r>
        <w:r w:rsidRPr="00732DA8">
          <w:rPr>
            <w:rStyle w:val="Hyperlink"/>
            <w:rFonts w:cs="Calibri Light"/>
            <w:lang w:eastAsia="en-AU"/>
          </w:rPr>
          <w:t xml:space="preserve">evelopment </w:t>
        </w:r>
        <w:r w:rsidR="00D63287">
          <w:rPr>
            <w:rStyle w:val="Hyperlink"/>
            <w:rFonts w:cs="Calibri Light"/>
            <w:lang w:eastAsia="en-AU"/>
          </w:rPr>
          <w:t>P</w:t>
        </w:r>
        <w:r w:rsidRPr="00732DA8">
          <w:rPr>
            <w:rStyle w:val="Hyperlink"/>
            <w:rFonts w:cs="Calibri Light"/>
            <w:lang w:eastAsia="en-AU"/>
          </w:rPr>
          <w:t>olicy</w:t>
        </w:r>
      </w:hyperlink>
      <w:r w:rsidRPr="00732DA8">
        <w:rPr>
          <w:lang w:eastAsia="en-AU"/>
        </w:rPr>
        <w:t xml:space="preserve"> presents a long-term vision for how the development program will meet the critical needs of our partners</w:t>
      </w:r>
      <w:r w:rsidRPr="00732DA8">
        <w:rPr>
          <w:rFonts w:eastAsia="Calibri Light"/>
        </w:rPr>
        <w:t>, support sustainable development and help lift people out of poverty</w:t>
      </w:r>
      <w:r w:rsidRPr="00732DA8">
        <w:rPr>
          <w:lang w:eastAsia="en-AU"/>
        </w:rPr>
        <w:t>. Australia seeks relationships based on respect and partnerships that create economic and social value for us all. To</w:t>
      </w:r>
      <w:r w:rsidR="005A7478">
        <w:rPr>
          <w:lang w:eastAsia="en-AU"/>
        </w:rPr>
        <w:t> </w:t>
      </w:r>
      <w:r w:rsidRPr="00732DA8">
        <w:rPr>
          <w:lang w:eastAsia="en-AU"/>
        </w:rPr>
        <w:t>achieve this, Australia supports our partners to:</w:t>
      </w:r>
    </w:p>
    <w:p w14:paraId="31E1D06F" w14:textId="70CDB3A6" w:rsidR="002F4955" w:rsidRPr="00561CCE" w:rsidRDefault="00561CCE" w:rsidP="008219C1">
      <w:pPr>
        <w:pStyle w:val="NormalBullets-L1"/>
      </w:pPr>
      <w:r>
        <w:t>b</w:t>
      </w:r>
      <w:r w:rsidR="002F4955" w:rsidRPr="00561CCE">
        <w:t>uild effective, accountable states that drive their own development</w:t>
      </w:r>
    </w:p>
    <w:p w14:paraId="3F05F1A4" w14:textId="1E71D9B9" w:rsidR="002F4955" w:rsidRPr="00561CCE" w:rsidRDefault="00561CCE" w:rsidP="008219C1">
      <w:pPr>
        <w:pStyle w:val="NormalBullets-L1"/>
      </w:pPr>
      <w:r>
        <w:t>e</w:t>
      </w:r>
      <w:r w:rsidR="002F4955" w:rsidRPr="00561CCE">
        <w:t>nhance state and community resilience to external pressures and shocks</w:t>
      </w:r>
    </w:p>
    <w:p w14:paraId="6213E6B6" w14:textId="50D69956" w:rsidR="002F4955" w:rsidRPr="00561CCE" w:rsidRDefault="00561CCE" w:rsidP="008219C1">
      <w:pPr>
        <w:pStyle w:val="NormalBullets-L1"/>
      </w:pPr>
      <w:r>
        <w:t>c</w:t>
      </w:r>
      <w:r w:rsidR="002F4955" w:rsidRPr="00561CCE">
        <w:t>onnect with Australia and regional architecture</w:t>
      </w:r>
    </w:p>
    <w:p w14:paraId="3086AE8F" w14:textId="56930FEF" w:rsidR="002F4955" w:rsidRPr="00561CCE" w:rsidRDefault="00561CCE" w:rsidP="008219C1">
      <w:pPr>
        <w:pStyle w:val="NormalBullets-L1"/>
      </w:pPr>
      <w:r>
        <w:t>g</w:t>
      </w:r>
      <w:r w:rsidR="002F4955" w:rsidRPr="00561CCE">
        <w:t>enerate collective action on global challenges that impact us and our region.</w:t>
      </w:r>
    </w:p>
    <w:p w14:paraId="1A8F4CEF" w14:textId="692EF845" w:rsidR="00752D8B" w:rsidRDefault="00752D8B" w:rsidP="00CA10BF">
      <w:pPr>
        <w:rPr>
          <w:lang w:eastAsia="en-AU"/>
        </w:rPr>
      </w:pPr>
      <w:bookmarkStart w:id="2" w:name="_Hlk179387902"/>
      <w:r w:rsidRPr="00752D8B">
        <w:rPr>
          <w:lang w:eastAsia="en-AU"/>
        </w:rPr>
        <w:t xml:space="preserve">The </w:t>
      </w:r>
      <w:r w:rsidR="007545E7">
        <w:rPr>
          <w:lang w:eastAsia="en-AU"/>
        </w:rPr>
        <w:t xml:space="preserve">Australia – </w:t>
      </w:r>
      <w:r w:rsidRPr="00644D35">
        <w:rPr>
          <w:lang w:eastAsia="en-AU"/>
        </w:rPr>
        <w:t>Pacific Regional</w:t>
      </w:r>
      <w:r w:rsidRPr="00752D8B">
        <w:rPr>
          <w:lang w:eastAsia="en-AU"/>
        </w:rPr>
        <w:t xml:space="preserve"> Development Partnership Plan 2024</w:t>
      </w:r>
      <w:r w:rsidR="00C36CF5">
        <w:rPr>
          <w:lang w:eastAsia="en-AU"/>
        </w:rPr>
        <w:t>–</w:t>
      </w:r>
      <w:r w:rsidRPr="00752D8B">
        <w:rPr>
          <w:lang w:eastAsia="en-AU"/>
        </w:rPr>
        <w:t xml:space="preserve">2029 </w:t>
      </w:r>
      <w:r w:rsidR="00C36CF5">
        <w:rPr>
          <w:lang w:eastAsia="en-AU"/>
        </w:rPr>
        <w:t xml:space="preserve">(DPP) </w:t>
      </w:r>
      <w:r w:rsidRPr="00752D8B">
        <w:rPr>
          <w:lang w:eastAsia="en-AU"/>
        </w:rPr>
        <w:t xml:space="preserve">translates into action the development priorities Australia shares with the Pacific. </w:t>
      </w:r>
      <w:r w:rsidR="003A28F4">
        <w:rPr>
          <w:lang w:eastAsia="en-AU"/>
        </w:rPr>
        <w:t>The DPP</w:t>
      </w:r>
      <w:r w:rsidRPr="00752D8B">
        <w:rPr>
          <w:lang w:eastAsia="en-AU"/>
        </w:rPr>
        <w:t xml:space="preserve"> sets out agreed objectives, how we will work together to deliver shared outcomes, and how progress will be monitored. It also identifies where Australia can add value to </w:t>
      </w:r>
      <w:r w:rsidR="00A57C8E">
        <w:rPr>
          <w:lang w:eastAsia="en-AU"/>
        </w:rPr>
        <w:t>regional</w:t>
      </w:r>
      <w:r w:rsidRPr="00752D8B">
        <w:rPr>
          <w:lang w:eastAsia="en-AU"/>
        </w:rPr>
        <w:t xml:space="preserve"> development priorities </w:t>
      </w:r>
      <w:r w:rsidR="00A57C8E">
        <w:rPr>
          <w:lang w:eastAsia="en-AU"/>
        </w:rPr>
        <w:t xml:space="preserve">in the Pacific </w:t>
      </w:r>
      <w:r w:rsidRPr="00752D8B">
        <w:rPr>
          <w:lang w:eastAsia="en-AU"/>
        </w:rPr>
        <w:t xml:space="preserve">and how Australia will work with other development actors, ensuring </w:t>
      </w:r>
      <w:r w:rsidR="0026715B">
        <w:rPr>
          <w:lang w:eastAsia="en-AU"/>
        </w:rPr>
        <w:t>the Australia</w:t>
      </w:r>
      <w:r w:rsidR="00146C51">
        <w:rPr>
          <w:lang w:eastAsia="en-AU"/>
        </w:rPr>
        <w:t>n Government</w:t>
      </w:r>
      <w:r w:rsidRPr="00752D8B">
        <w:rPr>
          <w:lang w:eastAsia="en-AU"/>
        </w:rPr>
        <w:t xml:space="preserve"> contribution to development ambitions</w:t>
      </w:r>
      <w:r w:rsidR="0096244C">
        <w:rPr>
          <w:lang w:eastAsia="en-AU"/>
        </w:rPr>
        <w:t xml:space="preserve"> in the region</w:t>
      </w:r>
      <w:r w:rsidR="00146C51">
        <w:rPr>
          <w:lang w:eastAsia="en-AU"/>
        </w:rPr>
        <w:t xml:space="preserve"> is well coordinated</w:t>
      </w:r>
      <w:r w:rsidRPr="00752D8B">
        <w:rPr>
          <w:lang w:eastAsia="en-AU"/>
        </w:rPr>
        <w:t>.</w:t>
      </w:r>
    </w:p>
    <w:bookmarkEnd w:id="2"/>
    <w:p w14:paraId="5A435D51" w14:textId="15FC36B5" w:rsidR="00683D41" w:rsidRDefault="00683D41" w:rsidP="00683D41">
      <w:pPr>
        <w:rPr>
          <w:lang w:eastAsia="en-AU"/>
        </w:rPr>
      </w:pPr>
      <w:r w:rsidRPr="00732DA8">
        <w:rPr>
          <w:lang w:eastAsia="en-AU"/>
        </w:rPr>
        <w:lastRenderedPageBreak/>
        <w:t xml:space="preserve">The DPP reflects </w:t>
      </w:r>
      <w:r w:rsidRPr="00732DA8">
        <w:rPr>
          <w:rFonts w:eastAsia="Calibri Light"/>
        </w:rPr>
        <w:t xml:space="preserve">the full spectrum of Australia’s development support – </w:t>
      </w:r>
      <w:r>
        <w:rPr>
          <w:rFonts w:eastAsia="Calibri Light"/>
        </w:rPr>
        <w:t>Australian Government</w:t>
      </w:r>
      <w:r w:rsidR="00905F3B">
        <w:rPr>
          <w:rFonts w:eastAsia="Calibri Light"/>
        </w:rPr>
        <w:t xml:space="preserve"> regional</w:t>
      </w:r>
      <w:r w:rsidRPr="00732DA8">
        <w:rPr>
          <w:rFonts w:eastAsia="Calibri Light"/>
        </w:rPr>
        <w:t xml:space="preserve"> </w:t>
      </w:r>
      <w:r w:rsidRPr="00732DA8">
        <w:rPr>
          <w:lang w:eastAsia="en-AU"/>
        </w:rPr>
        <w:t>Official Development Assistance (ODA)</w:t>
      </w:r>
      <w:r w:rsidR="008D554B">
        <w:rPr>
          <w:lang w:eastAsia="en-AU"/>
        </w:rPr>
        <w:t>,</w:t>
      </w:r>
      <w:r w:rsidRPr="00732DA8">
        <w:rPr>
          <w:lang w:eastAsia="en-AU"/>
        </w:rPr>
        <w:t xml:space="preserve"> as well </w:t>
      </w:r>
      <w:r w:rsidR="008D554B">
        <w:rPr>
          <w:lang w:eastAsia="en-AU"/>
        </w:rPr>
        <w:t xml:space="preserve">as </w:t>
      </w:r>
      <w:r w:rsidRPr="00732DA8">
        <w:rPr>
          <w:lang w:eastAsia="en-AU"/>
        </w:rPr>
        <w:t xml:space="preserve">significant </w:t>
      </w:r>
      <w:r w:rsidR="00AA21C9">
        <w:rPr>
          <w:lang w:eastAsia="en-AU"/>
        </w:rPr>
        <w:t xml:space="preserve">bilateral and global ODA and </w:t>
      </w:r>
      <w:r w:rsidRPr="00732DA8">
        <w:rPr>
          <w:lang w:eastAsia="en-AU"/>
        </w:rPr>
        <w:t>non-ODA development activities. A commitment to ongoing dialogue and engagement with government</w:t>
      </w:r>
      <w:r w:rsidR="00183B28">
        <w:rPr>
          <w:lang w:eastAsia="en-AU"/>
        </w:rPr>
        <w:t xml:space="preserve"> and non-government actors</w:t>
      </w:r>
      <w:r>
        <w:rPr>
          <w:lang w:eastAsia="en-AU"/>
        </w:rPr>
        <w:t xml:space="preserve"> </w:t>
      </w:r>
      <w:r w:rsidRPr="00732DA8">
        <w:rPr>
          <w:lang w:eastAsia="en-AU"/>
        </w:rPr>
        <w:t xml:space="preserve">in support of a genuine and respectful partnership underpins this DPP. </w:t>
      </w:r>
      <w:r w:rsidR="00FB0AFE">
        <w:rPr>
          <w:lang w:eastAsia="en-AU"/>
        </w:rPr>
        <w:t>A mid-cycle review of the DPP will be undertaken.</w:t>
      </w:r>
    </w:p>
    <w:p w14:paraId="3E284B71" w14:textId="2D500E34" w:rsidR="003F121D" w:rsidRDefault="003F121D" w:rsidP="00CA10BF">
      <w:pPr>
        <w:rPr>
          <w:lang w:eastAsia="en-AU"/>
        </w:rPr>
      </w:pPr>
      <w:bookmarkStart w:id="3" w:name="_Hlk163041539"/>
      <w:r>
        <w:rPr>
          <w:lang w:eastAsia="en-AU"/>
        </w:rPr>
        <w:t xml:space="preserve">The Pacific Regional Program will evolve over the period </w:t>
      </w:r>
      <w:r w:rsidR="00DD7724">
        <w:rPr>
          <w:lang w:eastAsia="en-AU"/>
        </w:rPr>
        <w:t xml:space="preserve">covered by </w:t>
      </w:r>
      <w:r>
        <w:rPr>
          <w:lang w:eastAsia="en-AU"/>
        </w:rPr>
        <w:t>the DPP. Going forward, w</w:t>
      </w:r>
      <w:r w:rsidRPr="00257F03">
        <w:rPr>
          <w:lang w:eastAsia="en-AU"/>
        </w:rPr>
        <w:t>e w</w:t>
      </w:r>
      <w:r w:rsidR="001504FD">
        <w:rPr>
          <w:lang w:eastAsia="en-AU"/>
        </w:rPr>
        <w:t>ill</w:t>
      </w:r>
      <w:r w:rsidRPr="00257F03">
        <w:rPr>
          <w:lang w:eastAsia="en-AU"/>
        </w:rPr>
        <w:t xml:space="preserve"> </w:t>
      </w:r>
      <w:r>
        <w:rPr>
          <w:lang w:eastAsia="en-AU"/>
        </w:rPr>
        <w:t>drive</w:t>
      </w:r>
      <w:r w:rsidRPr="00257F03">
        <w:rPr>
          <w:lang w:eastAsia="en-AU"/>
        </w:rPr>
        <w:t xml:space="preserve"> greater complementarity between </w:t>
      </w:r>
      <w:r>
        <w:rPr>
          <w:lang w:eastAsia="en-AU"/>
        </w:rPr>
        <w:t xml:space="preserve">Australian Government </w:t>
      </w:r>
      <w:r w:rsidRPr="00257F03">
        <w:rPr>
          <w:lang w:eastAsia="en-AU"/>
        </w:rPr>
        <w:t>bilateral, regional</w:t>
      </w:r>
      <w:r>
        <w:rPr>
          <w:lang w:eastAsia="en-AU"/>
        </w:rPr>
        <w:t xml:space="preserve"> and</w:t>
      </w:r>
      <w:r w:rsidRPr="00257F03">
        <w:rPr>
          <w:lang w:eastAsia="en-AU"/>
        </w:rPr>
        <w:t xml:space="preserve"> global programs. </w:t>
      </w:r>
      <w:r w:rsidR="001504FD">
        <w:t>W</w:t>
      </w:r>
      <w:r>
        <w:t xml:space="preserve">e will </w:t>
      </w:r>
      <w:r w:rsidRPr="007B6EC9">
        <w:t>consolidat</w:t>
      </w:r>
      <w:r>
        <w:t>e</w:t>
      </w:r>
      <w:r w:rsidRPr="007B6EC9">
        <w:t xml:space="preserve"> our regional portfolio around a </w:t>
      </w:r>
      <w:r w:rsidR="001504FD">
        <w:t>set</w:t>
      </w:r>
      <w:r w:rsidRPr="007B6EC9">
        <w:t xml:space="preserve"> of flagship investments to improve efficiency, impact and alignment with priorities</w:t>
      </w:r>
      <w:r w:rsidR="006D75C8">
        <w:t xml:space="preserve"> of bilateral DPPs </w:t>
      </w:r>
      <w:r w:rsidR="00EE1537">
        <w:t>with</w:t>
      </w:r>
      <w:r w:rsidR="006D75C8">
        <w:t xml:space="preserve"> countries in the Pacific</w:t>
      </w:r>
      <w:r w:rsidRPr="007B6EC9">
        <w:t>.</w:t>
      </w:r>
      <w:r w:rsidR="00687005">
        <w:t xml:space="preserve"> </w:t>
      </w:r>
      <w:r w:rsidR="001504FD">
        <w:t>To this end,</w:t>
      </w:r>
      <w:r w:rsidR="00687005">
        <w:t xml:space="preserve"> investments under the</w:t>
      </w:r>
      <w:r w:rsidR="006B2D5D">
        <w:t xml:space="preserve"> regional</w:t>
      </w:r>
      <w:r w:rsidR="00687005">
        <w:t xml:space="preserve"> portfolio will </w:t>
      </w:r>
      <w:r w:rsidR="008A538C">
        <w:t xml:space="preserve">be assessed </w:t>
      </w:r>
      <w:r w:rsidR="008C2124">
        <w:t xml:space="preserve">for </w:t>
      </w:r>
      <w:r w:rsidR="008A538C">
        <w:t xml:space="preserve">the extent to which they </w:t>
      </w:r>
      <w:r w:rsidR="006206BC" w:rsidRPr="00752D8B">
        <w:rPr>
          <w:rFonts w:cs="Calibri Light"/>
          <w:lang w:eastAsia="en-AU"/>
        </w:rPr>
        <w:t>align with the 2050 Strategy</w:t>
      </w:r>
      <w:r w:rsidR="006206BC">
        <w:rPr>
          <w:rFonts w:cs="Calibri Light"/>
          <w:lang w:eastAsia="en-AU"/>
        </w:rPr>
        <w:t>,</w:t>
      </w:r>
      <w:r w:rsidR="006206BC" w:rsidRPr="00752D8B">
        <w:rPr>
          <w:rFonts w:cs="Calibri Light"/>
          <w:lang w:eastAsia="en-AU"/>
        </w:rPr>
        <w:t xml:space="preserve"> </w:t>
      </w:r>
      <w:r w:rsidR="00E71766">
        <w:rPr>
          <w:rFonts w:cs="Calibri Light"/>
          <w:lang w:eastAsia="en-AU"/>
        </w:rPr>
        <w:t>respond to Pacific priorities</w:t>
      </w:r>
      <w:r w:rsidR="00CA04AD" w:rsidRPr="00752D8B">
        <w:rPr>
          <w:rFonts w:cs="Calibri Light"/>
          <w:lang w:eastAsia="en-AU"/>
        </w:rPr>
        <w:t>, deepen regional cooperation, address transboundary issues</w:t>
      </w:r>
      <w:r w:rsidR="006206BC">
        <w:rPr>
          <w:rFonts w:cs="Calibri Light"/>
          <w:lang w:eastAsia="en-AU"/>
        </w:rPr>
        <w:t xml:space="preserve"> and</w:t>
      </w:r>
      <w:r w:rsidR="00CA04AD" w:rsidRPr="00752D8B">
        <w:rPr>
          <w:rFonts w:cs="Calibri Light"/>
          <w:lang w:eastAsia="en-AU"/>
        </w:rPr>
        <w:t xml:space="preserve"> </w:t>
      </w:r>
      <w:r w:rsidR="00101C0E">
        <w:rPr>
          <w:rFonts w:cs="Calibri Light"/>
          <w:lang w:eastAsia="en-AU"/>
        </w:rPr>
        <w:t>align with</w:t>
      </w:r>
      <w:r w:rsidR="00CA04AD" w:rsidRPr="00752D8B">
        <w:rPr>
          <w:rFonts w:cs="Calibri Light"/>
          <w:lang w:eastAsia="en-AU"/>
        </w:rPr>
        <w:t xml:space="preserve"> bilateral priorities</w:t>
      </w:r>
      <w:r w:rsidR="006206BC">
        <w:rPr>
          <w:rFonts w:cs="Calibri Light"/>
          <w:lang w:eastAsia="en-AU"/>
        </w:rPr>
        <w:t xml:space="preserve">. </w:t>
      </w:r>
      <w:r w:rsidR="00597A75">
        <w:rPr>
          <w:rFonts w:cs="Calibri Light"/>
          <w:lang w:eastAsia="en-AU"/>
        </w:rPr>
        <w:t>We will build on the strengths of our longstanding partnerships and investments</w:t>
      </w:r>
      <w:r w:rsidR="00956EBA">
        <w:rPr>
          <w:rFonts w:cs="Calibri Light"/>
          <w:lang w:eastAsia="en-AU"/>
        </w:rPr>
        <w:t>, reflecting on lessons learn</w:t>
      </w:r>
      <w:r w:rsidR="00B86C51">
        <w:rPr>
          <w:rFonts w:cs="Calibri Light"/>
          <w:lang w:eastAsia="en-AU"/>
        </w:rPr>
        <w:t>ed</w:t>
      </w:r>
      <w:r w:rsidR="00956EBA">
        <w:rPr>
          <w:rFonts w:cs="Calibri Light"/>
          <w:lang w:eastAsia="en-AU"/>
        </w:rPr>
        <w:t xml:space="preserve"> and responding to new priorities</w:t>
      </w:r>
      <w:r w:rsidR="00BE666E">
        <w:rPr>
          <w:rFonts w:cs="Calibri Light"/>
          <w:lang w:eastAsia="en-AU"/>
        </w:rPr>
        <w:t xml:space="preserve"> as they emerge</w:t>
      </w:r>
      <w:r w:rsidR="00597A75">
        <w:rPr>
          <w:rFonts w:cs="Calibri Light"/>
          <w:lang w:eastAsia="en-AU"/>
        </w:rPr>
        <w:t>.</w:t>
      </w:r>
      <w:r w:rsidR="00597A75" w:rsidRPr="00910370">
        <w:rPr>
          <w:rFonts w:cs="Calibri Light"/>
          <w:lang w:eastAsia="en-AU"/>
        </w:rPr>
        <w:t xml:space="preserve"> </w:t>
      </w:r>
      <w:r w:rsidRPr="0064701E">
        <w:rPr>
          <w:lang w:eastAsia="en-AU"/>
        </w:rPr>
        <w:t xml:space="preserve">All programs will require improved monitoring and </w:t>
      </w:r>
      <w:r w:rsidRPr="00180057">
        <w:rPr>
          <w:lang w:eastAsia="en-AU"/>
        </w:rPr>
        <w:t>evaluation to ensure transparency in ODA reporting.</w:t>
      </w:r>
    </w:p>
    <w:bookmarkEnd w:id="3"/>
    <w:p w14:paraId="7F099448" w14:textId="1394D4EE" w:rsidR="00091A4F" w:rsidRPr="000A1341" w:rsidRDefault="00091A4F" w:rsidP="00CA10BF">
      <w:pPr>
        <w:rPr>
          <w:lang w:eastAsia="en-AU"/>
        </w:rPr>
      </w:pPr>
      <w:r w:rsidRPr="000A1341">
        <w:rPr>
          <w:lang w:eastAsia="en-AU"/>
        </w:rPr>
        <w:t>Th</w:t>
      </w:r>
      <w:r w:rsidR="008C2124">
        <w:rPr>
          <w:lang w:eastAsia="en-AU"/>
        </w:rPr>
        <w:t>is</w:t>
      </w:r>
      <w:r w:rsidRPr="000A1341">
        <w:rPr>
          <w:lang w:eastAsia="en-AU"/>
        </w:rPr>
        <w:t xml:space="preserve"> DPP sets out </w:t>
      </w:r>
      <w:r w:rsidR="008C2124" w:rsidRPr="000A1341">
        <w:rPr>
          <w:lang w:eastAsia="en-AU"/>
        </w:rPr>
        <w:t>wh</w:t>
      </w:r>
      <w:r w:rsidR="008C2124">
        <w:rPr>
          <w:lang w:eastAsia="en-AU"/>
        </w:rPr>
        <w:t>ich</w:t>
      </w:r>
      <w:r w:rsidR="008C2124" w:rsidRPr="000A1341">
        <w:rPr>
          <w:lang w:eastAsia="en-AU"/>
        </w:rPr>
        <w:t xml:space="preserve"> </w:t>
      </w:r>
      <w:r w:rsidRPr="000A1341">
        <w:rPr>
          <w:lang w:eastAsia="en-AU"/>
        </w:rPr>
        <w:t xml:space="preserve">approaches we will maintain and </w:t>
      </w:r>
      <w:r w:rsidR="008C2124" w:rsidRPr="000A1341">
        <w:rPr>
          <w:lang w:eastAsia="en-AU"/>
        </w:rPr>
        <w:t>wh</w:t>
      </w:r>
      <w:r w:rsidR="008C2124">
        <w:rPr>
          <w:lang w:eastAsia="en-AU"/>
        </w:rPr>
        <w:t>ich</w:t>
      </w:r>
      <w:r w:rsidR="008C2124" w:rsidRPr="000A1341">
        <w:rPr>
          <w:lang w:eastAsia="en-AU"/>
        </w:rPr>
        <w:t xml:space="preserve"> </w:t>
      </w:r>
      <w:r w:rsidR="008D021E">
        <w:rPr>
          <w:lang w:eastAsia="en-AU"/>
        </w:rPr>
        <w:t xml:space="preserve">we </w:t>
      </w:r>
      <w:r w:rsidRPr="000A1341">
        <w:rPr>
          <w:lang w:eastAsia="en-AU"/>
        </w:rPr>
        <w:t xml:space="preserve">will adapt or significantly change. </w:t>
      </w:r>
      <w:r w:rsidR="008C2124">
        <w:rPr>
          <w:lang w:eastAsia="en-AU"/>
        </w:rPr>
        <w:t>Its k</w:t>
      </w:r>
      <w:r w:rsidRPr="000A1341">
        <w:rPr>
          <w:lang w:eastAsia="en-AU"/>
        </w:rPr>
        <w:t>ey features are:</w:t>
      </w:r>
    </w:p>
    <w:p w14:paraId="562FFA58" w14:textId="24E2DDD6" w:rsidR="005140D4" w:rsidRPr="00561CCE" w:rsidRDefault="00091A4F" w:rsidP="008219C1">
      <w:pPr>
        <w:pStyle w:val="NormalBullets-L1"/>
      </w:pPr>
      <w:r w:rsidRPr="00561CCE">
        <w:t xml:space="preserve">maintaining our long-term support for regional institutions, </w:t>
      </w:r>
      <w:r w:rsidR="005140D4" w:rsidRPr="00561CCE">
        <w:t xml:space="preserve">including </w:t>
      </w:r>
      <w:r w:rsidR="00AB0AF9" w:rsidRPr="00561CCE">
        <w:t xml:space="preserve">the </w:t>
      </w:r>
      <w:r w:rsidR="005140D4" w:rsidRPr="00561CCE">
        <w:t>PIF, the Pacific Community (SPC), the</w:t>
      </w:r>
      <w:r w:rsidR="00FA44B5">
        <w:t xml:space="preserve"> Pacific Islands</w:t>
      </w:r>
      <w:r w:rsidR="005140D4" w:rsidRPr="00561CCE">
        <w:t xml:space="preserve"> Forum Fisheries </w:t>
      </w:r>
      <w:r w:rsidR="007E4138" w:rsidRPr="00561CCE">
        <w:t>Agency,</w:t>
      </w:r>
      <w:r w:rsidR="005140D4" w:rsidRPr="00561CCE">
        <w:t xml:space="preserve"> </w:t>
      </w:r>
      <w:r w:rsidR="00B85B65">
        <w:t xml:space="preserve">the </w:t>
      </w:r>
      <w:r w:rsidR="005140D4" w:rsidRPr="00561CCE">
        <w:t>Secretariat of the Pacific Regional Environment Program</w:t>
      </w:r>
      <w:r w:rsidR="000F39CB">
        <w:t>me</w:t>
      </w:r>
      <w:r w:rsidR="005140D4" w:rsidRPr="00561CCE">
        <w:t xml:space="preserve"> and the University of the South Pacific</w:t>
      </w:r>
    </w:p>
    <w:p w14:paraId="5504C0D3" w14:textId="62ACD34C" w:rsidR="005140D4" w:rsidRPr="00561CCE" w:rsidRDefault="005140D4" w:rsidP="008219C1">
      <w:pPr>
        <w:pStyle w:val="NormalBullets-L1"/>
      </w:pPr>
      <w:r w:rsidRPr="00561CCE">
        <w:t xml:space="preserve">embedding a regional approach to security, with </w:t>
      </w:r>
      <w:r w:rsidR="00FB4A82">
        <w:t xml:space="preserve">the </w:t>
      </w:r>
      <w:r w:rsidRPr="00561CCE">
        <w:t>PIF at the heart of how we manage</w:t>
      </w:r>
      <w:r w:rsidR="00671AE1" w:rsidRPr="00561CCE">
        <w:t xml:space="preserve"> this</w:t>
      </w:r>
      <w:r w:rsidRPr="00561CCE">
        <w:t xml:space="preserve"> collective </w:t>
      </w:r>
      <w:r w:rsidR="00671AE1" w:rsidRPr="00561CCE">
        <w:t>challenge</w:t>
      </w:r>
    </w:p>
    <w:p w14:paraId="3C6E69AD" w14:textId="38B845B2" w:rsidR="00091A4F" w:rsidRPr="00561CCE" w:rsidRDefault="00EF5F5D" w:rsidP="008219C1">
      <w:pPr>
        <w:pStyle w:val="NormalBullets-L1"/>
      </w:pPr>
      <w:r w:rsidRPr="00561CCE">
        <w:t>expanding our support for climate and disaster resilience</w:t>
      </w:r>
      <w:r w:rsidR="00671AE1" w:rsidRPr="00561CCE">
        <w:t xml:space="preserve"> </w:t>
      </w:r>
      <w:r w:rsidR="00FB4A82">
        <w:t>–</w:t>
      </w:r>
      <w:r w:rsidR="00671AE1" w:rsidRPr="00561CCE">
        <w:t xml:space="preserve"> </w:t>
      </w:r>
      <w:r w:rsidR="00FB4A82">
        <w:t xml:space="preserve">including </w:t>
      </w:r>
      <w:r w:rsidRPr="00561CCE">
        <w:t>invest</w:t>
      </w:r>
      <w:r w:rsidR="00671AE1" w:rsidRPr="00561CCE">
        <w:t>ing</w:t>
      </w:r>
      <w:r w:rsidRPr="00561CCE">
        <w:t xml:space="preserve"> in</w:t>
      </w:r>
      <w:r w:rsidR="00091A4F" w:rsidRPr="00561CCE">
        <w:t xml:space="preserve"> the region’s transition to renewable energy, </w:t>
      </w:r>
      <w:r w:rsidR="00671AE1" w:rsidRPr="00561CCE">
        <w:t>supporting</w:t>
      </w:r>
      <w:r w:rsidR="00091A4F" w:rsidRPr="00561CCE">
        <w:t xml:space="preserve"> climate resilience, provid</w:t>
      </w:r>
      <w:r w:rsidR="00671AE1" w:rsidRPr="00561CCE">
        <w:t>ing</w:t>
      </w:r>
      <w:r w:rsidR="00091A4F" w:rsidRPr="00561CCE">
        <w:t xml:space="preserve"> more targeted climate finance, and shar</w:t>
      </w:r>
      <w:r w:rsidR="00671AE1" w:rsidRPr="00561CCE">
        <w:t>ing</w:t>
      </w:r>
      <w:r w:rsidR="005C3380" w:rsidRPr="00561CCE">
        <w:t xml:space="preserve"> </w:t>
      </w:r>
      <w:r w:rsidR="00091A4F" w:rsidRPr="00561CCE">
        <w:t>innovations in climate adaptation</w:t>
      </w:r>
    </w:p>
    <w:p w14:paraId="7D430BA6" w14:textId="26A2F680" w:rsidR="00401F27" w:rsidRPr="00561CCE" w:rsidRDefault="00091A4F" w:rsidP="008219C1">
      <w:pPr>
        <w:pStyle w:val="NormalBullets-L1"/>
      </w:pPr>
      <w:r w:rsidRPr="00561CCE">
        <w:t>increasing our investment in</w:t>
      </w:r>
      <w:r w:rsidR="00BB75D4" w:rsidRPr="00561CCE">
        <w:t xml:space="preserve"> economic </w:t>
      </w:r>
      <w:r w:rsidR="005140D4" w:rsidRPr="00561CCE">
        <w:t>growth</w:t>
      </w:r>
      <w:r w:rsidR="00401F27" w:rsidRPr="00561CCE">
        <w:t xml:space="preserve"> and </w:t>
      </w:r>
      <w:r w:rsidRPr="00561CCE">
        <w:t xml:space="preserve">connectivity </w:t>
      </w:r>
      <w:r w:rsidR="00D94A24" w:rsidRPr="00561CCE">
        <w:t>–</w:t>
      </w:r>
      <w:r w:rsidR="00671AE1" w:rsidRPr="00561CCE">
        <w:t xml:space="preserve"> </w:t>
      </w:r>
      <w:r w:rsidR="00D94A24" w:rsidRPr="00561CCE">
        <w:t xml:space="preserve">including </w:t>
      </w:r>
      <w:r w:rsidR="00401F27" w:rsidRPr="00561CCE">
        <w:t xml:space="preserve">investments in high-quality, transformative infrastructure such as highways, seaports, aviation links </w:t>
      </w:r>
      <w:r w:rsidR="00F40C7A">
        <w:t>and</w:t>
      </w:r>
      <w:r w:rsidR="00401F27" w:rsidRPr="00561CCE">
        <w:t xml:space="preserve"> </w:t>
      </w:r>
      <w:r w:rsidR="007675FF" w:rsidRPr="00561CCE">
        <w:t>telecommunication</w:t>
      </w:r>
      <w:r w:rsidR="00F40C7A">
        <w:t>s infrastructure</w:t>
      </w:r>
    </w:p>
    <w:p w14:paraId="4525765F" w14:textId="61D46601" w:rsidR="005140D4" w:rsidRPr="00561CCE" w:rsidRDefault="005140D4" w:rsidP="008219C1">
      <w:pPr>
        <w:pStyle w:val="NormalBullets-L1"/>
      </w:pPr>
      <w:r w:rsidRPr="00561CCE">
        <w:t>supporting greater integration of</w:t>
      </w:r>
      <w:r w:rsidR="001504FD" w:rsidRPr="00561CCE">
        <w:t xml:space="preserve"> Australia’s economy with </w:t>
      </w:r>
      <w:r w:rsidR="00E8287D">
        <w:t>economies in</w:t>
      </w:r>
      <w:r w:rsidR="001504FD" w:rsidRPr="00561CCE">
        <w:t xml:space="preserve"> the region</w:t>
      </w:r>
      <w:r w:rsidRPr="00561CCE">
        <w:t>, by improving access to markets</w:t>
      </w:r>
      <w:r w:rsidR="00D94A24" w:rsidRPr="00561CCE">
        <w:t xml:space="preserve">, </w:t>
      </w:r>
      <w:r w:rsidRPr="00561CCE">
        <w:t>attracting more investment, boosting business links</w:t>
      </w:r>
      <w:r w:rsidR="001504FD" w:rsidRPr="00561CCE">
        <w:t>,</w:t>
      </w:r>
      <w:r w:rsidRPr="00561CCE">
        <w:t xml:space="preserve"> streamlining trade</w:t>
      </w:r>
      <w:r w:rsidR="000A6797" w:rsidRPr="00561CCE">
        <w:t>, and e</w:t>
      </w:r>
      <w:r w:rsidR="00D94A24" w:rsidRPr="00561CCE">
        <w:t>xpand</w:t>
      </w:r>
      <w:r w:rsidR="001504FD" w:rsidRPr="00561CCE">
        <w:t xml:space="preserve">ing </w:t>
      </w:r>
      <w:r w:rsidR="00D94A24" w:rsidRPr="00561CCE">
        <w:t>and improv</w:t>
      </w:r>
      <w:r w:rsidR="001504FD" w:rsidRPr="00561CCE">
        <w:t>ing</w:t>
      </w:r>
      <w:r w:rsidR="00D94A24" w:rsidRPr="00561CCE">
        <w:t xml:space="preserve"> mobility pathways designed to support Pacific priorities</w:t>
      </w:r>
    </w:p>
    <w:p w14:paraId="725572DA" w14:textId="73C48005" w:rsidR="00835EE9" w:rsidRPr="00561CCE" w:rsidRDefault="00835EE9" w:rsidP="008219C1">
      <w:pPr>
        <w:pStyle w:val="NormalBullets-L1"/>
      </w:pPr>
      <w:r w:rsidRPr="00561CCE">
        <w:t>broaden</w:t>
      </w:r>
      <w:r w:rsidR="00671AE1" w:rsidRPr="00561CCE">
        <w:t>ing</w:t>
      </w:r>
      <w:r w:rsidRPr="00561CCE">
        <w:t xml:space="preserve"> and deepen</w:t>
      </w:r>
      <w:r w:rsidR="00671AE1" w:rsidRPr="00561CCE">
        <w:t>ing</w:t>
      </w:r>
      <w:r w:rsidRPr="00561CCE">
        <w:t xml:space="preserve"> personal and community connections through sport, culture and church linkages, including with Australian First Nations people and </w:t>
      </w:r>
      <w:r w:rsidR="00081557" w:rsidRPr="00561CCE">
        <w:t xml:space="preserve">the </w:t>
      </w:r>
      <w:r w:rsidRPr="00561CCE">
        <w:t>Pacific diaspora in Australia</w:t>
      </w:r>
    </w:p>
    <w:p w14:paraId="12D71904" w14:textId="78747D8B" w:rsidR="00091A4F" w:rsidRPr="00561CCE" w:rsidRDefault="007309C4" w:rsidP="008219C1">
      <w:pPr>
        <w:pStyle w:val="NormalBullets-L1"/>
      </w:pPr>
      <w:r w:rsidRPr="00561CCE">
        <w:t>maintaining our longstanding support for g</w:t>
      </w:r>
      <w:r w:rsidR="00091A4F" w:rsidRPr="00561CCE">
        <w:t>ender equality, disability and social inclusion</w:t>
      </w:r>
      <w:r w:rsidR="00AD1EA5">
        <w:t xml:space="preserve"> (GEDSI)</w:t>
      </w:r>
    </w:p>
    <w:p w14:paraId="4A66D4CB" w14:textId="2C5A18FE" w:rsidR="0046093F" w:rsidRPr="00561CCE" w:rsidRDefault="00081557" w:rsidP="008219C1">
      <w:pPr>
        <w:pStyle w:val="NormalBullets-L1"/>
      </w:pPr>
      <w:r w:rsidRPr="00561CCE">
        <w:t>promoting</w:t>
      </w:r>
      <w:r w:rsidR="0046093F" w:rsidRPr="00561CCE">
        <w:t xml:space="preserve"> locally</w:t>
      </w:r>
      <w:r w:rsidR="009B590D">
        <w:t xml:space="preserve"> </w:t>
      </w:r>
      <w:r w:rsidR="0046093F" w:rsidRPr="00561CCE">
        <w:t>led approaches, ensuring support is demand driven and aligned with shared values</w:t>
      </w:r>
    </w:p>
    <w:p w14:paraId="65FE4EC1" w14:textId="54D760F1" w:rsidR="0046093F" w:rsidRPr="00561CCE" w:rsidRDefault="00DF09C1" w:rsidP="008219C1">
      <w:pPr>
        <w:pStyle w:val="NormalBullets-L1"/>
      </w:pPr>
      <w:r w:rsidRPr="00561CCE">
        <w:t>i</w:t>
      </w:r>
      <w:r w:rsidR="0046093F" w:rsidRPr="00561CCE">
        <w:t>mprov</w:t>
      </w:r>
      <w:r w:rsidR="00081557" w:rsidRPr="00561CCE">
        <w:t>ing</w:t>
      </w:r>
      <w:r w:rsidR="0046093F" w:rsidRPr="00561CCE">
        <w:t xml:space="preserve"> coordination across regional</w:t>
      </w:r>
      <w:r w:rsidR="009B590D">
        <w:t xml:space="preserve"> and</w:t>
      </w:r>
      <w:r w:rsidR="0046093F" w:rsidRPr="00561CCE">
        <w:t xml:space="preserve"> bilateral</w:t>
      </w:r>
      <w:r w:rsidR="009B590D">
        <w:t xml:space="preserve"> </w:t>
      </w:r>
      <w:r w:rsidR="007E4138">
        <w:t xml:space="preserve">ODA </w:t>
      </w:r>
      <w:r w:rsidR="007E4138" w:rsidRPr="00561CCE">
        <w:t>and</w:t>
      </w:r>
      <w:r w:rsidR="0046093F" w:rsidRPr="00561CCE">
        <w:t xml:space="preserve"> non-ODA investments to deliver support </w:t>
      </w:r>
      <w:r w:rsidR="00081557" w:rsidRPr="00561CCE">
        <w:t xml:space="preserve">that </w:t>
      </w:r>
      <w:r w:rsidR="0046093F" w:rsidRPr="00561CCE">
        <w:t xml:space="preserve">responds to </w:t>
      </w:r>
      <w:r w:rsidRPr="00561CCE">
        <w:t>the Pacific’s</w:t>
      </w:r>
      <w:r w:rsidR="0046093F" w:rsidRPr="00561CCE">
        <w:t xml:space="preserve"> long-term development objectives.</w:t>
      </w:r>
    </w:p>
    <w:p w14:paraId="78078B01" w14:textId="3780EF62" w:rsidR="002F4955" w:rsidRPr="0035504A" w:rsidRDefault="002F4955" w:rsidP="0035504A">
      <w:pPr>
        <w:pStyle w:val="H3-Heading3"/>
      </w:pPr>
      <w:r w:rsidRPr="0035504A">
        <w:t>Preparing the Development Partnership Plan</w:t>
      </w:r>
    </w:p>
    <w:p w14:paraId="7F018D3A" w14:textId="265915F0" w:rsidR="007E1467" w:rsidRDefault="007E1467" w:rsidP="00561CCE">
      <w:pPr>
        <w:rPr>
          <w:lang w:eastAsia="en-AU"/>
        </w:rPr>
      </w:pPr>
      <w:r w:rsidRPr="00562506">
        <w:rPr>
          <w:lang w:eastAsia="en-AU"/>
        </w:rPr>
        <w:t xml:space="preserve">This DPP is informed by key regional strategies including the </w:t>
      </w:r>
      <w:r w:rsidRPr="005D50D9">
        <w:t>2050 Strategy</w:t>
      </w:r>
      <w:r w:rsidR="00FB4F59">
        <w:rPr>
          <w:lang w:eastAsia="en-AU"/>
        </w:rPr>
        <w:t>,</w:t>
      </w:r>
      <w:r w:rsidR="005C067F">
        <w:rPr>
          <w:rStyle w:val="EndnoteReference"/>
          <w:lang w:eastAsia="en-AU"/>
        </w:rPr>
        <w:endnoteReference w:id="4"/>
      </w:r>
      <w:r w:rsidR="007313FB">
        <w:rPr>
          <w:lang w:eastAsia="en-AU"/>
        </w:rPr>
        <w:t xml:space="preserve"> the </w:t>
      </w:r>
      <w:proofErr w:type="spellStart"/>
      <w:r w:rsidR="007313FB">
        <w:rPr>
          <w:lang w:eastAsia="en-AU"/>
        </w:rPr>
        <w:t>Boe</w:t>
      </w:r>
      <w:proofErr w:type="spellEnd"/>
      <w:r w:rsidR="007313FB">
        <w:rPr>
          <w:lang w:eastAsia="en-AU"/>
        </w:rPr>
        <w:t xml:space="preserve"> Declaration</w:t>
      </w:r>
      <w:r w:rsidR="0055669B">
        <w:rPr>
          <w:lang w:eastAsia="en-AU"/>
        </w:rPr>
        <w:t xml:space="preserve"> on Regional Security,</w:t>
      </w:r>
      <w:r w:rsidRPr="00562506">
        <w:t xml:space="preserve"> and </w:t>
      </w:r>
      <w:r w:rsidR="00C22CEA" w:rsidRPr="00562506">
        <w:t>sectoral and thematic strategies</w:t>
      </w:r>
      <w:r w:rsidR="00C22CEA">
        <w:t xml:space="preserve"> led by the </w:t>
      </w:r>
      <w:r w:rsidR="0038233B">
        <w:t>Council of Regional Organisations of the Pacific</w:t>
      </w:r>
      <w:r w:rsidRPr="009D2DDF">
        <w:t xml:space="preserve">. </w:t>
      </w:r>
      <w:r>
        <w:rPr>
          <w:lang w:eastAsia="en-AU"/>
        </w:rPr>
        <w:t xml:space="preserve">It </w:t>
      </w:r>
      <w:r w:rsidRPr="000A1341">
        <w:rPr>
          <w:lang w:eastAsia="en-AU"/>
        </w:rPr>
        <w:t>also draws on analysis and evaluation of existing programs and ongoing</w:t>
      </w:r>
      <w:r w:rsidR="00F430E8">
        <w:rPr>
          <w:lang w:eastAsia="en-AU"/>
        </w:rPr>
        <w:t xml:space="preserve"> </w:t>
      </w:r>
      <w:r w:rsidRPr="000A1341">
        <w:rPr>
          <w:lang w:eastAsia="en-AU"/>
        </w:rPr>
        <w:t>discussion of priorities through partnership governance arrangements.</w:t>
      </w:r>
    </w:p>
    <w:p w14:paraId="7161B6DC" w14:textId="039D5A0F" w:rsidR="007E1467" w:rsidRDefault="007E1467" w:rsidP="00561CCE">
      <w:pPr>
        <w:rPr>
          <w:rFonts w:cs="Calibri Light"/>
          <w:lang w:eastAsia="en-AU"/>
        </w:rPr>
      </w:pPr>
      <w:r>
        <w:rPr>
          <w:rFonts w:cs="Calibri Light"/>
          <w:lang w:eastAsia="en-AU"/>
        </w:rPr>
        <w:t>The</w:t>
      </w:r>
      <w:r w:rsidR="000F6654" w:rsidRPr="00732DA8">
        <w:rPr>
          <w:rFonts w:cs="Calibri Light"/>
          <w:lang w:eastAsia="en-AU"/>
        </w:rPr>
        <w:t xml:space="preserve"> DPP is </w:t>
      </w:r>
      <w:r>
        <w:rPr>
          <w:rFonts w:cs="Calibri Light"/>
          <w:lang w:eastAsia="en-AU"/>
        </w:rPr>
        <w:t xml:space="preserve">also </w:t>
      </w:r>
      <w:r w:rsidR="000F6654" w:rsidRPr="00732DA8">
        <w:rPr>
          <w:rFonts w:cs="Calibri Light"/>
          <w:lang w:eastAsia="en-AU"/>
        </w:rPr>
        <w:t>informed by extensive internal and external consultation</w:t>
      </w:r>
      <w:r w:rsidR="00D70319">
        <w:rPr>
          <w:rFonts w:cs="Calibri Light"/>
          <w:lang w:eastAsia="en-AU"/>
        </w:rPr>
        <w:t xml:space="preserve"> and dialogue</w:t>
      </w:r>
      <w:r w:rsidR="000F6654" w:rsidRPr="00732DA8">
        <w:rPr>
          <w:rFonts w:cs="Calibri Light"/>
          <w:lang w:eastAsia="en-AU"/>
        </w:rPr>
        <w:t xml:space="preserve">. </w:t>
      </w:r>
      <w:r w:rsidR="00150604">
        <w:rPr>
          <w:rFonts w:cs="Calibri Light"/>
          <w:lang w:eastAsia="en-AU"/>
        </w:rPr>
        <w:t xml:space="preserve">The Australian Government Department of Foreign Affairs and Trade </w:t>
      </w:r>
      <w:r w:rsidR="00B14551">
        <w:rPr>
          <w:rFonts w:cs="Calibri Light"/>
          <w:lang w:eastAsia="en-AU"/>
        </w:rPr>
        <w:t>consulted</w:t>
      </w:r>
      <w:r w:rsidR="000F6654" w:rsidRPr="00732DA8">
        <w:rPr>
          <w:rFonts w:cs="Calibri Light"/>
          <w:lang w:eastAsia="en-AU"/>
        </w:rPr>
        <w:t xml:space="preserve"> </w:t>
      </w:r>
      <w:r w:rsidR="00EE685B">
        <w:rPr>
          <w:rFonts w:cs="Calibri Light"/>
          <w:lang w:eastAsia="en-AU"/>
        </w:rPr>
        <w:t xml:space="preserve">the </w:t>
      </w:r>
      <w:r w:rsidR="00E73CF5" w:rsidRPr="00732DA8">
        <w:rPr>
          <w:rFonts w:cs="Calibri Light"/>
          <w:lang w:eastAsia="en-AU"/>
        </w:rPr>
        <w:t>PIF</w:t>
      </w:r>
      <w:r w:rsidR="007E4138">
        <w:rPr>
          <w:rFonts w:cs="Calibri Light"/>
          <w:lang w:eastAsia="en-AU"/>
        </w:rPr>
        <w:t xml:space="preserve">, </w:t>
      </w:r>
      <w:r w:rsidR="00E73CF5" w:rsidRPr="00732DA8">
        <w:rPr>
          <w:rFonts w:cs="Calibri Light"/>
          <w:lang w:eastAsia="en-AU"/>
        </w:rPr>
        <w:t>SP</w:t>
      </w:r>
      <w:r w:rsidR="00E73CF5">
        <w:rPr>
          <w:rFonts w:cs="Calibri Light"/>
          <w:lang w:eastAsia="en-AU"/>
        </w:rPr>
        <w:t>C</w:t>
      </w:r>
      <w:r w:rsidR="00E73CF5" w:rsidRPr="00732DA8">
        <w:rPr>
          <w:rFonts w:cs="Calibri Light"/>
          <w:lang w:eastAsia="en-AU"/>
        </w:rPr>
        <w:t xml:space="preserve">, </w:t>
      </w:r>
      <w:r w:rsidR="000F6654" w:rsidRPr="00732DA8">
        <w:rPr>
          <w:rFonts w:cs="Calibri Light"/>
          <w:lang w:eastAsia="en-AU"/>
        </w:rPr>
        <w:t xml:space="preserve">the Pacific Disability Forum, the Australian Council </w:t>
      </w:r>
      <w:r w:rsidR="000F6654" w:rsidRPr="00732DA8">
        <w:rPr>
          <w:rFonts w:cs="Calibri Light"/>
          <w:lang w:eastAsia="en-AU"/>
        </w:rPr>
        <w:lastRenderedPageBreak/>
        <w:t xml:space="preserve">for International Development, the International Development Contractors Community, </w:t>
      </w:r>
      <w:r w:rsidR="00FB4F59">
        <w:rPr>
          <w:rFonts w:cs="Calibri Light"/>
          <w:lang w:eastAsia="en-AU"/>
        </w:rPr>
        <w:t>u</w:t>
      </w:r>
      <w:r w:rsidR="000075DF">
        <w:rPr>
          <w:rFonts w:cs="Calibri Light"/>
          <w:lang w:eastAsia="en-AU"/>
        </w:rPr>
        <w:t xml:space="preserve">niversity </w:t>
      </w:r>
      <w:r w:rsidR="00FB4F59">
        <w:rPr>
          <w:rFonts w:cs="Calibri Light"/>
          <w:lang w:eastAsia="en-AU"/>
        </w:rPr>
        <w:t>s</w:t>
      </w:r>
      <w:r w:rsidR="000075DF">
        <w:rPr>
          <w:rFonts w:cs="Calibri Light"/>
          <w:lang w:eastAsia="en-AU"/>
        </w:rPr>
        <w:t>takeholders</w:t>
      </w:r>
      <w:r w:rsidR="00204E2A">
        <w:rPr>
          <w:rFonts w:cs="Calibri Light"/>
          <w:lang w:eastAsia="en-AU"/>
        </w:rPr>
        <w:t xml:space="preserve"> and </w:t>
      </w:r>
      <w:r w:rsidR="00FE4B32">
        <w:rPr>
          <w:rFonts w:cs="Calibri Light"/>
          <w:lang w:eastAsia="en-AU"/>
        </w:rPr>
        <w:t>Australian Government</w:t>
      </w:r>
      <w:r w:rsidR="000F6654" w:rsidRPr="00732DA8">
        <w:rPr>
          <w:rFonts w:cs="Calibri Light"/>
          <w:lang w:eastAsia="en-AU"/>
        </w:rPr>
        <w:t xml:space="preserve"> </w:t>
      </w:r>
      <w:r w:rsidR="00BC1086" w:rsidRPr="00732DA8">
        <w:rPr>
          <w:rFonts w:cs="Calibri Light"/>
          <w:lang w:eastAsia="en-AU"/>
        </w:rPr>
        <w:t>agencies.</w:t>
      </w:r>
    </w:p>
    <w:p w14:paraId="0B433C37" w14:textId="4694A4B3" w:rsidR="000F6654" w:rsidRDefault="00204E2A" w:rsidP="00561CCE">
      <w:pPr>
        <w:rPr>
          <w:rFonts w:cs="Calibri Light"/>
          <w:lang w:eastAsia="en-AU"/>
        </w:rPr>
      </w:pPr>
      <w:r>
        <w:rPr>
          <w:rFonts w:cs="Calibri Light"/>
          <w:lang w:eastAsia="en-AU"/>
        </w:rPr>
        <w:t>C</w:t>
      </w:r>
      <w:r w:rsidR="000F6654" w:rsidRPr="00732DA8">
        <w:rPr>
          <w:rFonts w:cs="Calibri Light"/>
          <w:lang w:eastAsia="en-AU"/>
        </w:rPr>
        <w:t xml:space="preserve">onsultations were structured to elicit input on </w:t>
      </w:r>
      <w:r w:rsidR="00EC60FE">
        <w:rPr>
          <w:rFonts w:cs="Calibri Light"/>
          <w:lang w:eastAsia="en-AU"/>
        </w:rPr>
        <w:t>how</w:t>
      </w:r>
      <w:r w:rsidR="000F6654" w:rsidRPr="00732DA8">
        <w:rPr>
          <w:rFonts w:cs="Calibri Light"/>
          <w:lang w:eastAsia="en-AU"/>
        </w:rPr>
        <w:t xml:space="preserve"> the regional program could contribute to Australia’s </w:t>
      </w:r>
      <w:r w:rsidR="00160CB9">
        <w:rPr>
          <w:rFonts w:cs="Calibri Light"/>
          <w:lang w:eastAsia="en-AU"/>
        </w:rPr>
        <w:t>I</w:t>
      </w:r>
      <w:r w:rsidR="000F6654" w:rsidRPr="00732DA8">
        <w:rPr>
          <w:rFonts w:cs="Calibri Light"/>
          <w:lang w:eastAsia="en-AU"/>
        </w:rPr>
        <w:t xml:space="preserve">nternational </w:t>
      </w:r>
      <w:r w:rsidR="00160CB9">
        <w:rPr>
          <w:rFonts w:cs="Calibri Light"/>
          <w:lang w:eastAsia="en-AU"/>
        </w:rPr>
        <w:t>D</w:t>
      </w:r>
      <w:r w:rsidR="000F6654" w:rsidRPr="00732DA8">
        <w:rPr>
          <w:rFonts w:cs="Calibri Light"/>
          <w:lang w:eastAsia="en-AU"/>
        </w:rPr>
        <w:t xml:space="preserve">evelopment </w:t>
      </w:r>
      <w:r w:rsidR="00160CB9">
        <w:rPr>
          <w:rFonts w:cs="Calibri Light"/>
          <w:lang w:eastAsia="en-AU"/>
        </w:rPr>
        <w:t>P</w:t>
      </w:r>
      <w:r w:rsidR="000F6654" w:rsidRPr="00732DA8">
        <w:rPr>
          <w:rFonts w:cs="Calibri Light"/>
          <w:lang w:eastAsia="en-AU"/>
        </w:rPr>
        <w:t>olicy priorities</w:t>
      </w:r>
      <w:r w:rsidR="00A7689A">
        <w:rPr>
          <w:rFonts w:cs="Calibri Light"/>
          <w:lang w:eastAsia="en-AU"/>
        </w:rPr>
        <w:t xml:space="preserve">, the </w:t>
      </w:r>
      <w:r w:rsidR="000F6654" w:rsidRPr="00732DA8">
        <w:rPr>
          <w:rFonts w:cs="Calibri Light"/>
          <w:lang w:eastAsia="en-AU"/>
        </w:rPr>
        <w:t>strengths</w:t>
      </w:r>
      <w:r w:rsidR="00A7689A">
        <w:rPr>
          <w:rFonts w:cs="Calibri Light"/>
          <w:lang w:eastAsia="en-AU"/>
        </w:rPr>
        <w:t xml:space="preserve"> and </w:t>
      </w:r>
      <w:r w:rsidR="000F6654" w:rsidRPr="00732DA8">
        <w:rPr>
          <w:rFonts w:cs="Calibri Light"/>
          <w:lang w:eastAsia="en-AU"/>
        </w:rPr>
        <w:t>weaknesses of current approaches</w:t>
      </w:r>
      <w:r w:rsidR="00160CB9">
        <w:rPr>
          <w:rFonts w:cs="Calibri Light"/>
          <w:lang w:eastAsia="en-AU"/>
        </w:rPr>
        <w:t>,</w:t>
      </w:r>
      <w:r w:rsidR="000F6654" w:rsidRPr="00732DA8">
        <w:rPr>
          <w:rFonts w:cs="Calibri Light"/>
          <w:lang w:eastAsia="en-AU"/>
        </w:rPr>
        <w:t xml:space="preserve"> and </w:t>
      </w:r>
      <w:r w:rsidR="0039444F">
        <w:rPr>
          <w:rFonts w:cs="Calibri Light"/>
          <w:lang w:eastAsia="en-AU"/>
        </w:rPr>
        <w:t>the value</w:t>
      </w:r>
      <w:r w:rsidR="00705024">
        <w:rPr>
          <w:rFonts w:cs="Calibri Light"/>
          <w:lang w:eastAsia="en-AU"/>
        </w:rPr>
        <w:t>-add</w:t>
      </w:r>
      <w:r w:rsidR="0039444F">
        <w:rPr>
          <w:rFonts w:cs="Calibri Light"/>
          <w:lang w:eastAsia="en-AU"/>
        </w:rPr>
        <w:t xml:space="preserve"> </w:t>
      </w:r>
      <w:r w:rsidR="007E4138">
        <w:rPr>
          <w:rFonts w:cs="Calibri Light"/>
          <w:lang w:eastAsia="en-AU"/>
        </w:rPr>
        <w:t>of Australia’s</w:t>
      </w:r>
      <w:r w:rsidR="000F6654" w:rsidRPr="00732DA8">
        <w:rPr>
          <w:rFonts w:cs="Calibri Light"/>
          <w:lang w:eastAsia="en-AU"/>
        </w:rPr>
        <w:t xml:space="preserve"> regional </w:t>
      </w:r>
      <w:r w:rsidR="0039444F">
        <w:rPr>
          <w:rFonts w:cs="Calibri Light"/>
          <w:lang w:eastAsia="en-AU"/>
        </w:rPr>
        <w:t>program</w:t>
      </w:r>
      <w:r w:rsidR="000F6654" w:rsidRPr="00732DA8">
        <w:rPr>
          <w:rFonts w:cs="Calibri Light"/>
          <w:lang w:eastAsia="en-AU"/>
        </w:rPr>
        <w:t xml:space="preserve"> over the next five years.</w:t>
      </w:r>
      <w:r w:rsidR="00F44A68">
        <w:rPr>
          <w:rFonts w:cs="Calibri Light"/>
          <w:lang w:eastAsia="en-AU"/>
        </w:rPr>
        <w:t xml:space="preserve"> </w:t>
      </w:r>
      <w:r w:rsidR="00BF34B7">
        <w:rPr>
          <w:rFonts w:cs="Calibri Light"/>
          <w:lang w:eastAsia="en-AU"/>
        </w:rPr>
        <w:t>Partners shared informed views</w:t>
      </w:r>
      <w:r w:rsidR="00D623A6">
        <w:rPr>
          <w:rFonts w:cs="Calibri Light"/>
          <w:lang w:eastAsia="en-AU"/>
        </w:rPr>
        <w:t>,</w:t>
      </w:r>
      <w:r w:rsidR="00BF34B7">
        <w:rPr>
          <w:rFonts w:cs="Calibri Light"/>
          <w:lang w:eastAsia="en-AU"/>
        </w:rPr>
        <w:t xml:space="preserve"> based on lived experience, expertise and longstanding connections with the region</w:t>
      </w:r>
      <w:r w:rsidR="00D623A6">
        <w:rPr>
          <w:rFonts w:cs="Calibri Light"/>
          <w:lang w:eastAsia="en-AU"/>
        </w:rPr>
        <w:t>,</w:t>
      </w:r>
      <w:r w:rsidR="00B009F0">
        <w:rPr>
          <w:rFonts w:cs="Calibri Light"/>
          <w:lang w:eastAsia="en-AU"/>
        </w:rPr>
        <w:t xml:space="preserve"> on key themes such as </w:t>
      </w:r>
      <w:r w:rsidR="00880075">
        <w:rPr>
          <w:rFonts w:cs="Calibri Light"/>
          <w:lang w:eastAsia="en-AU"/>
        </w:rPr>
        <w:t xml:space="preserve">ways of working, locally led development </w:t>
      </w:r>
      <w:r w:rsidR="00FC7B42">
        <w:rPr>
          <w:rFonts w:cs="Calibri Light"/>
          <w:lang w:eastAsia="en-AU"/>
        </w:rPr>
        <w:t xml:space="preserve">and </w:t>
      </w:r>
      <w:r w:rsidR="000E037A">
        <w:rPr>
          <w:rFonts w:cs="Calibri Light"/>
          <w:lang w:eastAsia="en-AU"/>
        </w:rPr>
        <w:t>climate change</w:t>
      </w:r>
      <w:r>
        <w:rPr>
          <w:rFonts w:cs="Calibri Light"/>
          <w:lang w:eastAsia="en-AU"/>
        </w:rPr>
        <w:t>.</w:t>
      </w:r>
    </w:p>
    <w:p w14:paraId="09793E49" w14:textId="4921FDD2" w:rsidR="002F4955" w:rsidRPr="00506835" w:rsidRDefault="005F7323" w:rsidP="00506835">
      <w:pPr>
        <w:pStyle w:val="H2-Heading2"/>
      </w:pPr>
      <w:r w:rsidRPr="00506835">
        <w:lastRenderedPageBreak/>
        <w:t xml:space="preserve">Section 2: </w:t>
      </w:r>
      <w:r w:rsidR="005749D4" w:rsidRPr="00506835">
        <w:t>P</w:t>
      </w:r>
      <w:r w:rsidR="00B16914" w:rsidRPr="00506835">
        <w:t xml:space="preserve">acific </w:t>
      </w:r>
      <w:r w:rsidR="00797614">
        <w:t>d</w:t>
      </w:r>
      <w:r w:rsidRPr="00506835">
        <w:t xml:space="preserve">evelopment </w:t>
      </w:r>
      <w:r w:rsidR="00797614">
        <w:t>c</w:t>
      </w:r>
      <w:r w:rsidRPr="00506835">
        <w:t xml:space="preserve">ontext and Australian </w:t>
      </w:r>
      <w:r w:rsidR="00797614">
        <w:t>p</w:t>
      </w:r>
      <w:r w:rsidRPr="00506835">
        <w:t>artnership</w:t>
      </w:r>
    </w:p>
    <w:p w14:paraId="1B4DAFE0" w14:textId="595FAB9F" w:rsidR="00313DBE" w:rsidRDefault="00313DBE" w:rsidP="00A21336">
      <w:pPr>
        <w:rPr>
          <w:lang w:eastAsia="en-AU"/>
        </w:rPr>
      </w:pPr>
      <w:r w:rsidRPr="00FB2103">
        <w:rPr>
          <w:lang w:eastAsia="en-AU"/>
        </w:rPr>
        <w:t xml:space="preserve">The Pacific region is </w:t>
      </w:r>
      <w:r w:rsidR="007F3D22" w:rsidRPr="00FB2103">
        <w:rPr>
          <w:lang w:eastAsia="en-AU"/>
        </w:rPr>
        <w:t>defined by its diversity</w:t>
      </w:r>
      <w:r w:rsidRPr="00FB2103">
        <w:rPr>
          <w:lang w:eastAsia="en-AU"/>
        </w:rPr>
        <w:t xml:space="preserve">. </w:t>
      </w:r>
      <w:r w:rsidR="002E5C77" w:rsidRPr="00FB2103">
        <w:rPr>
          <w:lang w:eastAsia="en-AU"/>
        </w:rPr>
        <w:t>It</w:t>
      </w:r>
      <w:r w:rsidRPr="00FB2103">
        <w:rPr>
          <w:lang w:eastAsia="en-AU"/>
        </w:rPr>
        <w:t xml:space="preserve"> incorporates three subregions</w:t>
      </w:r>
      <w:r w:rsidR="00194B14">
        <w:rPr>
          <w:lang w:eastAsia="en-AU"/>
        </w:rPr>
        <w:t xml:space="preserve"> –</w:t>
      </w:r>
      <w:r w:rsidRPr="00FB2103">
        <w:rPr>
          <w:lang w:eastAsia="en-AU"/>
        </w:rPr>
        <w:t xml:space="preserve"> Melanesia, Micronesia and Polynesia</w:t>
      </w:r>
      <w:r w:rsidR="00194B14">
        <w:rPr>
          <w:lang w:eastAsia="en-AU"/>
        </w:rPr>
        <w:t xml:space="preserve"> –</w:t>
      </w:r>
      <w:r w:rsidR="00AC230F" w:rsidRPr="00FB2103">
        <w:rPr>
          <w:lang w:eastAsia="en-AU"/>
        </w:rPr>
        <w:t xml:space="preserve"> </w:t>
      </w:r>
      <w:r w:rsidR="001504FD">
        <w:rPr>
          <w:lang w:eastAsia="en-AU"/>
        </w:rPr>
        <w:t>with</w:t>
      </w:r>
      <w:r w:rsidRPr="00FB2103">
        <w:rPr>
          <w:lang w:eastAsia="en-AU"/>
        </w:rPr>
        <w:t xml:space="preserve"> extraordinary linguistic and cultural </w:t>
      </w:r>
      <w:r w:rsidR="00D518CD" w:rsidRPr="00FB2103">
        <w:rPr>
          <w:lang w:eastAsia="en-AU"/>
        </w:rPr>
        <w:t>variety</w:t>
      </w:r>
      <w:r w:rsidR="00D07D38" w:rsidRPr="00FB2103">
        <w:rPr>
          <w:lang w:eastAsia="en-AU"/>
        </w:rPr>
        <w:t>.</w:t>
      </w:r>
      <w:r w:rsidRPr="00FB2103">
        <w:rPr>
          <w:lang w:eastAsia="en-AU"/>
        </w:rPr>
        <w:t xml:space="preserve"> </w:t>
      </w:r>
      <w:r w:rsidR="004D509D">
        <w:rPr>
          <w:lang w:eastAsia="en-AU"/>
        </w:rPr>
        <w:t>P</w:t>
      </w:r>
      <w:r w:rsidRPr="00FB2103">
        <w:rPr>
          <w:lang w:eastAsia="en-AU"/>
        </w:rPr>
        <w:t xml:space="preserve">opulation size </w:t>
      </w:r>
      <w:r w:rsidR="004D509D">
        <w:rPr>
          <w:lang w:eastAsia="en-AU"/>
        </w:rPr>
        <w:t xml:space="preserve">varies significantly </w:t>
      </w:r>
      <w:r w:rsidRPr="00FB2103">
        <w:rPr>
          <w:lang w:eastAsia="en-AU"/>
        </w:rPr>
        <w:t>across the region, from P</w:t>
      </w:r>
      <w:r w:rsidR="00936C8D">
        <w:rPr>
          <w:lang w:eastAsia="en-AU"/>
        </w:rPr>
        <w:t xml:space="preserve">apua </w:t>
      </w:r>
      <w:r w:rsidRPr="00FB2103">
        <w:rPr>
          <w:lang w:eastAsia="en-AU"/>
        </w:rPr>
        <w:t>N</w:t>
      </w:r>
      <w:r w:rsidR="00936C8D">
        <w:rPr>
          <w:lang w:eastAsia="en-AU"/>
        </w:rPr>
        <w:t xml:space="preserve">ew </w:t>
      </w:r>
      <w:r w:rsidRPr="00FB2103">
        <w:rPr>
          <w:lang w:eastAsia="en-AU"/>
        </w:rPr>
        <w:t>G</w:t>
      </w:r>
      <w:r w:rsidR="00936C8D">
        <w:rPr>
          <w:lang w:eastAsia="en-AU"/>
        </w:rPr>
        <w:t>uinea</w:t>
      </w:r>
      <w:r w:rsidR="00FB4F59">
        <w:rPr>
          <w:lang w:eastAsia="en-AU"/>
        </w:rPr>
        <w:t xml:space="preserve"> </w:t>
      </w:r>
      <w:r w:rsidRPr="00FB2103">
        <w:rPr>
          <w:lang w:eastAsia="en-AU"/>
        </w:rPr>
        <w:t>with</w:t>
      </w:r>
      <w:r w:rsidR="007571E4" w:rsidRPr="00FB2103">
        <w:rPr>
          <w:lang w:eastAsia="en-AU"/>
        </w:rPr>
        <w:t xml:space="preserve"> an </w:t>
      </w:r>
      <w:r w:rsidR="0050063C" w:rsidRPr="00FB2103">
        <w:rPr>
          <w:lang w:eastAsia="en-AU"/>
        </w:rPr>
        <w:t>estimated population</w:t>
      </w:r>
      <w:r w:rsidRPr="00FB2103">
        <w:rPr>
          <w:lang w:eastAsia="en-AU"/>
        </w:rPr>
        <w:t xml:space="preserve"> of </w:t>
      </w:r>
      <w:r w:rsidR="00792B12" w:rsidRPr="00FB2103">
        <w:rPr>
          <w:lang w:eastAsia="en-AU"/>
        </w:rPr>
        <w:t xml:space="preserve">11.78 </w:t>
      </w:r>
      <w:r w:rsidRPr="00FB2103">
        <w:rPr>
          <w:lang w:eastAsia="en-AU"/>
        </w:rPr>
        <w:t>million,</w:t>
      </w:r>
      <w:r w:rsidR="00FB4F59" w:rsidRPr="007E4138">
        <w:rPr>
          <w:rStyle w:val="EndnoteReference"/>
        </w:rPr>
        <w:endnoteReference w:id="5"/>
      </w:r>
      <w:r w:rsidRPr="00FB2103">
        <w:rPr>
          <w:lang w:eastAsia="en-AU"/>
        </w:rPr>
        <w:t xml:space="preserve"> to Tuvalu and Nauru with estimated populations of approximately 12,000</w:t>
      </w:r>
      <w:r w:rsidR="00FB4F59">
        <w:rPr>
          <w:lang w:eastAsia="en-AU"/>
        </w:rPr>
        <w:t>.</w:t>
      </w:r>
      <w:r w:rsidR="00846E74">
        <w:rPr>
          <w:rStyle w:val="EndnoteReference"/>
          <w:lang w:eastAsia="en-AU"/>
        </w:rPr>
        <w:endnoteReference w:id="6"/>
      </w:r>
      <w:r w:rsidRPr="00FB2103">
        <w:rPr>
          <w:lang w:eastAsia="en-AU"/>
        </w:rPr>
        <w:t xml:space="preserve"> Many countries in the Pacific are physically remote</w:t>
      </w:r>
      <w:r w:rsidR="006939E9">
        <w:rPr>
          <w:lang w:eastAsia="en-AU"/>
        </w:rPr>
        <w:t xml:space="preserve">. </w:t>
      </w:r>
      <w:r w:rsidR="009B40FC">
        <w:rPr>
          <w:lang w:eastAsia="en-AU"/>
        </w:rPr>
        <w:t>Pacific island countries are some of the most vulnerable in the world to significant impacts of climate change and disasters</w:t>
      </w:r>
      <w:r w:rsidRPr="00FB2103">
        <w:rPr>
          <w:lang w:eastAsia="en-AU"/>
        </w:rPr>
        <w:t>.</w:t>
      </w:r>
    </w:p>
    <w:p w14:paraId="02C6839E" w14:textId="4AF9E7B2" w:rsidR="004E6AC4" w:rsidRDefault="000459B7" w:rsidP="00AC2025">
      <w:r>
        <w:t xml:space="preserve">PIF Leaders launched the </w:t>
      </w:r>
      <w:r w:rsidRPr="005D50D9">
        <w:t>2050 Strategy</w:t>
      </w:r>
      <w:r w:rsidR="00D1297B" w:rsidRPr="005D50D9">
        <w:rPr>
          <w:rStyle w:val="EndnoteReference"/>
        </w:rPr>
        <w:endnoteReference w:id="7"/>
      </w:r>
      <w:r w:rsidR="009271A6">
        <w:t xml:space="preserve"> in 2022</w:t>
      </w:r>
      <w:r>
        <w:t xml:space="preserve">, followed </w:t>
      </w:r>
      <w:r w:rsidR="00A90089">
        <w:rPr>
          <w:iCs/>
        </w:rPr>
        <w:t xml:space="preserve">in 2023 </w:t>
      </w:r>
      <w:r>
        <w:t xml:space="preserve">by </w:t>
      </w:r>
      <w:r w:rsidR="009271A6">
        <w:t xml:space="preserve">the </w:t>
      </w:r>
      <w:r w:rsidR="00925AD2" w:rsidRPr="00547BC4">
        <w:rPr>
          <w:iCs/>
        </w:rPr>
        <w:t>2050 Strategy Implementation Plan 2023</w:t>
      </w:r>
      <w:r w:rsidR="00194B14">
        <w:rPr>
          <w:iCs/>
        </w:rPr>
        <w:t>–</w:t>
      </w:r>
      <w:r w:rsidR="00925AD2" w:rsidRPr="00547BC4">
        <w:rPr>
          <w:iCs/>
        </w:rPr>
        <w:t>2030</w:t>
      </w:r>
      <w:r w:rsidR="00194B14">
        <w:rPr>
          <w:iCs/>
        </w:rPr>
        <w:t>.</w:t>
      </w:r>
      <w:r w:rsidR="00484C7F" w:rsidRPr="005D50D9">
        <w:rPr>
          <w:rStyle w:val="EndnoteReference"/>
        </w:rPr>
        <w:endnoteReference w:id="8"/>
      </w:r>
      <w:r w:rsidRPr="00AC2025">
        <w:t xml:space="preserve"> </w:t>
      </w:r>
      <w:r>
        <w:t>These</w:t>
      </w:r>
      <w:r w:rsidR="00C43887">
        <w:t xml:space="preserve"> documents</w:t>
      </w:r>
      <w:r>
        <w:t xml:space="preserve"> reflect </w:t>
      </w:r>
      <w:r w:rsidR="006F6E2F">
        <w:t>PIF L</w:t>
      </w:r>
      <w:r>
        <w:t xml:space="preserve">eaders’ agreed priorities for the Pacific region. The 2050 Strategy </w:t>
      </w:r>
      <w:r w:rsidR="004E6AC4">
        <w:t xml:space="preserve">sets </w:t>
      </w:r>
      <w:r>
        <w:t xml:space="preserve">a collective vision for Pacific regionalism and identifies regional priorities under seven thematic areas: </w:t>
      </w:r>
    </w:p>
    <w:p w14:paraId="7523AE76" w14:textId="703A72ED" w:rsidR="004E6AC4" w:rsidRDefault="000459B7" w:rsidP="00192603">
      <w:pPr>
        <w:pStyle w:val="NormalBullets-L1"/>
      </w:pPr>
      <w:r>
        <w:t>political leadership and regionalism</w:t>
      </w:r>
    </w:p>
    <w:p w14:paraId="5F9A8DAB" w14:textId="0D57D115" w:rsidR="004E6AC4" w:rsidRDefault="000459B7" w:rsidP="00192603">
      <w:pPr>
        <w:pStyle w:val="NormalBullets-L1"/>
      </w:pPr>
      <w:r>
        <w:t>people-centred development</w:t>
      </w:r>
    </w:p>
    <w:p w14:paraId="24855FFB" w14:textId="7CFCC427" w:rsidR="004E6AC4" w:rsidRDefault="000459B7" w:rsidP="00192603">
      <w:pPr>
        <w:pStyle w:val="NormalBullets-L1"/>
      </w:pPr>
      <w:r>
        <w:t>peace and security</w:t>
      </w:r>
    </w:p>
    <w:p w14:paraId="2FF236BF" w14:textId="07FE0ED9" w:rsidR="004E6AC4" w:rsidRDefault="000459B7" w:rsidP="00192603">
      <w:pPr>
        <w:pStyle w:val="NormalBullets-L1"/>
      </w:pPr>
      <w:r>
        <w:t>resource and economic development</w:t>
      </w:r>
    </w:p>
    <w:p w14:paraId="4C919EBC" w14:textId="388C45EB" w:rsidR="004E6AC4" w:rsidRDefault="000459B7" w:rsidP="00192603">
      <w:pPr>
        <w:pStyle w:val="NormalBullets-L1"/>
      </w:pPr>
      <w:r>
        <w:t>climate change and disasters</w:t>
      </w:r>
    </w:p>
    <w:p w14:paraId="66BF3F00" w14:textId="0AF10827" w:rsidR="004E6AC4" w:rsidRDefault="000459B7" w:rsidP="00192603">
      <w:pPr>
        <w:pStyle w:val="NormalBullets-L1"/>
      </w:pPr>
      <w:r>
        <w:t>ocean and environment</w:t>
      </w:r>
    </w:p>
    <w:p w14:paraId="496A5374" w14:textId="391D412D" w:rsidR="000459B7" w:rsidRPr="00FB2103" w:rsidRDefault="000459B7" w:rsidP="00192603">
      <w:pPr>
        <w:pStyle w:val="NormalBullets-L1"/>
      </w:pPr>
      <w:r>
        <w:t>technology and connectivity.</w:t>
      </w:r>
    </w:p>
    <w:p w14:paraId="66A501DB" w14:textId="77777777" w:rsidR="003E5A82" w:rsidRPr="0035504A" w:rsidRDefault="003E5A82" w:rsidP="0035504A">
      <w:pPr>
        <w:pStyle w:val="H3-Heading3"/>
      </w:pPr>
      <w:r w:rsidRPr="0035504A">
        <w:t>Economic situation</w:t>
      </w:r>
    </w:p>
    <w:p w14:paraId="3FDB10D3" w14:textId="3166ACBD" w:rsidR="00DA072F" w:rsidRPr="00FB2103" w:rsidRDefault="00CC12A4" w:rsidP="00A21336">
      <w:pPr>
        <w:rPr>
          <w:lang w:eastAsia="en-AU"/>
        </w:rPr>
      </w:pPr>
      <w:r w:rsidRPr="00FB2103">
        <w:rPr>
          <w:lang w:eastAsia="en-AU"/>
        </w:rPr>
        <w:t xml:space="preserve">The ocean is central to the livelihoods of Pacific </w:t>
      </w:r>
      <w:r w:rsidR="0036293F">
        <w:rPr>
          <w:lang w:eastAsia="en-AU"/>
        </w:rPr>
        <w:t>countries</w:t>
      </w:r>
      <w:r w:rsidRPr="00FB2103">
        <w:rPr>
          <w:lang w:eastAsia="en-AU"/>
        </w:rPr>
        <w:t xml:space="preserve">. </w:t>
      </w:r>
      <w:bookmarkStart w:id="4" w:name="_Hlk186796359"/>
      <w:r w:rsidRPr="00FB2103">
        <w:rPr>
          <w:lang w:eastAsia="en-AU"/>
        </w:rPr>
        <w:t>Approximately 1.56 million tonnes of fish and aquaculture products</w:t>
      </w:r>
      <w:r w:rsidR="0036293F">
        <w:rPr>
          <w:lang w:eastAsia="en-AU"/>
        </w:rPr>
        <w:t xml:space="preserve"> </w:t>
      </w:r>
      <w:r w:rsidR="0036293F" w:rsidRPr="00FB2103">
        <w:rPr>
          <w:lang w:eastAsia="en-AU"/>
        </w:rPr>
        <w:t>(valued at USD2.5 billion)</w:t>
      </w:r>
      <w:r w:rsidRPr="00FB2103">
        <w:rPr>
          <w:lang w:eastAsia="en-AU"/>
        </w:rPr>
        <w:t xml:space="preserve"> are produced in the region each year</w:t>
      </w:r>
      <w:r w:rsidR="00DA072F" w:rsidRPr="00FB2103">
        <w:rPr>
          <w:lang w:eastAsia="en-AU"/>
        </w:rPr>
        <w:t>, with t</w:t>
      </w:r>
      <w:r w:rsidRPr="00FB2103">
        <w:rPr>
          <w:lang w:eastAsia="en-AU"/>
        </w:rPr>
        <w:t>he tuna sector alone provid</w:t>
      </w:r>
      <w:r w:rsidR="00DA072F" w:rsidRPr="00FB2103">
        <w:rPr>
          <w:lang w:eastAsia="en-AU"/>
        </w:rPr>
        <w:t>ing</w:t>
      </w:r>
      <w:r w:rsidRPr="00FB2103">
        <w:rPr>
          <w:lang w:eastAsia="en-AU"/>
        </w:rPr>
        <w:t xml:space="preserve"> jobs for </w:t>
      </w:r>
      <w:r w:rsidR="00D67C6C">
        <w:rPr>
          <w:lang w:eastAsia="en-AU"/>
        </w:rPr>
        <w:t>more than</w:t>
      </w:r>
      <w:r w:rsidR="00D67C6C" w:rsidRPr="00FB2103">
        <w:rPr>
          <w:lang w:eastAsia="en-AU"/>
        </w:rPr>
        <w:t xml:space="preserve"> </w:t>
      </w:r>
      <w:r w:rsidRPr="00FB2103">
        <w:rPr>
          <w:lang w:eastAsia="en-AU"/>
        </w:rPr>
        <w:t>25,000 people</w:t>
      </w:r>
      <w:r w:rsidR="00FB4F59">
        <w:rPr>
          <w:lang w:eastAsia="en-AU"/>
        </w:rPr>
        <w:t>.</w:t>
      </w:r>
      <w:r w:rsidR="00060004">
        <w:rPr>
          <w:rStyle w:val="EndnoteReference"/>
          <w:lang w:eastAsia="en-AU"/>
        </w:rPr>
        <w:endnoteReference w:id="9"/>
      </w:r>
      <w:r w:rsidRPr="00FB2103">
        <w:rPr>
          <w:lang w:eastAsia="en-AU"/>
        </w:rPr>
        <w:t xml:space="preserve"> Access and licen</w:t>
      </w:r>
      <w:r w:rsidR="00D67C6C">
        <w:rPr>
          <w:lang w:eastAsia="en-AU"/>
        </w:rPr>
        <w:t>c</w:t>
      </w:r>
      <w:r w:rsidRPr="00FB2103">
        <w:rPr>
          <w:lang w:eastAsia="en-AU"/>
        </w:rPr>
        <w:t>e fees from offshore fisheries contribute up to 75</w:t>
      </w:r>
      <w:r w:rsidR="002B68C5">
        <w:rPr>
          <w:lang w:eastAsia="en-AU"/>
        </w:rPr>
        <w:t> </w:t>
      </w:r>
      <w:r w:rsidRPr="00FB2103">
        <w:rPr>
          <w:lang w:eastAsia="en-AU"/>
        </w:rPr>
        <w:t xml:space="preserve">per cent of revenue in some Pacific economies. </w:t>
      </w:r>
      <w:bookmarkEnd w:id="4"/>
      <w:r w:rsidR="00B03B97" w:rsidRPr="00FB2103">
        <w:rPr>
          <w:lang w:eastAsia="en-AU"/>
        </w:rPr>
        <w:t>Tourism plays a crucial role in driving economic growth and creating sustainable opportunities for local communities.</w:t>
      </w:r>
    </w:p>
    <w:p w14:paraId="763B55C0" w14:textId="2F6EBAC2" w:rsidR="007E1FF6" w:rsidRPr="00FB2103" w:rsidRDefault="007E1FF6" w:rsidP="00A21336">
      <w:pPr>
        <w:rPr>
          <w:lang w:eastAsia="en-AU"/>
        </w:rPr>
      </w:pPr>
      <w:bookmarkStart w:id="5" w:name="_Hlk186797210"/>
      <w:r w:rsidRPr="00FB2103">
        <w:rPr>
          <w:lang w:eastAsia="en-AU"/>
        </w:rPr>
        <w:t xml:space="preserve">The Pacific was </w:t>
      </w:r>
      <w:r w:rsidR="003F5376">
        <w:rPr>
          <w:lang w:eastAsia="en-AU"/>
        </w:rPr>
        <w:t>particularly</w:t>
      </w:r>
      <w:r w:rsidRPr="00FB2103">
        <w:rPr>
          <w:lang w:eastAsia="en-AU"/>
        </w:rPr>
        <w:t xml:space="preserve"> affected by</w:t>
      </w:r>
      <w:r w:rsidR="00A01B49">
        <w:rPr>
          <w:lang w:eastAsia="en-AU"/>
        </w:rPr>
        <w:t xml:space="preserve"> the</w:t>
      </w:r>
      <w:r w:rsidRPr="00FB2103">
        <w:rPr>
          <w:lang w:eastAsia="en-AU"/>
        </w:rPr>
        <w:t xml:space="preserve"> COVID-19</w:t>
      </w:r>
      <w:r w:rsidR="00A01B49">
        <w:rPr>
          <w:lang w:eastAsia="en-AU"/>
        </w:rPr>
        <w:t xml:space="preserve"> pandemic</w:t>
      </w:r>
      <w:r w:rsidR="001504FD">
        <w:rPr>
          <w:lang w:eastAsia="en-AU"/>
        </w:rPr>
        <w:t>: it was</w:t>
      </w:r>
      <w:r w:rsidRPr="00FB2103">
        <w:rPr>
          <w:lang w:eastAsia="en-AU"/>
        </w:rPr>
        <w:t xml:space="preserve"> the only region in the world to experience negative </w:t>
      </w:r>
      <w:r w:rsidR="00A01B49">
        <w:rPr>
          <w:lang w:eastAsia="en-AU"/>
        </w:rPr>
        <w:t>gross domestic product</w:t>
      </w:r>
      <w:r w:rsidR="00A01B49" w:rsidRPr="00FB2103">
        <w:rPr>
          <w:lang w:eastAsia="en-AU"/>
        </w:rPr>
        <w:t xml:space="preserve"> </w:t>
      </w:r>
      <w:r w:rsidRPr="00FB2103">
        <w:rPr>
          <w:lang w:eastAsia="en-AU"/>
        </w:rPr>
        <w:t>growth in 2020 and 2021.</w:t>
      </w:r>
      <w:bookmarkEnd w:id="5"/>
      <w:r w:rsidRPr="00FB2103">
        <w:rPr>
          <w:lang w:eastAsia="en-AU"/>
        </w:rPr>
        <w:t xml:space="preserve"> Pacific countries with a high reliance on tourism, foreign investment and commodity exports (</w:t>
      </w:r>
      <w:r w:rsidR="00A01B49">
        <w:rPr>
          <w:lang w:eastAsia="en-AU"/>
        </w:rPr>
        <w:t xml:space="preserve">such as </w:t>
      </w:r>
      <w:r w:rsidRPr="00FB2103">
        <w:rPr>
          <w:lang w:eastAsia="en-AU"/>
        </w:rPr>
        <w:t>Fiji, P</w:t>
      </w:r>
      <w:r w:rsidR="00A01B49">
        <w:rPr>
          <w:lang w:eastAsia="en-AU"/>
        </w:rPr>
        <w:t xml:space="preserve">apua </w:t>
      </w:r>
      <w:r w:rsidRPr="00FB2103">
        <w:rPr>
          <w:lang w:eastAsia="en-AU"/>
        </w:rPr>
        <w:t>N</w:t>
      </w:r>
      <w:r w:rsidR="00A01B49">
        <w:rPr>
          <w:lang w:eastAsia="en-AU"/>
        </w:rPr>
        <w:t xml:space="preserve">ew </w:t>
      </w:r>
      <w:r w:rsidRPr="00FB2103">
        <w:rPr>
          <w:lang w:eastAsia="en-AU"/>
        </w:rPr>
        <w:t>G</w:t>
      </w:r>
      <w:r w:rsidR="00A01B49">
        <w:rPr>
          <w:lang w:eastAsia="en-AU"/>
        </w:rPr>
        <w:t>u</w:t>
      </w:r>
      <w:r w:rsidR="006A7136">
        <w:rPr>
          <w:lang w:eastAsia="en-AU"/>
        </w:rPr>
        <w:t>inea</w:t>
      </w:r>
      <w:r w:rsidRPr="00FB2103">
        <w:rPr>
          <w:lang w:eastAsia="en-AU"/>
        </w:rPr>
        <w:t>, Samoa, Solomon Islands, Tonga and Vanuatu)</w:t>
      </w:r>
      <w:r w:rsidR="006A7136">
        <w:rPr>
          <w:lang w:eastAsia="en-AU"/>
        </w:rPr>
        <w:t xml:space="preserve"> were particularly impacted</w:t>
      </w:r>
      <w:r w:rsidR="00194B14">
        <w:rPr>
          <w:lang w:eastAsia="en-AU"/>
        </w:rPr>
        <w:t>.</w:t>
      </w:r>
      <w:r w:rsidR="00B00435">
        <w:rPr>
          <w:rStyle w:val="EndnoteReference"/>
          <w:lang w:eastAsia="en-AU"/>
        </w:rPr>
        <w:endnoteReference w:id="10"/>
      </w:r>
      <w:r w:rsidRPr="00FB2103">
        <w:rPr>
          <w:lang w:eastAsia="en-AU"/>
        </w:rPr>
        <w:t xml:space="preserve"> </w:t>
      </w:r>
      <w:r w:rsidR="00C13018" w:rsidRPr="00FB2103">
        <w:rPr>
          <w:lang w:eastAsia="en-AU"/>
        </w:rPr>
        <w:t>As of 2024, the Pacific has had the lowest cumulative growth of any A</w:t>
      </w:r>
      <w:r w:rsidR="00B74D9B">
        <w:rPr>
          <w:lang w:eastAsia="en-AU"/>
        </w:rPr>
        <w:t>sia</w:t>
      </w:r>
      <w:r w:rsidR="002B68C5">
        <w:rPr>
          <w:lang w:eastAsia="en-AU"/>
        </w:rPr>
        <w:t>n</w:t>
      </w:r>
      <w:r w:rsidR="00B74D9B">
        <w:rPr>
          <w:lang w:eastAsia="en-AU"/>
        </w:rPr>
        <w:t xml:space="preserve"> </w:t>
      </w:r>
      <w:r w:rsidR="00C13018" w:rsidRPr="00FB2103">
        <w:rPr>
          <w:lang w:eastAsia="en-AU"/>
        </w:rPr>
        <w:t>D</w:t>
      </w:r>
      <w:r w:rsidR="00B74D9B">
        <w:rPr>
          <w:lang w:eastAsia="en-AU"/>
        </w:rPr>
        <w:t xml:space="preserve">evelopment </w:t>
      </w:r>
      <w:r w:rsidR="00C13018" w:rsidRPr="00FB2103">
        <w:rPr>
          <w:lang w:eastAsia="en-AU"/>
        </w:rPr>
        <w:t>B</w:t>
      </w:r>
      <w:r w:rsidR="00B74D9B">
        <w:rPr>
          <w:lang w:eastAsia="en-AU"/>
        </w:rPr>
        <w:t>ank</w:t>
      </w:r>
      <w:r w:rsidR="00C13018" w:rsidRPr="00FB2103">
        <w:rPr>
          <w:lang w:eastAsia="en-AU"/>
        </w:rPr>
        <w:t xml:space="preserve"> subregion since 2019</w:t>
      </w:r>
      <w:r w:rsidR="002C7DCF" w:rsidRPr="00FB2103">
        <w:rPr>
          <w:lang w:eastAsia="en-AU"/>
        </w:rPr>
        <w:t>, with 2023 marking t</w:t>
      </w:r>
      <w:r w:rsidR="00C13018" w:rsidRPr="00FB2103">
        <w:rPr>
          <w:lang w:eastAsia="en-AU"/>
        </w:rPr>
        <w:t>he first year all Pacific countries saw growth since the</w:t>
      </w:r>
      <w:r w:rsidR="00381CCB">
        <w:rPr>
          <w:lang w:eastAsia="en-AU"/>
        </w:rPr>
        <w:t xml:space="preserve"> COVID-19</w:t>
      </w:r>
      <w:r w:rsidR="00C13018" w:rsidRPr="00FB2103">
        <w:rPr>
          <w:lang w:eastAsia="en-AU"/>
        </w:rPr>
        <w:t xml:space="preserve"> pandemic began.</w:t>
      </w:r>
      <w:r w:rsidR="00C13018" w:rsidRPr="008F0AE2">
        <w:rPr>
          <w:vertAlign w:val="superscript"/>
          <w:lang w:eastAsia="en-AU"/>
        </w:rPr>
        <w:endnoteReference w:id="11"/>
      </w:r>
      <w:r w:rsidR="00C13018" w:rsidRPr="00FB2103">
        <w:rPr>
          <w:lang w:eastAsia="en-AU"/>
        </w:rPr>
        <w:t xml:space="preserve"> </w:t>
      </w:r>
      <w:r w:rsidRPr="00FB2103">
        <w:rPr>
          <w:lang w:eastAsia="en-AU"/>
        </w:rPr>
        <w:t xml:space="preserve">Growth in the </w:t>
      </w:r>
      <w:r w:rsidR="003F5376">
        <w:rPr>
          <w:lang w:eastAsia="en-AU"/>
        </w:rPr>
        <w:t>region</w:t>
      </w:r>
      <w:r w:rsidRPr="00FB2103">
        <w:rPr>
          <w:lang w:eastAsia="en-AU"/>
        </w:rPr>
        <w:t xml:space="preserve"> is projected to expand by 4 per cent in 2025</w:t>
      </w:r>
      <w:r w:rsidR="001B7F07">
        <w:rPr>
          <w:lang w:eastAsia="en-AU"/>
        </w:rPr>
        <w:t>.</w:t>
      </w:r>
      <w:r w:rsidRPr="00182D1B">
        <w:rPr>
          <w:vertAlign w:val="superscript"/>
          <w:lang w:eastAsia="en-AU"/>
        </w:rPr>
        <w:endnoteReference w:id="12"/>
      </w:r>
      <w:r w:rsidRPr="00FB2103">
        <w:rPr>
          <w:lang w:eastAsia="en-AU"/>
        </w:rPr>
        <w:t xml:space="preserve"> However, growth rates are highly variable across </w:t>
      </w:r>
      <w:r w:rsidR="003F5376">
        <w:rPr>
          <w:lang w:eastAsia="en-AU"/>
        </w:rPr>
        <w:t>countries</w:t>
      </w:r>
      <w:r w:rsidRPr="00FB2103">
        <w:rPr>
          <w:lang w:eastAsia="en-AU"/>
        </w:rPr>
        <w:t>. Long</w:t>
      </w:r>
      <w:r w:rsidR="008B3546">
        <w:rPr>
          <w:lang w:eastAsia="en-AU"/>
        </w:rPr>
        <w:t>-</w:t>
      </w:r>
      <w:r w:rsidRPr="00FB2103">
        <w:rPr>
          <w:lang w:eastAsia="en-AU"/>
        </w:rPr>
        <w:t>term growth prospects are limited by geography, population size and the economic costs of climate change.</w:t>
      </w:r>
    </w:p>
    <w:p w14:paraId="314A6AB2" w14:textId="40713EF8" w:rsidR="00313DBE" w:rsidRPr="00FB2103" w:rsidRDefault="00313DBE" w:rsidP="00A21336">
      <w:pPr>
        <w:rPr>
          <w:lang w:eastAsia="en-AU"/>
        </w:rPr>
      </w:pPr>
      <w:r w:rsidRPr="00FB2103">
        <w:rPr>
          <w:lang w:eastAsia="en-AU"/>
        </w:rPr>
        <w:t>The Pacific has high levels of debt risk</w:t>
      </w:r>
      <w:r w:rsidR="00FF1DD1" w:rsidRPr="00FB2103">
        <w:rPr>
          <w:lang w:eastAsia="en-AU"/>
        </w:rPr>
        <w:t xml:space="preserve">. </w:t>
      </w:r>
      <w:r w:rsidR="003F5376">
        <w:rPr>
          <w:lang w:eastAsia="en-AU"/>
        </w:rPr>
        <w:t>Small economic bases mean f</w:t>
      </w:r>
      <w:r w:rsidRPr="00FB2103">
        <w:rPr>
          <w:lang w:eastAsia="en-AU"/>
        </w:rPr>
        <w:t xml:space="preserve">ew Pacific </w:t>
      </w:r>
      <w:r w:rsidR="00A46391">
        <w:rPr>
          <w:lang w:eastAsia="en-AU"/>
        </w:rPr>
        <w:t>countries</w:t>
      </w:r>
      <w:r w:rsidR="00A46391" w:rsidRPr="00FB2103">
        <w:rPr>
          <w:lang w:eastAsia="en-AU"/>
        </w:rPr>
        <w:t xml:space="preserve"> </w:t>
      </w:r>
      <w:r w:rsidR="00A46391">
        <w:rPr>
          <w:lang w:eastAsia="en-AU"/>
        </w:rPr>
        <w:t>can</w:t>
      </w:r>
      <w:r w:rsidRPr="00FB2103">
        <w:rPr>
          <w:lang w:eastAsia="en-AU"/>
        </w:rPr>
        <w:t xml:space="preserve"> borrow now to invest in </w:t>
      </w:r>
      <w:r w:rsidR="00020E09" w:rsidRPr="00FB2103">
        <w:rPr>
          <w:lang w:eastAsia="en-AU"/>
        </w:rPr>
        <w:t xml:space="preserve">the </w:t>
      </w:r>
      <w:r w:rsidRPr="00FB2103">
        <w:rPr>
          <w:lang w:eastAsia="en-AU"/>
        </w:rPr>
        <w:t xml:space="preserve">future. As of </w:t>
      </w:r>
      <w:r w:rsidR="00A46391">
        <w:rPr>
          <w:lang w:eastAsia="en-AU"/>
        </w:rPr>
        <w:t>October</w:t>
      </w:r>
      <w:r w:rsidR="00A46391" w:rsidRPr="00FB2103">
        <w:rPr>
          <w:lang w:eastAsia="en-AU"/>
        </w:rPr>
        <w:t xml:space="preserve"> </w:t>
      </w:r>
      <w:r w:rsidRPr="00FB2103">
        <w:rPr>
          <w:lang w:eastAsia="en-AU"/>
        </w:rPr>
        <w:t xml:space="preserve">2024, the International Monetary Fund assessed six of nine low-income Pacific countries as being at high risk of debt distress, with </w:t>
      </w:r>
      <w:r w:rsidR="008138FE" w:rsidRPr="00FB2103">
        <w:rPr>
          <w:lang w:eastAsia="en-AU"/>
        </w:rPr>
        <w:t>the remaining</w:t>
      </w:r>
      <w:r w:rsidRPr="00FB2103">
        <w:rPr>
          <w:lang w:eastAsia="en-AU"/>
        </w:rPr>
        <w:t xml:space="preserve"> three countries at moderate risk</w:t>
      </w:r>
      <w:r w:rsidR="001B7F07">
        <w:rPr>
          <w:lang w:eastAsia="en-AU"/>
        </w:rPr>
        <w:t>.</w:t>
      </w:r>
      <w:r w:rsidRPr="00230443">
        <w:rPr>
          <w:vertAlign w:val="superscript"/>
          <w:lang w:eastAsia="en-AU"/>
        </w:rPr>
        <w:endnoteReference w:id="13"/>
      </w:r>
      <w:r w:rsidRPr="00FB2103">
        <w:rPr>
          <w:lang w:eastAsia="en-AU"/>
        </w:rPr>
        <w:t xml:space="preserve"> </w:t>
      </w:r>
      <w:r w:rsidR="002E5C77" w:rsidRPr="00FB2103">
        <w:rPr>
          <w:lang w:eastAsia="en-AU"/>
        </w:rPr>
        <w:t xml:space="preserve">Pacific countries </w:t>
      </w:r>
      <w:r w:rsidR="003F5376">
        <w:rPr>
          <w:lang w:eastAsia="en-AU"/>
        </w:rPr>
        <w:t>face unique</w:t>
      </w:r>
      <w:r w:rsidRPr="00FB2103">
        <w:rPr>
          <w:lang w:eastAsia="en-AU"/>
        </w:rPr>
        <w:t xml:space="preserve"> commercial banking challenges</w:t>
      </w:r>
      <w:r w:rsidR="00AF0FFC" w:rsidRPr="00FB2103">
        <w:rPr>
          <w:lang w:eastAsia="en-AU"/>
        </w:rPr>
        <w:t xml:space="preserve">, </w:t>
      </w:r>
      <w:r w:rsidR="003F5376">
        <w:rPr>
          <w:lang w:eastAsia="en-AU"/>
        </w:rPr>
        <w:t>demonstrated by</w:t>
      </w:r>
      <w:r w:rsidR="00AF0FFC" w:rsidRPr="00FB2103">
        <w:rPr>
          <w:lang w:eastAsia="en-AU"/>
        </w:rPr>
        <w:t xml:space="preserve"> the withdrawal of numerous</w:t>
      </w:r>
      <w:r w:rsidR="004237AD" w:rsidRPr="00FB2103">
        <w:rPr>
          <w:lang w:eastAsia="en-AU"/>
        </w:rPr>
        <w:t xml:space="preserve"> banks providing correspondent banking services </w:t>
      </w:r>
      <w:r w:rsidR="003F5376">
        <w:rPr>
          <w:lang w:eastAsia="en-AU"/>
        </w:rPr>
        <w:t>in recent years</w:t>
      </w:r>
      <w:r w:rsidRPr="00FB2103">
        <w:rPr>
          <w:lang w:eastAsia="en-AU"/>
        </w:rPr>
        <w:t xml:space="preserve">. Continued withdrawal of these services </w:t>
      </w:r>
      <w:r w:rsidR="00E94603" w:rsidRPr="00FB2103">
        <w:rPr>
          <w:lang w:eastAsia="en-AU"/>
        </w:rPr>
        <w:t>would</w:t>
      </w:r>
      <w:r w:rsidRPr="00FB2103">
        <w:rPr>
          <w:lang w:eastAsia="en-AU"/>
        </w:rPr>
        <w:t xml:space="preserve"> effectively sever trade, investment and remittance flows to and from the rest of the world.</w:t>
      </w:r>
    </w:p>
    <w:p w14:paraId="6CB9BAA8" w14:textId="77777777" w:rsidR="00E94603" w:rsidRPr="0035504A" w:rsidRDefault="00E94603" w:rsidP="0035504A">
      <w:pPr>
        <w:pStyle w:val="H3-Heading3"/>
      </w:pPr>
      <w:r w:rsidRPr="0035504A">
        <w:t>Human capital and community resilience</w:t>
      </w:r>
    </w:p>
    <w:p w14:paraId="08D6ED91" w14:textId="18291C45" w:rsidR="00AD6008" w:rsidRPr="003F69A8" w:rsidRDefault="00AD6008" w:rsidP="00A21336">
      <w:pPr>
        <w:rPr>
          <w:lang w:eastAsia="en-AU"/>
        </w:rPr>
      </w:pPr>
      <w:bookmarkStart w:id="6" w:name="_Hlk179192836"/>
      <w:r w:rsidRPr="003F69A8">
        <w:rPr>
          <w:lang w:eastAsia="en-AU"/>
        </w:rPr>
        <w:t>With half the region’s population aged under 23</w:t>
      </w:r>
      <w:r w:rsidR="00B3796F">
        <w:rPr>
          <w:lang w:eastAsia="en-AU"/>
        </w:rPr>
        <w:t xml:space="preserve"> years</w:t>
      </w:r>
      <w:r w:rsidRPr="003F69A8">
        <w:rPr>
          <w:lang w:eastAsia="en-AU"/>
        </w:rPr>
        <w:t xml:space="preserve">, </w:t>
      </w:r>
      <w:bookmarkEnd w:id="6"/>
      <w:r w:rsidRPr="003F69A8">
        <w:rPr>
          <w:lang w:eastAsia="en-AU"/>
        </w:rPr>
        <w:t xml:space="preserve">future regional growth and stability will </w:t>
      </w:r>
      <w:r w:rsidR="003E4000">
        <w:rPr>
          <w:lang w:eastAsia="en-AU"/>
        </w:rPr>
        <w:t>hinge on</w:t>
      </w:r>
      <w:r w:rsidRPr="003F69A8">
        <w:rPr>
          <w:lang w:eastAsia="en-AU"/>
        </w:rPr>
        <w:t xml:space="preserve"> </w:t>
      </w:r>
      <w:r w:rsidR="003F5376">
        <w:rPr>
          <w:lang w:eastAsia="en-AU"/>
        </w:rPr>
        <w:t xml:space="preserve">the </w:t>
      </w:r>
      <w:r w:rsidRPr="003F69A8">
        <w:rPr>
          <w:lang w:eastAsia="en-AU"/>
        </w:rPr>
        <w:t>Pacific</w:t>
      </w:r>
      <w:r w:rsidR="003F5376">
        <w:rPr>
          <w:lang w:eastAsia="en-AU"/>
        </w:rPr>
        <w:t>’s</w:t>
      </w:r>
      <w:r w:rsidRPr="003F69A8">
        <w:rPr>
          <w:lang w:eastAsia="en-AU"/>
        </w:rPr>
        <w:t xml:space="preserve"> youth. Many Pacific countries have made strong progress in achieving near-universal primary school </w:t>
      </w:r>
      <w:r w:rsidRPr="003F69A8">
        <w:rPr>
          <w:lang w:eastAsia="en-AU"/>
        </w:rPr>
        <w:lastRenderedPageBreak/>
        <w:t xml:space="preserve">enrolment, due largely to free access, compulsory attendance and growing community engagement with schools. </w:t>
      </w:r>
      <w:r w:rsidR="00B03B97" w:rsidRPr="003F69A8">
        <w:rPr>
          <w:lang w:eastAsia="en-AU"/>
        </w:rPr>
        <w:t>However, the</w:t>
      </w:r>
      <w:r w:rsidR="00FD1DDB">
        <w:rPr>
          <w:lang w:eastAsia="en-AU"/>
        </w:rPr>
        <w:t xml:space="preserve"> COVID-19</w:t>
      </w:r>
      <w:r w:rsidR="00B03B97" w:rsidRPr="003F69A8">
        <w:rPr>
          <w:lang w:eastAsia="en-AU"/>
        </w:rPr>
        <w:t xml:space="preserve"> pandemic and</w:t>
      </w:r>
      <w:r w:rsidR="00FD1DDB">
        <w:rPr>
          <w:lang w:eastAsia="en-AU"/>
        </w:rPr>
        <w:t xml:space="preserve"> various</w:t>
      </w:r>
      <w:r w:rsidR="00B03B97" w:rsidRPr="003F69A8">
        <w:rPr>
          <w:lang w:eastAsia="en-AU"/>
        </w:rPr>
        <w:t xml:space="preserve"> disasters have impacted student performance across the region (mirroring global trends). The</w:t>
      </w:r>
      <w:r w:rsidR="003F5376">
        <w:rPr>
          <w:lang w:eastAsia="en-AU"/>
        </w:rPr>
        <w:t>re has b</w:t>
      </w:r>
      <w:r w:rsidR="00B03B97" w:rsidRPr="003F69A8">
        <w:rPr>
          <w:lang w:eastAsia="en-AU"/>
        </w:rPr>
        <w:t>een a surge in</w:t>
      </w:r>
      <w:r w:rsidR="00731368">
        <w:rPr>
          <w:lang w:eastAsia="en-AU"/>
        </w:rPr>
        <w:t xml:space="preserve"> rates of adult literacy and</w:t>
      </w:r>
      <w:r w:rsidR="00B03B97" w:rsidRPr="003F69A8">
        <w:rPr>
          <w:lang w:eastAsia="en-AU"/>
        </w:rPr>
        <w:t xml:space="preserve"> tertiary education </w:t>
      </w:r>
      <w:r w:rsidR="00842C6E">
        <w:rPr>
          <w:lang w:eastAsia="en-AU"/>
        </w:rPr>
        <w:t xml:space="preserve">completion, </w:t>
      </w:r>
      <w:r w:rsidR="00B03B97" w:rsidRPr="003F69A8">
        <w:rPr>
          <w:lang w:eastAsia="en-AU"/>
        </w:rPr>
        <w:t>and s</w:t>
      </w:r>
      <w:r w:rsidRPr="003F69A8">
        <w:rPr>
          <w:lang w:eastAsia="en-AU"/>
        </w:rPr>
        <w:t xml:space="preserve">teady progress has been made in </w:t>
      </w:r>
      <w:r w:rsidR="004A70CA">
        <w:rPr>
          <w:lang w:eastAsia="en-AU"/>
        </w:rPr>
        <w:t xml:space="preserve">increasing </w:t>
      </w:r>
      <w:r w:rsidRPr="003F69A8">
        <w:rPr>
          <w:lang w:eastAsia="en-AU"/>
        </w:rPr>
        <w:t>access to quality training in the Pacific</w:t>
      </w:r>
      <w:r w:rsidR="0051071D" w:rsidRPr="003F69A8">
        <w:rPr>
          <w:lang w:eastAsia="en-AU"/>
        </w:rPr>
        <w:t>.</w:t>
      </w:r>
      <w:r w:rsidRPr="003F69A8">
        <w:rPr>
          <w:lang w:eastAsia="en-AU"/>
        </w:rPr>
        <w:t xml:space="preserve"> Yet acute shortages of skilled workers remain. This is particularly </w:t>
      </w:r>
      <w:r w:rsidR="00756263">
        <w:rPr>
          <w:lang w:eastAsia="en-AU"/>
        </w:rPr>
        <w:t>the case</w:t>
      </w:r>
      <w:r w:rsidR="00756263" w:rsidRPr="003F69A8">
        <w:rPr>
          <w:lang w:eastAsia="en-AU"/>
        </w:rPr>
        <w:t xml:space="preserve"> </w:t>
      </w:r>
      <w:r w:rsidRPr="003F69A8">
        <w:rPr>
          <w:lang w:eastAsia="en-AU"/>
        </w:rPr>
        <w:t xml:space="preserve">in </w:t>
      </w:r>
      <w:r w:rsidR="003F5376">
        <w:rPr>
          <w:lang w:eastAsia="en-AU"/>
        </w:rPr>
        <w:t xml:space="preserve">the </w:t>
      </w:r>
      <w:r w:rsidRPr="003F69A8">
        <w:rPr>
          <w:lang w:eastAsia="en-AU"/>
        </w:rPr>
        <w:t>key industries of hospitality, tourism, construction, climate and energy.</w:t>
      </w:r>
    </w:p>
    <w:p w14:paraId="3D08B452" w14:textId="6BEF4D20" w:rsidR="00AD6008" w:rsidRPr="003F69A8" w:rsidRDefault="00AD6008" w:rsidP="00A21336">
      <w:pPr>
        <w:rPr>
          <w:lang w:eastAsia="en-AU"/>
        </w:rPr>
      </w:pPr>
      <w:r w:rsidRPr="003F69A8">
        <w:rPr>
          <w:lang w:eastAsia="en-AU"/>
        </w:rPr>
        <w:t>I</w:t>
      </w:r>
      <w:r w:rsidR="00D735B9" w:rsidRPr="003F69A8">
        <w:rPr>
          <w:lang w:eastAsia="en-AU"/>
        </w:rPr>
        <w:t xml:space="preserve">ncome inequality </w:t>
      </w:r>
      <w:r w:rsidR="003F5376">
        <w:rPr>
          <w:lang w:eastAsia="en-AU"/>
        </w:rPr>
        <w:t>is</w:t>
      </w:r>
      <w:r w:rsidR="00D735B9" w:rsidRPr="003F69A8">
        <w:rPr>
          <w:lang w:eastAsia="en-AU"/>
        </w:rPr>
        <w:t xml:space="preserve"> deeply entrenched</w:t>
      </w:r>
      <w:r w:rsidR="0017473C">
        <w:rPr>
          <w:lang w:eastAsia="en-AU"/>
        </w:rPr>
        <w:t xml:space="preserve"> in the Pacific</w:t>
      </w:r>
      <w:r w:rsidR="00D735B9" w:rsidRPr="003F69A8">
        <w:rPr>
          <w:lang w:eastAsia="en-AU"/>
        </w:rPr>
        <w:t xml:space="preserve">, with hundreds of thousands of people confined to </w:t>
      </w:r>
      <w:r w:rsidR="0017473C">
        <w:rPr>
          <w:lang w:eastAsia="en-AU"/>
        </w:rPr>
        <w:t>employment in the</w:t>
      </w:r>
      <w:r w:rsidR="0017473C" w:rsidRPr="003F69A8">
        <w:rPr>
          <w:lang w:eastAsia="en-AU"/>
        </w:rPr>
        <w:t xml:space="preserve"> </w:t>
      </w:r>
      <w:r w:rsidR="00D735B9" w:rsidRPr="003F69A8">
        <w:rPr>
          <w:lang w:eastAsia="en-AU"/>
        </w:rPr>
        <w:t>informal sector</w:t>
      </w:r>
      <w:r w:rsidR="00025B30">
        <w:rPr>
          <w:lang w:eastAsia="en-AU"/>
        </w:rPr>
        <w:t xml:space="preserve"> and many </w:t>
      </w:r>
      <w:r w:rsidR="0017473C">
        <w:rPr>
          <w:lang w:eastAsia="en-AU"/>
        </w:rPr>
        <w:t xml:space="preserve">lacking </w:t>
      </w:r>
      <w:r w:rsidR="00025B30">
        <w:rPr>
          <w:lang w:eastAsia="en-AU"/>
        </w:rPr>
        <w:t>access to social protection.</w:t>
      </w:r>
      <w:r w:rsidR="0017473C">
        <w:rPr>
          <w:rStyle w:val="EndnoteReference"/>
          <w:lang w:eastAsia="en-AU"/>
        </w:rPr>
        <w:endnoteReference w:id="14"/>
      </w:r>
      <w:r w:rsidRPr="003F69A8">
        <w:rPr>
          <w:lang w:eastAsia="en-AU"/>
        </w:rPr>
        <w:t xml:space="preserve"> While food</w:t>
      </w:r>
      <w:r w:rsidR="001002E8">
        <w:rPr>
          <w:lang w:eastAsia="en-AU"/>
        </w:rPr>
        <w:t xml:space="preserve"> insecurity</w:t>
      </w:r>
      <w:r w:rsidRPr="003F69A8">
        <w:rPr>
          <w:lang w:eastAsia="en-AU"/>
        </w:rPr>
        <w:t xml:space="preserve"> and extreme poverty remain relatively low, an estimated one in four people</w:t>
      </w:r>
      <w:r w:rsidR="001002E8">
        <w:rPr>
          <w:lang w:eastAsia="en-AU"/>
        </w:rPr>
        <w:t xml:space="preserve"> in the Pacific</w:t>
      </w:r>
      <w:r w:rsidR="007954BD">
        <w:rPr>
          <w:lang w:eastAsia="en-AU"/>
        </w:rPr>
        <w:t xml:space="preserve"> </w:t>
      </w:r>
      <w:r w:rsidRPr="003F69A8">
        <w:rPr>
          <w:lang w:eastAsia="en-AU"/>
        </w:rPr>
        <w:t>are likely to be living below their country’s basic-needs poverty line</w:t>
      </w:r>
      <w:r w:rsidR="00743F19">
        <w:rPr>
          <w:lang w:eastAsia="en-AU"/>
        </w:rPr>
        <w:t>.</w:t>
      </w:r>
      <w:r w:rsidRPr="009008DF">
        <w:rPr>
          <w:vertAlign w:val="superscript"/>
          <w:lang w:eastAsia="en-AU"/>
        </w:rPr>
        <w:endnoteReference w:id="15"/>
      </w:r>
      <w:r w:rsidR="00977543" w:rsidRPr="003F69A8">
        <w:rPr>
          <w:lang w:eastAsia="en-AU"/>
        </w:rPr>
        <w:t xml:space="preserve"> Women, girls and people with </w:t>
      </w:r>
      <w:r w:rsidR="00977543" w:rsidRPr="004950C6">
        <w:rPr>
          <w:lang w:eastAsia="en-AU"/>
        </w:rPr>
        <w:t>disabilit</w:t>
      </w:r>
      <w:r w:rsidR="00AE14D3" w:rsidRPr="004950C6">
        <w:rPr>
          <w:lang w:eastAsia="en-AU"/>
        </w:rPr>
        <w:t>y</w:t>
      </w:r>
      <w:r w:rsidR="00977543" w:rsidRPr="003F69A8">
        <w:rPr>
          <w:lang w:eastAsia="en-AU"/>
        </w:rPr>
        <w:t xml:space="preserve"> are more likely to live in poverty</w:t>
      </w:r>
      <w:r w:rsidR="007954BD">
        <w:rPr>
          <w:lang w:eastAsia="en-AU"/>
        </w:rPr>
        <w:t>,</w:t>
      </w:r>
      <w:r w:rsidR="00977543" w:rsidRPr="003F69A8">
        <w:rPr>
          <w:lang w:eastAsia="en-AU"/>
        </w:rPr>
        <w:t xml:space="preserve"> and face multiple and intersecting forms of discrimination</w:t>
      </w:r>
      <w:r w:rsidR="003F5376">
        <w:rPr>
          <w:lang w:eastAsia="en-AU"/>
        </w:rPr>
        <w:t>,</w:t>
      </w:r>
      <w:r w:rsidR="00977543" w:rsidRPr="003F69A8">
        <w:rPr>
          <w:lang w:eastAsia="en-AU"/>
        </w:rPr>
        <w:t xml:space="preserve"> which exacerbate inequalities.</w:t>
      </w:r>
    </w:p>
    <w:p w14:paraId="0E9D118F" w14:textId="45FF6238" w:rsidR="00313DBE" w:rsidRPr="003F69A8" w:rsidRDefault="00313DBE" w:rsidP="00A21336">
      <w:pPr>
        <w:rPr>
          <w:lang w:eastAsia="en-AU"/>
        </w:rPr>
      </w:pPr>
      <w:r w:rsidRPr="003F69A8">
        <w:rPr>
          <w:lang w:eastAsia="en-AU"/>
        </w:rPr>
        <w:t>The Pacific region faces a non-communicable disease</w:t>
      </w:r>
      <w:r w:rsidR="00D4525A">
        <w:rPr>
          <w:lang w:eastAsia="en-AU"/>
        </w:rPr>
        <w:t xml:space="preserve"> </w:t>
      </w:r>
      <w:r w:rsidRPr="003F69A8">
        <w:rPr>
          <w:lang w:eastAsia="en-AU"/>
        </w:rPr>
        <w:t xml:space="preserve">crisis. </w:t>
      </w:r>
      <w:r w:rsidR="00D4525A">
        <w:rPr>
          <w:lang w:eastAsia="en-AU"/>
        </w:rPr>
        <w:t>Non-communicable diseases</w:t>
      </w:r>
      <w:r w:rsidRPr="003F69A8">
        <w:rPr>
          <w:lang w:eastAsia="en-AU"/>
        </w:rPr>
        <w:t>, including cardiovascular disease, diabetes, cancer and chronic respiratory disease</w:t>
      </w:r>
      <w:r w:rsidR="003F5376">
        <w:rPr>
          <w:lang w:eastAsia="en-AU"/>
        </w:rPr>
        <w:t>s</w:t>
      </w:r>
      <w:r w:rsidRPr="003F69A8">
        <w:rPr>
          <w:lang w:eastAsia="en-AU"/>
        </w:rPr>
        <w:t xml:space="preserve">, represent the single largest cause of premature mortality in </w:t>
      </w:r>
      <w:r w:rsidR="00FF1DD1" w:rsidRPr="003F69A8">
        <w:rPr>
          <w:lang w:eastAsia="en-AU"/>
        </w:rPr>
        <w:t>the region</w:t>
      </w:r>
      <w:r w:rsidRPr="003F69A8">
        <w:rPr>
          <w:lang w:eastAsia="en-AU"/>
        </w:rPr>
        <w:t>.</w:t>
      </w:r>
      <w:r w:rsidR="00105EAF">
        <w:rPr>
          <w:rStyle w:val="EndnoteReference"/>
          <w:lang w:eastAsia="en-AU"/>
        </w:rPr>
        <w:endnoteReference w:id="16"/>
      </w:r>
    </w:p>
    <w:p w14:paraId="73D60303" w14:textId="75B1C788" w:rsidR="002F4955" w:rsidRPr="0035504A" w:rsidRDefault="002F4955" w:rsidP="0035504A">
      <w:pPr>
        <w:pStyle w:val="H3-Heading3"/>
      </w:pPr>
      <w:r w:rsidRPr="0035504A">
        <w:t>Climate change</w:t>
      </w:r>
    </w:p>
    <w:p w14:paraId="1A1CEED3" w14:textId="73E862F8" w:rsidR="000F5CB7" w:rsidRPr="00404D70" w:rsidRDefault="003F5376" w:rsidP="00A21336">
      <w:pPr>
        <w:rPr>
          <w:lang w:eastAsia="en-AU"/>
        </w:rPr>
      </w:pPr>
      <w:r w:rsidRPr="00404D70">
        <w:rPr>
          <w:lang w:eastAsia="en-AU"/>
        </w:rPr>
        <w:t xml:space="preserve">Pacific countries are uniquely vulnerable to </w:t>
      </w:r>
      <w:r w:rsidR="00743F19">
        <w:rPr>
          <w:lang w:eastAsia="en-AU"/>
        </w:rPr>
        <w:t xml:space="preserve">the impacts of </w:t>
      </w:r>
      <w:r w:rsidRPr="00404D70">
        <w:rPr>
          <w:lang w:eastAsia="en-AU"/>
        </w:rPr>
        <w:t>climate change. The region has</w:t>
      </w:r>
      <w:r w:rsidR="000F5CB7" w:rsidRPr="00404D70">
        <w:rPr>
          <w:lang w:eastAsia="en-AU"/>
        </w:rPr>
        <w:t xml:space="preserve"> clearly communicated </w:t>
      </w:r>
      <w:r w:rsidRPr="00404D70">
        <w:rPr>
          <w:lang w:eastAsia="en-AU"/>
        </w:rPr>
        <w:t>its</w:t>
      </w:r>
      <w:r w:rsidR="000F5CB7" w:rsidRPr="00404D70">
        <w:rPr>
          <w:lang w:eastAsia="en-AU"/>
        </w:rPr>
        <w:t xml:space="preserve"> climate change priorities through several statements and strategies, includin</w:t>
      </w:r>
      <w:r w:rsidR="000F5CB7" w:rsidRPr="00874E4F">
        <w:rPr>
          <w:lang w:eastAsia="en-AU"/>
        </w:rPr>
        <w:t xml:space="preserve">g the </w:t>
      </w:r>
      <w:r w:rsidR="000F5CB7" w:rsidRPr="00547BC4">
        <w:rPr>
          <w:iCs/>
        </w:rPr>
        <w:t>Framework for Resilient Development in the Pacific</w:t>
      </w:r>
      <w:r w:rsidR="006E12D2" w:rsidRPr="00874E4F">
        <w:rPr>
          <w:rStyle w:val="EndnoteReference"/>
          <w:lang w:eastAsia="en-AU"/>
        </w:rPr>
        <w:endnoteReference w:id="17"/>
      </w:r>
      <w:r w:rsidR="000F5CB7" w:rsidRPr="00874E4F">
        <w:rPr>
          <w:lang w:eastAsia="en-AU"/>
        </w:rPr>
        <w:t xml:space="preserve"> </w:t>
      </w:r>
      <w:r w:rsidR="00A53A56" w:rsidRPr="00874E4F">
        <w:rPr>
          <w:lang w:eastAsia="en-AU"/>
        </w:rPr>
        <w:t xml:space="preserve">and </w:t>
      </w:r>
      <w:r w:rsidR="000F5CB7" w:rsidRPr="00874E4F">
        <w:rPr>
          <w:lang w:eastAsia="en-AU"/>
        </w:rPr>
        <w:t xml:space="preserve">the 2018 </w:t>
      </w:r>
      <w:proofErr w:type="spellStart"/>
      <w:r w:rsidR="000F5CB7" w:rsidRPr="00874E4F">
        <w:rPr>
          <w:lang w:eastAsia="en-AU"/>
        </w:rPr>
        <w:t>Boe</w:t>
      </w:r>
      <w:proofErr w:type="spellEnd"/>
      <w:r w:rsidR="000F5CB7" w:rsidRPr="00404D70">
        <w:rPr>
          <w:lang w:eastAsia="en-AU"/>
        </w:rPr>
        <w:t xml:space="preserve"> Declaration on Regional Security</w:t>
      </w:r>
      <w:r w:rsidRPr="00404D70">
        <w:rPr>
          <w:lang w:eastAsia="en-AU"/>
        </w:rPr>
        <w:t>,</w:t>
      </w:r>
      <w:r w:rsidR="000F5CB7" w:rsidRPr="00404D70">
        <w:rPr>
          <w:lang w:eastAsia="en-AU"/>
        </w:rPr>
        <w:t xml:space="preserve"> which highlighted climate change as the single greatest threat to the livelihoods, security and wellbeing of Pacific peoples</w:t>
      </w:r>
      <w:r w:rsidR="008B3546">
        <w:rPr>
          <w:lang w:eastAsia="en-AU"/>
        </w:rPr>
        <w:t>. T</w:t>
      </w:r>
      <w:r w:rsidR="000F5CB7" w:rsidRPr="00404D70">
        <w:rPr>
          <w:lang w:eastAsia="en-AU"/>
        </w:rPr>
        <w:t xml:space="preserve">he 2050 Strategy outlines the ambition that ‘all Pacific peoples remain resilient to the impacts of climate change and disasters and are able to lead safe, secure and prosperous </w:t>
      </w:r>
      <w:proofErr w:type="gramStart"/>
      <w:r w:rsidR="00140767" w:rsidRPr="00404D70">
        <w:rPr>
          <w:lang w:eastAsia="en-AU"/>
        </w:rPr>
        <w:t>lives</w:t>
      </w:r>
      <w:r w:rsidR="00751F73">
        <w:rPr>
          <w:lang w:eastAsia="en-AU"/>
        </w:rPr>
        <w:t>’</w:t>
      </w:r>
      <w:proofErr w:type="gramEnd"/>
      <w:r w:rsidR="000F5CB7" w:rsidRPr="00404D70">
        <w:rPr>
          <w:lang w:eastAsia="en-AU"/>
        </w:rPr>
        <w:t>.</w:t>
      </w:r>
      <w:r w:rsidR="00205873">
        <w:rPr>
          <w:rStyle w:val="EndnoteReference"/>
          <w:lang w:eastAsia="en-AU"/>
        </w:rPr>
        <w:endnoteReference w:id="18"/>
      </w:r>
    </w:p>
    <w:p w14:paraId="5C80DAA2" w14:textId="35FA6A79" w:rsidR="00B64258" w:rsidRPr="00404D70" w:rsidRDefault="00A12D37" w:rsidP="00A21336">
      <w:pPr>
        <w:rPr>
          <w:lang w:eastAsia="en-AU"/>
        </w:rPr>
      </w:pPr>
      <w:r w:rsidRPr="00404D70">
        <w:rPr>
          <w:lang w:eastAsia="en-AU"/>
        </w:rPr>
        <w:t xml:space="preserve">The region is already experiencing the impacts of climate change, </w:t>
      </w:r>
      <w:r w:rsidR="00205873">
        <w:rPr>
          <w:lang w:eastAsia="en-AU"/>
        </w:rPr>
        <w:t>including</w:t>
      </w:r>
      <w:r w:rsidR="00205873" w:rsidRPr="00404D70">
        <w:rPr>
          <w:lang w:eastAsia="en-AU"/>
        </w:rPr>
        <w:t xml:space="preserve"> </w:t>
      </w:r>
      <w:r w:rsidRPr="00404D70">
        <w:rPr>
          <w:lang w:eastAsia="en-AU"/>
        </w:rPr>
        <w:t>increased temperatures (</w:t>
      </w:r>
      <w:r w:rsidR="00205873">
        <w:rPr>
          <w:lang w:eastAsia="en-AU"/>
        </w:rPr>
        <w:t xml:space="preserve">resulting in </w:t>
      </w:r>
      <w:r w:rsidR="002745A6">
        <w:rPr>
          <w:lang w:eastAsia="en-AU"/>
        </w:rPr>
        <w:t>land</w:t>
      </w:r>
      <w:r w:rsidR="002745A6" w:rsidRPr="00404D70">
        <w:rPr>
          <w:lang w:eastAsia="en-AU"/>
        </w:rPr>
        <w:t xml:space="preserve"> </w:t>
      </w:r>
      <w:r w:rsidRPr="00404D70">
        <w:rPr>
          <w:lang w:eastAsia="en-AU"/>
        </w:rPr>
        <w:t>and marine heatwaves), changes in rainfall (resulting in flood</w:t>
      </w:r>
      <w:r w:rsidR="002745A6">
        <w:rPr>
          <w:lang w:eastAsia="en-AU"/>
        </w:rPr>
        <w:t>s</w:t>
      </w:r>
      <w:r w:rsidRPr="00404D70">
        <w:rPr>
          <w:lang w:eastAsia="en-AU"/>
        </w:rPr>
        <w:t xml:space="preserve"> and drought</w:t>
      </w:r>
      <w:r w:rsidR="002745A6">
        <w:rPr>
          <w:lang w:eastAsia="en-AU"/>
        </w:rPr>
        <w:t>s</w:t>
      </w:r>
      <w:r w:rsidRPr="00404D70">
        <w:rPr>
          <w:lang w:eastAsia="en-AU"/>
        </w:rPr>
        <w:t>), sea level rise (resulting in loss of habitable and arable land, coastal erosion</w:t>
      </w:r>
      <w:r w:rsidR="00751F73">
        <w:rPr>
          <w:lang w:eastAsia="en-AU"/>
        </w:rPr>
        <w:t>,</w:t>
      </w:r>
      <w:r w:rsidRPr="00404D70">
        <w:rPr>
          <w:lang w:eastAsia="en-AU"/>
        </w:rPr>
        <w:t xml:space="preserve"> and saltwater intrusion), </w:t>
      </w:r>
      <w:r w:rsidR="00E21F0F">
        <w:rPr>
          <w:lang w:eastAsia="en-AU"/>
        </w:rPr>
        <w:t xml:space="preserve">increased </w:t>
      </w:r>
      <w:r w:rsidRPr="00404D70">
        <w:rPr>
          <w:lang w:eastAsia="en-AU"/>
        </w:rPr>
        <w:t>intensity of tropical cyclones</w:t>
      </w:r>
      <w:r w:rsidR="00E21F0F">
        <w:rPr>
          <w:lang w:eastAsia="en-AU"/>
        </w:rPr>
        <w:t>,</w:t>
      </w:r>
      <w:r w:rsidRPr="00404D70">
        <w:rPr>
          <w:lang w:eastAsia="en-AU"/>
        </w:rPr>
        <w:t xml:space="preserve"> extreme weather</w:t>
      </w:r>
      <w:r w:rsidR="00751F73">
        <w:rPr>
          <w:lang w:eastAsia="en-AU"/>
        </w:rPr>
        <w:t>,</w:t>
      </w:r>
      <w:r w:rsidRPr="00404D70">
        <w:rPr>
          <w:lang w:eastAsia="en-AU"/>
        </w:rPr>
        <w:t xml:space="preserve"> and ocean acidification.</w:t>
      </w:r>
      <w:r w:rsidR="008C3FED" w:rsidRPr="00404D70">
        <w:rPr>
          <w:lang w:eastAsia="en-AU"/>
        </w:rPr>
        <w:t xml:space="preserve"> </w:t>
      </w:r>
      <w:r w:rsidRPr="00404D70">
        <w:rPr>
          <w:lang w:eastAsia="en-AU"/>
        </w:rPr>
        <w:t>Future c</w:t>
      </w:r>
      <w:r w:rsidR="00191A7E" w:rsidRPr="00404D70">
        <w:rPr>
          <w:lang w:eastAsia="en-AU"/>
        </w:rPr>
        <w:t xml:space="preserve">limate scenarios </w:t>
      </w:r>
      <w:r w:rsidR="00552258" w:rsidRPr="00404D70">
        <w:rPr>
          <w:lang w:eastAsia="en-AU"/>
        </w:rPr>
        <w:t xml:space="preserve">in </w:t>
      </w:r>
      <w:r w:rsidR="00191A7E" w:rsidRPr="00404D70">
        <w:rPr>
          <w:lang w:eastAsia="en-AU"/>
        </w:rPr>
        <w:t xml:space="preserve">the Pacific </w:t>
      </w:r>
      <w:r w:rsidR="00552258" w:rsidRPr="00404D70">
        <w:rPr>
          <w:lang w:eastAsia="en-AU"/>
        </w:rPr>
        <w:t>include</w:t>
      </w:r>
      <w:r w:rsidR="00191A7E" w:rsidRPr="00404D70">
        <w:rPr>
          <w:lang w:eastAsia="en-AU"/>
        </w:rPr>
        <w:t xml:space="preserve"> irreversible slow</w:t>
      </w:r>
      <w:r w:rsidR="00751F73">
        <w:rPr>
          <w:lang w:eastAsia="en-AU"/>
        </w:rPr>
        <w:t>-</w:t>
      </w:r>
      <w:r w:rsidR="00191A7E" w:rsidRPr="00404D70">
        <w:rPr>
          <w:lang w:eastAsia="en-AU"/>
        </w:rPr>
        <w:t>onset events (</w:t>
      </w:r>
      <w:r w:rsidR="003F5376" w:rsidRPr="00404D70">
        <w:rPr>
          <w:lang w:eastAsia="en-AU"/>
        </w:rPr>
        <w:t xml:space="preserve">such as </w:t>
      </w:r>
      <w:r w:rsidR="00191A7E" w:rsidRPr="00404D70">
        <w:rPr>
          <w:lang w:eastAsia="en-AU"/>
        </w:rPr>
        <w:t>sea level rise</w:t>
      </w:r>
      <w:r w:rsidR="003F5376" w:rsidRPr="00404D70">
        <w:rPr>
          <w:lang w:eastAsia="en-AU"/>
        </w:rPr>
        <w:t xml:space="preserve"> and</w:t>
      </w:r>
      <w:r w:rsidR="00191A7E" w:rsidRPr="00404D70">
        <w:rPr>
          <w:lang w:eastAsia="en-AU"/>
        </w:rPr>
        <w:t xml:space="preserve"> ocean acidification) and intensified sudden</w:t>
      </w:r>
      <w:r w:rsidR="00751F73">
        <w:rPr>
          <w:lang w:eastAsia="en-AU"/>
        </w:rPr>
        <w:t>-</w:t>
      </w:r>
      <w:r w:rsidR="00191A7E" w:rsidRPr="00404D70">
        <w:rPr>
          <w:lang w:eastAsia="en-AU"/>
        </w:rPr>
        <w:t>onset events (</w:t>
      </w:r>
      <w:r w:rsidR="003F5376" w:rsidRPr="00404D70">
        <w:rPr>
          <w:lang w:eastAsia="en-AU"/>
        </w:rPr>
        <w:t>such as</w:t>
      </w:r>
      <w:r w:rsidR="00191A7E" w:rsidRPr="00404D70">
        <w:rPr>
          <w:lang w:eastAsia="en-AU"/>
        </w:rPr>
        <w:t xml:space="preserve"> tropical cyclones</w:t>
      </w:r>
      <w:r w:rsidR="003F5376" w:rsidRPr="00404D70">
        <w:rPr>
          <w:lang w:eastAsia="en-AU"/>
        </w:rPr>
        <w:t xml:space="preserve"> and</w:t>
      </w:r>
      <w:r w:rsidR="00191A7E" w:rsidRPr="00404D70">
        <w:rPr>
          <w:lang w:eastAsia="en-AU"/>
        </w:rPr>
        <w:t xml:space="preserve"> extreme rainfall)</w:t>
      </w:r>
      <w:r w:rsidR="000129F8">
        <w:rPr>
          <w:lang w:eastAsia="en-AU"/>
        </w:rPr>
        <w:t xml:space="preserve">, which will </w:t>
      </w:r>
      <w:r w:rsidR="00191A7E" w:rsidRPr="00404D70">
        <w:rPr>
          <w:lang w:eastAsia="en-AU"/>
        </w:rPr>
        <w:t>impact population</w:t>
      </w:r>
      <w:r w:rsidR="003F5376" w:rsidRPr="00404D70">
        <w:rPr>
          <w:lang w:eastAsia="en-AU"/>
        </w:rPr>
        <w:t>s</w:t>
      </w:r>
      <w:r w:rsidR="00191A7E" w:rsidRPr="00404D70">
        <w:rPr>
          <w:lang w:eastAsia="en-AU"/>
        </w:rPr>
        <w:t xml:space="preserve"> and econom</w:t>
      </w:r>
      <w:r w:rsidR="003F5376" w:rsidRPr="00404D70">
        <w:rPr>
          <w:lang w:eastAsia="en-AU"/>
        </w:rPr>
        <w:t>ies</w:t>
      </w:r>
      <w:r w:rsidR="00191A7E" w:rsidRPr="00404D70">
        <w:rPr>
          <w:lang w:eastAsia="en-AU"/>
        </w:rPr>
        <w:t>.</w:t>
      </w:r>
    </w:p>
    <w:p w14:paraId="59DBEC17" w14:textId="66C74A31" w:rsidR="00191A7E" w:rsidRPr="00404D70" w:rsidRDefault="00743F19" w:rsidP="00A21336">
      <w:pPr>
        <w:rPr>
          <w:lang w:eastAsia="en-AU"/>
        </w:rPr>
      </w:pPr>
      <w:r>
        <w:rPr>
          <w:lang w:eastAsia="en-AU"/>
        </w:rPr>
        <w:t>For</w:t>
      </w:r>
      <w:r w:rsidR="003F5376" w:rsidRPr="00404D70">
        <w:rPr>
          <w:lang w:eastAsia="en-AU"/>
        </w:rPr>
        <w:t xml:space="preserve"> </w:t>
      </w:r>
      <w:r w:rsidR="00191A7E" w:rsidRPr="00404D70">
        <w:rPr>
          <w:lang w:eastAsia="en-AU"/>
        </w:rPr>
        <w:t>Pacific Small Island Developing States, the</w:t>
      </w:r>
      <w:r w:rsidR="003F5376" w:rsidRPr="00404D70">
        <w:rPr>
          <w:lang w:eastAsia="en-AU"/>
        </w:rPr>
        <w:t xml:space="preserve"> predicted</w:t>
      </w:r>
      <w:r w:rsidR="007F4902">
        <w:rPr>
          <w:lang w:eastAsia="en-AU"/>
        </w:rPr>
        <w:t xml:space="preserve"> total</w:t>
      </w:r>
      <w:r w:rsidR="00191A7E" w:rsidRPr="00404D70">
        <w:rPr>
          <w:lang w:eastAsia="en-AU"/>
        </w:rPr>
        <w:t xml:space="preserve"> </w:t>
      </w:r>
      <w:r w:rsidR="003F5376" w:rsidRPr="00404D70">
        <w:rPr>
          <w:lang w:eastAsia="en-AU"/>
        </w:rPr>
        <w:t>a</w:t>
      </w:r>
      <w:r w:rsidR="00191A7E" w:rsidRPr="00404D70">
        <w:rPr>
          <w:lang w:eastAsia="en-AU"/>
        </w:rPr>
        <w:t xml:space="preserve">verage </w:t>
      </w:r>
      <w:r w:rsidR="003F5376" w:rsidRPr="00404D70">
        <w:rPr>
          <w:lang w:eastAsia="en-AU"/>
        </w:rPr>
        <w:t>a</w:t>
      </w:r>
      <w:r w:rsidR="00191A7E" w:rsidRPr="00404D70">
        <w:rPr>
          <w:lang w:eastAsia="en-AU"/>
        </w:rPr>
        <w:t xml:space="preserve">nnual </w:t>
      </w:r>
      <w:r w:rsidR="003F5376" w:rsidRPr="00404D70">
        <w:rPr>
          <w:lang w:eastAsia="en-AU"/>
        </w:rPr>
        <w:t>l</w:t>
      </w:r>
      <w:r w:rsidR="00191A7E" w:rsidRPr="00404D70">
        <w:rPr>
          <w:lang w:eastAsia="en-AU"/>
        </w:rPr>
        <w:t xml:space="preserve">osses </w:t>
      </w:r>
      <w:r w:rsidR="003F5376" w:rsidRPr="00404D70">
        <w:rPr>
          <w:lang w:eastAsia="en-AU"/>
        </w:rPr>
        <w:t>are</w:t>
      </w:r>
      <w:r w:rsidR="00191A7E" w:rsidRPr="00404D70">
        <w:rPr>
          <w:lang w:eastAsia="en-AU"/>
        </w:rPr>
        <w:t xml:space="preserve"> USD1.3 billion </w:t>
      </w:r>
      <w:r>
        <w:rPr>
          <w:lang w:eastAsia="en-AU"/>
        </w:rPr>
        <w:t>according to</w:t>
      </w:r>
      <w:r w:rsidRPr="00404D70">
        <w:rPr>
          <w:lang w:eastAsia="en-AU"/>
        </w:rPr>
        <w:t xml:space="preserve"> </w:t>
      </w:r>
      <w:r w:rsidR="00191A7E" w:rsidRPr="00404D70">
        <w:rPr>
          <w:lang w:eastAsia="en-AU"/>
        </w:rPr>
        <w:t xml:space="preserve">the moderate climate change scenario and USD1.4 billion </w:t>
      </w:r>
      <w:r w:rsidR="00BB55AA">
        <w:rPr>
          <w:lang w:eastAsia="en-AU"/>
        </w:rPr>
        <w:t>according to</w:t>
      </w:r>
      <w:r w:rsidR="00BB55AA" w:rsidRPr="00404D70">
        <w:rPr>
          <w:lang w:eastAsia="en-AU"/>
        </w:rPr>
        <w:t xml:space="preserve"> </w:t>
      </w:r>
      <w:r w:rsidR="00191A7E" w:rsidRPr="00404D70">
        <w:rPr>
          <w:lang w:eastAsia="en-AU"/>
        </w:rPr>
        <w:t>the worst-case scenario</w:t>
      </w:r>
      <w:r>
        <w:rPr>
          <w:lang w:eastAsia="en-AU"/>
        </w:rPr>
        <w:t>.</w:t>
      </w:r>
      <w:r w:rsidR="00191A7E" w:rsidRPr="00067D5B">
        <w:rPr>
          <w:vertAlign w:val="superscript"/>
          <w:lang w:eastAsia="en-AU"/>
        </w:rPr>
        <w:endnoteReference w:id="19"/>
      </w:r>
      <w:r w:rsidR="002B4F40">
        <w:rPr>
          <w:lang w:eastAsia="en-AU"/>
        </w:rPr>
        <w:t xml:space="preserve"> </w:t>
      </w:r>
      <w:r w:rsidR="3ACCD5EC" w:rsidRPr="00404D70">
        <w:rPr>
          <w:lang w:eastAsia="en-AU"/>
        </w:rPr>
        <w:t>S</w:t>
      </w:r>
      <w:r w:rsidR="00AA6E73">
        <w:rPr>
          <w:lang w:eastAsia="en-AU"/>
        </w:rPr>
        <w:t xml:space="preserve">mall </w:t>
      </w:r>
      <w:r w:rsidR="004A6757">
        <w:rPr>
          <w:lang w:eastAsia="en-AU"/>
        </w:rPr>
        <w:t>Island</w:t>
      </w:r>
      <w:r w:rsidR="00AA6E73">
        <w:rPr>
          <w:lang w:eastAsia="en-AU"/>
        </w:rPr>
        <w:t xml:space="preserve"> </w:t>
      </w:r>
      <w:r w:rsidR="3ACCD5EC" w:rsidRPr="00404D70">
        <w:rPr>
          <w:lang w:eastAsia="en-AU"/>
        </w:rPr>
        <w:t>D</w:t>
      </w:r>
      <w:r w:rsidR="00AA6E73">
        <w:rPr>
          <w:lang w:eastAsia="en-AU"/>
        </w:rPr>
        <w:t xml:space="preserve">eveloping </w:t>
      </w:r>
      <w:r w:rsidR="3ACCD5EC" w:rsidRPr="00404D70">
        <w:rPr>
          <w:lang w:eastAsia="en-AU"/>
        </w:rPr>
        <w:t>S</w:t>
      </w:r>
      <w:r w:rsidR="00AA6E73">
        <w:rPr>
          <w:lang w:eastAsia="en-AU"/>
        </w:rPr>
        <w:t>tates</w:t>
      </w:r>
      <w:r w:rsidR="3ACCD5EC" w:rsidRPr="00404D70">
        <w:rPr>
          <w:lang w:eastAsia="en-AU"/>
        </w:rPr>
        <w:t xml:space="preserve"> face significant risks, including displacement, economic disruption</w:t>
      </w:r>
      <w:r w:rsidR="00751F73">
        <w:rPr>
          <w:lang w:eastAsia="en-AU"/>
        </w:rPr>
        <w:t>,</w:t>
      </w:r>
      <w:r w:rsidR="3ACCD5EC" w:rsidRPr="00404D70">
        <w:rPr>
          <w:lang w:eastAsia="en-AU"/>
        </w:rPr>
        <w:t xml:space="preserve"> and threats to food</w:t>
      </w:r>
      <w:r w:rsidR="008B3546">
        <w:rPr>
          <w:lang w:eastAsia="en-AU"/>
        </w:rPr>
        <w:t>,</w:t>
      </w:r>
      <w:r w:rsidR="3ACCD5EC" w:rsidRPr="00404D70">
        <w:rPr>
          <w:lang w:eastAsia="en-AU"/>
        </w:rPr>
        <w:t xml:space="preserve"> water and security. The impacts</w:t>
      </w:r>
      <w:r w:rsidR="00C06213">
        <w:rPr>
          <w:lang w:eastAsia="en-AU"/>
        </w:rPr>
        <w:t xml:space="preserve"> of climate change</w:t>
      </w:r>
      <w:r w:rsidR="3ACCD5EC" w:rsidRPr="00404D70">
        <w:rPr>
          <w:lang w:eastAsia="en-AU"/>
        </w:rPr>
        <w:t>, coupled with isolation, small land areas and limited resources, strain infrastructure</w:t>
      </w:r>
      <w:r w:rsidR="00C06213">
        <w:rPr>
          <w:lang w:eastAsia="en-AU"/>
        </w:rPr>
        <w:t xml:space="preserve"> and </w:t>
      </w:r>
      <w:r w:rsidR="3ACCD5EC" w:rsidRPr="00404D70">
        <w:rPr>
          <w:lang w:eastAsia="en-AU"/>
        </w:rPr>
        <w:t>health</w:t>
      </w:r>
      <w:r w:rsidR="00C64D10">
        <w:rPr>
          <w:lang w:eastAsia="en-AU"/>
        </w:rPr>
        <w:t xml:space="preserve"> and </w:t>
      </w:r>
      <w:r w:rsidR="3ACCD5EC" w:rsidRPr="00404D70">
        <w:rPr>
          <w:lang w:eastAsia="en-AU"/>
        </w:rPr>
        <w:t>education</w:t>
      </w:r>
      <w:r w:rsidR="00C64D10">
        <w:rPr>
          <w:lang w:eastAsia="en-AU"/>
        </w:rPr>
        <w:t xml:space="preserve"> systems</w:t>
      </w:r>
      <w:r w:rsidR="3ACCD5EC" w:rsidRPr="00404D70">
        <w:rPr>
          <w:lang w:eastAsia="en-AU"/>
        </w:rPr>
        <w:t xml:space="preserve"> and </w:t>
      </w:r>
      <w:r w:rsidR="00C64D10">
        <w:rPr>
          <w:lang w:eastAsia="en-AU"/>
        </w:rPr>
        <w:t xml:space="preserve">threaten </w:t>
      </w:r>
      <w:r w:rsidR="3ACCD5EC" w:rsidRPr="00404D70">
        <w:rPr>
          <w:lang w:eastAsia="en-AU"/>
        </w:rPr>
        <w:t>biodiversity.</w:t>
      </w:r>
    </w:p>
    <w:p w14:paraId="2D320CF4" w14:textId="44F5CBA0" w:rsidR="002F4955" w:rsidRPr="0035504A" w:rsidRDefault="002F4955" w:rsidP="0035504A">
      <w:pPr>
        <w:pStyle w:val="H3-Heading3"/>
      </w:pPr>
      <w:r w:rsidRPr="0035504A">
        <w:t xml:space="preserve">Gender </w:t>
      </w:r>
      <w:r w:rsidR="00600CFF">
        <w:t>e</w:t>
      </w:r>
      <w:r w:rsidRPr="0035504A">
        <w:t xml:space="preserve">quality, </w:t>
      </w:r>
      <w:r w:rsidR="00600CFF">
        <w:t>d</w:t>
      </w:r>
      <w:r w:rsidRPr="0035504A">
        <w:t xml:space="preserve">isability and </w:t>
      </w:r>
      <w:r w:rsidR="00600CFF">
        <w:t>s</w:t>
      </w:r>
      <w:r w:rsidRPr="0035504A">
        <w:t xml:space="preserve">ocial </w:t>
      </w:r>
      <w:r w:rsidR="00600CFF">
        <w:t>i</w:t>
      </w:r>
      <w:r w:rsidRPr="0035504A">
        <w:t>nclusion (GEDSI)</w:t>
      </w:r>
    </w:p>
    <w:p w14:paraId="426BB2C8" w14:textId="7FB054A3" w:rsidR="000B495D" w:rsidRDefault="0023755A" w:rsidP="00A21336">
      <w:pPr>
        <w:rPr>
          <w:lang w:eastAsia="en-AU"/>
        </w:rPr>
      </w:pPr>
      <w:r w:rsidRPr="00C809C8">
        <w:rPr>
          <w:lang w:eastAsia="en-AU"/>
        </w:rPr>
        <w:t>T</w:t>
      </w:r>
      <w:r w:rsidR="00126959" w:rsidRPr="00C809C8">
        <w:rPr>
          <w:lang w:eastAsia="en-AU"/>
        </w:rPr>
        <w:t xml:space="preserve">he </w:t>
      </w:r>
      <w:r w:rsidR="00C64D10">
        <w:rPr>
          <w:lang w:eastAsia="en-AU"/>
        </w:rPr>
        <w:t xml:space="preserve">COVID-19 </w:t>
      </w:r>
      <w:r w:rsidR="00126959" w:rsidRPr="00C809C8">
        <w:rPr>
          <w:lang w:eastAsia="en-AU"/>
        </w:rPr>
        <w:t>pandemic</w:t>
      </w:r>
      <w:r w:rsidRPr="00C809C8">
        <w:rPr>
          <w:lang w:eastAsia="en-AU"/>
        </w:rPr>
        <w:t xml:space="preserve"> was a major setback to gender equality </w:t>
      </w:r>
      <w:r w:rsidR="00010D60" w:rsidRPr="00C809C8">
        <w:rPr>
          <w:lang w:eastAsia="en-AU"/>
        </w:rPr>
        <w:t>in the Pacific</w:t>
      </w:r>
      <w:r w:rsidR="007B6315" w:rsidRPr="00C809C8">
        <w:rPr>
          <w:lang w:eastAsia="en-AU"/>
        </w:rPr>
        <w:t xml:space="preserve">, </w:t>
      </w:r>
      <w:r w:rsidR="005D57C5">
        <w:rPr>
          <w:lang w:eastAsia="en-AU"/>
        </w:rPr>
        <w:t>and</w:t>
      </w:r>
      <w:r w:rsidR="00A53C76" w:rsidRPr="00C809C8">
        <w:rPr>
          <w:lang w:eastAsia="en-AU"/>
        </w:rPr>
        <w:t xml:space="preserve"> </w:t>
      </w:r>
      <w:r w:rsidR="007B6315" w:rsidRPr="00C809C8">
        <w:rPr>
          <w:lang w:eastAsia="en-AU"/>
        </w:rPr>
        <w:t>the worst decline in gender equality in two decades</w:t>
      </w:r>
      <w:r w:rsidR="005D57C5">
        <w:rPr>
          <w:lang w:eastAsia="en-AU"/>
        </w:rPr>
        <w:t xml:space="preserve"> occurred in 2020</w:t>
      </w:r>
      <w:r w:rsidR="00751F73">
        <w:rPr>
          <w:lang w:eastAsia="en-AU"/>
        </w:rPr>
        <w:t>–</w:t>
      </w:r>
      <w:r w:rsidR="005D57C5">
        <w:rPr>
          <w:lang w:eastAsia="en-AU"/>
        </w:rPr>
        <w:t>21</w:t>
      </w:r>
      <w:r w:rsidR="00233FD0" w:rsidRPr="00C809C8">
        <w:rPr>
          <w:lang w:eastAsia="en-AU"/>
        </w:rPr>
        <w:t>.</w:t>
      </w:r>
      <w:r w:rsidR="00AA6C80">
        <w:rPr>
          <w:rStyle w:val="EndnoteReference"/>
          <w:lang w:eastAsia="en-AU"/>
        </w:rPr>
        <w:endnoteReference w:id="20"/>
      </w:r>
      <w:r w:rsidR="00233FD0" w:rsidRPr="00C809C8">
        <w:rPr>
          <w:lang w:eastAsia="en-AU"/>
        </w:rPr>
        <w:t xml:space="preserve"> </w:t>
      </w:r>
      <w:r w:rsidR="000A0578" w:rsidRPr="00C809C8">
        <w:rPr>
          <w:lang w:eastAsia="en-AU"/>
        </w:rPr>
        <w:t>During the pandemic, women bore a disproportionate burden of domestic obligations, including household chores</w:t>
      </w:r>
      <w:r w:rsidR="00751F73">
        <w:rPr>
          <w:lang w:eastAsia="en-AU"/>
        </w:rPr>
        <w:t>,</w:t>
      </w:r>
      <w:r w:rsidR="000A0578" w:rsidRPr="00C809C8">
        <w:rPr>
          <w:lang w:eastAsia="en-AU"/>
        </w:rPr>
        <w:t xml:space="preserve"> and</w:t>
      </w:r>
      <w:r w:rsidR="00BB55AA">
        <w:rPr>
          <w:lang w:eastAsia="en-AU"/>
        </w:rPr>
        <w:t xml:space="preserve"> </w:t>
      </w:r>
      <w:r w:rsidR="000A0578" w:rsidRPr="00C809C8">
        <w:rPr>
          <w:lang w:eastAsia="en-AU"/>
        </w:rPr>
        <w:t>caring for children and sick and elderly family members.</w:t>
      </w:r>
      <w:r w:rsidR="004A1EC7">
        <w:rPr>
          <w:rStyle w:val="EndnoteReference"/>
          <w:lang w:eastAsia="en-AU"/>
        </w:rPr>
        <w:endnoteReference w:id="21"/>
      </w:r>
    </w:p>
    <w:p w14:paraId="0442D1BD" w14:textId="3F3AA5B2" w:rsidR="003F5376" w:rsidRPr="00C809C8" w:rsidRDefault="003F5376" w:rsidP="00A21336">
      <w:pPr>
        <w:rPr>
          <w:lang w:eastAsia="en-AU"/>
        </w:rPr>
      </w:pPr>
      <w:r w:rsidRPr="00C809C8">
        <w:rPr>
          <w:lang w:eastAsia="en-AU"/>
        </w:rPr>
        <w:t xml:space="preserve">In 2023, </w:t>
      </w:r>
      <w:r w:rsidR="005F1E34">
        <w:rPr>
          <w:lang w:eastAsia="en-AU"/>
        </w:rPr>
        <w:t>PIF</w:t>
      </w:r>
      <w:r w:rsidR="005F1E34" w:rsidRPr="00C809C8">
        <w:rPr>
          <w:lang w:eastAsia="en-AU"/>
        </w:rPr>
        <w:t xml:space="preserve"> </w:t>
      </w:r>
      <w:r w:rsidRPr="00C809C8">
        <w:rPr>
          <w:lang w:eastAsia="en-AU"/>
        </w:rPr>
        <w:t xml:space="preserve">Leaders revitalised </w:t>
      </w:r>
      <w:r w:rsidR="005F1E34">
        <w:rPr>
          <w:lang w:eastAsia="en-AU"/>
        </w:rPr>
        <w:t>the Pacific Leaders</w:t>
      </w:r>
      <w:r w:rsidR="005F1E34" w:rsidRPr="00C809C8">
        <w:rPr>
          <w:lang w:eastAsia="en-AU"/>
        </w:rPr>
        <w:t xml:space="preserve"> </w:t>
      </w:r>
      <w:r w:rsidRPr="00C809C8">
        <w:rPr>
          <w:lang w:eastAsia="en-AU"/>
        </w:rPr>
        <w:t>Gender Equality Declaration.</w:t>
      </w:r>
      <w:r w:rsidR="004F1EC6">
        <w:rPr>
          <w:rStyle w:val="EndnoteReference"/>
          <w:lang w:eastAsia="en-AU"/>
        </w:rPr>
        <w:endnoteReference w:id="22"/>
      </w:r>
      <w:r w:rsidRPr="00C809C8">
        <w:rPr>
          <w:lang w:eastAsia="en-AU"/>
        </w:rPr>
        <w:t xml:space="preserve"> The </w:t>
      </w:r>
      <w:r w:rsidR="00366071">
        <w:rPr>
          <w:lang w:eastAsia="en-AU"/>
        </w:rPr>
        <w:t xml:space="preserve">revitalised </w:t>
      </w:r>
      <w:r w:rsidRPr="00C809C8">
        <w:rPr>
          <w:lang w:eastAsia="en-AU"/>
        </w:rPr>
        <w:t xml:space="preserve">declaration promotes an inclusive approach to gender equality and social </w:t>
      </w:r>
      <w:proofErr w:type="gramStart"/>
      <w:r w:rsidRPr="00C809C8">
        <w:rPr>
          <w:lang w:eastAsia="en-AU"/>
        </w:rPr>
        <w:t>inclusion</w:t>
      </w:r>
      <w:r w:rsidR="00751F73">
        <w:rPr>
          <w:lang w:eastAsia="en-AU"/>
        </w:rPr>
        <w:t>,</w:t>
      </w:r>
      <w:r w:rsidRPr="00C809C8">
        <w:rPr>
          <w:lang w:eastAsia="en-AU"/>
        </w:rPr>
        <w:t xml:space="preserve"> and</w:t>
      </w:r>
      <w:proofErr w:type="gramEnd"/>
      <w:r w:rsidRPr="00C809C8">
        <w:rPr>
          <w:lang w:eastAsia="en-AU"/>
        </w:rPr>
        <w:t xml:space="preserve"> recognises the responsibility and importance of both men and women (and boys</w:t>
      </w:r>
      <w:r w:rsidR="00366071">
        <w:rPr>
          <w:lang w:eastAsia="en-AU"/>
        </w:rPr>
        <w:t xml:space="preserve"> and girls</w:t>
      </w:r>
      <w:r w:rsidRPr="00C809C8">
        <w:rPr>
          <w:lang w:eastAsia="en-AU"/>
        </w:rPr>
        <w:t xml:space="preserve">) in working towards achieving </w:t>
      </w:r>
      <w:r w:rsidR="00366071">
        <w:rPr>
          <w:lang w:eastAsia="en-AU"/>
        </w:rPr>
        <w:t xml:space="preserve">the </w:t>
      </w:r>
      <w:r w:rsidRPr="00C809C8">
        <w:rPr>
          <w:lang w:eastAsia="en-AU"/>
        </w:rPr>
        <w:t>PIF Leaders’ 2050 vision.</w:t>
      </w:r>
    </w:p>
    <w:p w14:paraId="421604A1" w14:textId="6D17727A" w:rsidR="00732DA8" w:rsidRPr="00C809C8" w:rsidRDefault="000B495D" w:rsidP="00A21336">
      <w:pPr>
        <w:rPr>
          <w:lang w:eastAsia="en-AU"/>
        </w:rPr>
      </w:pPr>
      <w:r w:rsidRPr="00C809C8">
        <w:rPr>
          <w:lang w:eastAsia="en-AU"/>
        </w:rPr>
        <w:lastRenderedPageBreak/>
        <w:t>Entrenched barriers</w:t>
      </w:r>
      <w:r w:rsidR="003F5376">
        <w:rPr>
          <w:lang w:eastAsia="en-AU"/>
        </w:rPr>
        <w:t xml:space="preserve"> nonetheless</w:t>
      </w:r>
      <w:r w:rsidRPr="00C809C8">
        <w:rPr>
          <w:lang w:eastAsia="en-AU"/>
        </w:rPr>
        <w:t xml:space="preserve"> prevent women and girls from fully participating in economic, social and political life in many </w:t>
      </w:r>
      <w:proofErr w:type="gramStart"/>
      <w:r w:rsidRPr="00C809C8">
        <w:rPr>
          <w:lang w:eastAsia="en-AU"/>
        </w:rPr>
        <w:t>Pacific island</w:t>
      </w:r>
      <w:proofErr w:type="gramEnd"/>
      <w:r w:rsidRPr="00C809C8">
        <w:rPr>
          <w:lang w:eastAsia="en-AU"/>
        </w:rPr>
        <w:t xml:space="preserve"> countries. </w:t>
      </w:r>
      <w:bookmarkStart w:id="7" w:name="_Hlk186799100"/>
      <w:r w:rsidRPr="00C809C8">
        <w:rPr>
          <w:lang w:eastAsia="en-AU"/>
        </w:rPr>
        <w:t>Issues include under</w:t>
      </w:r>
      <w:r w:rsidR="00CE3169">
        <w:rPr>
          <w:lang w:eastAsia="en-AU"/>
        </w:rPr>
        <w:t>-</w:t>
      </w:r>
      <w:r w:rsidRPr="00C809C8">
        <w:rPr>
          <w:lang w:eastAsia="en-AU"/>
        </w:rPr>
        <w:t>representation of women in decision</w:t>
      </w:r>
      <w:r w:rsidR="00CE3169">
        <w:rPr>
          <w:lang w:eastAsia="en-AU"/>
        </w:rPr>
        <w:t>-</w:t>
      </w:r>
      <w:r w:rsidRPr="00C809C8">
        <w:rPr>
          <w:lang w:eastAsia="en-AU"/>
        </w:rPr>
        <w:t>making and political roles;</w:t>
      </w:r>
      <w:r w:rsidR="00592631">
        <w:rPr>
          <w:rStyle w:val="EndnoteReference"/>
          <w:lang w:eastAsia="en-AU"/>
        </w:rPr>
        <w:endnoteReference w:id="23"/>
      </w:r>
      <w:r w:rsidRPr="00C809C8">
        <w:rPr>
          <w:lang w:eastAsia="en-AU"/>
        </w:rPr>
        <w:t xml:space="preserve"> </w:t>
      </w:r>
      <w:r w:rsidR="003F5376" w:rsidRPr="00C809C8">
        <w:rPr>
          <w:lang w:eastAsia="en-AU"/>
        </w:rPr>
        <w:t>some of the highest rates of gender-based violence in the world</w:t>
      </w:r>
      <w:r w:rsidR="003F5376">
        <w:rPr>
          <w:lang w:eastAsia="en-AU"/>
        </w:rPr>
        <w:t>;</w:t>
      </w:r>
      <w:r w:rsidR="007B078D">
        <w:rPr>
          <w:rStyle w:val="EndnoteReference"/>
          <w:lang w:eastAsia="en-AU"/>
        </w:rPr>
        <w:endnoteReference w:id="24"/>
      </w:r>
      <w:r w:rsidR="003F5376">
        <w:rPr>
          <w:lang w:eastAsia="en-AU"/>
        </w:rPr>
        <w:t xml:space="preserve"> </w:t>
      </w:r>
      <w:r w:rsidRPr="00C809C8">
        <w:rPr>
          <w:lang w:eastAsia="en-AU"/>
        </w:rPr>
        <w:t>poor working conditions; unequal access to resources and services, including</w:t>
      </w:r>
      <w:r w:rsidR="00C20983">
        <w:rPr>
          <w:lang w:eastAsia="en-AU"/>
        </w:rPr>
        <w:t xml:space="preserve"> banking credit and financial services</w:t>
      </w:r>
      <w:r w:rsidR="004E616E">
        <w:rPr>
          <w:lang w:eastAsia="en-AU"/>
        </w:rPr>
        <w:t>,</w:t>
      </w:r>
      <w:r w:rsidR="00C20983">
        <w:rPr>
          <w:lang w:eastAsia="en-AU"/>
        </w:rPr>
        <w:t xml:space="preserve"> and services relating to</w:t>
      </w:r>
      <w:r w:rsidRPr="00C809C8">
        <w:rPr>
          <w:lang w:eastAsia="en-AU"/>
        </w:rPr>
        <w:t xml:space="preserve"> sexual and reproductive health and rights; and structural discrimination and inequality. </w:t>
      </w:r>
      <w:bookmarkEnd w:id="7"/>
      <w:r w:rsidRPr="00C809C8">
        <w:rPr>
          <w:lang w:eastAsia="en-AU"/>
        </w:rPr>
        <w:t>W</w:t>
      </w:r>
      <w:r w:rsidR="00492132" w:rsidRPr="00C809C8">
        <w:rPr>
          <w:lang w:eastAsia="en-AU"/>
        </w:rPr>
        <w:t xml:space="preserve">omen and girls are 14 times more likely </w:t>
      </w:r>
      <w:r w:rsidR="00F57251">
        <w:rPr>
          <w:lang w:eastAsia="en-AU"/>
        </w:rPr>
        <w:t xml:space="preserve">than men </w:t>
      </w:r>
      <w:r w:rsidR="00492132" w:rsidRPr="00C809C8">
        <w:rPr>
          <w:lang w:eastAsia="en-AU"/>
        </w:rPr>
        <w:t>to die or be injured due to disaster</w:t>
      </w:r>
      <w:r w:rsidR="00492132" w:rsidRPr="00236209">
        <w:rPr>
          <w:vertAlign w:val="superscript"/>
          <w:lang w:eastAsia="en-AU"/>
        </w:rPr>
        <w:endnoteReference w:id="25"/>
      </w:r>
      <w:r w:rsidR="00492132" w:rsidRPr="00C809C8" w:rsidDel="00D70AB5">
        <w:rPr>
          <w:lang w:eastAsia="en-AU"/>
        </w:rPr>
        <w:t xml:space="preserve"> </w:t>
      </w:r>
      <w:r w:rsidR="00492132" w:rsidRPr="00C809C8">
        <w:rPr>
          <w:lang w:eastAsia="en-AU"/>
        </w:rPr>
        <w:t>and, in the aftermath, are less able to access relief and assistance.</w:t>
      </w:r>
    </w:p>
    <w:p w14:paraId="06908DCB" w14:textId="7083A90A" w:rsidR="0045146F" w:rsidRPr="00C809C8" w:rsidRDefault="00492132" w:rsidP="00A21336">
      <w:pPr>
        <w:rPr>
          <w:lang w:eastAsia="en-AU"/>
        </w:rPr>
      </w:pPr>
      <w:bookmarkStart w:id="8" w:name="_Hlk186800021"/>
      <w:bookmarkStart w:id="9" w:name="_Hlk186799282"/>
      <w:r w:rsidRPr="00C809C8">
        <w:rPr>
          <w:lang w:eastAsia="en-AU"/>
        </w:rPr>
        <w:t>A</w:t>
      </w:r>
      <w:r w:rsidR="00732DA8" w:rsidRPr="00C809C8">
        <w:rPr>
          <w:lang w:eastAsia="en-AU"/>
        </w:rPr>
        <w:t>n estimated 15</w:t>
      </w:r>
      <w:r w:rsidR="008B3546">
        <w:rPr>
          <w:lang w:eastAsia="en-AU"/>
        </w:rPr>
        <w:t xml:space="preserve"> </w:t>
      </w:r>
      <w:r w:rsidR="00732DA8" w:rsidRPr="00C809C8">
        <w:rPr>
          <w:lang w:eastAsia="en-AU"/>
        </w:rPr>
        <w:t>per cent</w:t>
      </w:r>
      <w:r w:rsidR="00A264C0">
        <w:rPr>
          <w:lang w:eastAsia="en-AU"/>
        </w:rPr>
        <w:t xml:space="preserve"> or more</w:t>
      </w:r>
      <w:r w:rsidR="00732DA8" w:rsidRPr="00C809C8">
        <w:rPr>
          <w:lang w:eastAsia="en-AU"/>
        </w:rPr>
        <w:t xml:space="preserve"> of </w:t>
      </w:r>
      <w:r w:rsidRPr="00C809C8">
        <w:rPr>
          <w:lang w:eastAsia="en-AU"/>
        </w:rPr>
        <w:t xml:space="preserve">people in the Pacific </w:t>
      </w:r>
      <w:r w:rsidR="00BB55AA">
        <w:rPr>
          <w:lang w:eastAsia="en-AU"/>
        </w:rPr>
        <w:t xml:space="preserve">live with </w:t>
      </w:r>
      <w:r w:rsidRPr="00C809C8">
        <w:rPr>
          <w:lang w:eastAsia="en-AU"/>
        </w:rPr>
        <w:t xml:space="preserve">a </w:t>
      </w:r>
      <w:r w:rsidR="00732DA8" w:rsidRPr="00C809C8">
        <w:rPr>
          <w:lang w:eastAsia="en-AU"/>
        </w:rPr>
        <w:t>disability.</w:t>
      </w:r>
      <w:r w:rsidR="006A5E41">
        <w:rPr>
          <w:lang w:eastAsia="en-AU"/>
        </w:rPr>
        <w:t xml:space="preserve"> </w:t>
      </w:r>
      <w:bookmarkEnd w:id="8"/>
      <w:r w:rsidR="006A5E41">
        <w:rPr>
          <w:lang w:eastAsia="en-AU"/>
        </w:rPr>
        <w:t>Factors driving rates of disability</w:t>
      </w:r>
      <w:r w:rsidR="00725AED">
        <w:rPr>
          <w:lang w:eastAsia="en-AU"/>
        </w:rPr>
        <w:t xml:space="preserve"> include high rates of non-communicable disease</w:t>
      </w:r>
      <w:r w:rsidR="00732DA8" w:rsidRPr="00C809C8">
        <w:rPr>
          <w:lang w:eastAsia="en-AU"/>
        </w:rPr>
        <w:t xml:space="preserve">. </w:t>
      </w:r>
      <w:r w:rsidR="000B495D" w:rsidRPr="00C809C8">
        <w:rPr>
          <w:lang w:eastAsia="en-AU"/>
        </w:rPr>
        <w:t>People with disabilities are four times more likely</w:t>
      </w:r>
      <w:r w:rsidR="005701EB">
        <w:rPr>
          <w:lang w:eastAsia="en-AU"/>
        </w:rPr>
        <w:t xml:space="preserve"> than those without disability</w:t>
      </w:r>
      <w:r w:rsidR="000B495D" w:rsidRPr="00C809C8">
        <w:rPr>
          <w:lang w:eastAsia="en-AU"/>
        </w:rPr>
        <w:t xml:space="preserve"> to </w:t>
      </w:r>
      <w:r w:rsidR="005701EB">
        <w:rPr>
          <w:lang w:eastAsia="en-AU"/>
        </w:rPr>
        <w:t>die or be</w:t>
      </w:r>
      <w:r w:rsidR="005701EB" w:rsidRPr="00C809C8">
        <w:rPr>
          <w:lang w:eastAsia="en-AU"/>
        </w:rPr>
        <w:t xml:space="preserve"> </w:t>
      </w:r>
      <w:r w:rsidR="000B495D" w:rsidRPr="00C809C8">
        <w:rPr>
          <w:lang w:eastAsia="en-AU"/>
        </w:rPr>
        <w:t xml:space="preserve">injured </w:t>
      </w:r>
      <w:r w:rsidR="00B253E2">
        <w:rPr>
          <w:lang w:eastAsia="en-AU"/>
        </w:rPr>
        <w:t>due to</w:t>
      </w:r>
      <w:r w:rsidR="000B495D" w:rsidRPr="00C809C8">
        <w:rPr>
          <w:lang w:eastAsia="en-AU"/>
        </w:rPr>
        <w:t xml:space="preserve"> a disaster and face more barriers to receiving humanitarian emergency relief. Women and girls with </w:t>
      </w:r>
      <w:r w:rsidR="009B0511" w:rsidRPr="00C809C8">
        <w:rPr>
          <w:lang w:eastAsia="en-AU"/>
        </w:rPr>
        <w:t>disabilit</w:t>
      </w:r>
      <w:r w:rsidR="009B0511">
        <w:rPr>
          <w:lang w:eastAsia="en-AU"/>
        </w:rPr>
        <w:t>y</w:t>
      </w:r>
      <w:r w:rsidR="009B0511" w:rsidRPr="00C809C8">
        <w:rPr>
          <w:lang w:eastAsia="en-AU"/>
        </w:rPr>
        <w:t xml:space="preserve"> </w:t>
      </w:r>
      <w:r w:rsidR="003F5376">
        <w:rPr>
          <w:lang w:eastAsia="en-AU"/>
        </w:rPr>
        <w:t>are particularly vulnerable.</w:t>
      </w:r>
      <w:r w:rsidR="00732DA8" w:rsidRPr="00C809C8">
        <w:rPr>
          <w:lang w:eastAsia="en-AU"/>
        </w:rPr>
        <w:t xml:space="preserve"> They are more likely to live in poverty</w:t>
      </w:r>
      <w:r w:rsidR="009B0511">
        <w:rPr>
          <w:lang w:eastAsia="en-AU"/>
        </w:rPr>
        <w:t xml:space="preserve"> than men</w:t>
      </w:r>
      <w:r w:rsidR="001C0EBE">
        <w:rPr>
          <w:lang w:eastAsia="en-AU"/>
        </w:rPr>
        <w:t xml:space="preserve"> and boys with </w:t>
      </w:r>
      <w:r w:rsidR="00026621">
        <w:rPr>
          <w:lang w:eastAsia="en-AU"/>
        </w:rPr>
        <w:t>disability</w:t>
      </w:r>
      <w:r w:rsidR="001C0EBE">
        <w:rPr>
          <w:lang w:eastAsia="en-AU"/>
        </w:rPr>
        <w:t xml:space="preserve"> and people without disability,</w:t>
      </w:r>
      <w:r w:rsidR="00732DA8" w:rsidRPr="00C809C8">
        <w:rPr>
          <w:lang w:eastAsia="en-AU"/>
        </w:rPr>
        <w:t xml:space="preserve"> and face multiple barriers to full participation in political, economic and social life.</w:t>
      </w:r>
      <w:r w:rsidR="00915DF5">
        <w:rPr>
          <w:rStyle w:val="EndnoteReference"/>
          <w:lang w:eastAsia="en-AU"/>
        </w:rPr>
        <w:endnoteReference w:id="26"/>
      </w:r>
    </w:p>
    <w:bookmarkEnd w:id="9"/>
    <w:p w14:paraId="1DF167CF" w14:textId="77777777" w:rsidR="00E00EA1" w:rsidRPr="00741CD6" w:rsidRDefault="00E00EA1" w:rsidP="00741CD6">
      <w:pPr>
        <w:pStyle w:val="H3-Heading3"/>
      </w:pPr>
      <w:r w:rsidRPr="00741CD6">
        <w:t>Australian partnership</w:t>
      </w:r>
    </w:p>
    <w:p w14:paraId="5C4369FE" w14:textId="1696C853" w:rsidR="00C809C8" w:rsidRDefault="00A954A3" w:rsidP="00A21336">
      <w:pPr>
        <w:rPr>
          <w:lang w:eastAsia="en-AU"/>
        </w:rPr>
      </w:pPr>
      <w:r w:rsidRPr="00A65BD3">
        <w:rPr>
          <w:lang w:eastAsia="en-AU"/>
        </w:rPr>
        <w:t>Australia is listening</w:t>
      </w:r>
      <w:r w:rsidR="007525C8" w:rsidRPr="00A65BD3">
        <w:rPr>
          <w:lang w:eastAsia="en-AU"/>
        </w:rPr>
        <w:t xml:space="preserve"> and responding</w:t>
      </w:r>
      <w:r w:rsidRPr="00A65BD3">
        <w:rPr>
          <w:lang w:eastAsia="en-AU"/>
        </w:rPr>
        <w:t xml:space="preserve"> to Pacific priorities</w:t>
      </w:r>
      <w:r w:rsidR="003F5376">
        <w:rPr>
          <w:lang w:eastAsia="en-AU"/>
        </w:rPr>
        <w:t xml:space="preserve">. We do so </w:t>
      </w:r>
      <w:r w:rsidR="007525C8" w:rsidRPr="00A65BD3">
        <w:rPr>
          <w:lang w:eastAsia="en-AU"/>
        </w:rPr>
        <w:t xml:space="preserve">with a deep respect for </w:t>
      </w:r>
      <w:proofErr w:type="gramStart"/>
      <w:r w:rsidR="007525C8" w:rsidRPr="00A65BD3">
        <w:rPr>
          <w:lang w:eastAsia="en-AU"/>
        </w:rPr>
        <w:t>Pacific island</w:t>
      </w:r>
      <w:proofErr w:type="gramEnd"/>
      <w:r w:rsidR="007525C8" w:rsidRPr="00A65BD3">
        <w:rPr>
          <w:lang w:eastAsia="en-AU"/>
        </w:rPr>
        <w:t xml:space="preserve"> countries’ sovereignty and Pacific regional</w:t>
      </w:r>
      <w:r w:rsidR="00EE0A5D" w:rsidRPr="00A65BD3">
        <w:rPr>
          <w:lang w:eastAsia="en-AU"/>
        </w:rPr>
        <w:t xml:space="preserve"> frameworks</w:t>
      </w:r>
      <w:r w:rsidR="007525C8" w:rsidRPr="00A65BD3">
        <w:rPr>
          <w:lang w:eastAsia="en-AU"/>
        </w:rPr>
        <w:t>.</w:t>
      </w:r>
    </w:p>
    <w:p w14:paraId="30089562" w14:textId="5E73A6CB" w:rsidR="006D30A9" w:rsidRPr="00A65BD3" w:rsidRDefault="006D30A9" w:rsidP="00A21336">
      <w:pPr>
        <w:rPr>
          <w:lang w:eastAsia="en-AU"/>
        </w:rPr>
      </w:pPr>
      <w:r w:rsidRPr="00A65BD3">
        <w:rPr>
          <w:lang w:eastAsia="en-AU"/>
        </w:rPr>
        <w:t xml:space="preserve">As a founding member of the </w:t>
      </w:r>
      <w:r w:rsidR="002810FA">
        <w:rPr>
          <w:lang w:eastAsia="en-AU"/>
        </w:rPr>
        <w:t>PIF</w:t>
      </w:r>
      <w:r w:rsidRPr="00A65BD3">
        <w:rPr>
          <w:lang w:eastAsia="en-AU"/>
        </w:rPr>
        <w:t>, Australia works</w:t>
      </w:r>
      <w:r w:rsidR="00CA4BCE">
        <w:rPr>
          <w:lang w:eastAsia="en-AU"/>
        </w:rPr>
        <w:t xml:space="preserve"> </w:t>
      </w:r>
      <w:r w:rsidR="005163BA">
        <w:rPr>
          <w:lang w:eastAsia="en-AU"/>
        </w:rPr>
        <w:t xml:space="preserve">with </w:t>
      </w:r>
      <w:r w:rsidR="005163BA" w:rsidRPr="00A65BD3">
        <w:rPr>
          <w:lang w:eastAsia="en-AU"/>
        </w:rPr>
        <w:t>other</w:t>
      </w:r>
      <w:r w:rsidRPr="00A65BD3">
        <w:rPr>
          <w:lang w:eastAsia="en-AU"/>
        </w:rPr>
        <w:t xml:space="preserve"> members to support the </w:t>
      </w:r>
      <w:r w:rsidR="00277DBA">
        <w:rPr>
          <w:lang w:eastAsia="en-AU"/>
        </w:rPr>
        <w:t>PIF’s</w:t>
      </w:r>
      <w:r w:rsidR="00277DBA" w:rsidRPr="00A65BD3">
        <w:rPr>
          <w:lang w:eastAsia="en-AU"/>
        </w:rPr>
        <w:t xml:space="preserve"> </w:t>
      </w:r>
      <w:r w:rsidRPr="00A65BD3">
        <w:rPr>
          <w:lang w:eastAsia="en-AU"/>
        </w:rPr>
        <w:t>aspirations for the region.</w:t>
      </w:r>
      <w:r w:rsidR="00025E6D" w:rsidRPr="00A65BD3">
        <w:rPr>
          <w:lang w:eastAsia="en-AU"/>
        </w:rPr>
        <w:t xml:space="preserve"> We were</w:t>
      </w:r>
      <w:r w:rsidRPr="00A65BD3">
        <w:rPr>
          <w:lang w:eastAsia="en-AU"/>
        </w:rPr>
        <w:t xml:space="preserve"> actively involved in PIF processes to develop the 2050 Strategy and its </w:t>
      </w:r>
      <w:r w:rsidR="00277DBA">
        <w:rPr>
          <w:lang w:eastAsia="en-AU"/>
        </w:rPr>
        <w:t>i</w:t>
      </w:r>
      <w:r w:rsidRPr="00A65BD3">
        <w:rPr>
          <w:lang w:eastAsia="en-AU"/>
        </w:rPr>
        <w:t xml:space="preserve">mplementation </w:t>
      </w:r>
      <w:r w:rsidR="00277DBA">
        <w:rPr>
          <w:lang w:eastAsia="en-AU"/>
        </w:rPr>
        <w:t>p</w:t>
      </w:r>
      <w:r w:rsidRPr="00A65BD3">
        <w:rPr>
          <w:lang w:eastAsia="en-AU"/>
        </w:rPr>
        <w:t xml:space="preserve">lan. </w:t>
      </w:r>
      <w:r w:rsidR="00BC7B9F" w:rsidRPr="00A65BD3">
        <w:rPr>
          <w:lang w:eastAsia="en-AU"/>
        </w:rPr>
        <w:t xml:space="preserve">Our partnership </w:t>
      </w:r>
      <w:r w:rsidR="004B786E" w:rsidRPr="00A65BD3">
        <w:rPr>
          <w:lang w:eastAsia="en-AU"/>
        </w:rPr>
        <w:t>s</w:t>
      </w:r>
      <w:r w:rsidRPr="00A65BD3">
        <w:rPr>
          <w:lang w:eastAsia="en-AU"/>
        </w:rPr>
        <w:t>upport</w:t>
      </w:r>
      <w:r w:rsidR="00BC7B9F" w:rsidRPr="00A65BD3">
        <w:rPr>
          <w:lang w:eastAsia="en-AU"/>
        </w:rPr>
        <w:t>s</w:t>
      </w:r>
      <w:r w:rsidRPr="00A65BD3">
        <w:rPr>
          <w:lang w:eastAsia="en-AU"/>
        </w:rPr>
        <w:t xml:space="preserve"> key priorities identified by PIF </w:t>
      </w:r>
      <w:r w:rsidR="00A90089">
        <w:rPr>
          <w:lang w:eastAsia="en-AU"/>
        </w:rPr>
        <w:t>L</w:t>
      </w:r>
      <w:r w:rsidRPr="00A65BD3">
        <w:rPr>
          <w:lang w:eastAsia="en-AU"/>
        </w:rPr>
        <w:t>eaders</w:t>
      </w:r>
      <w:r w:rsidR="000D75A3" w:rsidRPr="00A65BD3">
        <w:rPr>
          <w:lang w:eastAsia="en-AU"/>
        </w:rPr>
        <w:t xml:space="preserve">, chief among them responding to </w:t>
      </w:r>
      <w:r w:rsidR="009B6A57">
        <w:rPr>
          <w:lang w:eastAsia="en-AU"/>
        </w:rPr>
        <w:t xml:space="preserve">the impacts of </w:t>
      </w:r>
      <w:r w:rsidR="000D75A3" w:rsidRPr="00A65BD3">
        <w:rPr>
          <w:lang w:eastAsia="en-AU"/>
        </w:rPr>
        <w:t xml:space="preserve">climate change. </w:t>
      </w:r>
      <w:r w:rsidR="00BD32B7">
        <w:t xml:space="preserve">Australia is supporting </w:t>
      </w:r>
      <w:r w:rsidR="0093297E">
        <w:t>Pacific</w:t>
      </w:r>
      <w:r w:rsidR="00547BC4">
        <w:t xml:space="preserve"> </w:t>
      </w:r>
      <w:r w:rsidR="0093297E">
        <w:t xml:space="preserve">led responses to </w:t>
      </w:r>
      <w:r w:rsidR="003F5376">
        <w:t>these</w:t>
      </w:r>
      <w:r w:rsidR="00BD32B7">
        <w:t xml:space="preserve"> priorities</w:t>
      </w:r>
      <w:r w:rsidR="003F5376">
        <w:t>, including</w:t>
      </w:r>
      <w:r w:rsidR="00BD32B7">
        <w:t xml:space="preserve"> </w:t>
      </w:r>
      <w:r w:rsidR="003E4000">
        <w:t>through</w:t>
      </w:r>
      <w:r w:rsidR="005F1671">
        <w:t xml:space="preserve"> our support for</w:t>
      </w:r>
      <w:r w:rsidR="003E4000">
        <w:t xml:space="preserve"> </w:t>
      </w:r>
      <w:r w:rsidR="00BD32B7">
        <w:t xml:space="preserve">the capitalisation of the Pacific Resilience Facility, </w:t>
      </w:r>
      <w:r w:rsidR="00400032">
        <w:t xml:space="preserve">the </w:t>
      </w:r>
      <w:r w:rsidR="003F5376">
        <w:t>strengthening</w:t>
      </w:r>
      <w:r w:rsidR="00400032">
        <w:t xml:space="preserve"> of</w:t>
      </w:r>
      <w:r w:rsidR="003F5376">
        <w:t xml:space="preserve"> </w:t>
      </w:r>
      <w:r w:rsidR="00BD32B7">
        <w:t>Pacific cybersecurity capabilities, and the Weather Ready Pacific initiative. Through regular</w:t>
      </w:r>
      <w:r w:rsidR="0041376C">
        <w:t xml:space="preserve"> engagement</w:t>
      </w:r>
      <w:r w:rsidR="00BD32B7">
        <w:t xml:space="preserve"> </w:t>
      </w:r>
      <w:r w:rsidR="00140767">
        <w:t>channels,</w:t>
      </w:r>
      <w:r w:rsidR="00BD32B7">
        <w:t xml:space="preserve"> PIF members, including Australia, routinely encourage external partners to align their support </w:t>
      </w:r>
      <w:r w:rsidR="0041376C">
        <w:t xml:space="preserve">with </w:t>
      </w:r>
      <w:r w:rsidR="00BD32B7">
        <w:t>the priorities outlined in the 2050 Strategy.</w:t>
      </w:r>
    </w:p>
    <w:p w14:paraId="219AFD5A" w14:textId="5589D65D" w:rsidR="00D00CC2" w:rsidRPr="00A65BD3" w:rsidRDefault="00D00CC2" w:rsidP="00A21336">
      <w:pPr>
        <w:rPr>
          <w:lang w:eastAsia="en-AU"/>
        </w:rPr>
      </w:pPr>
      <w:r w:rsidRPr="00A65BD3">
        <w:rPr>
          <w:lang w:eastAsia="en-AU"/>
        </w:rPr>
        <w:t>In the 2023</w:t>
      </w:r>
      <w:r w:rsidR="004E616E">
        <w:rPr>
          <w:lang w:eastAsia="en-AU"/>
        </w:rPr>
        <w:t>–</w:t>
      </w:r>
      <w:r w:rsidRPr="00A65BD3">
        <w:rPr>
          <w:lang w:eastAsia="en-AU"/>
        </w:rPr>
        <w:t xml:space="preserve">24 Budget, the Australian Government announced </w:t>
      </w:r>
      <w:r w:rsidR="006408E4">
        <w:rPr>
          <w:lang w:eastAsia="en-AU"/>
        </w:rPr>
        <w:t>more than</w:t>
      </w:r>
      <w:r w:rsidR="006408E4" w:rsidRPr="00A65BD3">
        <w:rPr>
          <w:lang w:eastAsia="en-AU"/>
        </w:rPr>
        <w:t xml:space="preserve"> </w:t>
      </w:r>
      <w:r w:rsidRPr="00A65BD3">
        <w:rPr>
          <w:lang w:eastAsia="en-AU"/>
        </w:rPr>
        <w:t>$1.9 billion over five years to deepen Pacific integration, boost investment in Pacific regional architecture</w:t>
      </w:r>
      <w:r w:rsidR="004E616E">
        <w:rPr>
          <w:lang w:eastAsia="en-AU"/>
        </w:rPr>
        <w:t>,</w:t>
      </w:r>
      <w:r w:rsidRPr="00A65BD3">
        <w:rPr>
          <w:lang w:eastAsia="en-AU"/>
        </w:rPr>
        <w:t xml:space="preserve"> and advance Pacific peace and security. In the 2024</w:t>
      </w:r>
      <w:r w:rsidR="004E616E">
        <w:rPr>
          <w:lang w:eastAsia="en-AU"/>
        </w:rPr>
        <w:t>–</w:t>
      </w:r>
      <w:r w:rsidRPr="00A65BD3">
        <w:rPr>
          <w:lang w:eastAsia="en-AU"/>
        </w:rPr>
        <w:t xml:space="preserve">25 Budget, the Australian Government committed a further $165.9 million to enhance Australia’s presence in Pacific countries to help deepen our partnerships. These investments build on a record $2.05 billion </w:t>
      </w:r>
      <w:r w:rsidR="00AF75D2">
        <w:rPr>
          <w:lang w:eastAsia="en-AU"/>
        </w:rPr>
        <w:t xml:space="preserve">in </w:t>
      </w:r>
      <w:r w:rsidR="003F5376">
        <w:rPr>
          <w:lang w:eastAsia="en-AU"/>
        </w:rPr>
        <w:t xml:space="preserve">development assistance </w:t>
      </w:r>
      <w:r w:rsidRPr="00A65BD3">
        <w:rPr>
          <w:lang w:eastAsia="en-AU"/>
        </w:rPr>
        <w:t>in 2024</w:t>
      </w:r>
      <w:r w:rsidR="004E616E">
        <w:rPr>
          <w:lang w:eastAsia="en-AU"/>
        </w:rPr>
        <w:t>–</w:t>
      </w:r>
      <w:r w:rsidRPr="00A65BD3">
        <w:rPr>
          <w:lang w:eastAsia="en-AU"/>
        </w:rPr>
        <w:t xml:space="preserve">25 (compared </w:t>
      </w:r>
      <w:r w:rsidR="00AF75D2">
        <w:rPr>
          <w:lang w:eastAsia="en-AU"/>
        </w:rPr>
        <w:t>with</w:t>
      </w:r>
      <w:r w:rsidR="00AF75D2" w:rsidRPr="00A65BD3">
        <w:rPr>
          <w:lang w:eastAsia="en-AU"/>
        </w:rPr>
        <w:t xml:space="preserve"> </w:t>
      </w:r>
      <w:r w:rsidRPr="00A65BD3">
        <w:rPr>
          <w:lang w:eastAsia="en-AU"/>
        </w:rPr>
        <w:t>$1.91 billion in 2023</w:t>
      </w:r>
      <w:r w:rsidR="004E616E">
        <w:rPr>
          <w:lang w:eastAsia="en-AU"/>
        </w:rPr>
        <w:t>–</w:t>
      </w:r>
      <w:r w:rsidRPr="00A65BD3">
        <w:rPr>
          <w:lang w:eastAsia="en-AU"/>
        </w:rPr>
        <w:t>24).</w:t>
      </w:r>
      <w:r w:rsidR="003F5376">
        <w:rPr>
          <w:lang w:eastAsia="en-AU"/>
        </w:rPr>
        <w:t xml:space="preserve"> This </w:t>
      </w:r>
      <w:r w:rsidR="00805810">
        <w:rPr>
          <w:lang w:eastAsia="en-AU"/>
        </w:rPr>
        <w:t xml:space="preserve">DPP </w:t>
      </w:r>
      <w:r w:rsidR="003F5376">
        <w:rPr>
          <w:lang w:eastAsia="en-AU"/>
        </w:rPr>
        <w:t>maps out these investments going forward.</w:t>
      </w:r>
    </w:p>
    <w:p w14:paraId="6938626A" w14:textId="164D389C" w:rsidR="002F4955" w:rsidRPr="00506835" w:rsidRDefault="002F4955" w:rsidP="00506835">
      <w:pPr>
        <w:pStyle w:val="H2-Heading2"/>
      </w:pPr>
      <w:r w:rsidRPr="00506835">
        <w:lastRenderedPageBreak/>
        <w:t xml:space="preserve">Section 3: Joint objectives of the Australia – </w:t>
      </w:r>
      <w:r w:rsidR="00E917DF" w:rsidRPr="00506835">
        <w:t xml:space="preserve">Pacific </w:t>
      </w:r>
      <w:r w:rsidR="009D12FE">
        <w:t>r</w:t>
      </w:r>
      <w:r w:rsidR="009330C4" w:rsidRPr="00506835">
        <w:t xml:space="preserve">egional </w:t>
      </w:r>
      <w:r w:rsidR="00DB67C0">
        <w:t>d</w:t>
      </w:r>
      <w:r w:rsidR="009330C4" w:rsidRPr="00506835">
        <w:t>evelopment</w:t>
      </w:r>
      <w:r w:rsidRPr="00506835">
        <w:t xml:space="preserve"> </w:t>
      </w:r>
      <w:r w:rsidR="00DB67C0">
        <w:t>p</w:t>
      </w:r>
      <w:r w:rsidRPr="00506835">
        <w:t>artnership </w:t>
      </w:r>
    </w:p>
    <w:p w14:paraId="10D7F866" w14:textId="738F50D1" w:rsidR="00BA0A01" w:rsidRPr="00C6671E" w:rsidRDefault="000C4A9A" w:rsidP="000D628C">
      <w:r w:rsidRPr="009F44D2">
        <w:rPr>
          <w:lang w:eastAsia="en-AU"/>
        </w:rPr>
        <w:t xml:space="preserve">The overarching goal of </w:t>
      </w:r>
      <w:r w:rsidR="0075116E">
        <w:rPr>
          <w:lang w:eastAsia="en-AU"/>
        </w:rPr>
        <w:t xml:space="preserve">the </w:t>
      </w:r>
      <w:r w:rsidRPr="009F44D2">
        <w:rPr>
          <w:lang w:eastAsia="en-AU"/>
        </w:rPr>
        <w:t>Australia – Pacific regional development partnership is a </w:t>
      </w:r>
      <w:r w:rsidR="006739CD">
        <w:rPr>
          <w:lang w:eastAsia="en-AU"/>
        </w:rPr>
        <w:t xml:space="preserve">Pacific </w:t>
      </w:r>
      <w:r w:rsidR="00CE2A6C">
        <w:rPr>
          <w:lang w:eastAsia="en-AU"/>
        </w:rPr>
        <w:t xml:space="preserve">region </w:t>
      </w:r>
      <w:r w:rsidR="006739CD">
        <w:rPr>
          <w:lang w:eastAsia="en-AU"/>
        </w:rPr>
        <w:t xml:space="preserve">that </w:t>
      </w:r>
      <w:r w:rsidR="006739CD">
        <w:t xml:space="preserve">remains peaceful, </w:t>
      </w:r>
      <w:r w:rsidR="003B3F10">
        <w:t xml:space="preserve">stable and </w:t>
      </w:r>
      <w:r w:rsidR="006739CD">
        <w:t>prosperous</w:t>
      </w:r>
      <w:r w:rsidR="007D27F7">
        <w:t xml:space="preserve">, </w:t>
      </w:r>
      <w:r w:rsidR="006739CD">
        <w:t>and equipped to respond to the challenges of our time.</w:t>
      </w:r>
      <w:r w:rsidR="002C6B8F">
        <w:t xml:space="preserve"> </w:t>
      </w:r>
      <w:r w:rsidR="00143240">
        <w:t xml:space="preserve">Our four development partnership objectives, </w:t>
      </w:r>
      <w:r w:rsidR="004878B8">
        <w:t xml:space="preserve">and how we will work together to progress each objective, </w:t>
      </w:r>
      <w:r w:rsidR="00F365D9">
        <w:t>are set out below and summarised in Table 1.</w:t>
      </w:r>
      <w:r w:rsidR="00F365D9">
        <w:rPr>
          <w:lang w:eastAsia="en-AU"/>
        </w:rPr>
        <w:t xml:space="preserve"> </w:t>
      </w:r>
    </w:p>
    <w:p w14:paraId="72E6C241" w14:textId="3D38F66C" w:rsidR="00F70893" w:rsidRDefault="00F70893" w:rsidP="002335E9">
      <w:pPr>
        <w:rPr>
          <w:lang w:eastAsia="en-AU"/>
        </w:rPr>
      </w:pPr>
      <w:r>
        <w:rPr>
          <w:lang w:eastAsia="en-AU"/>
        </w:rPr>
        <w:t xml:space="preserve">These objectives reflect </w:t>
      </w:r>
      <w:r w:rsidR="004128DF">
        <w:rPr>
          <w:lang w:eastAsia="en-AU"/>
        </w:rPr>
        <w:t xml:space="preserve">the </w:t>
      </w:r>
      <w:r>
        <w:rPr>
          <w:lang w:eastAsia="en-AU"/>
        </w:rPr>
        <w:t xml:space="preserve">principles and priorities agreed to by Australia and our regional partners, through the 2050 Strategy and </w:t>
      </w:r>
      <w:r w:rsidR="009B6A57">
        <w:rPr>
          <w:lang w:eastAsia="en-AU"/>
        </w:rPr>
        <w:t xml:space="preserve">its </w:t>
      </w:r>
      <w:r w:rsidR="0001665E">
        <w:rPr>
          <w:lang w:eastAsia="en-AU"/>
        </w:rPr>
        <w:t>i</w:t>
      </w:r>
      <w:r>
        <w:rPr>
          <w:lang w:eastAsia="en-AU"/>
        </w:rPr>
        <w:t xml:space="preserve">mplementation </w:t>
      </w:r>
      <w:r w:rsidR="00110B75">
        <w:rPr>
          <w:lang w:eastAsia="en-AU"/>
        </w:rPr>
        <w:t>p</w:t>
      </w:r>
      <w:r>
        <w:rPr>
          <w:lang w:eastAsia="en-AU"/>
        </w:rPr>
        <w:t>lan, and align with the focus areas of Australia’s International Development Policy.</w:t>
      </w:r>
    </w:p>
    <w:p w14:paraId="21F39A57" w14:textId="4A4F54D8" w:rsidR="001B606A" w:rsidRDefault="00C60B15" w:rsidP="002335E9">
      <w:pPr>
        <w:rPr>
          <w:lang w:eastAsia="en-AU"/>
        </w:rPr>
      </w:pPr>
      <w:r>
        <w:rPr>
          <w:lang w:eastAsia="en-AU"/>
        </w:rPr>
        <w:t>The Australia</w:t>
      </w:r>
      <w:r w:rsidR="009866E3">
        <w:rPr>
          <w:lang w:eastAsia="en-AU"/>
        </w:rPr>
        <w:t xml:space="preserve"> – </w:t>
      </w:r>
      <w:r>
        <w:rPr>
          <w:lang w:eastAsia="en-AU"/>
        </w:rPr>
        <w:t xml:space="preserve">Pacific </w:t>
      </w:r>
      <w:r w:rsidR="00CA4BCE">
        <w:rPr>
          <w:lang w:eastAsia="en-AU"/>
        </w:rPr>
        <w:t>r</w:t>
      </w:r>
      <w:r>
        <w:rPr>
          <w:lang w:eastAsia="en-AU"/>
        </w:rPr>
        <w:t xml:space="preserve">egional </w:t>
      </w:r>
      <w:r w:rsidR="00CA4BCE">
        <w:rPr>
          <w:lang w:eastAsia="en-AU"/>
        </w:rPr>
        <w:t>d</w:t>
      </w:r>
      <w:r>
        <w:rPr>
          <w:lang w:eastAsia="en-AU"/>
        </w:rPr>
        <w:t xml:space="preserve">evelopment </w:t>
      </w:r>
      <w:r w:rsidR="00CA4BCE">
        <w:rPr>
          <w:lang w:eastAsia="en-AU"/>
        </w:rPr>
        <w:t>p</w:t>
      </w:r>
      <w:r>
        <w:rPr>
          <w:lang w:eastAsia="en-AU"/>
        </w:rPr>
        <w:t xml:space="preserve">artnership </w:t>
      </w:r>
      <w:r w:rsidR="00F15D65">
        <w:rPr>
          <w:lang w:eastAsia="en-AU"/>
        </w:rPr>
        <w:t>p</w:t>
      </w:r>
      <w:r w:rsidR="001B606A" w:rsidRPr="00CB6E84">
        <w:rPr>
          <w:lang w:eastAsia="en-AU"/>
        </w:rPr>
        <w:t xml:space="preserve">lays a unique role in responding to issues beyond the remit of individual bilateral programs, </w:t>
      </w:r>
      <w:r w:rsidR="001B606A">
        <w:rPr>
          <w:lang w:eastAsia="en-AU"/>
        </w:rPr>
        <w:t>including to support Pacific regional institutions a</w:t>
      </w:r>
      <w:r w:rsidR="001B606A" w:rsidRPr="00CB6E84">
        <w:rPr>
          <w:lang w:eastAsia="en-AU"/>
        </w:rPr>
        <w:t xml:space="preserve">nd </w:t>
      </w:r>
      <w:r w:rsidR="001B606A">
        <w:rPr>
          <w:lang w:eastAsia="en-AU"/>
        </w:rPr>
        <w:t>Pacific</w:t>
      </w:r>
      <w:r w:rsidR="00547BC4">
        <w:rPr>
          <w:lang w:eastAsia="en-AU"/>
        </w:rPr>
        <w:t xml:space="preserve"> </w:t>
      </w:r>
      <w:r w:rsidR="001B606A">
        <w:rPr>
          <w:lang w:eastAsia="en-AU"/>
        </w:rPr>
        <w:t xml:space="preserve">led responses to </w:t>
      </w:r>
      <w:r w:rsidR="001B606A" w:rsidRPr="00CB6E84">
        <w:rPr>
          <w:lang w:eastAsia="en-AU"/>
        </w:rPr>
        <w:t xml:space="preserve">transboundary issues </w:t>
      </w:r>
      <w:r w:rsidR="001B606A" w:rsidRPr="00CB6E84">
        <w:rPr>
          <w:rFonts w:cstheme="majorBidi"/>
        </w:rPr>
        <w:t xml:space="preserve">such as </w:t>
      </w:r>
      <w:r w:rsidR="001B606A">
        <w:rPr>
          <w:rFonts w:cstheme="majorBidi"/>
        </w:rPr>
        <w:t xml:space="preserve">peace and security, ocean and fisheries </w:t>
      </w:r>
      <w:r w:rsidR="001B606A" w:rsidRPr="00CB6E84">
        <w:rPr>
          <w:rFonts w:cstheme="majorBidi"/>
        </w:rPr>
        <w:t>management</w:t>
      </w:r>
      <w:r w:rsidR="001B606A">
        <w:rPr>
          <w:rFonts w:cstheme="majorBidi"/>
        </w:rPr>
        <w:t>,</w:t>
      </w:r>
      <w:r w:rsidR="001B606A" w:rsidRPr="00CB6E84">
        <w:rPr>
          <w:rFonts w:cstheme="majorBidi"/>
        </w:rPr>
        <w:t xml:space="preserve"> communicable disease management</w:t>
      </w:r>
      <w:r w:rsidR="009866E3">
        <w:rPr>
          <w:rFonts w:cstheme="majorBidi"/>
        </w:rPr>
        <w:t>,</w:t>
      </w:r>
      <w:r w:rsidR="001B606A">
        <w:rPr>
          <w:rFonts w:cstheme="majorBidi"/>
        </w:rPr>
        <w:t xml:space="preserve"> and </w:t>
      </w:r>
      <w:r w:rsidR="001B606A" w:rsidRPr="00CB6E84">
        <w:rPr>
          <w:rFonts w:cstheme="majorBidi"/>
        </w:rPr>
        <w:t>climate change</w:t>
      </w:r>
      <w:r w:rsidR="001B606A">
        <w:rPr>
          <w:rFonts w:cstheme="majorBidi"/>
        </w:rPr>
        <w:t>.</w:t>
      </w:r>
      <w:r w:rsidR="001B606A" w:rsidRPr="00CB6E84">
        <w:rPr>
          <w:rFonts w:cstheme="majorBidi"/>
        </w:rPr>
        <w:t xml:space="preserve"> </w:t>
      </w:r>
      <w:r w:rsidR="005B0D40">
        <w:rPr>
          <w:rFonts w:cstheme="majorBidi"/>
        </w:rPr>
        <w:t xml:space="preserve">Regional development assistance has a crucial </w:t>
      </w:r>
      <w:r w:rsidR="005256A1">
        <w:rPr>
          <w:rFonts w:cstheme="majorBidi"/>
        </w:rPr>
        <w:t xml:space="preserve">role to play in the Pacific, defined as it is by small and dispersed </w:t>
      </w:r>
      <w:r w:rsidR="00D610B2">
        <w:rPr>
          <w:rFonts w:cstheme="majorBidi"/>
        </w:rPr>
        <w:t xml:space="preserve">populations </w:t>
      </w:r>
      <w:r w:rsidR="005256A1">
        <w:rPr>
          <w:rFonts w:cstheme="majorBidi"/>
        </w:rPr>
        <w:t xml:space="preserve">and economies. </w:t>
      </w:r>
      <w:r w:rsidR="00AD6E09">
        <w:rPr>
          <w:rFonts w:cstheme="majorBidi"/>
        </w:rPr>
        <w:t>Working regionally can provide</w:t>
      </w:r>
      <w:r w:rsidR="001B606A">
        <w:rPr>
          <w:rFonts w:cstheme="majorBidi"/>
        </w:rPr>
        <w:t xml:space="preserve"> economies of scale, allowing Australia to deliver </w:t>
      </w:r>
      <w:r w:rsidR="001B606A" w:rsidRPr="00CB6E84">
        <w:rPr>
          <w:lang w:eastAsia="en-AU"/>
        </w:rPr>
        <w:t xml:space="preserve">support </w:t>
      </w:r>
      <w:r w:rsidR="001B606A">
        <w:rPr>
          <w:lang w:eastAsia="en-AU"/>
        </w:rPr>
        <w:t xml:space="preserve">in </w:t>
      </w:r>
      <w:r w:rsidR="001B606A" w:rsidRPr="00CB6E84">
        <w:rPr>
          <w:lang w:eastAsia="en-AU"/>
        </w:rPr>
        <w:t>areas that would not be feasible through individual bilateral programs</w:t>
      </w:r>
      <w:r w:rsidR="001B606A">
        <w:rPr>
          <w:lang w:eastAsia="en-AU"/>
        </w:rPr>
        <w:t>, including major infrastructure investments through the Australia</w:t>
      </w:r>
      <w:r w:rsidR="00D610B2">
        <w:rPr>
          <w:lang w:eastAsia="en-AU"/>
        </w:rPr>
        <w:t>n</w:t>
      </w:r>
      <w:r w:rsidR="001B606A">
        <w:rPr>
          <w:lang w:eastAsia="en-AU"/>
        </w:rPr>
        <w:t xml:space="preserve"> Infrastructure Financing Facility for the Pacific</w:t>
      </w:r>
      <w:r w:rsidR="006D2F04">
        <w:rPr>
          <w:lang w:eastAsia="en-AU"/>
        </w:rPr>
        <w:t xml:space="preserve"> </w:t>
      </w:r>
      <w:r w:rsidR="009B6A57">
        <w:rPr>
          <w:lang w:eastAsia="en-AU"/>
        </w:rPr>
        <w:t>(AIFFP)</w:t>
      </w:r>
      <w:r w:rsidR="001B606A">
        <w:rPr>
          <w:lang w:eastAsia="en-AU"/>
        </w:rPr>
        <w:t>. This enables Australia to be highly responsive to emerging Pacific priorities.</w:t>
      </w:r>
    </w:p>
    <w:p w14:paraId="2DFD34E4" w14:textId="0DF06CEB" w:rsidR="00830EE6" w:rsidRDefault="0036726A" w:rsidP="002335E9">
      <w:pPr>
        <w:rPr>
          <w:lang w:eastAsia="en-AU"/>
        </w:rPr>
      </w:pPr>
      <w:r w:rsidRPr="00257F03">
        <w:rPr>
          <w:lang w:eastAsia="en-AU"/>
        </w:rPr>
        <w:t>In addition to programs</w:t>
      </w:r>
      <w:r w:rsidR="007B6EC9">
        <w:rPr>
          <w:lang w:eastAsia="en-AU"/>
        </w:rPr>
        <w:t xml:space="preserve"> delivered under this portfolio</w:t>
      </w:r>
      <w:r w:rsidRPr="00257F03">
        <w:rPr>
          <w:lang w:eastAsia="en-AU"/>
        </w:rPr>
        <w:t xml:space="preserve">, Australia’s development assistance is provided through global and multilateral programs </w:t>
      </w:r>
      <w:r w:rsidRPr="00726A1B">
        <w:rPr>
          <w:lang w:eastAsia="en-AU"/>
        </w:rPr>
        <w:t xml:space="preserve">in critical sectors such as health, education and </w:t>
      </w:r>
      <w:r w:rsidR="00B64116">
        <w:rPr>
          <w:lang w:eastAsia="en-AU"/>
        </w:rPr>
        <w:t>gender</w:t>
      </w:r>
      <w:r w:rsidRPr="00726A1B">
        <w:rPr>
          <w:lang w:eastAsia="en-AU"/>
        </w:rPr>
        <w:t xml:space="preserve">. Examples at the global level include the Australian NGO Cooperation Program, </w:t>
      </w:r>
      <w:r w:rsidR="0085788A">
        <w:rPr>
          <w:lang w:eastAsia="en-AU"/>
        </w:rPr>
        <w:t xml:space="preserve">the </w:t>
      </w:r>
      <w:r w:rsidRPr="00726A1B">
        <w:rPr>
          <w:lang w:eastAsia="en-AU"/>
        </w:rPr>
        <w:t>Australian Volunteers Program</w:t>
      </w:r>
      <w:r w:rsidR="00227269">
        <w:rPr>
          <w:lang w:eastAsia="en-AU"/>
        </w:rPr>
        <w:t>,</w:t>
      </w:r>
      <w:r w:rsidR="007D699F">
        <w:rPr>
          <w:lang w:eastAsia="en-AU"/>
        </w:rPr>
        <w:t xml:space="preserve"> the</w:t>
      </w:r>
      <w:r w:rsidR="00227269">
        <w:rPr>
          <w:lang w:eastAsia="en-AU"/>
        </w:rPr>
        <w:t xml:space="preserve"> </w:t>
      </w:r>
      <w:r w:rsidRPr="00726A1B">
        <w:rPr>
          <w:lang w:eastAsia="en-AU"/>
        </w:rPr>
        <w:t>Australia Awards</w:t>
      </w:r>
      <w:r w:rsidR="00227269">
        <w:rPr>
          <w:shd w:val="clear" w:color="auto" w:fill="FFFFFF"/>
        </w:rPr>
        <w:t xml:space="preserve"> </w:t>
      </w:r>
      <w:r w:rsidR="007D699F">
        <w:rPr>
          <w:shd w:val="clear" w:color="auto" w:fill="FFFFFF"/>
        </w:rPr>
        <w:t>program</w:t>
      </w:r>
      <w:r w:rsidR="009866E3">
        <w:rPr>
          <w:shd w:val="clear" w:color="auto" w:fill="FFFFFF"/>
        </w:rPr>
        <w:t>,</w:t>
      </w:r>
      <w:r w:rsidR="007D699F">
        <w:rPr>
          <w:shd w:val="clear" w:color="auto" w:fill="FFFFFF"/>
        </w:rPr>
        <w:t xml:space="preserve"> </w:t>
      </w:r>
      <w:r w:rsidR="00227269">
        <w:rPr>
          <w:shd w:val="clear" w:color="auto" w:fill="FFFFFF"/>
        </w:rPr>
        <w:t>and strategic partnerships with multilateral organisations</w:t>
      </w:r>
      <w:r w:rsidR="00084967">
        <w:rPr>
          <w:shd w:val="clear" w:color="auto" w:fill="FFFFFF"/>
        </w:rPr>
        <w:t xml:space="preserve"> across the </w:t>
      </w:r>
      <w:r w:rsidR="00084967">
        <w:rPr>
          <w:lang w:eastAsia="en-AU"/>
        </w:rPr>
        <w:t>United Nations system, thematic funds and multilateral development banks.</w:t>
      </w:r>
    </w:p>
    <w:p w14:paraId="046B4BE2" w14:textId="45E34B06" w:rsidR="00523BD4" w:rsidRDefault="00BC5E8B" w:rsidP="002335E9">
      <w:pPr>
        <w:rPr>
          <w:shd w:val="clear" w:color="auto" w:fill="FFFFFF"/>
        </w:rPr>
      </w:pPr>
      <w:r>
        <w:rPr>
          <w:lang w:eastAsia="en-AU"/>
        </w:rPr>
        <w:t xml:space="preserve">These partnerships help </w:t>
      </w:r>
      <w:r w:rsidR="007D699F">
        <w:rPr>
          <w:lang w:eastAsia="en-AU"/>
        </w:rPr>
        <w:t xml:space="preserve">to </w:t>
      </w:r>
      <w:r>
        <w:rPr>
          <w:lang w:eastAsia="en-AU"/>
        </w:rPr>
        <w:t xml:space="preserve">deliver our development and humanitarian assistance at a greater scale in </w:t>
      </w:r>
      <w:r w:rsidR="007D699F">
        <w:rPr>
          <w:lang w:eastAsia="en-AU"/>
        </w:rPr>
        <w:t xml:space="preserve">the </w:t>
      </w:r>
      <w:r>
        <w:rPr>
          <w:lang w:eastAsia="en-AU"/>
        </w:rPr>
        <w:t>region and provide a mechanism to work alongside bilateral partners in regional and global forums. Co-financing with international financial institutions allows Australia to engage with sovereign governments on transformational development investments that may otherwise not be</w:t>
      </w:r>
      <w:r w:rsidR="00035852">
        <w:rPr>
          <w:lang w:eastAsia="en-AU"/>
        </w:rPr>
        <w:t xml:space="preserve"> feasible</w:t>
      </w:r>
      <w:r>
        <w:rPr>
          <w:lang w:eastAsia="en-AU"/>
        </w:rPr>
        <w:t>.</w:t>
      </w:r>
      <w:r w:rsidR="00035852">
        <w:rPr>
          <w:lang w:eastAsia="en-AU"/>
        </w:rPr>
        <w:t xml:space="preserve"> Bu</w:t>
      </w:r>
      <w:r w:rsidR="003E2A52">
        <w:rPr>
          <w:lang w:eastAsia="en-AU"/>
        </w:rPr>
        <w:t xml:space="preserve">ilding on our strong track record of advancing Pacific priorities globally, we will </w:t>
      </w:r>
      <w:r w:rsidR="00227269">
        <w:rPr>
          <w:lang w:eastAsia="en-AU"/>
        </w:rPr>
        <w:t xml:space="preserve">use our strategic partnerships with multilateral organisations </w:t>
      </w:r>
      <w:r w:rsidR="00084967">
        <w:rPr>
          <w:lang w:eastAsia="en-AU"/>
        </w:rPr>
        <w:t>to deliver resources and results for the Pacific</w:t>
      </w:r>
      <w:r w:rsidR="00084967">
        <w:rPr>
          <w:shd w:val="clear" w:color="auto" w:fill="FFFFFF"/>
        </w:rPr>
        <w:t>.</w:t>
      </w:r>
    </w:p>
    <w:p w14:paraId="3BC1F32E" w14:textId="77777777" w:rsidR="00523BD4" w:rsidRDefault="00523BD4">
      <w:pPr>
        <w:spacing w:before="0" w:after="0" w:line="240" w:lineRule="auto"/>
        <w:rPr>
          <w:shd w:val="clear" w:color="auto" w:fill="FFFFFF"/>
        </w:rPr>
      </w:pPr>
      <w:r>
        <w:rPr>
          <w:shd w:val="clear" w:color="auto" w:fill="FFFFFF"/>
        </w:rPr>
        <w:br w:type="page"/>
      </w:r>
    </w:p>
    <w:p w14:paraId="304943DE" w14:textId="5B8F3E26" w:rsidR="00211040" w:rsidRDefault="00211040" w:rsidP="005D50D9">
      <w:pPr>
        <w:pStyle w:val="Tabletitle"/>
      </w:pPr>
      <w:bookmarkStart w:id="10" w:name="_Hlk184389653"/>
      <w:r w:rsidRPr="00211040">
        <w:lastRenderedPageBreak/>
        <w:t>Table 1</w:t>
      </w:r>
      <w:r w:rsidR="000D3C7C">
        <w:t>:</w:t>
      </w:r>
      <w:r w:rsidRPr="00211040">
        <w:t xml:space="preserve"> Australia – Pacific </w:t>
      </w:r>
      <w:r w:rsidR="00947C08">
        <w:t>r</w:t>
      </w:r>
      <w:r w:rsidRPr="00211040">
        <w:t xml:space="preserve">egional </w:t>
      </w:r>
      <w:r w:rsidR="000D3C7C">
        <w:t>d</w:t>
      </w:r>
      <w:r w:rsidRPr="00211040">
        <w:t xml:space="preserve">evelopment </w:t>
      </w:r>
      <w:r w:rsidR="000D3C7C">
        <w:t>p</w:t>
      </w:r>
      <w:r w:rsidRPr="00211040">
        <w:t>artnership</w:t>
      </w:r>
    </w:p>
    <w:p w14:paraId="0255D7CF" w14:textId="7DE8E75D" w:rsidR="000D3C7C" w:rsidRDefault="00EB1971" w:rsidP="005D50D9">
      <w:pPr>
        <w:pStyle w:val="Table1goalhead"/>
      </w:pPr>
      <w:r>
        <w:t>Goal</w:t>
      </w:r>
      <w:r w:rsidRPr="00EB1971">
        <w:t>: A peaceful, stable and prosperous Pacific</w:t>
      </w:r>
    </w:p>
    <w:tbl>
      <w:tblPr>
        <w:tblStyle w:val="DPPtable1"/>
        <w:tblW w:w="5000" w:type="pct"/>
        <w:tblLook w:val="04A0" w:firstRow="1" w:lastRow="0" w:firstColumn="1" w:lastColumn="0" w:noHBand="0" w:noVBand="1"/>
        <w:tblCaption w:val="Australia – Pacific regional development partnership"/>
        <w:tblDescription w:val="The objectives, outcomes and focus areas to support the goal of a peaceful, stable and prosperous Pacific"/>
      </w:tblPr>
      <w:tblGrid>
        <w:gridCol w:w="1118"/>
        <w:gridCol w:w="2269"/>
        <w:gridCol w:w="2269"/>
        <w:gridCol w:w="2269"/>
        <w:gridCol w:w="2269"/>
      </w:tblGrid>
      <w:tr w:rsidR="000D628C" w:rsidRPr="001E6F21" w14:paraId="7E230878" w14:textId="77777777" w:rsidTr="00392791">
        <w:tc>
          <w:tcPr>
            <w:cnfStyle w:val="001000000000" w:firstRow="0" w:lastRow="0" w:firstColumn="1" w:lastColumn="0" w:oddVBand="0" w:evenVBand="0" w:oddHBand="0" w:evenHBand="0" w:firstRowFirstColumn="0" w:firstRowLastColumn="0" w:lastRowFirstColumn="0" w:lastRowLastColumn="0"/>
            <w:tcW w:w="548" w:type="pct"/>
          </w:tcPr>
          <w:p w14:paraId="42F08759" w14:textId="77777777" w:rsidR="00E553EF" w:rsidRPr="00924165" w:rsidRDefault="00E553EF" w:rsidP="00547BC4">
            <w:pPr>
              <w:pStyle w:val="Table1col1head"/>
              <w:spacing w:before="40"/>
            </w:pPr>
            <w:r w:rsidRPr="00924165">
              <w:rPr>
                <w:rStyle w:val="Strong"/>
                <w:rFonts w:ascii="Calibri Light" w:hAnsi="Calibri Light"/>
                <w:b/>
                <w:bCs/>
              </w:rPr>
              <w:t>Objectives</w:t>
            </w:r>
          </w:p>
        </w:tc>
        <w:tc>
          <w:tcPr>
            <w:tcW w:w="1113" w:type="pct"/>
            <w:shd w:val="clear" w:color="auto" w:fill="D6E8D2"/>
            <w:hideMark/>
          </w:tcPr>
          <w:p w14:paraId="20853627" w14:textId="6B00CC26" w:rsidR="00E553EF" w:rsidRPr="00924165" w:rsidRDefault="00E553EF"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rPr>
                <w:rStyle w:val="Strong"/>
                <w:rFonts w:ascii="Calibri Light" w:hAnsi="Calibri Light"/>
                <w:b w:val="0"/>
                <w:bCs w:val="0"/>
              </w:rPr>
              <w:t>Objective 1</w:t>
            </w:r>
          </w:p>
          <w:p w14:paraId="6085C7BF" w14:textId="6D6A379E" w:rsidR="00E553EF" w:rsidRPr="00924165" w:rsidRDefault="00E553EF"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A strong and united Pacific family</w:t>
            </w:r>
          </w:p>
        </w:tc>
        <w:tc>
          <w:tcPr>
            <w:tcW w:w="1113" w:type="pct"/>
            <w:shd w:val="clear" w:color="auto" w:fill="FBEED2"/>
            <w:hideMark/>
          </w:tcPr>
          <w:p w14:paraId="074CC5E1" w14:textId="77777777" w:rsidR="00E553EF" w:rsidRPr="00924165" w:rsidRDefault="00E553EF" w:rsidP="00547BC4">
            <w:pPr>
              <w:pStyle w:val="TableBodyCopy"/>
              <w:spacing w:before="40"/>
              <w:cnfStyle w:val="000000000000" w:firstRow="0" w:lastRow="0" w:firstColumn="0" w:lastColumn="0" w:oddVBand="0" w:evenVBand="0" w:oddHBand="0" w:evenHBand="0" w:firstRowFirstColumn="0" w:firstRowLastColumn="0" w:lastRowFirstColumn="0" w:lastRowLastColumn="0"/>
              <w:rPr>
                <w:rStyle w:val="Strong"/>
                <w:rFonts w:ascii="Calibri Light" w:hAnsi="Calibri Light"/>
                <w:b w:val="0"/>
                <w:bCs w:val="0"/>
              </w:rPr>
            </w:pPr>
            <w:r w:rsidRPr="00924165">
              <w:rPr>
                <w:rStyle w:val="Strong"/>
                <w:rFonts w:ascii="Calibri Light" w:hAnsi="Calibri Light"/>
                <w:b w:val="0"/>
                <w:bCs w:val="0"/>
              </w:rPr>
              <w:t>Objective 2</w:t>
            </w:r>
          </w:p>
          <w:p w14:paraId="414C8A02" w14:textId="18A4C744" w:rsidR="00E553EF" w:rsidRPr="00924165" w:rsidRDefault="00E553EF"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Regional action on climate change and disasters</w:t>
            </w:r>
          </w:p>
        </w:tc>
        <w:tc>
          <w:tcPr>
            <w:tcW w:w="1113" w:type="pct"/>
            <w:shd w:val="clear" w:color="auto" w:fill="F0DBD4"/>
            <w:hideMark/>
          </w:tcPr>
          <w:p w14:paraId="30574532" w14:textId="77777777" w:rsidR="00E553EF" w:rsidRPr="00924165" w:rsidRDefault="00E553EF" w:rsidP="00547BC4">
            <w:pPr>
              <w:pStyle w:val="TableBodyCopy"/>
              <w:spacing w:before="40"/>
              <w:cnfStyle w:val="000000000000" w:firstRow="0" w:lastRow="0" w:firstColumn="0" w:lastColumn="0" w:oddVBand="0" w:evenVBand="0" w:oddHBand="0" w:evenHBand="0" w:firstRowFirstColumn="0" w:firstRowLastColumn="0" w:lastRowFirstColumn="0" w:lastRowLastColumn="0"/>
              <w:rPr>
                <w:rStyle w:val="Strong"/>
                <w:rFonts w:ascii="Calibri Light" w:hAnsi="Calibri Light"/>
                <w:b w:val="0"/>
                <w:bCs w:val="0"/>
              </w:rPr>
            </w:pPr>
            <w:r w:rsidRPr="00924165">
              <w:rPr>
                <w:rStyle w:val="Strong"/>
                <w:rFonts w:ascii="Calibri Light" w:hAnsi="Calibri Light"/>
                <w:b w:val="0"/>
                <w:bCs w:val="0"/>
              </w:rPr>
              <w:t>Objective 3</w:t>
            </w:r>
          </w:p>
          <w:p w14:paraId="1F065A2B" w14:textId="047D401E" w:rsidR="00E553EF" w:rsidRPr="00924165" w:rsidRDefault="00E553EF"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Sustainable and resilient economic development</w:t>
            </w:r>
          </w:p>
        </w:tc>
        <w:tc>
          <w:tcPr>
            <w:tcW w:w="1113" w:type="pct"/>
            <w:shd w:val="clear" w:color="auto" w:fill="D9D9D9"/>
          </w:tcPr>
          <w:p w14:paraId="51BDF6A4" w14:textId="77777777" w:rsidR="00E553EF" w:rsidRPr="00924165" w:rsidRDefault="00E553EF" w:rsidP="00547BC4">
            <w:pPr>
              <w:pStyle w:val="TableBodyCopy"/>
              <w:spacing w:before="40"/>
              <w:cnfStyle w:val="000000000000" w:firstRow="0" w:lastRow="0" w:firstColumn="0" w:lastColumn="0" w:oddVBand="0" w:evenVBand="0" w:oddHBand="0" w:evenHBand="0" w:firstRowFirstColumn="0" w:firstRowLastColumn="0" w:lastRowFirstColumn="0" w:lastRowLastColumn="0"/>
              <w:rPr>
                <w:rStyle w:val="Strong"/>
                <w:rFonts w:ascii="Calibri Light" w:hAnsi="Calibri Light"/>
                <w:b w:val="0"/>
                <w:bCs w:val="0"/>
              </w:rPr>
            </w:pPr>
            <w:r w:rsidRPr="00924165">
              <w:rPr>
                <w:rStyle w:val="Strong"/>
                <w:rFonts w:ascii="Calibri Light" w:hAnsi="Calibri Light"/>
                <w:b w:val="0"/>
                <w:bCs w:val="0"/>
              </w:rPr>
              <w:t>Objective 4</w:t>
            </w:r>
          </w:p>
          <w:p w14:paraId="7FABD54E" w14:textId="54116C27" w:rsidR="00E553EF" w:rsidRPr="00924165" w:rsidRDefault="00E553EF"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Wellbeing, inclusion and equity</w:t>
            </w:r>
          </w:p>
        </w:tc>
      </w:tr>
      <w:tr w:rsidR="000D628C" w:rsidRPr="001E6F21" w14:paraId="477BBAAE" w14:textId="77777777" w:rsidTr="00392791">
        <w:tc>
          <w:tcPr>
            <w:cnfStyle w:val="001000000000" w:firstRow="0" w:lastRow="0" w:firstColumn="1" w:lastColumn="0" w:oddVBand="0" w:evenVBand="0" w:oddHBand="0" w:evenHBand="0" w:firstRowFirstColumn="0" w:firstRowLastColumn="0" w:lastRowFirstColumn="0" w:lastRowLastColumn="0"/>
            <w:tcW w:w="548" w:type="pct"/>
          </w:tcPr>
          <w:p w14:paraId="1442F262" w14:textId="75957705" w:rsidR="00DC185C" w:rsidRPr="00924165" w:rsidRDefault="00DC185C" w:rsidP="00547BC4">
            <w:pPr>
              <w:pStyle w:val="Table1col1head"/>
              <w:spacing w:before="40"/>
              <w:rPr>
                <w:rStyle w:val="Strong"/>
                <w:rFonts w:ascii="Calibri Light" w:eastAsia="Calibri" w:hAnsi="Calibri Light" w:cs="Times New Roman"/>
                <w:b/>
                <w:bCs/>
                <w:color w:val="auto"/>
                <w:sz w:val="22"/>
                <w:szCs w:val="22"/>
                <w:lang w:eastAsia="en-US"/>
              </w:rPr>
            </w:pPr>
            <w:r w:rsidRPr="00924165">
              <w:rPr>
                <w:rStyle w:val="Strong"/>
                <w:rFonts w:ascii="Calibri Light" w:hAnsi="Calibri Light"/>
                <w:b/>
                <w:bCs/>
              </w:rPr>
              <w:t>Outcomes</w:t>
            </w:r>
          </w:p>
        </w:tc>
        <w:tc>
          <w:tcPr>
            <w:tcW w:w="1113" w:type="pct"/>
            <w:shd w:val="clear" w:color="auto" w:fill="D6E8D2"/>
          </w:tcPr>
          <w:p w14:paraId="2F73E098" w14:textId="3B6F0948"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1.1</w:t>
            </w:r>
          </w:p>
          <w:p w14:paraId="1E38B6F7" w14:textId="70DFAFC8"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Effective institutional partnerships</w:t>
            </w:r>
            <w:r>
              <w:t xml:space="preserve">: </w:t>
            </w:r>
            <w:r w:rsidRPr="00924165">
              <w:t xml:space="preserve">Enhanced implementation of the </w:t>
            </w:r>
            <w:r w:rsidRPr="005D50D9">
              <w:t>2050 Strategy</w:t>
            </w:r>
            <w:r w:rsidR="00237CF4" w:rsidRPr="005D50D9">
              <w:t xml:space="preserve"> for the Blue Pacific Continent</w:t>
            </w:r>
          </w:p>
          <w:p w14:paraId="7D84059E" w14:textId="1D717B73"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1.2</w:t>
            </w:r>
          </w:p>
          <w:p w14:paraId="3A673651" w14:textId="4D8683DF"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Regional linkages in sports, culture</w:t>
            </w:r>
            <w:r w:rsidR="007C324A">
              <w:t>, faith</w:t>
            </w:r>
            <w:r w:rsidRPr="00924165">
              <w:t xml:space="preserve"> and media</w:t>
            </w:r>
            <w:r>
              <w:t xml:space="preserve">: </w:t>
            </w:r>
            <w:r w:rsidRPr="00924165">
              <w:t>Strong sporting, cultural</w:t>
            </w:r>
            <w:r w:rsidR="002B57EB">
              <w:t>, faith</w:t>
            </w:r>
            <w:r w:rsidRPr="00924165">
              <w:t xml:space="preserve"> and media linkages to promote a shared sense of identity between Australia and the Pacific</w:t>
            </w:r>
          </w:p>
          <w:p w14:paraId="43F6E483" w14:textId="5B951EA9"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1.3</w:t>
            </w:r>
          </w:p>
          <w:p w14:paraId="67595DDC" w14:textId="0868E218" w:rsidR="00DC185C" w:rsidRPr="00924165" w:rsidDel="00924165"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Strengthened peace and security</w:t>
            </w:r>
            <w:r>
              <w:t xml:space="preserve">: </w:t>
            </w:r>
            <w:r w:rsidRPr="00924165">
              <w:t>Strong regional architecture for peace and security in the region</w:t>
            </w:r>
          </w:p>
        </w:tc>
        <w:tc>
          <w:tcPr>
            <w:tcW w:w="1113" w:type="pct"/>
            <w:shd w:val="clear" w:color="auto" w:fill="FBEED2"/>
          </w:tcPr>
          <w:p w14:paraId="5092EE48" w14:textId="3AB678B4"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2.1</w:t>
            </w:r>
          </w:p>
          <w:p w14:paraId="305B6A82" w14:textId="3B2DFB69"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Climate programming</w:t>
            </w:r>
            <w:r>
              <w:t xml:space="preserve">: </w:t>
            </w:r>
            <w:r w:rsidRPr="00924165">
              <w:t>Quality climate programming developed through a process of deep collaboration, analysis and responsiveness to nationally determined needs</w:t>
            </w:r>
          </w:p>
          <w:p w14:paraId="6322017B" w14:textId="6E12C7E7"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2.2</w:t>
            </w:r>
          </w:p>
          <w:p w14:paraId="7E01A1AE" w14:textId="35B0D714"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 xml:space="preserve">Climate </w:t>
            </w:r>
            <w:r w:rsidR="00E61675">
              <w:t>f</w:t>
            </w:r>
            <w:r w:rsidRPr="00924165">
              <w:t xml:space="preserve">inance </w:t>
            </w:r>
            <w:r w:rsidR="00E61675">
              <w:t>a</w:t>
            </w:r>
            <w:r w:rsidRPr="00924165">
              <w:t>ccess</w:t>
            </w:r>
            <w:r>
              <w:t xml:space="preserve">: </w:t>
            </w:r>
            <w:r w:rsidRPr="00924165">
              <w:t xml:space="preserve">The region has access to targeted climate finance to meet the needs of </w:t>
            </w:r>
            <w:proofErr w:type="gramStart"/>
            <w:r w:rsidRPr="00924165">
              <w:t>Pacific island</w:t>
            </w:r>
            <w:proofErr w:type="gramEnd"/>
            <w:r w:rsidRPr="00924165">
              <w:t xml:space="preserve"> countries</w:t>
            </w:r>
          </w:p>
          <w:p w14:paraId="7B7B1FC2" w14:textId="52C70C4D" w:rsidR="00D40496" w:rsidRDefault="00D40496"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2.3</w:t>
            </w:r>
          </w:p>
          <w:p w14:paraId="6A72ACF7" w14:textId="778DE3DA" w:rsidR="00D40496" w:rsidRPr="00924165" w:rsidRDefault="00D40496" w:rsidP="00547BC4">
            <w:pPr>
              <w:pStyle w:val="TableBodyCopy"/>
              <w:spacing w:before="40"/>
              <w:cnfStyle w:val="000000000000" w:firstRow="0" w:lastRow="0" w:firstColumn="0" w:lastColumn="0" w:oddVBand="0" w:evenVBand="0" w:oddHBand="0" w:evenHBand="0" w:firstRowFirstColumn="0" w:firstRowLastColumn="0" w:lastRowFirstColumn="0" w:lastRowLastColumn="0"/>
              <w:rPr>
                <w:rStyle w:val="Strong"/>
                <w:rFonts w:ascii="Calibri Light" w:hAnsi="Calibri Light"/>
                <w:b w:val="0"/>
                <w:bCs w:val="0"/>
              </w:rPr>
            </w:pPr>
            <w:r w:rsidRPr="00924165">
              <w:t>Climate mitigation and disaster readiness</w:t>
            </w:r>
            <w:r>
              <w:t xml:space="preserve">: </w:t>
            </w:r>
            <w:r w:rsidRPr="00924165">
              <w:t>Pacific governments and communities have greater capacity and readiness to deal with the impact of climate change and disasters</w:t>
            </w:r>
          </w:p>
        </w:tc>
        <w:tc>
          <w:tcPr>
            <w:tcW w:w="1113" w:type="pct"/>
            <w:shd w:val="clear" w:color="auto" w:fill="F0DBD4"/>
          </w:tcPr>
          <w:p w14:paraId="4F477FC5" w14:textId="196B2240"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3.1</w:t>
            </w:r>
          </w:p>
          <w:p w14:paraId="470EEC04" w14:textId="1B15D2DC"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Infrastructure for growth</w:t>
            </w:r>
            <w:r>
              <w:t xml:space="preserve">: </w:t>
            </w:r>
            <w:r w:rsidRPr="00924165">
              <w:t>Quality, economically and socially transformative infrastructure which is climate resilient, socially inclusive and promotes local leadership and engagement</w:t>
            </w:r>
          </w:p>
          <w:p w14:paraId="519C8A6B" w14:textId="11E46115" w:rsidR="00557E9F" w:rsidRDefault="00557E9F"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3.2</w:t>
            </w:r>
          </w:p>
          <w:p w14:paraId="7324CC21" w14:textId="2C7706CF" w:rsidR="00557E9F" w:rsidRDefault="00557E9F"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Economic and fiscal stability</w:t>
            </w:r>
            <w:r>
              <w:t xml:space="preserve">: </w:t>
            </w:r>
            <w:r w:rsidRPr="00924165">
              <w:t>Economic reform and fiscal resilience in the Pacific that supports inclusive economic development</w:t>
            </w:r>
          </w:p>
          <w:p w14:paraId="2C680936" w14:textId="6D4CEB8B" w:rsidR="00557E9F" w:rsidRDefault="00557E9F"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3.3</w:t>
            </w:r>
          </w:p>
          <w:p w14:paraId="5BDC6710" w14:textId="1AE4C9E5" w:rsidR="00557E9F" w:rsidRDefault="00557E9F"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 xml:space="preserve">Labour </w:t>
            </w:r>
            <w:r w:rsidR="0059396A">
              <w:t>m</w:t>
            </w:r>
            <w:r w:rsidRPr="00924165">
              <w:t>obility</w:t>
            </w:r>
            <w:r>
              <w:t xml:space="preserve">: </w:t>
            </w:r>
            <w:r w:rsidRPr="00924165">
              <w:t>Opportunities for Pacific peoples, including women and girls, to benefit from employment in Australia</w:t>
            </w:r>
          </w:p>
          <w:p w14:paraId="316AC614" w14:textId="697746AC" w:rsidR="00557E9F" w:rsidRDefault="00557E9F"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3.4</w:t>
            </w:r>
          </w:p>
          <w:p w14:paraId="4C627D16" w14:textId="4E2955D0" w:rsidR="00557E9F" w:rsidRPr="00924165" w:rsidRDefault="00557E9F" w:rsidP="00547BC4">
            <w:pPr>
              <w:pStyle w:val="TableBodyCopy"/>
              <w:spacing w:before="40"/>
              <w:cnfStyle w:val="000000000000" w:firstRow="0" w:lastRow="0" w:firstColumn="0" w:lastColumn="0" w:oddVBand="0" w:evenVBand="0" w:oddHBand="0" w:evenHBand="0" w:firstRowFirstColumn="0" w:firstRowLastColumn="0" w:lastRowFirstColumn="0" w:lastRowLastColumn="0"/>
              <w:rPr>
                <w:rStyle w:val="Strong"/>
                <w:rFonts w:ascii="Calibri Light" w:hAnsi="Calibri Light"/>
                <w:b w:val="0"/>
                <w:bCs w:val="0"/>
              </w:rPr>
            </w:pPr>
            <w:r w:rsidRPr="00924165">
              <w:t>Market access and trade</w:t>
            </w:r>
            <w:r>
              <w:t xml:space="preserve">: </w:t>
            </w:r>
            <w:r w:rsidRPr="00924165">
              <w:t>Enhanced connectivity of people, services and goods</w:t>
            </w:r>
          </w:p>
        </w:tc>
        <w:tc>
          <w:tcPr>
            <w:tcW w:w="1113" w:type="pct"/>
            <w:shd w:val="clear" w:color="auto" w:fill="D9D9D9"/>
          </w:tcPr>
          <w:p w14:paraId="72622FC0" w14:textId="22CDDC4A"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4.1</w:t>
            </w:r>
          </w:p>
          <w:p w14:paraId="51193397" w14:textId="5622052C"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G</w:t>
            </w:r>
            <w:r w:rsidR="00DD71E4">
              <w:t xml:space="preserve">ender equality, disability and social </w:t>
            </w:r>
            <w:r w:rsidR="00F64D88">
              <w:t>inclusion</w:t>
            </w:r>
            <w:r>
              <w:t xml:space="preserve">: </w:t>
            </w:r>
            <w:r w:rsidRPr="00924165">
              <w:t>Local leadership to promote gender equality and disability equity</w:t>
            </w:r>
          </w:p>
          <w:p w14:paraId="14357C98" w14:textId="5DD9E83D"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4.2</w:t>
            </w:r>
          </w:p>
          <w:p w14:paraId="4D4A137F" w14:textId="5E457DDC"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Education for all</w:t>
            </w:r>
            <w:r>
              <w:t xml:space="preserve">: </w:t>
            </w:r>
            <w:r w:rsidRPr="00924165">
              <w:t>Expanded education and employment pathways and opportunities for Pacific students throughout the region</w:t>
            </w:r>
          </w:p>
          <w:p w14:paraId="66DC973F" w14:textId="2AFA4D58"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4.3</w:t>
            </w:r>
          </w:p>
          <w:p w14:paraId="3860C8D5" w14:textId="2C983B96"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Better health outcomes</w:t>
            </w:r>
            <w:r>
              <w:t xml:space="preserve">: </w:t>
            </w:r>
            <w:r w:rsidRPr="00924165">
              <w:t xml:space="preserve">More resilient and equitable primary healthcare and public health systems that have greater capability to respond to health emergencies, </w:t>
            </w:r>
            <w:r w:rsidR="00CB351F">
              <w:t>and</w:t>
            </w:r>
            <w:r w:rsidR="00CB351F" w:rsidRPr="00924165">
              <w:t xml:space="preserve"> </w:t>
            </w:r>
            <w:r w:rsidRPr="00924165">
              <w:t>stronger institutional linkages between Australia and the region</w:t>
            </w:r>
          </w:p>
          <w:p w14:paraId="36B82D2F" w14:textId="6F9F6BB1" w:rsidR="00DC185C"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rsidRPr="00924165">
              <w:t>Outcome 4.4</w:t>
            </w:r>
          </w:p>
          <w:p w14:paraId="79658A68" w14:textId="57F451F3" w:rsidR="00DC185C" w:rsidRPr="00924165" w:rsidRDefault="00DC185C" w:rsidP="00547BC4">
            <w:pPr>
              <w:pStyle w:val="TableBodyCopy"/>
              <w:spacing w:before="40"/>
              <w:cnfStyle w:val="000000000000" w:firstRow="0" w:lastRow="0" w:firstColumn="0" w:lastColumn="0" w:oddVBand="0" w:evenVBand="0" w:oddHBand="0" w:evenHBand="0" w:firstRowFirstColumn="0" w:firstRowLastColumn="0" w:lastRowFirstColumn="0" w:lastRowLastColumn="0"/>
              <w:rPr>
                <w:rStyle w:val="Strong"/>
                <w:rFonts w:ascii="Calibri Light" w:hAnsi="Calibri Light"/>
                <w:b w:val="0"/>
                <w:bCs w:val="0"/>
              </w:rPr>
            </w:pPr>
            <w:r w:rsidRPr="00924165">
              <w:t>Access to water, sanitation and hygiene</w:t>
            </w:r>
            <w:r>
              <w:t xml:space="preserve">: </w:t>
            </w:r>
            <w:r w:rsidRPr="00924165">
              <w:t>Improved equitable access to climate resilient water</w:t>
            </w:r>
            <w:r w:rsidR="0097491E">
              <w:t>,</w:t>
            </w:r>
            <w:r w:rsidRPr="00924165">
              <w:t xml:space="preserve"> sanitation and hygiene</w:t>
            </w:r>
          </w:p>
        </w:tc>
      </w:tr>
      <w:tr w:rsidR="000D628C" w:rsidRPr="001E6F21" w14:paraId="4D7423D9" w14:textId="77777777" w:rsidTr="00392791">
        <w:tc>
          <w:tcPr>
            <w:cnfStyle w:val="001000000000" w:firstRow="0" w:lastRow="0" w:firstColumn="1" w:lastColumn="0" w:oddVBand="0" w:evenVBand="0" w:oddHBand="0" w:evenHBand="0" w:firstRowFirstColumn="0" w:firstRowLastColumn="0" w:lastRowFirstColumn="0" w:lastRowLastColumn="0"/>
            <w:tcW w:w="548" w:type="pct"/>
          </w:tcPr>
          <w:p w14:paraId="7303D493" w14:textId="19D2980C" w:rsidR="00B41D41" w:rsidRPr="00924165" w:rsidRDefault="00B41D41" w:rsidP="00547BC4">
            <w:pPr>
              <w:pStyle w:val="Table1col1head"/>
              <w:spacing w:before="40"/>
              <w:rPr>
                <w:rStyle w:val="Strong"/>
                <w:rFonts w:ascii="Calibri Light" w:eastAsia="Calibri" w:hAnsi="Calibri Light" w:cs="Times New Roman"/>
                <w:b/>
                <w:bCs/>
                <w:color w:val="auto"/>
                <w:sz w:val="22"/>
                <w:szCs w:val="22"/>
                <w:lang w:eastAsia="en-US"/>
              </w:rPr>
            </w:pPr>
            <w:r>
              <w:rPr>
                <w:rStyle w:val="Strong"/>
                <w:rFonts w:ascii="Calibri Light" w:hAnsi="Calibri Light"/>
                <w:b/>
                <w:bCs/>
              </w:rPr>
              <w:t>Focus areas</w:t>
            </w:r>
          </w:p>
        </w:tc>
        <w:tc>
          <w:tcPr>
            <w:tcW w:w="1113" w:type="pct"/>
            <w:shd w:val="clear" w:color="auto" w:fill="D6E8D2"/>
          </w:tcPr>
          <w:p w14:paraId="7880BA94" w14:textId="77777777" w:rsidR="00B41D41" w:rsidRDefault="00B41D41"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t>Objective 1 focus areas</w:t>
            </w:r>
          </w:p>
          <w:p w14:paraId="577569BE" w14:textId="77777777" w:rsidR="00A81F46"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Pacific regional architecture</w:t>
            </w:r>
          </w:p>
          <w:p w14:paraId="060CB5A9"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Peace and security </w:t>
            </w:r>
          </w:p>
          <w:p w14:paraId="0D84EF44"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Fisheries </w:t>
            </w:r>
          </w:p>
          <w:p w14:paraId="2D711EED" w14:textId="49F3B2B4"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Policing and defence cooperation </w:t>
            </w:r>
          </w:p>
          <w:p w14:paraId="6D9F76E8"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Sport, culture and media </w:t>
            </w:r>
          </w:p>
          <w:p w14:paraId="74FF0DED" w14:textId="334A6C3D" w:rsidR="006F4866" w:rsidRPr="00924165"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rsidRPr="00086F6A">
              <w:t>Cyber</w:t>
            </w:r>
            <w:r w:rsidR="00E63AA8" w:rsidRPr="00086F6A">
              <w:t>security</w:t>
            </w:r>
          </w:p>
        </w:tc>
        <w:tc>
          <w:tcPr>
            <w:tcW w:w="1113" w:type="pct"/>
            <w:shd w:val="clear" w:color="auto" w:fill="FBEED2"/>
          </w:tcPr>
          <w:p w14:paraId="445530DA" w14:textId="3A85CF41" w:rsidR="00530E07" w:rsidRDefault="00530E07"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t>Objective 2 focus areas</w:t>
            </w:r>
          </w:p>
          <w:p w14:paraId="19A75562" w14:textId="520F0262"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Climate change </w:t>
            </w:r>
            <w:r w:rsidR="009B6A57">
              <w:t>action</w:t>
            </w:r>
          </w:p>
          <w:p w14:paraId="4DD12104"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Disaster resilience </w:t>
            </w:r>
          </w:p>
          <w:p w14:paraId="1385DB55"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Ocean management and conservation </w:t>
            </w:r>
          </w:p>
          <w:p w14:paraId="77C6271E" w14:textId="1C259A3B" w:rsidR="000800EE" w:rsidRPr="00924165"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Humanitarian </w:t>
            </w:r>
            <w:r w:rsidR="00E63AA8">
              <w:t xml:space="preserve">preparedness and response </w:t>
            </w:r>
          </w:p>
        </w:tc>
        <w:tc>
          <w:tcPr>
            <w:tcW w:w="1113" w:type="pct"/>
            <w:shd w:val="clear" w:color="auto" w:fill="F0DBD4"/>
          </w:tcPr>
          <w:p w14:paraId="67EF69BF" w14:textId="7E11E5C5" w:rsidR="00530E07" w:rsidRDefault="00530E07"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t>Objective 3 focus areas</w:t>
            </w:r>
          </w:p>
          <w:p w14:paraId="7FF998F0"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Economic development </w:t>
            </w:r>
          </w:p>
          <w:p w14:paraId="256D34C9"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Budget support</w:t>
            </w:r>
          </w:p>
          <w:p w14:paraId="698ED7C3"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Public financial management </w:t>
            </w:r>
          </w:p>
          <w:p w14:paraId="27F83E64" w14:textId="2A0FA6D1"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Social </w:t>
            </w:r>
            <w:r w:rsidR="00E63AA8">
              <w:t>protection</w:t>
            </w:r>
          </w:p>
          <w:p w14:paraId="797E410A"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Infrastructure </w:t>
            </w:r>
          </w:p>
          <w:p w14:paraId="7B921E1B"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Aviation </w:t>
            </w:r>
          </w:p>
          <w:p w14:paraId="2F99ED38"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Trade </w:t>
            </w:r>
          </w:p>
          <w:p w14:paraId="07D7AB01" w14:textId="4CC591B2" w:rsidR="00B41D41" w:rsidRPr="00924165"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Labour </w:t>
            </w:r>
            <w:r w:rsidR="0057014F">
              <w:t>m</w:t>
            </w:r>
            <w:r>
              <w:t>obility</w:t>
            </w:r>
          </w:p>
        </w:tc>
        <w:tc>
          <w:tcPr>
            <w:tcW w:w="1113" w:type="pct"/>
            <w:shd w:val="clear" w:color="auto" w:fill="D9D9D9"/>
          </w:tcPr>
          <w:p w14:paraId="4526E99E" w14:textId="4C1D4F12" w:rsidR="00530E07" w:rsidRDefault="00530E07" w:rsidP="00547BC4">
            <w:pPr>
              <w:pStyle w:val="TableBodyCopy"/>
              <w:spacing w:before="40"/>
              <w:cnfStyle w:val="000000000000" w:firstRow="0" w:lastRow="0" w:firstColumn="0" w:lastColumn="0" w:oddVBand="0" w:evenVBand="0" w:oddHBand="0" w:evenHBand="0" w:firstRowFirstColumn="0" w:firstRowLastColumn="0" w:lastRowFirstColumn="0" w:lastRowLastColumn="0"/>
            </w:pPr>
            <w:r>
              <w:t>Objective 4 focus areas</w:t>
            </w:r>
          </w:p>
          <w:p w14:paraId="1EDEE43F" w14:textId="77777777" w:rsidR="00B41D41"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Gender equality </w:t>
            </w:r>
          </w:p>
          <w:p w14:paraId="2D7770B3"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Disability equity and rights </w:t>
            </w:r>
          </w:p>
          <w:p w14:paraId="07C5EEA5"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Education </w:t>
            </w:r>
          </w:p>
          <w:p w14:paraId="3B114B6E" w14:textId="77777777" w:rsidR="000800EE"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Training </w:t>
            </w:r>
          </w:p>
          <w:p w14:paraId="77C7F7A3" w14:textId="0A1E9613" w:rsidR="000800EE" w:rsidRPr="00924165" w:rsidRDefault="000800EE" w:rsidP="00547BC4">
            <w:pPr>
              <w:pStyle w:val="Tablebullet"/>
              <w:spacing w:before="40"/>
              <w:ind w:left="357" w:hanging="357"/>
              <w:cnfStyle w:val="000000000000" w:firstRow="0" w:lastRow="0" w:firstColumn="0" w:lastColumn="0" w:oddVBand="0" w:evenVBand="0" w:oddHBand="0" w:evenHBand="0" w:firstRowFirstColumn="0" w:firstRowLastColumn="0" w:lastRowFirstColumn="0" w:lastRowLastColumn="0"/>
            </w:pPr>
            <w:r>
              <w:t xml:space="preserve">Health </w:t>
            </w:r>
          </w:p>
        </w:tc>
      </w:tr>
    </w:tbl>
    <w:bookmarkEnd w:id="10"/>
    <w:p w14:paraId="77AA52FD" w14:textId="77777777" w:rsidR="00014CE1" w:rsidRPr="00257F03" w:rsidRDefault="00014CE1" w:rsidP="00014CE1">
      <w:pPr>
        <w:spacing w:before="240"/>
        <w:rPr>
          <w:b/>
          <w:bCs/>
          <w:lang w:eastAsia="en-AU"/>
        </w:rPr>
      </w:pPr>
      <w:r w:rsidRPr="00257F03">
        <w:rPr>
          <w:b/>
          <w:bCs/>
          <w:lang w:eastAsia="en-AU"/>
        </w:rPr>
        <w:lastRenderedPageBreak/>
        <w:t>Ways of working</w:t>
      </w:r>
    </w:p>
    <w:p w14:paraId="5C3E9B3C" w14:textId="77777777" w:rsidR="00014CE1" w:rsidRPr="00787486" w:rsidRDefault="00014CE1" w:rsidP="00014CE1">
      <w:pPr>
        <w:rPr>
          <w:lang w:eastAsia="en-AU"/>
        </w:rPr>
      </w:pPr>
      <w:r w:rsidRPr="00257F03">
        <w:rPr>
          <w:lang w:eastAsia="en-AU"/>
        </w:rPr>
        <w:t xml:space="preserve">We will work together to progress the objectives set out in Table </w:t>
      </w:r>
      <w:r>
        <w:rPr>
          <w:lang w:eastAsia="en-AU"/>
        </w:rPr>
        <w:t>1</w:t>
      </w:r>
      <w:r w:rsidRPr="00257F03">
        <w:rPr>
          <w:lang w:eastAsia="en-AU"/>
        </w:rPr>
        <w:t xml:space="preserve"> through:</w:t>
      </w:r>
    </w:p>
    <w:p w14:paraId="68D63937" w14:textId="77777777" w:rsidR="00014CE1" w:rsidRPr="009F6C6E" w:rsidRDefault="00014CE1" w:rsidP="008219C1">
      <w:pPr>
        <w:pStyle w:val="NormalBullets-L1"/>
      </w:pPr>
      <w:r w:rsidRPr="009F6C6E">
        <w:t>genuine partnerships based on respect and listening and informed by monitoring, evaluation and learning</w:t>
      </w:r>
    </w:p>
    <w:p w14:paraId="7D5DECCF" w14:textId="2F6686BD" w:rsidR="00014CE1" w:rsidRPr="009F6C6E" w:rsidRDefault="00014CE1" w:rsidP="008219C1">
      <w:pPr>
        <w:pStyle w:val="NormalBullets-L1"/>
      </w:pPr>
      <w:r w:rsidRPr="009F6C6E">
        <w:t>support</w:t>
      </w:r>
      <w:r>
        <w:t xml:space="preserve"> for</w:t>
      </w:r>
      <w:r w:rsidRPr="009F6C6E">
        <w:t xml:space="preserve"> strengthening the Pacific’s regional architecture</w:t>
      </w:r>
    </w:p>
    <w:p w14:paraId="1752CEBE" w14:textId="0B4BBFAE" w:rsidR="00014CE1" w:rsidRPr="009F6C6E" w:rsidRDefault="00014CE1" w:rsidP="008219C1">
      <w:pPr>
        <w:pStyle w:val="NormalBullets-L1"/>
      </w:pPr>
      <w:r w:rsidRPr="009F6C6E">
        <w:t>effective, transparent, locally led and inclusive development, with a focus on gender</w:t>
      </w:r>
      <w:r w:rsidR="007154C2">
        <w:t>-</w:t>
      </w:r>
      <w:r w:rsidRPr="009F6C6E">
        <w:t xml:space="preserve"> and climate</w:t>
      </w:r>
      <w:r w:rsidR="007154C2">
        <w:t>-</w:t>
      </w:r>
      <w:r w:rsidRPr="009F6C6E">
        <w:t>responsive approaches, disability equity and social inclusion</w:t>
      </w:r>
      <w:r>
        <w:t>,</w:t>
      </w:r>
      <w:r w:rsidRPr="009F6C6E">
        <w:t xml:space="preserve"> and harnessing First Nations perspectives</w:t>
      </w:r>
    </w:p>
    <w:p w14:paraId="5ED20725" w14:textId="77777777" w:rsidR="00014CE1" w:rsidRPr="009F6C6E" w:rsidRDefault="00014CE1" w:rsidP="008219C1">
      <w:pPr>
        <w:pStyle w:val="NormalBullets-L1"/>
      </w:pPr>
      <w:r w:rsidRPr="009F6C6E">
        <w:t>deeper government, business and civil society partnerships that mobilise Australian expertise</w:t>
      </w:r>
    </w:p>
    <w:p w14:paraId="3433C0B2" w14:textId="1611539B" w:rsidR="002F4955" w:rsidRPr="003B3F2F" w:rsidRDefault="00014CE1" w:rsidP="008219C1">
      <w:pPr>
        <w:pStyle w:val="NormalBullets-L1"/>
      </w:pPr>
      <w:r w:rsidRPr="009F6C6E">
        <w:t>combin</w:t>
      </w:r>
      <w:r>
        <w:t>ed</w:t>
      </w:r>
      <w:r w:rsidRPr="009F6C6E">
        <w:t xml:space="preserve"> and complementar</w:t>
      </w:r>
      <w:r>
        <w:t>y</w:t>
      </w:r>
      <w:r w:rsidRPr="009F6C6E">
        <w:t xml:space="preserve"> ODA and non-ODA resources, and greater use of blended finance.</w:t>
      </w:r>
    </w:p>
    <w:p w14:paraId="39B37236" w14:textId="74052078" w:rsidR="002F4955" w:rsidRPr="003B3F2F" w:rsidRDefault="00F85B50" w:rsidP="003B3F2F">
      <w:pPr>
        <w:pStyle w:val="H3-Heading3"/>
      </w:pPr>
      <w:r>
        <w:rPr>
          <w:lang w:eastAsia="en-AU"/>
        </w:rPr>
        <w:t>Objective 1</w:t>
      </w:r>
      <w:r w:rsidR="002F4955" w:rsidRPr="003B3F2F">
        <w:t xml:space="preserve">: </w:t>
      </w:r>
      <w:r w:rsidR="0017522E" w:rsidRPr="003B3F2F">
        <w:t>A s</w:t>
      </w:r>
      <w:r w:rsidR="0001381F" w:rsidRPr="003B3F2F">
        <w:t>trong</w:t>
      </w:r>
      <w:r w:rsidR="00D3421D" w:rsidRPr="003B3F2F">
        <w:t xml:space="preserve"> and </w:t>
      </w:r>
      <w:r w:rsidR="00900637" w:rsidRPr="003B3F2F">
        <w:t>uni</w:t>
      </w:r>
      <w:r w:rsidR="002D09C6">
        <w:t>t</w:t>
      </w:r>
      <w:r w:rsidR="00900637" w:rsidRPr="003B3F2F">
        <w:t>ed</w:t>
      </w:r>
      <w:r w:rsidR="0001381F" w:rsidRPr="003B3F2F">
        <w:t xml:space="preserve"> </w:t>
      </w:r>
      <w:r w:rsidR="00D3421D" w:rsidRPr="003B3F2F">
        <w:t>P</w:t>
      </w:r>
      <w:r w:rsidR="0001381F" w:rsidRPr="003B3F2F">
        <w:t xml:space="preserve">acific </w:t>
      </w:r>
      <w:r w:rsidR="00D3421D" w:rsidRPr="003B3F2F">
        <w:t>f</w:t>
      </w:r>
      <w:r w:rsidR="0001381F" w:rsidRPr="003B3F2F">
        <w:t>amily</w:t>
      </w:r>
    </w:p>
    <w:p w14:paraId="4C7F2AC1" w14:textId="343160ED" w:rsidR="00DC4A50" w:rsidRDefault="00F85B50" w:rsidP="004232B3">
      <w:pPr>
        <w:rPr>
          <w:lang w:eastAsia="en-AU"/>
        </w:rPr>
      </w:pPr>
      <w:r>
        <w:rPr>
          <w:lang w:eastAsia="en-AU"/>
        </w:rPr>
        <w:t>Objective</w:t>
      </w:r>
      <w:r w:rsidR="004045B1">
        <w:rPr>
          <w:lang w:eastAsia="en-AU"/>
        </w:rPr>
        <w:t> </w:t>
      </w:r>
      <w:r>
        <w:rPr>
          <w:lang w:eastAsia="en-AU"/>
        </w:rPr>
        <w:t>1</w:t>
      </w:r>
      <w:r w:rsidRPr="00BB792E">
        <w:rPr>
          <w:lang w:eastAsia="en-AU"/>
        </w:rPr>
        <w:t xml:space="preserve"> </w:t>
      </w:r>
      <w:r w:rsidR="00563FD2">
        <w:rPr>
          <w:lang w:eastAsia="en-AU"/>
        </w:rPr>
        <w:t>contributes to the following</w:t>
      </w:r>
      <w:r w:rsidRPr="00BB792E">
        <w:rPr>
          <w:lang w:eastAsia="en-AU"/>
        </w:rPr>
        <w:t xml:space="preserve"> focus areas of Australia’s International Development Policy: </w:t>
      </w:r>
    </w:p>
    <w:p w14:paraId="7FD1A7DB" w14:textId="07DAF0B4" w:rsidR="009A6237" w:rsidRPr="00254DE4" w:rsidRDefault="00F85B50" w:rsidP="007B0B37">
      <w:pPr>
        <w:pStyle w:val="NormalBullets-L1"/>
      </w:pPr>
      <w:r w:rsidRPr="00143AF1">
        <w:t>connect with Australia and regional architecture</w:t>
      </w:r>
    </w:p>
    <w:p w14:paraId="05A8B1EB" w14:textId="384D584E" w:rsidR="0048412F" w:rsidRPr="00254DE4" w:rsidRDefault="0048412F" w:rsidP="007B0B37">
      <w:pPr>
        <w:pStyle w:val="NormalBullets-L1"/>
      </w:pPr>
      <w:r w:rsidRPr="00254DE4">
        <w:t>generate c</w:t>
      </w:r>
      <w:r w:rsidR="00F85B50" w:rsidRPr="00143AF1">
        <w:t>ollective action on global challenges</w:t>
      </w:r>
      <w:r w:rsidR="00F90A83" w:rsidRPr="00254DE4">
        <w:t xml:space="preserve"> that impact us and our region.</w:t>
      </w:r>
    </w:p>
    <w:p w14:paraId="5E0146F3" w14:textId="4C245796" w:rsidR="00F85B50" w:rsidRDefault="0048412F" w:rsidP="0048412F">
      <w:pPr>
        <w:rPr>
          <w:lang w:eastAsia="en-AU"/>
        </w:rPr>
      </w:pPr>
      <w:r>
        <w:rPr>
          <w:lang w:eastAsia="en-AU"/>
        </w:rPr>
        <w:t>Objective 1</w:t>
      </w:r>
      <w:r w:rsidR="00F85B50" w:rsidRPr="00BB792E">
        <w:rPr>
          <w:lang w:eastAsia="en-AU"/>
        </w:rPr>
        <w:t xml:space="preserve"> also aligns with two</w:t>
      </w:r>
      <w:r w:rsidR="00643D3A">
        <w:rPr>
          <w:lang w:eastAsia="en-AU"/>
        </w:rPr>
        <w:t xml:space="preserve"> of the t</w:t>
      </w:r>
      <w:r w:rsidR="00F85B50" w:rsidRPr="00BB792E">
        <w:rPr>
          <w:lang w:eastAsia="en-AU"/>
        </w:rPr>
        <w:t xml:space="preserve">hematic </w:t>
      </w:r>
      <w:r w:rsidR="00C81F6F">
        <w:rPr>
          <w:lang w:eastAsia="en-AU"/>
        </w:rPr>
        <w:t>a</w:t>
      </w:r>
      <w:r w:rsidR="00F85B50" w:rsidRPr="00BB792E">
        <w:rPr>
          <w:lang w:eastAsia="en-AU"/>
        </w:rPr>
        <w:t xml:space="preserve">reas in the 2050 Strategy: </w:t>
      </w:r>
      <w:r w:rsidR="00FC0217" w:rsidRPr="00254DE4">
        <w:rPr>
          <w:lang w:eastAsia="en-AU"/>
        </w:rPr>
        <w:t>p</w:t>
      </w:r>
      <w:r w:rsidR="00F85B50" w:rsidRPr="00FF779C">
        <w:rPr>
          <w:lang w:eastAsia="en-AU"/>
        </w:rPr>
        <w:t xml:space="preserve">olitical </w:t>
      </w:r>
      <w:r w:rsidR="00A90089">
        <w:t>l</w:t>
      </w:r>
      <w:r w:rsidR="00F85B50" w:rsidRPr="00FF779C">
        <w:t xml:space="preserve">eadership and </w:t>
      </w:r>
      <w:r w:rsidR="00FC0217" w:rsidRPr="000D628C">
        <w:rPr>
          <w:lang w:eastAsia="en-AU"/>
        </w:rPr>
        <w:t>r</w:t>
      </w:r>
      <w:r w:rsidR="00F85B50" w:rsidRPr="00FF779C">
        <w:rPr>
          <w:lang w:eastAsia="en-AU"/>
        </w:rPr>
        <w:t>egionalism</w:t>
      </w:r>
      <w:r w:rsidR="00FC0217" w:rsidRPr="00FF779C">
        <w:rPr>
          <w:lang w:eastAsia="en-AU"/>
        </w:rPr>
        <w:t xml:space="preserve">, </w:t>
      </w:r>
      <w:r w:rsidR="00F85B50" w:rsidRPr="00FF779C">
        <w:rPr>
          <w:lang w:eastAsia="en-AU"/>
        </w:rPr>
        <w:t xml:space="preserve">and </w:t>
      </w:r>
      <w:r w:rsidR="00FC0217" w:rsidRPr="00FF779C">
        <w:rPr>
          <w:lang w:eastAsia="en-AU"/>
        </w:rPr>
        <w:t>p</w:t>
      </w:r>
      <w:r w:rsidR="00F85B50" w:rsidRPr="00FF779C">
        <w:rPr>
          <w:lang w:eastAsia="en-AU"/>
        </w:rPr>
        <w:t xml:space="preserve">eace and </w:t>
      </w:r>
      <w:r w:rsidR="00FC0217" w:rsidRPr="000D628C">
        <w:rPr>
          <w:lang w:eastAsia="en-AU"/>
        </w:rPr>
        <w:t>s</w:t>
      </w:r>
      <w:r w:rsidR="00F85B50" w:rsidRPr="00FF779C">
        <w:rPr>
          <w:lang w:eastAsia="en-AU"/>
        </w:rPr>
        <w:t>ecurity</w:t>
      </w:r>
      <w:r w:rsidR="00F85B50" w:rsidRPr="00BB792E">
        <w:rPr>
          <w:lang w:eastAsia="en-AU"/>
        </w:rPr>
        <w:t>.</w:t>
      </w:r>
      <w:r w:rsidR="00454AB1">
        <w:rPr>
          <w:rStyle w:val="EndnoteReference"/>
          <w:lang w:eastAsia="en-AU"/>
        </w:rPr>
        <w:endnoteReference w:id="27"/>
      </w:r>
      <w:r w:rsidR="00F85B50" w:rsidRPr="00BB792E">
        <w:rPr>
          <w:lang w:eastAsia="en-AU"/>
        </w:rPr>
        <w:t xml:space="preserve"> </w:t>
      </w:r>
      <w:r w:rsidR="00020665" w:rsidRPr="0048412F">
        <w:rPr>
          <w:color w:val="221E1F"/>
        </w:rPr>
        <w:t>The</w:t>
      </w:r>
      <w:r w:rsidR="00B77CB2">
        <w:rPr>
          <w:color w:val="221E1F"/>
        </w:rPr>
        <w:t xml:space="preserve"> 2050</w:t>
      </w:r>
      <w:r w:rsidR="00020665" w:rsidRPr="0048412F">
        <w:rPr>
          <w:color w:val="221E1F"/>
        </w:rPr>
        <w:t xml:space="preserve"> </w:t>
      </w:r>
      <w:r w:rsidR="00B77CB2">
        <w:rPr>
          <w:color w:val="221E1F"/>
        </w:rPr>
        <w:t>S</w:t>
      </w:r>
      <w:r w:rsidR="00020665" w:rsidRPr="0048412F">
        <w:rPr>
          <w:color w:val="221E1F"/>
        </w:rPr>
        <w:t xml:space="preserve">trategy emphasises the importance of preserving the cultural essence of the Pacific and ensuring </w:t>
      </w:r>
      <w:r w:rsidR="00020665" w:rsidRPr="0048412F">
        <w:rPr>
          <w:color w:val="222222"/>
          <w:lang w:eastAsia="en-AU"/>
        </w:rPr>
        <w:t>intergenerational transfer of cultural and traditional values.</w:t>
      </w:r>
    </w:p>
    <w:p w14:paraId="4F3F9934" w14:textId="34091383" w:rsidR="000271A7" w:rsidRPr="00404D70" w:rsidRDefault="00DA6E2F" w:rsidP="004232B3">
      <w:pPr>
        <w:rPr>
          <w:lang w:eastAsia="en-AU"/>
        </w:rPr>
      </w:pPr>
      <w:r w:rsidRPr="00404D70">
        <w:rPr>
          <w:lang w:eastAsia="en-AU"/>
        </w:rPr>
        <w:t>A</w:t>
      </w:r>
      <w:r w:rsidR="00A84A0F" w:rsidRPr="00404D70">
        <w:rPr>
          <w:lang w:eastAsia="en-AU"/>
        </w:rPr>
        <w:t xml:space="preserve">ustralia </w:t>
      </w:r>
      <w:r w:rsidR="00207449" w:rsidRPr="00404D70">
        <w:rPr>
          <w:lang w:eastAsia="en-AU"/>
        </w:rPr>
        <w:t xml:space="preserve">and </w:t>
      </w:r>
      <w:proofErr w:type="gramStart"/>
      <w:r w:rsidR="002E4ECE">
        <w:rPr>
          <w:lang w:eastAsia="en-AU"/>
        </w:rPr>
        <w:t>Pacific island</w:t>
      </w:r>
      <w:proofErr w:type="gramEnd"/>
      <w:r w:rsidR="002E4ECE">
        <w:rPr>
          <w:lang w:eastAsia="en-AU"/>
        </w:rPr>
        <w:t xml:space="preserve"> countries </w:t>
      </w:r>
      <w:r w:rsidR="00207449" w:rsidRPr="00404D70">
        <w:rPr>
          <w:lang w:eastAsia="en-AU"/>
        </w:rPr>
        <w:t xml:space="preserve">share an </w:t>
      </w:r>
      <w:r w:rsidRPr="00404D70">
        <w:rPr>
          <w:lang w:eastAsia="en-AU"/>
        </w:rPr>
        <w:t xml:space="preserve">interest in a peaceful, </w:t>
      </w:r>
      <w:r w:rsidR="00E01B54">
        <w:rPr>
          <w:lang w:eastAsia="en-AU"/>
        </w:rPr>
        <w:t xml:space="preserve">stable and </w:t>
      </w:r>
      <w:r w:rsidRPr="00404D70">
        <w:rPr>
          <w:lang w:eastAsia="en-AU"/>
        </w:rPr>
        <w:t xml:space="preserve">prosperous Pacific. </w:t>
      </w:r>
      <w:r w:rsidR="00B02309" w:rsidRPr="00404D70">
        <w:rPr>
          <w:lang w:eastAsia="en-AU"/>
        </w:rPr>
        <w:t xml:space="preserve">Investments under </w:t>
      </w:r>
      <w:r w:rsidR="00E01B54">
        <w:rPr>
          <w:lang w:eastAsia="en-AU"/>
        </w:rPr>
        <w:t>O</w:t>
      </w:r>
      <w:r w:rsidR="00B02309" w:rsidRPr="00404D70">
        <w:rPr>
          <w:lang w:eastAsia="en-AU"/>
        </w:rPr>
        <w:t>bjective</w:t>
      </w:r>
      <w:r w:rsidR="00E01B54">
        <w:rPr>
          <w:lang w:eastAsia="en-AU"/>
        </w:rPr>
        <w:t xml:space="preserve"> 1</w:t>
      </w:r>
      <w:r w:rsidR="00B02309" w:rsidRPr="00404D70">
        <w:rPr>
          <w:lang w:eastAsia="en-AU"/>
        </w:rPr>
        <w:t xml:space="preserve"> </w:t>
      </w:r>
      <w:r w:rsidR="008125AA" w:rsidRPr="00404D70">
        <w:rPr>
          <w:lang w:eastAsia="en-AU"/>
        </w:rPr>
        <w:t xml:space="preserve">seek to strengthen </w:t>
      </w:r>
      <w:r w:rsidR="000271A7" w:rsidRPr="00404D70">
        <w:rPr>
          <w:lang w:eastAsia="en-AU"/>
        </w:rPr>
        <w:t>regional architecture and organisations, support regional approaches to maintaining peace and security</w:t>
      </w:r>
      <w:r w:rsidR="002B3917">
        <w:rPr>
          <w:lang w:eastAsia="en-AU"/>
        </w:rPr>
        <w:t>,</w:t>
      </w:r>
      <w:r w:rsidR="000271A7" w:rsidRPr="00404D70">
        <w:rPr>
          <w:lang w:eastAsia="en-AU"/>
        </w:rPr>
        <w:t xml:space="preserve"> and harnes</w:t>
      </w:r>
      <w:r w:rsidR="00B82148" w:rsidRPr="00404D70">
        <w:rPr>
          <w:lang w:eastAsia="en-AU"/>
        </w:rPr>
        <w:t>s</w:t>
      </w:r>
      <w:r w:rsidR="00330464" w:rsidRPr="00404D70">
        <w:rPr>
          <w:lang w:eastAsia="en-AU"/>
        </w:rPr>
        <w:t xml:space="preserve"> our</w:t>
      </w:r>
      <w:r w:rsidR="000271A7" w:rsidRPr="00404D70">
        <w:rPr>
          <w:lang w:eastAsia="en-AU"/>
        </w:rPr>
        <w:t xml:space="preserve"> collective knowledge, wisdom and energy through sports, culture, church and media exchange.</w:t>
      </w:r>
    </w:p>
    <w:p w14:paraId="23F86EFB" w14:textId="395016E4" w:rsidR="00CF5EDA" w:rsidRDefault="00CF5EDA" w:rsidP="004232B3">
      <w:pPr>
        <w:rPr>
          <w:lang w:eastAsia="en-AU"/>
        </w:rPr>
      </w:pPr>
      <w:r w:rsidRPr="00466280">
        <w:rPr>
          <w:lang w:eastAsia="en-AU"/>
        </w:rPr>
        <w:t xml:space="preserve">As a founding member of the PIF, Australia is committed </w:t>
      </w:r>
      <w:r w:rsidRPr="00F851AA">
        <w:t>to working through Pacific regional architecture to</w:t>
      </w:r>
      <w:r w:rsidRPr="00404D70">
        <w:rPr>
          <w:lang w:eastAsia="en-AU"/>
        </w:rPr>
        <w:t xml:space="preserve"> navigate our shared challenges</w:t>
      </w:r>
      <w:r w:rsidRPr="00466280">
        <w:rPr>
          <w:lang w:eastAsia="en-AU"/>
        </w:rPr>
        <w:t xml:space="preserve"> and safeguard our collective peace and prosperity.</w:t>
      </w:r>
      <w:r w:rsidRPr="00861168">
        <w:rPr>
          <w:lang w:eastAsia="en-AU"/>
        </w:rPr>
        <w:t xml:space="preserve"> </w:t>
      </w:r>
      <w:r w:rsidR="00921C3E">
        <w:rPr>
          <w:lang w:eastAsia="en-AU"/>
        </w:rPr>
        <w:t xml:space="preserve">The </w:t>
      </w:r>
      <w:r w:rsidR="00C30BB9">
        <w:rPr>
          <w:lang w:eastAsia="en-AU"/>
        </w:rPr>
        <w:t>PIF</w:t>
      </w:r>
      <w:r w:rsidR="00C30BB9" w:rsidRPr="00C30BB9">
        <w:rPr>
          <w:lang w:eastAsia="en-AU"/>
        </w:rPr>
        <w:t xml:space="preserve"> is at the heart of our collective power and is a critical force multiplier.</w:t>
      </w:r>
      <w:r w:rsidR="00406D0B">
        <w:rPr>
          <w:lang w:eastAsia="en-AU"/>
        </w:rPr>
        <w:t xml:space="preserve"> W</w:t>
      </w:r>
      <w:r w:rsidRPr="00BB792E">
        <w:rPr>
          <w:lang w:eastAsia="en-AU"/>
        </w:rPr>
        <w:t xml:space="preserve">e will continue to provide substantial multiyear </w:t>
      </w:r>
      <w:r>
        <w:rPr>
          <w:lang w:eastAsia="en-AU"/>
        </w:rPr>
        <w:t xml:space="preserve">core </w:t>
      </w:r>
      <w:r w:rsidRPr="00BB792E">
        <w:rPr>
          <w:lang w:eastAsia="en-AU"/>
        </w:rPr>
        <w:t>funding to the PIF Secretariat</w:t>
      </w:r>
      <w:r>
        <w:rPr>
          <w:lang w:eastAsia="en-AU"/>
        </w:rPr>
        <w:t xml:space="preserve"> to support its </w:t>
      </w:r>
      <w:r w:rsidRPr="00BB792E">
        <w:rPr>
          <w:lang w:eastAsia="en-AU"/>
        </w:rPr>
        <w:t>work on regional policy issues including political governance, economic cooperation, security and trade.</w:t>
      </w:r>
    </w:p>
    <w:p w14:paraId="2339DB28" w14:textId="2DCFBD54" w:rsidR="00861168" w:rsidRDefault="00E257DC" w:rsidP="004232B3">
      <w:pPr>
        <w:rPr>
          <w:lang w:eastAsia="en-AU"/>
        </w:rPr>
      </w:pPr>
      <w:r>
        <w:rPr>
          <w:lang w:eastAsia="en-AU"/>
        </w:rPr>
        <w:t xml:space="preserve">Australia is </w:t>
      </w:r>
      <w:r w:rsidR="003372BA">
        <w:rPr>
          <w:lang w:eastAsia="en-AU"/>
        </w:rPr>
        <w:t xml:space="preserve">a founding member of the </w:t>
      </w:r>
      <w:r w:rsidR="00BC440A">
        <w:rPr>
          <w:lang w:eastAsia="en-AU"/>
        </w:rPr>
        <w:t>SPC</w:t>
      </w:r>
      <w:r w:rsidR="003372BA">
        <w:rPr>
          <w:lang w:eastAsia="en-AU"/>
        </w:rPr>
        <w:t>, the largest technical and scientif</w:t>
      </w:r>
      <w:r w:rsidR="00AF1ABA">
        <w:rPr>
          <w:lang w:eastAsia="en-AU"/>
        </w:rPr>
        <w:t xml:space="preserve">ic regional organisation in the Pacific. </w:t>
      </w:r>
      <w:r w:rsidR="00861168" w:rsidRPr="00BB792E">
        <w:rPr>
          <w:lang w:eastAsia="en-AU"/>
        </w:rPr>
        <w:t>We will continue to provide core funding to</w:t>
      </w:r>
      <w:r w:rsidR="002445B9">
        <w:rPr>
          <w:lang w:eastAsia="en-AU"/>
        </w:rPr>
        <w:t xml:space="preserve"> the</w:t>
      </w:r>
      <w:r w:rsidR="00861168" w:rsidRPr="00BB792E">
        <w:rPr>
          <w:lang w:eastAsia="en-AU"/>
        </w:rPr>
        <w:t xml:space="preserve"> SPC</w:t>
      </w:r>
      <w:r w:rsidR="00DD6141">
        <w:rPr>
          <w:lang w:eastAsia="en-AU"/>
        </w:rPr>
        <w:t xml:space="preserve"> </w:t>
      </w:r>
      <w:r w:rsidR="004F5A02">
        <w:rPr>
          <w:lang w:eastAsia="en-AU"/>
        </w:rPr>
        <w:t xml:space="preserve">in </w:t>
      </w:r>
      <w:r w:rsidR="0038233B">
        <w:rPr>
          <w:lang w:eastAsia="en-AU"/>
        </w:rPr>
        <w:t xml:space="preserve">line with its </w:t>
      </w:r>
      <w:r w:rsidR="0038233B" w:rsidRPr="005D50D9">
        <w:t>Strategic Plan 2022–203</w:t>
      </w:r>
      <w:r w:rsidR="002445B9" w:rsidRPr="005D50D9">
        <w:t>1</w:t>
      </w:r>
      <w:r w:rsidR="009B6A57">
        <w:rPr>
          <w:lang w:eastAsia="en-AU"/>
        </w:rPr>
        <w:t>.</w:t>
      </w:r>
      <w:r w:rsidR="001E305B">
        <w:rPr>
          <w:rStyle w:val="EndnoteReference"/>
          <w:lang w:eastAsia="en-AU"/>
        </w:rPr>
        <w:endnoteReference w:id="28"/>
      </w:r>
      <w:r w:rsidR="004F5A02">
        <w:rPr>
          <w:lang w:eastAsia="en-AU"/>
        </w:rPr>
        <w:t xml:space="preserve"> </w:t>
      </w:r>
      <w:r w:rsidR="00861168" w:rsidRPr="00BB792E">
        <w:rPr>
          <w:lang w:eastAsia="en-AU"/>
        </w:rPr>
        <w:t>This includes support for world</w:t>
      </w:r>
      <w:r w:rsidR="009B6A57">
        <w:rPr>
          <w:lang w:eastAsia="en-AU"/>
        </w:rPr>
        <w:t>-</w:t>
      </w:r>
      <w:r w:rsidR="00861168" w:rsidRPr="00BB792E">
        <w:rPr>
          <w:lang w:eastAsia="en-AU"/>
        </w:rPr>
        <w:t>class fisheries management, climate resilient agriculture, establishment and preservation of Pacific maritime zones</w:t>
      </w:r>
      <w:r w:rsidR="00F26B21">
        <w:rPr>
          <w:lang w:eastAsia="en-AU"/>
        </w:rPr>
        <w:t xml:space="preserve">, </w:t>
      </w:r>
      <w:r w:rsidR="00B81435">
        <w:rPr>
          <w:lang w:eastAsia="en-AU"/>
        </w:rPr>
        <w:t xml:space="preserve">and </w:t>
      </w:r>
      <w:r w:rsidR="00861168" w:rsidRPr="00BB792E">
        <w:rPr>
          <w:lang w:eastAsia="en-AU"/>
        </w:rPr>
        <w:t xml:space="preserve">a secure and environmentally friendly maritime transport sector. </w:t>
      </w:r>
      <w:r w:rsidR="005B6782">
        <w:rPr>
          <w:lang w:eastAsia="en-AU"/>
        </w:rPr>
        <w:t xml:space="preserve">The </w:t>
      </w:r>
      <w:r w:rsidR="00861168" w:rsidRPr="00BB792E">
        <w:rPr>
          <w:lang w:eastAsia="en-AU"/>
        </w:rPr>
        <w:t xml:space="preserve">SPC is the key implementing partner for Pacific Women Lead, </w:t>
      </w:r>
      <w:r w:rsidR="003E7DBB">
        <w:rPr>
          <w:lang w:eastAsia="en-AU"/>
        </w:rPr>
        <w:t>highlighting</w:t>
      </w:r>
      <w:r w:rsidR="003E7DBB" w:rsidRPr="00BB792E">
        <w:rPr>
          <w:lang w:eastAsia="en-AU"/>
        </w:rPr>
        <w:t xml:space="preserve"> </w:t>
      </w:r>
      <w:r w:rsidR="00861168" w:rsidRPr="00BB792E">
        <w:rPr>
          <w:lang w:eastAsia="en-AU"/>
        </w:rPr>
        <w:t xml:space="preserve">the importance of Pacific leadership </w:t>
      </w:r>
      <w:r w:rsidR="003E7DBB">
        <w:rPr>
          <w:lang w:eastAsia="en-AU"/>
        </w:rPr>
        <w:t>in</w:t>
      </w:r>
      <w:r w:rsidR="003E7DBB" w:rsidRPr="00BB792E">
        <w:rPr>
          <w:lang w:eastAsia="en-AU"/>
        </w:rPr>
        <w:t xml:space="preserve"> </w:t>
      </w:r>
      <w:r w:rsidR="00861168" w:rsidRPr="00BB792E">
        <w:rPr>
          <w:lang w:eastAsia="en-AU"/>
        </w:rPr>
        <w:t>driv</w:t>
      </w:r>
      <w:r w:rsidR="003E7DBB">
        <w:rPr>
          <w:lang w:eastAsia="en-AU"/>
        </w:rPr>
        <w:t>ing</w:t>
      </w:r>
      <w:r w:rsidR="00861168" w:rsidRPr="00BB792E">
        <w:rPr>
          <w:lang w:eastAsia="en-AU"/>
        </w:rPr>
        <w:t xml:space="preserve"> gender equality in partnership with Pacific governments and civil society.</w:t>
      </w:r>
    </w:p>
    <w:p w14:paraId="664B44B1" w14:textId="7E4B9ECD" w:rsidR="00DA6E2F" w:rsidRPr="00404D70" w:rsidRDefault="00DA6E2F" w:rsidP="004232B3">
      <w:pPr>
        <w:rPr>
          <w:lang w:eastAsia="en-AU"/>
        </w:rPr>
      </w:pPr>
      <w:r w:rsidRPr="00BB792E">
        <w:rPr>
          <w:lang w:eastAsia="en-AU"/>
        </w:rPr>
        <w:t xml:space="preserve">Australia </w:t>
      </w:r>
      <w:r w:rsidR="00723A97">
        <w:rPr>
          <w:lang w:eastAsia="en-AU"/>
        </w:rPr>
        <w:t>takes</w:t>
      </w:r>
      <w:r w:rsidRPr="00BB792E">
        <w:rPr>
          <w:lang w:eastAsia="en-AU"/>
        </w:rPr>
        <w:t xml:space="preserve"> </w:t>
      </w:r>
      <w:r w:rsidRPr="00D00527">
        <w:rPr>
          <w:lang w:eastAsia="en-AU"/>
        </w:rPr>
        <w:t xml:space="preserve">a </w:t>
      </w:r>
      <w:r w:rsidRPr="00F851AA">
        <w:t>regional approach to security</w:t>
      </w:r>
      <w:r w:rsidR="00723A97" w:rsidRPr="00F851AA">
        <w:t xml:space="preserve"> engagement in the Pacific</w:t>
      </w:r>
      <w:r w:rsidRPr="00F851AA">
        <w:t>, with</w:t>
      </w:r>
      <w:r w:rsidR="003137BE">
        <w:rPr>
          <w:lang w:eastAsia="en-AU"/>
        </w:rPr>
        <w:t xml:space="preserve"> the</w:t>
      </w:r>
      <w:r w:rsidRPr="00BB792E">
        <w:rPr>
          <w:lang w:eastAsia="en-AU"/>
        </w:rPr>
        <w:t xml:space="preserve"> PIF at the heart of how we manage this collective challenge. We are committed to the peace and security aspirations of the 2050 Strategy, guided by the strong foundations of the </w:t>
      </w:r>
      <w:proofErr w:type="spellStart"/>
      <w:r w:rsidRPr="00BB792E">
        <w:rPr>
          <w:lang w:eastAsia="en-AU"/>
        </w:rPr>
        <w:t>Boe</w:t>
      </w:r>
      <w:proofErr w:type="spellEnd"/>
      <w:r w:rsidRPr="00BB792E">
        <w:rPr>
          <w:lang w:eastAsia="en-AU"/>
        </w:rPr>
        <w:t xml:space="preserve"> and </w:t>
      </w:r>
      <w:proofErr w:type="spellStart"/>
      <w:r w:rsidRPr="00BB792E">
        <w:rPr>
          <w:lang w:eastAsia="en-AU"/>
        </w:rPr>
        <w:t>Biketawa</w:t>
      </w:r>
      <w:proofErr w:type="spellEnd"/>
      <w:r w:rsidRPr="00BB792E">
        <w:rPr>
          <w:lang w:eastAsia="en-AU"/>
        </w:rPr>
        <w:t xml:space="preserve"> </w:t>
      </w:r>
      <w:r w:rsidR="007836D6">
        <w:rPr>
          <w:lang w:eastAsia="en-AU"/>
        </w:rPr>
        <w:t>d</w:t>
      </w:r>
      <w:r w:rsidRPr="00BB792E">
        <w:rPr>
          <w:lang w:eastAsia="en-AU"/>
        </w:rPr>
        <w:t xml:space="preserve">eclarations. </w:t>
      </w:r>
      <w:r w:rsidR="003137BE" w:rsidRPr="00404D70">
        <w:rPr>
          <w:lang w:eastAsia="en-AU"/>
        </w:rPr>
        <w:t xml:space="preserve">In alignment with </w:t>
      </w:r>
      <w:r w:rsidR="007B0B37">
        <w:rPr>
          <w:lang w:eastAsia="en-AU"/>
        </w:rPr>
        <w:t>PIF L</w:t>
      </w:r>
      <w:r w:rsidR="003137BE" w:rsidRPr="00404D70">
        <w:rPr>
          <w:lang w:eastAsia="en-AU"/>
        </w:rPr>
        <w:t>eaders, we believe</w:t>
      </w:r>
      <w:r w:rsidRPr="00404D70">
        <w:rPr>
          <w:lang w:eastAsia="en-AU"/>
        </w:rPr>
        <w:t xml:space="preserve"> Pacific security is a matter for the Pacific</w:t>
      </w:r>
      <w:r w:rsidR="003137BE" w:rsidRPr="00404D70">
        <w:rPr>
          <w:lang w:eastAsia="en-AU"/>
        </w:rPr>
        <w:t xml:space="preserve">. We </w:t>
      </w:r>
      <w:r w:rsidR="00BF76BC" w:rsidRPr="00404D70">
        <w:rPr>
          <w:lang w:eastAsia="en-AU"/>
        </w:rPr>
        <w:t>acknowledge and embrace</w:t>
      </w:r>
      <w:r w:rsidRPr="00404D70">
        <w:rPr>
          <w:lang w:eastAsia="en-AU"/>
        </w:rPr>
        <w:t xml:space="preserve"> the </w:t>
      </w:r>
      <w:r w:rsidR="00BF76BC" w:rsidRPr="00404D70">
        <w:rPr>
          <w:lang w:eastAsia="en-AU"/>
        </w:rPr>
        <w:t xml:space="preserve">region’s </w:t>
      </w:r>
      <w:r w:rsidRPr="00404D70">
        <w:rPr>
          <w:lang w:eastAsia="en-AU"/>
        </w:rPr>
        <w:t>expanded concept of security that encompasses climate change, human security, environmental security, transnational crime and cybersecurity.</w:t>
      </w:r>
    </w:p>
    <w:p w14:paraId="584BF217" w14:textId="48593AE5" w:rsidR="00D02670" w:rsidRDefault="00D02670" w:rsidP="004232B3">
      <w:pPr>
        <w:rPr>
          <w:lang w:eastAsia="en-AU"/>
        </w:rPr>
      </w:pPr>
      <w:r>
        <w:rPr>
          <w:lang w:eastAsia="en-AU"/>
        </w:rPr>
        <w:t>We will continue to take a</w:t>
      </w:r>
      <w:r w:rsidRPr="006653FB">
        <w:rPr>
          <w:lang w:eastAsia="en-AU"/>
        </w:rPr>
        <w:t xml:space="preserve"> coordinated approach </w:t>
      </w:r>
      <w:r w:rsidR="00D13902">
        <w:rPr>
          <w:lang w:eastAsia="en-AU"/>
        </w:rPr>
        <w:t xml:space="preserve">across the Australian Government and </w:t>
      </w:r>
      <w:r w:rsidRPr="006653FB">
        <w:rPr>
          <w:lang w:eastAsia="en-AU"/>
        </w:rPr>
        <w:t>with like</w:t>
      </w:r>
      <w:r w:rsidR="004605A6">
        <w:rPr>
          <w:lang w:eastAsia="en-AU"/>
        </w:rPr>
        <w:t>-</w:t>
      </w:r>
      <w:r w:rsidRPr="006653FB">
        <w:rPr>
          <w:lang w:eastAsia="en-AU"/>
        </w:rPr>
        <w:t xml:space="preserve">minded partners to strengthen Pacific maritime security capabilities to counter </w:t>
      </w:r>
      <w:r>
        <w:rPr>
          <w:lang w:eastAsia="en-AU"/>
        </w:rPr>
        <w:t>illegal, unreported and unregulated</w:t>
      </w:r>
      <w:r w:rsidRPr="006653FB">
        <w:rPr>
          <w:lang w:eastAsia="en-AU"/>
        </w:rPr>
        <w:t xml:space="preserve"> fishing. This includes </w:t>
      </w:r>
      <w:r>
        <w:rPr>
          <w:lang w:eastAsia="en-AU"/>
        </w:rPr>
        <w:t xml:space="preserve">core funding to the </w:t>
      </w:r>
      <w:r w:rsidRPr="00D02670">
        <w:rPr>
          <w:lang w:eastAsia="en-AU"/>
        </w:rPr>
        <w:t>Pacific Islands Forum Fisheries Agency to strengthen Pacific</w:t>
      </w:r>
      <w:r w:rsidR="00547BC4">
        <w:rPr>
          <w:lang w:eastAsia="en-AU"/>
        </w:rPr>
        <w:t xml:space="preserve"> </w:t>
      </w:r>
      <w:r w:rsidRPr="00D02670">
        <w:rPr>
          <w:lang w:eastAsia="en-AU"/>
        </w:rPr>
        <w:t xml:space="preserve">led management of </w:t>
      </w:r>
      <w:r w:rsidRPr="00D02670">
        <w:rPr>
          <w:lang w:eastAsia="en-AU"/>
        </w:rPr>
        <w:lastRenderedPageBreak/>
        <w:t>offshore fisheries and regional responses to address threats</w:t>
      </w:r>
      <w:r w:rsidR="002B3917">
        <w:rPr>
          <w:lang w:eastAsia="en-AU"/>
        </w:rPr>
        <w:t>,</w:t>
      </w:r>
      <w:r w:rsidRPr="00D02670">
        <w:rPr>
          <w:lang w:eastAsia="en-AU"/>
        </w:rPr>
        <w:t xml:space="preserve"> and </w:t>
      </w:r>
      <w:r w:rsidRPr="006653FB">
        <w:rPr>
          <w:lang w:eastAsia="en-AU"/>
        </w:rPr>
        <w:t>support</w:t>
      </w:r>
      <w:r w:rsidR="004605A6">
        <w:rPr>
          <w:lang w:eastAsia="en-AU"/>
        </w:rPr>
        <w:t xml:space="preserve"> for</w:t>
      </w:r>
      <w:r w:rsidRPr="006653FB">
        <w:rPr>
          <w:lang w:eastAsia="en-AU"/>
        </w:rPr>
        <w:t xml:space="preserve"> Pacific regional organisations and maritime agencie</w:t>
      </w:r>
      <w:r w:rsidR="0009582E">
        <w:rPr>
          <w:lang w:eastAsia="en-AU"/>
        </w:rPr>
        <w:t>s</w:t>
      </w:r>
      <w:r w:rsidRPr="006653FB">
        <w:rPr>
          <w:lang w:eastAsia="en-AU"/>
        </w:rPr>
        <w:t xml:space="preserve"> under the Quad Indo-Pacific Partnership for Maritime Domain Awareness.</w:t>
      </w:r>
    </w:p>
    <w:p w14:paraId="41EF15DC" w14:textId="7C1684A4" w:rsidR="0079636D" w:rsidRPr="00B67372" w:rsidRDefault="00941BC2" w:rsidP="004232B3">
      <w:pPr>
        <w:rPr>
          <w:lang w:eastAsia="en-AU"/>
        </w:rPr>
      </w:pPr>
      <w:r>
        <w:rPr>
          <w:lang w:eastAsia="en-AU"/>
        </w:rPr>
        <w:t>Australia</w:t>
      </w:r>
      <w:r w:rsidR="002C7FF0">
        <w:rPr>
          <w:lang w:eastAsia="en-AU"/>
        </w:rPr>
        <w:t xml:space="preserve"> will expand our </w:t>
      </w:r>
      <w:r w:rsidR="0024484E">
        <w:rPr>
          <w:lang w:eastAsia="en-AU"/>
        </w:rPr>
        <w:t xml:space="preserve">longstanding policing partnerships </w:t>
      </w:r>
      <w:r w:rsidR="00985682">
        <w:rPr>
          <w:lang w:eastAsia="en-AU"/>
        </w:rPr>
        <w:t>and investment</w:t>
      </w:r>
      <w:r w:rsidR="00BD6AD2">
        <w:rPr>
          <w:lang w:eastAsia="en-AU"/>
        </w:rPr>
        <w:t>s</w:t>
      </w:r>
      <w:r w:rsidR="00985682">
        <w:rPr>
          <w:lang w:eastAsia="en-AU"/>
        </w:rPr>
        <w:t xml:space="preserve"> in </w:t>
      </w:r>
      <w:r w:rsidR="002B3917">
        <w:rPr>
          <w:lang w:eastAsia="en-AU"/>
        </w:rPr>
        <w:t>P</w:t>
      </w:r>
      <w:r w:rsidR="00985682">
        <w:rPr>
          <w:lang w:eastAsia="en-AU"/>
        </w:rPr>
        <w:t>acific policing capability.</w:t>
      </w:r>
      <w:r w:rsidR="003E51FB">
        <w:rPr>
          <w:lang w:eastAsia="en-AU"/>
        </w:rPr>
        <w:t xml:space="preserve"> </w:t>
      </w:r>
      <w:r w:rsidR="003F30F7">
        <w:rPr>
          <w:lang w:eastAsia="en-AU"/>
        </w:rPr>
        <w:t>More than</w:t>
      </w:r>
      <w:r w:rsidR="003E51FB" w:rsidRPr="003E51FB">
        <w:rPr>
          <w:lang w:eastAsia="en-AU"/>
        </w:rPr>
        <w:t xml:space="preserve"> 100 </w:t>
      </w:r>
      <w:r w:rsidR="00985682">
        <w:rPr>
          <w:lang w:eastAsia="en-AU"/>
        </w:rPr>
        <w:t xml:space="preserve">Australian Federal Police </w:t>
      </w:r>
      <w:r w:rsidR="003E51FB" w:rsidRPr="003E51FB">
        <w:rPr>
          <w:lang w:eastAsia="en-AU"/>
        </w:rPr>
        <w:t xml:space="preserve">members </w:t>
      </w:r>
      <w:r w:rsidR="00844F21">
        <w:rPr>
          <w:lang w:eastAsia="en-AU"/>
        </w:rPr>
        <w:t xml:space="preserve">are </w:t>
      </w:r>
      <w:r w:rsidR="003E51FB" w:rsidRPr="003E51FB">
        <w:rPr>
          <w:lang w:eastAsia="en-AU"/>
        </w:rPr>
        <w:t>located across the Pacific,</w:t>
      </w:r>
      <w:r w:rsidR="00985682">
        <w:rPr>
          <w:lang w:eastAsia="en-AU"/>
        </w:rPr>
        <w:t xml:space="preserve"> </w:t>
      </w:r>
      <w:r w:rsidR="00844F21">
        <w:rPr>
          <w:lang w:eastAsia="en-AU"/>
        </w:rPr>
        <w:t xml:space="preserve">and </w:t>
      </w:r>
      <w:r w:rsidR="00985682">
        <w:rPr>
          <w:lang w:eastAsia="en-AU"/>
        </w:rPr>
        <w:t>Australia</w:t>
      </w:r>
      <w:r w:rsidR="003E51FB" w:rsidRPr="003E51FB">
        <w:rPr>
          <w:lang w:eastAsia="en-AU"/>
        </w:rPr>
        <w:t xml:space="preserve"> work</w:t>
      </w:r>
      <w:r w:rsidR="00985682">
        <w:rPr>
          <w:lang w:eastAsia="en-AU"/>
        </w:rPr>
        <w:t>s</w:t>
      </w:r>
      <w:r w:rsidR="003E51FB" w:rsidRPr="003E51FB">
        <w:rPr>
          <w:lang w:eastAsia="en-AU"/>
        </w:rPr>
        <w:t xml:space="preserve"> directly with local law enforcement </w:t>
      </w:r>
      <w:r w:rsidR="00E6362B">
        <w:rPr>
          <w:lang w:eastAsia="en-AU"/>
        </w:rPr>
        <w:t>and</w:t>
      </w:r>
      <w:r w:rsidR="00786845">
        <w:rPr>
          <w:lang w:eastAsia="en-AU"/>
        </w:rPr>
        <w:t xml:space="preserve"> regional bodies</w:t>
      </w:r>
      <w:r w:rsidR="00E6362B">
        <w:rPr>
          <w:lang w:eastAsia="en-AU"/>
        </w:rPr>
        <w:t xml:space="preserve"> </w:t>
      </w:r>
      <w:r w:rsidR="003E51FB" w:rsidRPr="003E51FB">
        <w:rPr>
          <w:lang w:eastAsia="en-AU"/>
        </w:rPr>
        <w:t>to combat crime</w:t>
      </w:r>
      <w:r w:rsidR="00924D69">
        <w:rPr>
          <w:lang w:eastAsia="en-AU"/>
        </w:rPr>
        <w:t>,</w:t>
      </w:r>
      <w:r w:rsidR="00D0637D">
        <w:rPr>
          <w:lang w:eastAsia="en-AU"/>
        </w:rPr>
        <w:t xml:space="preserve"> undertake join</w:t>
      </w:r>
      <w:r w:rsidR="002C1081">
        <w:rPr>
          <w:lang w:eastAsia="en-AU"/>
        </w:rPr>
        <w:t>t</w:t>
      </w:r>
      <w:r w:rsidR="00D0637D">
        <w:rPr>
          <w:lang w:eastAsia="en-AU"/>
        </w:rPr>
        <w:t xml:space="preserve"> operations</w:t>
      </w:r>
      <w:r w:rsidR="002B3917">
        <w:rPr>
          <w:lang w:eastAsia="en-AU"/>
        </w:rPr>
        <w:t>,</w:t>
      </w:r>
      <w:r w:rsidR="002C1081">
        <w:rPr>
          <w:lang w:eastAsia="en-AU"/>
        </w:rPr>
        <w:t xml:space="preserve"> and</w:t>
      </w:r>
      <w:r w:rsidR="00924D69">
        <w:rPr>
          <w:lang w:eastAsia="en-AU"/>
        </w:rPr>
        <w:t xml:space="preserve"> </w:t>
      </w:r>
      <w:r w:rsidR="003E51FB" w:rsidRPr="003E51FB">
        <w:rPr>
          <w:lang w:eastAsia="en-AU"/>
        </w:rPr>
        <w:t>provide specialist training, equipment and educatio</w:t>
      </w:r>
      <w:r w:rsidR="00786845">
        <w:rPr>
          <w:lang w:eastAsia="en-AU"/>
        </w:rPr>
        <w:t>n</w:t>
      </w:r>
      <w:r w:rsidR="0079636D">
        <w:rPr>
          <w:lang w:eastAsia="en-AU"/>
        </w:rPr>
        <w:t xml:space="preserve">. </w:t>
      </w:r>
      <w:r w:rsidR="00F94901">
        <w:rPr>
          <w:lang w:eastAsia="en-AU"/>
        </w:rPr>
        <w:t xml:space="preserve">In August 2024, Australia joined other Pacific </w:t>
      </w:r>
      <w:r w:rsidR="005322BD">
        <w:rPr>
          <w:lang w:eastAsia="en-AU"/>
        </w:rPr>
        <w:t xml:space="preserve">countries in </w:t>
      </w:r>
      <w:r w:rsidR="00F94901">
        <w:rPr>
          <w:lang w:eastAsia="en-AU"/>
        </w:rPr>
        <w:t>endors</w:t>
      </w:r>
      <w:r w:rsidR="000B53CA">
        <w:rPr>
          <w:lang w:eastAsia="en-AU"/>
        </w:rPr>
        <w:t>ing</w:t>
      </w:r>
      <w:r w:rsidR="00F94901">
        <w:rPr>
          <w:lang w:eastAsia="en-AU"/>
        </w:rPr>
        <w:t xml:space="preserve"> the Pacific Policing Initiative, a major regional initiative to strengthen collective peace and security throughout the </w:t>
      </w:r>
      <w:r w:rsidR="008B2ECA">
        <w:rPr>
          <w:lang w:eastAsia="en-AU"/>
        </w:rPr>
        <w:t>region</w:t>
      </w:r>
      <w:r w:rsidR="00F94901">
        <w:rPr>
          <w:lang w:eastAsia="en-AU"/>
        </w:rPr>
        <w:t>.</w:t>
      </w:r>
      <w:r w:rsidR="00F94901" w:rsidRPr="00F94901">
        <w:rPr>
          <w:lang w:eastAsia="en-AU"/>
        </w:rPr>
        <w:t xml:space="preserve"> </w:t>
      </w:r>
      <w:r w:rsidR="00F94901">
        <w:rPr>
          <w:lang w:eastAsia="en-AU"/>
        </w:rPr>
        <w:t xml:space="preserve">Australia will contribute approximately $400 million over five years to </w:t>
      </w:r>
      <w:r w:rsidR="00F94901" w:rsidRPr="0002494A">
        <w:rPr>
          <w:lang w:eastAsia="en-AU"/>
        </w:rPr>
        <w:t xml:space="preserve">support </w:t>
      </w:r>
      <w:r w:rsidR="00C764C0">
        <w:rPr>
          <w:lang w:eastAsia="en-AU"/>
        </w:rPr>
        <w:t xml:space="preserve">police </w:t>
      </w:r>
      <w:r w:rsidR="00F94901" w:rsidRPr="0002494A">
        <w:rPr>
          <w:lang w:eastAsia="en-AU"/>
        </w:rPr>
        <w:t>training, combined deployments and capability uplift</w:t>
      </w:r>
      <w:r w:rsidR="00F94901">
        <w:rPr>
          <w:lang w:eastAsia="en-AU"/>
        </w:rPr>
        <w:t xml:space="preserve"> to ensure the P</w:t>
      </w:r>
      <w:r w:rsidR="00E31D5D">
        <w:rPr>
          <w:lang w:eastAsia="en-AU"/>
        </w:rPr>
        <w:t xml:space="preserve">acific </w:t>
      </w:r>
      <w:r w:rsidR="00F94901">
        <w:rPr>
          <w:lang w:eastAsia="en-AU"/>
        </w:rPr>
        <w:t>P</w:t>
      </w:r>
      <w:r w:rsidR="00E31D5D">
        <w:rPr>
          <w:lang w:eastAsia="en-AU"/>
        </w:rPr>
        <w:t xml:space="preserve">olicing </w:t>
      </w:r>
      <w:r w:rsidR="00F94901">
        <w:rPr>
          <w:lang w:eastAsia="en-AU"/>
        </w:rPr>
        <w:t>I</w:t>
      </w:r>
      <w:r w:rsidR="00E31D5D">
        <w:rPr>
          <w:lang w:eastAsia="en-AU"/>
        </w:rPr>
        <w:t>nitiative</w:t>
      </w:r>
      <w:r w:rsidR="00F94901">
        <w:rPr>
          <w:lang w:eastAsia="en-AU"/>
        </w:rPr>
        <w:t xml:space="preserve"> delivers on the aspirations of Pacific countries.</w:t>
      </w:r>
      <w:r w:rsidR="0079636D">
        <w:rPr>
          <w:lang w:eastAsia="en-AU"/>
        </w:rPr>
        <w:t xml:space="preserve"> </w:t>
      </w:r>
      <w:r w:rsidR="00C764C0">
        <w:rPr>
          <w:lang w:eastAsia="en-AU"/>
        </w:rPr>
        <w:t xml:space="preserve">We will continue </w:t>
      </w:r>
      <w:r w:rsidR="00D94A50">
        <w:rPr>
          <w:lang w:eastAsia="en-AU"/>
        </w:rPr>
        <w:t>our longstanding p</w:t>
      </w:r>
      <w:r w:rsidR="0079636D">
        <w:rPr>
          <w:lang w:eastAsia="en-AU"/>
        </w:rPr>
        <w:t xml:space="preserve">artnerships with </w:t>
      </w:r>
      <w:r w:rsidR="0079636D" w:rsidRPr="00B67372">
        <w:rPr>
          <w:lang w:eastAsia="en-AU"/>
        </w:rPr>
        <w:t xml:space="preserve">the </w:t>
      </w:r>
      <w:r w:rsidR="0079636D" w:rsidRPr="0009051D">
        <w:rPr>
          <w:lang w:eastAsia="en-AU"/>
        </w:rPr>
        <w:t>Pacific Island</w:t>
      </w:r>
      <w:r w:rsidR="00E31D5D">
        <w:rPr>
          <w:lang w:eastAsia="en-AU"/>
        </w:rPr>
        <w:t>s</w:t>
      </w:r>
      <w:r w:rsidR="0079636D" w:rsidRPr="0009051D">
        <w:rPr>
          <w:lang w:eastAsia="en-AU"/>
        </w:rPr>
        <w:t xml:space="preserve"> Chiefs of Police</w:t>
      </w:r>
      <w:r w:rsidR="0079636D" w:rsidRPr="00B67372">
        <w:rPr>
          <w:lang w:eastAsia="en-AU"/>
        </w:rPr>
        <w:t xml:space="preserve">, </w:t>
      </w:r>
      <w:r w:rsidR="0068125C">
        <w:rPr>
          <w:lang w:eastAsia="en-AU"/>
        </w:rPr>
        <w:t xml:space="preserve">the </w:t>
      </w:r>
      <w:r w:rsidR="0079636D" w:rsidRPr="0009051D">
        <w:rPr>
          <w:lang w:eastAsia="en-AU"/>
        </w:rPr>
        <w:t>Pacific Community for Law Enforcement Cooperation</w:t>
      </w:r>
      <w:r w:rsidR="0079636D" w:rsidRPr="00B67372">
        <w:rPr>
          <w:lang w:eastAsia="en-AU"/>
        </w:rPr>
        <w:t>,</w:t>
      </w:r>
      <w:r w:rsidR="0079636D" w:rsidRPr="0009051D">
        <w:rPr>
          <w:lang w:eastAsia="en-AU"/>
        </w:rPr>
        <w:t xml:space="preserve"> </w:t>
      </w:r>
      <w:r w:rsidR="00D37706">
        <w:rPr>
          <w:lang w:eastAsia="en-AU"/>
        </w:rPr>
        <w:t xml:space="preserve">the </w:t>
      </w:r>
      <w:r w:rsidR="0079636D" w:rsidRPr="0009051D">
        <w:rPr>
          <w:lang w:eastAsia="en-AU"/>
        </w:rPr>
        <w:t>Pacific Forensic Working Group</w:t>
      </w:r>
      <w:r w:rsidR="00D37706">
        <w:rPr>
          <w:lang w:eastAsia="en-AU"/>
        </w:rPr>
        <w:t>, the</w:t>
      </w:r>
      <w:r w:rsidR="0079636D" w:rsidRPr="0009051D">
        <w:rPr>
          <w:lang w:eastAsia="en-AU"/>
        </w:rPr>
        <w:t xml:space="preserve"> Pacific Police Training Advisory Group</w:t>
      </w:r>
      <w:r w:rsidR="0079636D" w:rsidRPr="00B67372">
        <w:rPr>
          <w:lang w:eastAsia="en-AU"/>
        </w:rPr>
        <w:t xml:space="preserve">, </w:t>
      </w:r>
      <w:r w:rsidR="00D37706">
        <w:rPr>
          <w:lang w:eastAsia="en-AU"/>
        </w:rPr>
        <w:t xml:space="preserve">the </w:t>
      </w:r>
      <w:r w:rsidR="0079636D" w:rsidRPr="0009051D">
        <w:rPr>
          <w:lang w:eastAsia="en-AU"/>
        </w:rPr>
        <w:t>Pacific Police Policy Network</w:t>
      </w:r>
      <w:r w:rsidR="0079636D" w:rsidRPr="00B67372">
        <w:rPr>
          <w:lang w:eastAsia="en-AU"/>
        </w:rPr>
        <w:t xml:space="preserve">, </w:t>
      </w:r>
      <w:r w:rsidR="00D37706">
        <w:rPr>
          <w:lang w:eastAsia="en-AU"/>
        </w:rPr>
        <w:t xml:space="preserve">the </w:t>
      </w:r>
      <w:r w:rsidR="0079636D" w:rsidRPr="0009051D">
        <w:rPr>
          <w:lang w:eastAsia="en-AU"/>
        </w:rPr>
        <w:t>P</w:t>
      </w:r>
      <w:r w:rsidR="00A8062F">
        <w:rPr>
          <w:lang w:eastAsia="en-AU"/>
        </w:rPr>
        <w:t xml:space="preserve">acific </w:t>
      </w:r>
      <w:r w:rsidR="0079636D" w:rsidRPr="0009051D">
        <w:rPr>
          <w:lang w:eastAsia="en-AU"/>
        </w:rPr>
        <w:t>I</w:t>
      </w:r>
      <w:r w:rsidR="00A8062F">
        <w:rPr>
          <w:lang w:eastAsia="en-AU"/>
        </w:rPr>
        <w:t xml:space="preserve">slands </w:t>
      </w:r>
      <w:r w:rsidR="0079636D" w:rsidRPr="0009051D">
        <w:rPr>
          <w:lang w:eastAsia="en-AU"/>
        </w:rPr>
        <w:t>C</w:t>
      </w:r>
      <w:r w:rsidR="00A8062F">
        <w:rPr>
          <w:lang w:eastAsia="en-AU"/>
        </w:rPr>
        <w:t xml:space="preserve">hiefs of </w:t>
      </w:r>
      <w:proofErr w:type="gramStart"/>
      <w:r w:rsidR="0079636D" w:rsidRPr="0009051D">
        <w:rPr>
          <w:lang w:eastAsia="en-AU"/>
        </w:rPr>
        <w:t>P</w:t>
      </w:r>
      <w:r w:rsidR="00A8062F">
        <w:rPr>
          <w:lang w:eastAsia="en-AU"/>
        </w:rPr>
        <w:t>olice</w:t>
      </w:r>
      <w:r w:rsidR="0079636D" w:rsidRPr="0009051D">
        <w:rPr>
          <w:lang w:eastAsia="en-AU"/>
        </w:rPr>
        <w:t xml:space="preserve"> Women’s</w:t>
      </w:r>
      <w:proofErr w:type="gramEnd"/>
      <w:r w:rsidR="0079636D" w:rsidRPr="0009051D">
        <w:rPr>
          <w:lang w:eastAsia="en-AU"/>
        </w:rPr>
        <w:t xml:space="preserve"> Advisory Network</w:t>
      </w:r>
      <w:r w:rsidR="0079636D" w:rsidRPr="00B67372">
        <w:rPr>
          <w:lang w:eastAsia="en-AU"/>
        </w:rPr>
        <w:t xml:space="preserve"> and Cyber Safety Pasifika.</w:t>
      </w:r>
    </w:p>
    <w:p w14:paraId="2C779676" w14:textId="1681C89B" w:rsidR="00DA6E2F" w:rsidRPr="00404D70" w:rsidRDefault="00492E4E" w:rsidP="00F851AA">
      <w:pPr>
        <w:rPr>
          <w:lang w:eastAsia="en-AU"/>
        </w:rPr>
      </w:pPr>
      <w:r w:rsidRPr="00404D70">
        <w:rPr>
          <w:lang w:eastAsia="en-AU"/>
        </w:rPr>
        <w:t>Through the Defence Cooperation Program</w:t>
      </w:r>
      <w:r w:rsidR="002B3917">
        <w:rPr>
          <w:lang w:eastAsia="en-AU"/>
        </w:rPr>
        <w:t>,</w:t>
      </w:r>
      <w:r w:rsidRPr="00404D70">
        <w:rPr>
          <w:lang w:eastAsia="en-AU"/>
        </w:rPr>
        <w:t xml:space="preserve"> </w:t>
      </w:r>
      <w:r w:rsidR="00F247C8" w:rsidRPr="00404D70">
        <w:rPr>
          <w:lang w:eastAsia="en-AU"/>
        </w:rPr>
        <w:t xml:space="preserve">the Australian Defence </w:t>
      </w:r>
      <w:r w:rsidR="00B20030" w:rsidRPr="00404D70">
        <w:rPr>
          <w:lang w:eastAsia="en-AU"/>
        </w:rPr>
        <w:t>Force supports</w:t>
      </w:r>
      <w:r w:rsidR="00877A67" w:rsidRPr="00404D70">
        <w:rPr>
          <w:lang w:eastAsia="en-AU"/>
        </w:rPr>
        <w:t xml:space="preserve"> the development of sustainable Pacific security forces and</w:t>
      </w:r>
      <w:r w:rsidR="0006320D" w:rsidRPr="00404D70">
        <w:rPr>
          <w:lang w:eastAsia="en-AU"/>
        </w:rPr>
        <w:t xml:space="preserve"> increase</w:t>
      </w:r>
      <w:r w:rsidR="00BB1A88">
        <w:rPr>
          <w:lang w:eastAsia="en-AU"/>
        </w:rPr>
        <w:t>d</w:t>
      </w:r>
      <w:r w:rsidR="0006320D" w:rsidRPr="00404D70">
        <w:rPr>
          <w:lang w:eastAsia="en-AU"/>
        </w:rPr>
        <w:t xml:space="preserve"> </w:t>
      </w:r>
      <w:r w:rsidR="00877A67" w:rsidRPr="00404D70">
        <w:rPr>
          <w:lang w:eastAsia="en-AU"/>
        </w:rPr>
        <w:t>regional</w:t>
      </w:r>
      <w:r w:rsidR="0006320D" w:rsidRPr="00404D70">
        <w:rPr>
          <w:lang w:eastAsia="en-AU"/>
        </w:rPr>
        <w:t xml:space="preserve"> interoperability</w:t>
      </w:r>
      <w:r w:rsidR="00175A83" w:rsidRPr="00404D70">
        <w:rPr>
          <w:lang w:eastAsia="en-AU"/>
        </w:rPr>
        <w:t>.</w:t>
      </w:r>
      <w:r w:rsidR="00F247C8" w:rsidRPr="00404D70">
        <w:rPr>
          <w:lang w:eastAsia="en-AU"/>
        </w:rPr>
        <w:t xml:space="preserve"> </w:t>
      </w:r>
      <w:r w:rsidR="00DA6E2F" w:rsidRPr="00404D70">
        <w:rPr>
          <w:lang w:eastAsia="en-AU"/>
        </w:rPr>
        <w:t>The Pacific Maritime Security Program is a long-term investment in regional maritime security capability</w:t>
      </w:r>
      <w:r w:rsidR="00053DB7">
        <w:rPr>
          <w:lang w:eastAsia="en-AU"/>
        </w:rPr>
        <w:t>.</w:t>
      </w:r>
      <w:r w:rsidR="00DA6E2F" w:rsidRPr="00404D70">
        <w:rPr>
          <w:lang w:eastAsia="en-AU"/>
        </w:rPr>
        <w:t xml:space="preserve"> </w:t>
      </w:r>
      <w:r w:rsidR="00053DB7">
        <w:rPr>
          <w:lang w:eastAsia="en-AU"/>
        </w:rPr>
        <w:t>T</w:t>
      </w:r>
      <w:r w:rsidR="00DA6E2F" w:rsidRPr="00404D70">
        <w:rPr>
          <w:lang w:eastAsia="en-AU"/>
        </w:rPr>
        <w:t xml:space="preserve">hrough </w:t>
      </w:r>
      <w:r w:rsidR="00053DB7">
        <w:rPr>
          <w:lang w:eastAsia="en-AU"/>
        </w:rPr>
        <w:t>the program</w:t>
      </w:r>
      <w:r w:rsidR="00053DB7" w:rsidRPr="00404D70">
        <w:rPr>
          <w:lang w:eastAsia="en-AU"/>
        </w:rPr>
        <w:t xml:space="preserve"> </w:t>
      </w:r>
      <w:r w:rsidR="00DA6E2F" w:rsidRPr="00404D70">
        <w:rPr>
          <w:lang w:eastAsia="en-AU"/>
        </w:rPr>
        <w:t xml:space="preserve">Australia </w:t>
      </w:r>
      <w:r w:rsidR="00053DB7">
        <w:rPr>
          <w:lang w:eastAsia="en-AU"/>
        </w:rPr>
        <w:t xml:space="preserve">is </w:t>
      </w:r>
      <w:r w:rsidR="00DA6E2F" w:rsidRPr="00404D70">
        <w:rPr>
          <w:lang w:eastAsia="en-AU"/>
        </w:rPr>
        <w:t>deliv</w:t>
      </w:r>
      <w:r w:rsidR="00EC2F4F">
        <w:rPr>
          <w:lang w:eastAsia="en-AU"/>
        </w:rPr>
        <w:t>er</w:t>
      </w:r>
      <w:r w:rsidR="00053DB7">
        <w:rPr>
          <w:lang w:eastAsia="en-AU"/>
        </w:rPr>
        <w:t>ing</w:t>
      </w:r>
      <w:r w:rsidR="00DA6E2F" w:rsidRPr="00404D70">
        <w:rPr>
          <w:lang w:eastAsia="en-AU"/>
        </w:rPr>
        <w:t xml:space="preserve"> sovereign vessels</w:t>
      </w:r>
      <w:r w:rsidR="00053DB7">
        <w:rPr>
          <w:lang w:eastAsia="en-AU"/>
        </w:rPr>
        <w:t>,</w:t>
      </w:r>
      <w:r w:rsidR="00DA6E2F" w:rsidRPr="00404D70">
        <w:rPr>
          <w:lang w:eastAsia="en-AU"/>
        </w:rPr>
        <w:t xml:space="preserve"> including 24 Guardian-class </w:t>
      </w:r>
      <w:r w:rsidR="00053DB7">
        <w:rPr>
          <w:lang w:eastAsia="en-AU"/>
        </w:rPr>
        <w:t>p</w:t>
      </w:r>
      <w:r w:rsidR="00DA6E2F" w:rsidRPr="00404D70">
        <w:rPr>
          <w:lang w:eastAsia="en-AU"/>
        </w:rPr>
        <w:t xml:space="preserve">atrol </w:t>
      </w:r>
      <w:r w:rsidR="00053DB7">
        <w:rPr>
          <w:lang w:eastAsia="en-AU"/>
        </w:rPr>
        <w:t>b</w:t>
      </w:r>
      <w:r w:rsidR="00DA6E2F" w:rsidRPr="00404D70">
        <w:rPr>
          <w:lang w:eastAsia="en-AU"/>
        </w:rPr>
        <w:t>oats</w:t>
      </w:r>
      <w:r w:rsidR="00D7754D">
        <w:rPr>
          <w:lang w:eastAsia="en-AU"/>
        </w:rPr>
        <w:t>,</w:t>
      </w:r>
      <w:r w:rsidR="00DA6E2F" w:rsidRPr="00404D70">
        <w:rPr>
          <w:lang w:eastAsia="en-AU"/>
        </w:rPr>
        <w:t xml:space="preserve"> and a long-term sustainment, maintenance and support package so </w:t>
      </w:r>
      <w:r w:rsidR="00930F63">
        <w:rPr>
          <w:lang w:eastAsia="en-AU"/>
        </w:rPr>
        <w:t>countries</w:t>
      </w:r>
      <w:r w:rsidR="00930F63" w:rsidRPr="00404D70">
        <w:rPr>
          <w:lang w:eastAsia="en-AU"/>
        </w:rPr>
        <w:t xml:space="preserve"> </w:t>
      </w:r>
      <w:r w:rsidR="00DA6E2F" w:rsidRPr="00404D70">
        <w:rPr>
          <w:lang w:eastAsia="en-AU"/>
        </w:rPr>
        <w:t xml:space="preserve">can maintain sovereignty over their waters. </w:t>
      </w:r>
      <w:r w:rsidR="00156354" w:rsidRPr="00404D70">
        <w:rPr>
          <w:lang w:eastAsia="en-AU"/>
        </w:rPr>
        <w:t xml:space="preserve">Our longstanding partnerships with Pacific security forces have enabled successful collective responses to humanitarian disasters </w:t>
      </w:r>
      <w:r w:rsidR="00E07155">
        <w:rPr>
          <w:lang w:eastAsia="en-AU"/>
        </w:rPr>
        <w:t>including</w:t>
      </w:r>
      <w:r w:rsidR="00156354" w:rsidRPr="00404D70">
        <w:rPr>
          <w:lang w:eastAsia="en-AU"/>
        </w:rPr>
        <w:t xml:space="preserve"> Operation Tonga Assist in 2022 and Operation Vanuatu Assist in 2023. </w:t>
      </w:r>
      <w:r w:rsidR="00BE5F7A" w:rsidRPr="00404D70">
        <w:rPr>
          <w:lang w:eastAsia="en-AU"/>
        </w:rPr>
        <w:t>The A</w:t>
      </w:r>
      <w:r w:rsidR="00E07155">
        <w:rPr>
          <w:lang w:eastAsia="en-AU"/>
        </w:rPr>
        <w:t xml:space="preserve">ustralian </w:t>
      </w:r>
      <w:r w:rsidR="00BE5F7A" w:rsidRPr="00404D70">
        <w:rPr>
          <w:lang w:eastAsia="en-AU"/>
        </w:rPr>
        <w:t>D</w:t>
      </w:r>
      <w:r w:rsidR="00E07155">
        <w:rPr>
          <w:lang w:eastAsia="en-AU"/>
        </w:rPr>
        <w:t xml:space="preserve">efence </w:t>
      </w:r>
      <w:r w:rsidR="00BE5F7A" w:rsidRPr="00404D70">
        <w:rPr>
          <w:lang w:eastAsia="en-AU"/>
        </w:rPr>
        <w:t>F</w:t>
      </w:r>
      <w:r w:rsidR="00E07155">
        <w:rPr>
          <w:lang w:eastAsia="en-AU"/>
        </w:rPr>
        <w:t>orce</w:t>
      </w:r>
      <w:r w:rsidR="00BE5F7A" w:rsidRPr="00404D70">
        <w:rPr>
          <w:lang w:eastAsia="en-AU"/>
        </w:rPr>
        <w:t xml:space="preserve"> also supports regional contributions to global peace and security, including logistics and transport assistance for Fiji’s U</w:t>
      </w:r>
      <w:r w:rsidR="00930F63">
        <w:rPr>
          <w:lang w:eastAsia="en-AU"/>
        </w:rPr>
        <w:t xml:space="preserve">nited </w:t>
      </w:r>
      <w:r w:rsidR="00BE5F7A" w:rsidRPr="00404D70">
        <w:rPr>
          <w:lang w:eastAsia="en-AU"/>
        </w:rPr>
        <w:t>N</w:t>
      </w:r>
      <w:r w:rsidR="00930F63">
        <w:rPr>
          <w:lang w:eastAsia="en-AU"/>
        </w:rPr>
        <w:t>ations</w:t>
      </w:r>
      <w:r w:rsidR="00BE5F7A" w:rsidRPr="00404D70">
        <w:rPr>
          <w:lang w:eastAsia="en-AU"/>
        </w:rPr>
        <w:t xml:space="preserve"> </w:t>
      </w:r>
      <w:r w:rsidR="00093501">
        <w:rPr>
          <w:lang w:eastAsia="en-AU"/>
        </w:rPr>
        <w:t>p</w:t>
      </w:r>
      <w:r w:rsidR="00BE5F7A" w:rsidRPr="00404D70">
        <w:rPr>
          <w:lang w:eastAsia="en-AU"/>
        </w:rPr>
        <w:t>eacekeeping missions. We will continue to build on these successes going forward.</w:t>
      </w:r>
    </w:p>
    <w:p w14:paraId="02D40523" w14:textId="159F4B94" w:rsidR="00DA6E2F" w:rsidRPr="00404D70" w:rsidRDefault="00287987" w:rsidP="00F851AA">
      <w:pPr>
        <w:rPr>
          <w:lang w:eastAsia="en-AU"/>
        </w:rPr>
      </w:pPr>
      <w:r w:rsidRPr="00404D70">
        <w:rPr>
          <w:lang w:eastAsia="en-AU"/>
        </w:rPr>
        <w:t>Australia</w:t>
      </w:r>
      <w:r w:rsidR="00D02670" w:rsidRPr="00404D70">
        <w:rPr>
          <w:lang w:eastAsia="en-AU"/>
        </w:rPr>
        <w:t xml:space="preserve"> will increase our support for </w:t>
      </w:r>
      <w:r w:rsidR="00DA6E2F" w:rsidRPr="00404D70">
        <w:rPr>
          <w:lang w:eastAsia="en-AU"/>
        </w:rPr>
        <w:t>strengthen</w:t>
      </w:r>
      <w:r w:rsidR="00D02670" w:rsidRPr="00404D70">
        <w:rPr>
          <w:lang w:eastAsia="en-AU"/>
        </w:rPr>
        <w:t>ing</w:t>
      </w:r>
      <w:r w:rsidR="00DA6E2F" w:rsidRPr="00404D70">
        <w:rPr>
          <w:lang w:eastAsia="en-AU"/>
        </w:rPr>
        <w:t xml:space="preserve"> border security in the Pacific</w:t>
      </w:r>
      <w:r w:rsidR="001165CF">
        <w:rPr>
          <w:lang w:eastAsia="en-AU"/>
        </w:rPr>
        <w:t xml:space="preserve">. This includes support </w:t>
      </w:r>
      <w:r w:rsidR="00DA6E2F" w:rsidRPr="00404D70">
        <w:rPr>
          <w:lang w:eastAsia="en-AU"/>
        </w:rPr>
        <w:t xml:space="preserve">through an Australian Border Force engagement program that supports border security and customs revenue generation and includes </w:t>
      </w:r>
      <w:r w:rsidR="00B20030">
        <w:rPr>
          <w:lang w:eastAsia="en-AU"/>
        </w:rPr>
        <w:t>10</w:t>
      </w:r>
      <w:r w:rsidR="00B20030" w:rsidRPr="00404D70">
        <w:rPr>
          <w:lang w:eastAsia="en-AU"/>
        </w:rPr>
        <w:t xml:space="preserve"> positions</w:t>
      </w:r>
      <w:r w:rsidR="00DA6E2F" w:rsidRPr="00404D70">
        <w:rPr>
          <w:lang w:eastAsia="en-AU"/>
        </w:rPr>
        <w:t xml:space="preserve"> in the </w:t>
      </w:r>
      <w:r w:rsidR="00A42A9E">
        <w:rPr>
          <w:lang w:eastAsia="en-AU"/>
        </w:rPr>
        <w:t xml:space="preserve">Australian Border Force’s </w:t>
      </w:r>
      <w:r w:rsidR="00DA6E2F" w:rsidRPr="00404D70">
        <w:rPr>
          <w:lang w:eastAsia="en-AU"/>
        </w:rPr>
        <w:t xml:space="preserve">Pacific regional deployment capability. The </w:t>
      </w:r>
      <w:r w:rsidR="000A03A7">
        <w:rPr>
          <w:lang w:eastAsia="en-AU"/>
        </w:rPr>
        <w:t>Australian Border Force’s</w:t>
      </w:r>
      <w:r w:rsidR="000A03A7" w:rsidRPr="00404D70">
        <w:rPr>
          <w:lang w:eastAsia="en-AU"/>
        </w:rPr>
        <w:t xml:space="preserve"> </w:t>
      </w:r>
      <w:r w:rsidR="00DA6E2F" w:rsidRPr="00404D70">
        <w:rPr>
          <w:lang w:eastAsia="en-AU"/>
        </w:rPr>
        <w:t xml:space="preserve">Pacific Network </w:t>
      </w:r>
      <w:r w:rsidRPr="00404D70">
        <w:rPr>
          <w:lang w:eastAsia="en-AU"/>
        </w:rPr>
        <w:t>will</w:t>
      </w:r>
      <w:r w:rsidR="00DA6E2F" w:rsidRPr="00404D70">
        <w:rPr>
          <w:lang w:eastAsia="en-AU"/>
        </w:rPr>
        <w:t xml:space="preserve"> enhanc</w:t>
      </w:r>
      <w:r w:rsidRPr="00404D70">
        <w:rPr>
          <w:lang w:eastAsia="en-AU"/>
        </w:rPr>
        <w:t>e</w:t>
      </w:r>
      <w:r w:rsidR="00DA6E2F" w:rsidRPr="00404D70">
        <w:rPr>
          <w:lang w:eastAsia="en-AU"/>
        </w:rPr>
        <w:t xml:space="preserve"> Australia’s cooperation with Pacific border agencies, as well as the Oceania Customs Organisation</w:t>
      </w:r>
      <w:r w:rsidR="00DD59C9" w:rsidRPr="00404D70">
        <w:rPr>
          <w:lang w:eastAsia="en-AU"/>
        </w:rPr>
        <w:t>.</w:t>
      </w:r>
    </w:p>
    <w:p w14:paraId="1AD5C225" w14:textId="74A684D7" w:rsidR="00DA6E2F" w:rsidRPr="00404D70" w:rsidRDefault="00287987" w:rsidP="00F851AA">
      <w:pPr>
        <w:rPr>
          <w:lang w:eastAsia="en-AU"/>
        </w:rPr>
      </w:pPr>
      <w:r w:rsidRPr="00404D70">
        <w:rPr>
          <w:lang w:eastAsia="en-AU"/>
        </w:rPr>
        <w:t xml:space="preserve">We </w:t>
      </w:r>
      <w:r w:rsidR="009A0E35" w:rsidRPr="00404D70">
        <w:rPr>
          <w:lang w:eastAsia="en-AU"/>
        </w:rPr>
        <w:t xml:space="preserve">will also </w:t>
      </w:r>
      <w:r w:rsidRPr="00404D70">
        <w:rPr>
          <w:lang w:eastAsia="en-AU"/>
        </w:rPr>
        <w:t>enhanc</w:t>
      </w:r>
      <w:r w:rsidR="009A0E35" w:rsidRPr="00404D70">
        <w:rPr>
          <w:lang w:eastAsia="en-AU"/>
        </w:rPr>
        <w:t>e</w:t>
      </w:r>
      <w:r w:rsidRPr="00404D70">
        <w:rPr>
          <w:lang w:eastAsia="en-AU"/>
        </w:rPr>
        <w:t xml:space="preserve"> our ability</w:t>
      </w:r>
      <w:r w:rsidR="00DA6E2F" w:rsidRPr="00404D70">
        <w:rPr>
          <w:lang w:eastAsia="en-AU"/>
        </w:rPr>
        <w:t xml:space="preserve"> to </w:t>
      </w:r>
      <w:r w:rsidRPr="00404D70">
        <w:rPr>
          <w:lang w:eastAsia="en-AU"/>
        </w:rPr>
        <w:t xml:space="preserve">respond to </w:t>
      </w:r>
      <w:r w:rsidR="00DA6E2F" w:rsidRPr="00404D70">
        <w:rPr>
          <w:lang w:eastAsia="en-AU"/>
        </w:rPr>
        <w:t xml:space="preserve">new cybersecurity challenges, including the exploitation </w:t>
      </w:r>
      <w:r w:rsidRPr="00404D70">
        <w:rPr>
          <w:lang w:eastAsia="en-AU"/>
        </w:rPr>
        <w:t xml:space="preserve">of </w:t>
      </w:r>
      <w:r w:rsidR="008E4DC5">
        <w:rPr>
          <w:lang w:eastAsia="en-AU"/>
        </w:rPr>
        <w:t>information technology</w:t>
      </w:r>
      <w:r w:rsidR="008E4DC5" w:rsidRPr="00404D70">
        <w:rPr>
          <w:lang w:eastAsia="en-AU"/>
        </w:rPr>
        <w:t xml:space="preserve"> </w:t>
      </w:r>
      <w:r w:rsidR="00DA6E2F" w:rsidRPr="00404D70">
        <w:rPr>
          <w:lang w:eastAsia="en-AU"/>
        </w:rPr>
        <w:t>systems by nation states and cyber criminals. Our new Cyber Rapid Assistance for Pacific Incidents and Disasters teams will augment existing cybersecurity support, responding to cyber crises in the region and supporting long-term cyber resilience.</w:t>
      </w:r>
    </w:p>
    <w:p w14:paraId="3CFA5549" w14:textId="1B232078" w:rsidR="00917EE2" w:rsidRPr="00404D70" w:rsidRDefault="001D4933" w:rsidP="00F851AA">
      <w:pPr>
        <w:rPr>
          <w:lang w:eastAsia="en-AU"/>
        </w:rPr>
      </w:pPr>
      <w:r w:rsidRPr="00404D70">
        <w:rPr>
          <w:lang w:eastAsia="en-AU"/>
        </w:rPr>
        <w:t xml:space="preserve">Australia will </w:t>
      </w:r>
      <w:r w:rsidR="00CA7C19" w:rsidRPr="00404D70">
        <w:rPr>
          <w:lang w:eastAsia="en-AU"/>
        </w:rPr>
        <w:t xml:space="preserve">continue to </w:t>
      </w:r>
      <w:r w:rsidR="00917EE2" w:rsidRPr="00404D70">
        <w:rPr>
          <w:lang w:eastAsia="en-AU"/>
        </w:rPr>
        <w:t xml:space="preserve">support regional security institutions including the Pacific Fusion Centre based in Port Vila, Vanuatu, which delivers on priorities identified by PIF Leaders in the 2018 </w:t>
      </w:r>
      <w:proofErr w:type="spellStart"/>
      <w:r w:rsidR="00917EE2" w:rsidRPr="00404D70">
        <w:rPr>
          <w:lang w:eastAsia="en-AU"/>
        </w:rPr>
        <w:t>Boe</w:t>
      </w:r>
      <w:proofErr w:type="spellEnd"/>
      <w:r w:rsidR="00917EE2" w:rsidRPr="00404D70">
        <w:rPr>
          <w:lang w:eastAsia="en-AU"/>
        </w:rPr>
        <w:t xml:space="preserve"> Declaration</w:t>
      </w:r>
      <w:r w:rsidR="001C52AA">
        <w:rPr>
          <w:lang w:eastAsia="en-AU"/>
        </w:rPr>
        <w:t xml:space="preserve"> </w:t>
      </w:r>
      <w:r w:rsidR="001C52AA" w:rsidRPr="001C52AA">
        <w:rPr>
          <w:lang w:eastAsia="en-AU"/>
        </w:rPr>
        <w:t>on Regional Security</w:t>
      </w:r>
      <w:r w:rsidR="00917EE2" w:rsidRPr="00404D70">
        <w:rPr>
          <w:lang w:eastAsia="en-AU"/>
        </w:rPr>
        <w:t xml:space="preserve">. The </w:t>
      </w:r>
      <w:r w:rsidR="004E4E32">
        <w:rPr>
          <w:lang w:eastAsia="en-AU"/>
        </w:rPr>
        <w:t>c</w:t>
      </w:r>
      <w:r w:rsidR="00917EE2" w:rsidRPr="00404D70">
        <w:rPr>
          <w:lang w:eastAsia="en-AU"/>
        </w:rPr>
        <w:t>entre offers practical training to Pacific security officials and produces strategic assessments that assist Pacific decision-makers in responding to regional security challenges</w:t>
      </w:r>
      <w:r w:rsidR="004B2289">
        <w:rPr>
          <w:lang w:eastAsia="en-AU"/>
        </w:rPr>
        <w:t>.</w:t>
      </w:r>
      <w:r w:rsidR="00917EE2" w:rsidRPr="00404D70">
        <w:rPr>
          <w:lang w:eastAsia="en-AU"/>
        </w:rPr>
        <w:t xml:space="preserve"> </w:t>
      </w:r>
      <w:r w:rsidR="004B2289">
        <w:rPr>
          <w:lang w:eastAsia="en-AU"/>
        </w:rPr>
        <w:t xml:space="preserve">We will also continue to support </w:t>
      </w:r>
      <w:r w:rsidR="00917EE2" w:rsidRPr="00404D70">
        <w:rPr>
          <w:lang w:eastAsia="en-AU"/>
        </w:rPr>
        <w:t>the Pacific Security College based at the Australian National University in Canberra</w:t>
      </w:r>
      <w:r w:rsidR="00F25184">
        <w:rPr>
          <w:lang w:eastAsia="en-AU"/>
        </w:rPr>
        <w:t>, which</w:t>
      </w:r>
      <w:r w:rsidR="00917EE2" w:rsidRPr="00404D70">
        <w:rPr>
          <w:lang w:eastAsia="en-AU"/>
        </w:rPr>
        <w:t xml:space="preserve"> strengthens regional security through education and enhanced people-to-people relationships.</w:t>
      </w:r>
    </w:p>
    <w:p w14:paraId="57CC4124" w14:textId="2DA15BCF" w:rsidR="00FC7A7E" w:rsidRPr="00FC7A7E" w:rsidRDefault="00CA4A8E" w:rsidP="00F851AA">
      <w:pPr>
        <w:rPr>
          <w:lang w:eastAsia="en-AU"/>
        </w:rPr>
      </w:pPr>
      <w:r w:rsidRPr="00F851AA">
        <w:t>People are at the heart of our Pacific partnerships</w:t>
      </w:r>
      <w:r>
        <w:rPr>
          <w:color w:val="222222"/>
          <w:lang w:eastAsia="en-AU"/>
        </w:rPr>
        <w:t xml:space="preserve"> and</w:t>
      </w:r>
      <w:r w:rsidR="00E4170C">
        <w:rPr>
          <w:color w:val="222222"/>
          <w:lang w:eastAsia="en-AU"/>
        </w:rPr>
        <w:t xml:space="preserve"> o</w:t>
      </w:r>
      <w:r w:rsidR="009C30A2">
        <w:rPr>
          <w:color w:val="222222"/>
          <w:lang w:eastAsia="en-AU"/>
        </w:rPr>
        <w:t>ur</w:t>
      </w:r>
      <w:r w:rsidR="004610E9" w:rsidRPr="004610E9">
        <w:rPr>
          <w:color w:val="222222"/>
          <w:lang w:eastAsia="en-AU"/>
        </w:rPr>
        <w:t xml:space="preserve"> commitment to </w:t>
      </w:r>
      <w:r w:rsidR="00E4170C" w:rsidRPr="00E4170C">
        <w:rPr>
          <w:color w:val="222222"/>
          <w:lang w:eastAsia="en-AU"/>
        </w:rPr>
        <w:t>support</w:t>
      </w:r>
      <w:r w:rsidR="004610E9" w:rsidRPr="00E4170C">
        <w:rPr>
          <w:color w:val="222222"/>
          <w:lang w:eastAsia="en-AU"/>
        </w:rPr>
        <w:t xml:space="preserve"> a</w:t>
      </w:r>
      <w:r w:rsidR="004610E9" w:rsidRPr="001C52AA">
        <w:rPr>
          <w:color w:val="222222"/>
          <w:lang w:eastAsia="en-AU"/>
        </w:rPr>
        <w:t xml:space="preserve"> </w:t>
      </w:r>
      <w:r w:rsidR="004610E9" w:rsidRPr="009A2428">
        <w:rPr>
          <w:color w:val="222222"/>
          <w:lang w:eastAsia="en-AU"/>
        </w:rPr>
        <w:t>stronger Pacific famil</w:t>
      </w:r>
      <w:r w:rsidR="003D24DE">
        <w:rPr>
          <w:color w:val="222222"/>
          <w:lang w:eastAsia="en-AU"/>
        </w:rPr>
        <w:t>y. We will</w:t>
      </w:r>
      <w:r w:rsidR="009A2428">
        <w:rPr>
          <w:color w:val="222222"/>
          <w:lang w:eastAsia="en-AU"/>
        </w:rPr>
        <w:t xml:space="preserve"> </w:t>
      </w:r>
      <w:r w:rsidR="004610E9" w:rsidRPr="004610E9">
        <w:rPr>
          <w:color w:val="222222"/>
          <w:lang w:eastAsia="en-AU"/>
        </w:rPr>
        <w:t>strengthen and celebrate our connections</w:t>
      </w:r>
      <w:r w:rsidR="003D24DE">
        <w:rPr>
          <w:color w:val="222222"/>
          <w:lang w:eastAsia="en-AU"/>
        </w:rPr>
        <w:t xml:space="preserve"> and integration</w:t>
      </w:r>
      <w:r w:rsidR="004610E9" w:rsidRPr="004610E9">
        <w:rPr>
          <w:color w:val="222222"/>
          <w:lang w:eastAsia="en-AU"/>
        </w:rPr>
        <w:t xml:space="preserve">. </w:t>
      </w:r>
      <w:r w:rsidR="00FC7A7E" w:rsidRPr="00FC7A7E">
        <w:rPr>
          <w:lang w:eastAsia="en-AU"/>
        </w:rPr>
        <w:t>Under the new Pacific Engagement Visa, up to 3,000 Pacific and Timor-Leste nationals will be welcomed to Australia each year to live, work and study.</w:t>
      </w:r>
      <w:r w:rsidR="00304A96">
        <w:rPr>
          <w:lang w:eastAsia="en-AU"/>
        </w:rPr>
        <w:t xml:space="preserve"> </w:t>
      </w:r>
      <w:r w:rsidR="00FC7A7E" w:rsidRPr="00FC7A7E">
        <w:rPr>
          <w:lang w:eastAsia="en-AU"/>
        </w:rPr>
        <w:t>V</w:t>
      </w:r>
      <w:r w:rsidR="00304A96">
        <w:rPr>
          <w:lang w:eastAsia="en-AU"/>
        </w:rPr>
        <w:t>isa</w:t>
      </w:r>
      <w:r w:rsidR="00FC7A7E" w:rsidRPr="00FC7A7E">
        <w:rPr>
          <w:lang w:eastAsia="en-AU"/>
        </w:rPr>
        <w:t xml:space="preserve"> holders will be able to attend schools, universities</w:t>
      </w:r>
      <w:r w:rsidR="001C52AA">
        <w:rPr>
          <w:lang w:eastAsia="en-AU"/>
        </w:rPr>
        <w:t>,</w:t>
      </w:r>
      <w:r w:rsidR="00FC7A7E" w:rsidRPr="00FC7A7E">
        <w:rPr>
          <w:lang w:eastAsia="en-AU"/>
        </w:rPr>
        <w:t xml:space="preserve"> and </w:t>
      </w:r>
      <w:r w:rsidR="00BF10C0">
        <w:rPr>
          <w:lang w:eastAsia="en-AU"/>
        </w:rPr>
        <w:t>technical and further education institutions,</w:t>
      </w:r>
      <w:r w:rsidR="00BF10C0" w:rsidRPr="00FC7A7E">
        <w:rPr>
          <w:lang w:eastAsia="en-AU"/>
        </w:rPr>
        <w:t xml:space="preserve"> </w:t>
      </w:r>
      <w:r w:rsidR="00FC7A7E" w:rsidRPr="00FC7A7E">
        <w:rPr>
          <w:lang w:eastAsia="en-AU"/>
        </w:rPr>
        <w:t xml:space="preserve">and access student loans and support payments. The </w:t>
      </w:r>
      <w:r w:rsidR="00BF10C0">
        <w:rPr>
          <w:lang w:eastAsia="en-AU"/>
        </w:rPr>
        <w:t xml:space="preserve">Pacific Engagement Visa </w:t>
      </w:r>
      <w:r w:rsidR="00FC7A7E" w:rsidRPr="00FC7A7E">
        <w:rPr>
          <w:lang w:eastAsia="en-AU"/>
        </w:rPr>
        <w:t xml:space="preserve">responds to longstanding requests from Pacific partners for greater access to Australia and easier movement around the region. The </w:t>
      </w:r>
      <w:r w:rsidR="00BF10C0">
        <w:rPr>
          <w:lang w:eastAsia="en-AU"/>
        </w:rPr>
        <w:t>v</w:t>
      </w:r>
      <w:r w:rsidR="00FC7A7E" w:rsidRPr="00FC7A7E">
        <w:rPr>
          <w:lang w:eastAsia="en-AU"/>
        </w:rPr>
        <w:t>isa provides an unprecedented opportunity for Pacific nationals to live, work and study in Australia.</w:t>
      </w:r>
    </w:p>
    <w:p w14:paraId="4BD42AED" w14:textId="146FCA5A" w:rsidR="00DA6E2F" w:rsidRDefault="00364EF4" w:rsidP="00F851AA">
      <w:pPr>
        <w:rPr>
          <w:color w:val="222222"/>
          <w:lang w:eastAsia="en-AU"/>
        </w:rPr>
      </w:pPr>
      <w:r>
        <w:rPr>
          <w:color w:val="222222"/>
          <w:lang w:eastAsia="en-AU"/>
        </w:rPr>
        <w:lastRenderedPageBreak/>
        <w:t>We r</w:t>
      </w:r>
      <w:r w:rsidR="00DA6E2F">
        <w:rPr>
          <w:color w:val="222222"/>
          <w:lang w:eastAsia="en-AU"/>
        </w:rPr>
        <w:t>ecognis</w:t>
      </w:r>
      <w:r>
        <w:rPr>
          <w:color w:val="222222"/>
          <w:lang w:eastAsia="en-AU"/>
        </w:rPr>
        <w:t>e</w:t>
      </w:r>
      <w:r w:rsidR="00DA6E2F">
        <w:rPr>
          <w:color w:val="222222"/>
          <w:lang w:eastAsia="en-AU"/>
        </w:rPr>
        <w:t xml:space="preserve"> th</w:t>
      </w:r>
      <w:r w:rsidR="0047047D">
        <w:rPr>
          <w:color w:val="222222"/>
          <w:lang w:eastAsia="en-AU"/>
        </w:rPr>
        <w:t>at</w:t>
      </w:r>
      <w:r w:rsidR="00DA6E2F">
        <w:rPr>
          <w:color w:val="222222"/>
          <w:lang w:eastAsia="en-AU"/>
        </w:rPr>
        <w:t xml:space="preserve"> </w:t>
      </w:r>
      <w:r w:rsidR="0047047D">
        <w:rPr>
          <w:color w:val="222222"/>
          <w:lang w:eastAsia="en-AU"/>
        </w:rPr>
        <w:t>respecting, honouring and protecting</w:t>
      </w:r>
      <w:r w:rsidR="00DA6E2F">
        <w:rPr>
          <w:color w:val="222222"/>
          <w:lang w:eastAsia="en-AU"/>
        </w:rPr>
        <w:t xml:space="preserve"> </w:t>
      </w:r>
      <w:r w:rsidR="00DA6E2F" w:rsidRPr="00616BF4">
        <w:rPr>
          <w:color w:val="222222"/>
          <w:lang w:eastAsia="en-AU"/>
        </w:rPr>
        <w:t xml:space="preserve">faith, culture and traditional knowledge </w:t>
      </w:r>
      <w:r w:rsidR="00372AF8">
        <w:rPr>
          <w:color w:val="222222"/>
          <w:lang w:eastAsia="en-AU"/>
        </w:rPr>
        <w:t>is a</w:t>
      </w:r>
      <w:r w:rsidR="00DA6E2F" w:rsidRPr="00616BF4">
        <w:rPr>
          <w:color w:val="222222"/>
          <w:lang w:eastAsia="en-AU"/>
        </w:rPr>
        <w:t xml:space="preserve"> critical value of the </w:t>
      </w:r>
      <w:r w:rsidR="00DA6E2F" w:rsidRPr="00BC39E1">
        <w:rPr>
          <w:color w:val="222222"/>
          <w:lang w:eastAsia="en-AU"/>
        </w:rPr>
        <w:t>2050 Strategy</w:t>
      </w:r>
      <w:r w:rsidR="00DA6E2F" w:rsidRPr="00616BF4">
        <w:rPr>
          <w:color w:val="222222"/>
          <w:lang w:eastAsia="en-AU"/>
        </w:rPr>
        <w:t>.</w:t>
      </w:r>
      <w:r w:rsidR="00DA6E2F">
        <w:rPr>
          <w:color w:val="222222"/>
          <w:lang w:eastAsia="en-AU"/>
        </w:rPr>
        <w:t xml:space="preserve"> T</w:t>
      </w:r>
      <w:r w:rsidR="00DA6E2F" w:rsidRPr="00132D91">
        <w:rPr>
          <w:color w:val="222222"/>
          <w:lang w:eastAsia="en-AU"/>
        </w:rPr>
        <w:t>he Pacific Church Partnerships Program assist</w:t>
      </w:r>
      <w:r w:rsidR="00DA6E2F">
        <w:rPr>
          <w:color w:val="222222"/>
          <w:lang w:eastAsia="en-AU"/>
        </w:rPr>
        <w:t>s</w:t>
      </w:r>
      <w:r w:rsidR="00DA6E2F" w:rsidRPr="00132D91">
        <w:rPr>
          <w:color w:val="222222"/>
          <w:lang w:eastAsia="en-AU"/>
        </w:rPr>
        <w:t xml:space="preserve"> Pacific churches to progress locally led programs, strengthen organisational governance, and build the capacity of young, emerging leaders. The program supports sharing and cooperation between young and senior church leaders, including through the Pacific Church Partnership Advisory Network and the Pacific Australian Emerging Leaders’ Summit. With strong </w:t>
      </w:r>
      <w:r w:rsidR="00CE50D1">
        <w:rPr>
          <w:color w:val="222222"/>
          <w:lang w:eastAsia="en-AU"/>
        </w:rPr>
        <w:t>I</w:t>
      </w:r>
      <w:r w:rsidR="00DA6E2F" w:rsidRPr="00132D91">
        <w:rPr>
          <w:color w:val="222222"/>
          <w:lang w:eastAsia="en-AU"/>
        </w:rPr>
        <w:t>ndigenous participation, the Pacific Church Partnerships Program promotes and builds on the longstanding cultural and spiritual links between Australian First Nations and Pacific peoples.</w:t>
      </w:r>
      <w:r w:rsidR="00DA6E2F">
        <w:rPr>
          <w:color w:val="222222"/>
          <w:lang w:eastAsia="en-AU"/>
        </w:rPr>
        <w:t xml:space="preserve"> </w:t>
      </w:r>
    </w:p>
    <w:p w14:paraId="257FAC27" w14:textId="4625D08E" w:rsidR="00DA6E2F" w:rsidRDefault="00DA6E2F" w:rsidP="00F851AA">
      <w:pPr>
        <w:rPr>
          <w:color w:val="222222"/>
          <w:lang w:eastAsia="en-AU"/>
        </w:rPr>
      </w:pPr>
      <w:r>
        <w:rPr>
          <w:color w:val="222222"/>
          <w:lang w:eastAsia="en-AU"/>
        </w:rPr>
        <w:t>Australia will seek new opportunities to strengthen connections between Pacific peoples and Australian First Nations people</w:t>
      </w:r>
      <w:r w:rsidR="008A31E8">
        <w:rPr>
          <w:color w:val="222222"/>
          <w:lang w:eastAsia="en-AU"/>
        </w:rPr>
        <w:t>s</w:t>
      </w:r>
      <w:r>
        <w:rPr>
          <w:color w:val="222222"/>
          <w:lang w:eastAsia="en-AU"/>
        </w:rPr>
        <w:t xml:space="preserve">. For example, </w:t>
      </w:r>
      <w:r w:rsidR="005D5647">
        <w:rPr>
          <w:color w:val="222222"/>
          <w:lang w:eastAsia="en-AU"/>
        </w:rPr>
        <w:t xml:space="preserve">we will </w:t>
      </w:r>
      <w:r>
        <w:rPr>
          <w:color w:val="222222"/>
          <w:lang w:eastAsia="en-AU"/>
        </w:rPr>
        <w:t xml:space="preserve">explore opportunities for sharing culture and policy dialogue in forums like the Pacific Arts and Culture Festival and the </w:t>
      </w:r>
      <w:proofErr w:type="spellStart"/>
      <w:r>
        <w:rPr>
          <w:color w:val="222222"/>
          <w:lang w:eastAsia="en-AU"/>
        </w:rPr>
        <w:t>Garma</w:t>
      </w:r>
      <w:proofErr w:type="spellEnd"/>
      <w:r>
        <w:rPr>
          <w:color w:val="222222"/>
          <w:lang w:eastAsia="en-AU"/>
        </w:rPr>
        <w:t xml:space="preserve"> Festival. Indigenous </w:t>
      </w:r>
      <w:r w:rsidR="008A31E8">
        <w:rPr>
          <w:color w:val="222222"/>
          <w:lang w:eastAsia="en-AU"/>
        </w:rPr>
        <w:t>k</w:t>
      </w:r>
      <w:r>
        <w:rPr>
          <w:color w:val="222222"/>
          <w:lang w:eastAsia="en-AU"/>
        </w:rPr>
        <w:t>nowledge is an area to explore further, including through program designs and program monitoring, evaluation and learning.</w:t>
      </w:r>
    </w:p>
    <w:p w14:paraId="2DFC2DC9" w14:textId="3C46E41F" w:rsidR="00DA6E2F" w:rsidRDefault="00545B4F" w:rsidP="00F851AA">
      <w:pPr>
        <w:rPr>
          <w:color w:val="222222"/>
          <w:lang w:eastAsia="en-AU"/>
        </w:rPr>
      </w:pPr>
      <w:r w:rsidRPr="00545B4F">
        <w:rPr>
          <w:color w:val="222222"/>
          <w:lang w:eastAsia="en-AU"/>
        </w:rPr>
        <w:t xml:space="preserve">Australia and the Pacific have a shared passion for sport. </w:t>
      </w:r>
      <w:r w:rsidR="005D5647">
        <w:rPr>
          <w:color w:val="222222"/>
          <w:lang w:eastAsia="en-AU"/>
        </w:rPr>
        <w:t xml:space="preserve">The </w:t>
      </w:r>
      <w:r w:rsidRPr="00545B4F">
        <w:rPr>
          <w:color w:val="222222"/>
          <w:lang w:eastAsia="en-AU"/>
        </w:rPr>
        <w:t>PacificAus Sports</w:t>
      </w:r>
      <w:r w:rsidR="00C6269A">
        <w:rPr>
          <w:color w:val="222222"/>
          <w:lang w:eastAsia="en-AU"/>
        </w:rPr>
        <w:t xml:space="preserve"> initiative</w:t>
      </w:r>
      <w:r w:rsidRPr="00545B4F">
        <w:rPr>
          <w:color w:val="222222"/>
          <w:lang w:eastAsia="en-AU"/>
        </w:rPr>
        <w:t xml:space="preserve"> brings us even closer, by unlocking the high-performance potential in our talented regional sports community. </w:t>
      </w:r>
      <w:r w:rsidR="00A80B9F">
        <w:rPr>
          <w:color w:val="222222"/>
          <w:lang w:eastAsia="en-AU"/>
        </w:rPr>
        <w:t xml:space="preserve">The </w:t>
      </w:r>
      <w:r w:rsidRPr="00545B4F">
        <w:rPr>
          <w:color w:val="222222"/>
          <w:lang w:eastAsia="en-AU"/>
        </w:rPr>
        <w:t xml:space="preserve">Team Up </w:t>
      </w:r>
      <w:r w:rsidR="00A80B9F">
        <w:rPr>
          <w:color w:val="222222"/>
          <w:lang w:eastAsia="en-AU"/>
        </w:rPr>
        <w:t xml:space="preserve">program </w:t>
      </w:r>
      <w:r w:rsidRPr="00545B4F">
        <w:rPr>
          <w:color w:val="222222"/>
          <w:lang w:eastAsia="en-AU"/>
        </w:rPr>
        <w:t>supports grassroots sport programs that attract women, girls and people with a disability, as well as men and boys, supporting them to realise their full potential through sport.</w:t>
      </w:r>
      <w:r w:rsidR="00A80B9F">
        <w:rPr>
          <w:color w:val="222222"/>
          <w:lang w:eastAsia="en-AU"/>
        </w:rPr>
        <w:t xml:space="preserve"> </w:t>
      </w:r>
      <w:r w:rsidR="00DA6E2F">
        <w:rPr>
          <w:color w:val="222222"/>
          <w:lang w:eastAsia="en-AU"/>
        </w:rPr>
        <w:t>Australia</w:t>
      </w:r>
      <w:r w:rsidR="00A537C9">
        <w:rPr>
          <w:color w:val="222222"/>
          <w:lang w:eastAsia="en-AU"/>
        </w:rPr>
        <w:t xml:space="preserve"> will</w:t>
      </w:r>
      <w:r w:rsidR="00DA6E2F">
        <w:rPr>
          <w:color w:val="222222"/>
          <w:lang w:eastAsia="en-AU"/>
        </w:rPr>
        <w:t xml:space="preserve"> increase</w:t>
      </w:r>
      <w:r w:rsidR="00DA6E2F" w:rsidRPr="0065397F">
        <w:rPr>
          <w:color w:val="222222"/>
          <w:lang w:eastAsia="en-AU"/>
        </w:rPr>
        <w:t xml:space="preserve"> investments </w:t>
      </w:r>
      <w:r w:rsidR="00DA6E2F">
        <w:rPr>
          <w:color w:val="222222"/>
          <w:lang w:eastAsia="en-AU"/>
        </w:rPr>
        <w:t>that</w:t>
      </w:r>
      <w:r w:rsidR="00DA6E2F" w:rsidRPr="0065397F">
        <w:rPr>
          <w:color w:val="222222"/>
          <w:lang w:eastAsia="en-AU"/>
        </w:rPr>
        <w:t xml:space="preserve"> enable Australia and the Pacific to develop closer ties and a sense of shared identity through sport. </w:t>
      </w:r>
      <w:r w:rsidR="005D5647">
        <w:rPr>
          <w:color w:val="222222"/>
          <w:lang w:eastAsia="en-AU"/>
        </w:rPr>
        <w:t>We will strengthen these linkages and expand them through support for a new National Rugby League team in P</w:t>
      </w:r>
      <w:r w:rsidR="00017962">
        <w:rPr>
          <w:color w:val="222222"/>
          <w:lang w:eastAsia="en-AU"/>
        </w:rPr>
        <w:t>ap</w:t>
      </w:r>
      <w:r w:rsidR="00202DC7">
        <w:rPr>
          <w:color w:val="222222"/>
          <w:lang w:eastAsia="en-AU"/>
        </w:rPr>
        <w:t xml:space="preserve">ua </w:t>
      </w:r>
      <w:r w:rsidR="005D5647">
        <w:rPr>
          <w:color w:val="222222"/>
          <w:lang w:eastAsia="en-AU"/>
        </w:rPr>
        <w:t>N</w:t>
      </w:r>
      <w:r w:rsidR="00202DC7">
        <w:rPr>
          <w:color w:val="222222"/>
          <w:lang w:eastAsia="en-AU"/>
        </w:rPr>
        <w:t xml:space="preserve">ew </w:t>
      </w:r>
      <w:r w:rsidR="005D5647">
        <w:rPr>
          <w:color w:val="222222"/>
          <w:lang w:eastAsia="en-AU"/>
        </w:rPr>
        <w:t>G</w:t>
      </w:r>
      <w:r w:rsidR="00202DC7">
        <w:rPr>
          <w:color w:val="222222"/>
          <w:lang w:eastAsia="en-AU"/>
        </w:rPr>
        <w:t>uinea</w:t>
      </w:r>
      <w:r w:rsidR="005D5647">
        <w:rPr>
          <w:color w:val="222222"/>
          <w:lang w:eastAsia="en-AU"/>
        </w:rPr>
        <w:t xml:space="preserve">, along with a broader </w:t>
      </w:r>
      <w:r w:rsidR="00202DC7">
        <w:rPr>
          <w:color w:val="222222"/>
          <w:lang w:eastAsia="en-AU"/>
        </w:rPr>
        <w:t xml:space="preserve">National Rugby League </w:t>
      </w:r>
      <w:r w:rsidR="005D5647">
        <w:rPr>
          <w:color w:val="222222"/>
          <w:lang w:eastAsia="en-AU"/>
        </w:rPr>
        <w:t xml:space="preserve">Pacific Strategy designed to support </w:t>
      </w:r>
      <w:r w:rsidR="003B0F04">
        <w:rPr>
          <w:color w:val="222222"/>
          <w:lang w:eastAsia="en-AU"/>
        </w:rPr>
        <w:t xml:space="preserve">grassroots and elite </w:t>
      </w:r>
      <w:r w:rsidR="003B0F04" w:rsidRPr="005D50D9">
        <w:rPr>
          <w:color w:val="222222"/>
        </w:rPr>
        <w:t>player</w:t>
      </w:r>
      <w:r w:rsidR="003B0F04">
        <w:rPr>
          <w:color w:val="222222"/>
          <w:lang w:eastAsia="en-AU"/>
        </w:rPr>
        <w:t xml:space="preserve"> </w:t>
      </w:r>
      <w:r w:rsidR="003B0F04" w:rsidRPr="005D50D9">
        <w:rPr>
          <w:color w:val="222222"/>
        </w:rPr>
        <w:t>development</w:t>
      </w:r>
      <w:r w:rsidR="003B0F04">
        <w:rPr>
          <w:color w:val="222222"/>
          <w:lang w:eastAsia="en-AU"/>
        </w:rPr>
        <w:t>.</w:t>
      </w:r>
    </w:p>
    <w:p w14:paraId="3E7534C9" w14:textId="4BF2E445" w:rsidR="00DA6E2F" w:rsidRPr="000415FD" w:rsidRDefault="00DA6E2F" w:rsidP="00F851AA">
      <w:pPr>
        <w:rPr>
          <w:color w:val="222222"/>
          <w:lang w:eastAsia="en-AU"/>
        </w:rPr>
      </w:pPr>
      <w:r>
        <w:rPr>
          <w:color w:val="222222"/>
          <w:lang w:eastAsia="en-AU"/>
        </w:rPr>
        <w:t>Australia has a long history of supporting an independent, resilient and professional media sector in the Pacific. Australia supports Pacific media through capacity building, improved access to trusted and quality content, and deeper industry connections. These investments complement work under Australia’s Indo-Pacific Broadcasting Strategy, including by the</w:t>
      </w:r>
      <w:r w:rsidR="00623664">
        <w:rPr>
          <w:color w:val="222222"/>
          <w:lang w:eastAsia="en-AU"/>
        </w:rPr>
        <w:t xml:space="preserve"> Australian Broadcasting Corporation</w:t>
      </w:r>
      <w:r>
        <w:rPr>
          <w:color w:val="222222"/>
          <w:lang w:eastAsia="en-AU"/>
        </w:rPr>
        <w:t xml:space="preserve"> </w:t>
      </w:r>
      <w:r w:rsidR="00623664">
        <w:rPr>
          <w:color w:val="222222"/>
          <w:lang w:eastAsia="en-AU"/>
        </w:rPr>
        <w:t>(</w:t>
      </w:r>
      <w:r>
        <w:rPr>
          <w:color w:val="222222"/>
          <w:lang w:eastAsia="en-AU"/>
        </w:rPr>
        <w:t>ABC</w:t>
      </w:r>
      <w:r w:rsidR="00623664">
        <w:rPr>
          <w:color w:val="222222"/>
          <w:lang w:eastAsia="en-AU"/>
        </w:rPr>
        <w:t>)</w:t>
      </w:r>
      <w:r>
        <w:rPr>
          <w:color w:val="222222"/>
          <w:lang w:eastAsia="en-AU"/>
        </w:rPr>
        <w:t xml:space="preserve"> and the PacificAus TV initiative. Together, these investments enable sharing of stories, perspectives and culture between Australia</w:t>
      </w:r>
      <w:r w:rsidR="006C5C1A">
        <w:rPr>
          <w:color w:val="222222"/>
          <w:lang w:eastAsia="en-AU"/>
        </w:rPr>
        <w:t>n</w:t>
      </w:r>
      <w:r>
        <w:rPr>
          <w:color w:val="222222"/>
          <w:lang w:eastAsia="en-AU"/>
        </w:rPr>
        <w:t xml:space="preserve"> and Pacific peoples and communities.</w:t>
      </w:r>
    </w:p>
    <w:p w14:paraId="612B1E38" w14:textId="24953338" w:rsidR="002F4955" w:rsidRPr="00C71632" w:rsidRDefault="002F4955" w:rsidP="00C71632">
      <w:pPr>
        <w:pStyle w:val="H3-Heading3"/>
      </w:pPr>
      <w:r w:rsidRPr="00C71632">
        <w:t xml:space="preserve">Objective 2: </w:t>
      </w:r>
      <w:r w:rsidR="007A0955" w:rsidRPr="00C71632">
        <w:t>Regional action on climate change and disasters</w:t>
      </w:r>
    </w:p>
    <w:p w14:paraId="70DD0D17" w14:textId="402BF88B" w:rsidR="00271713" w:rsidRDefault="000F5CB7" w:rsidP="00F851AA">
      <w:pPr>
        <w:rPr>
          <w:lang w:eastAsia="en-AU"/>
        </w:rPr>
      </w:pPr>
      <w:r>
        <w:rPr>
          <w:lang w:eastAsia="en-AU"/>
        </w:rPr>
        <w:t>Objective 2</w:t>
      </w:r>
      <w:r w:rsidRPr="00BB792E">
        <w:rPr>
          <w:lang w:eastAsia="en-AU"/>
        </w:rPr>
        <w:t xml:space="preserve"> </w:t>
      </w:r>
      <w:r w:rsidR="004D391E">
        <w:rPr>
          <w:lang w:eastAsia="en-AU"/>
        </w:rPr>
        <w:t>contributes to the following</w:t>
      </w:r>
      <w:r w:rsidRPr="00BB792E">
        <w:rPr>
          <w:lang w:eastAsia="en-AU"/>
        </w:rPr>
        <w:t xml:space="preserve"> focus areas of Australia’s International Development Policy</w:t>
      </w:r>
      <w:r>
        <w:rPr>
          <w:lang w:eastAsia="en-AU"/>
        </w:rPr>
        <w:t xml:space="preserve">: </w:t>
      </w:r>
    </w:p>
    <w:p w14:paraId="55C115AB" w14:textId="35489382" w:rsidR="00271713" w:rsidRDefault="000F5CB7" w:rsidP="00876B1A">
      <w:pPr>
        <w:pStyle w:val="NormalBullets-L1"/>
      </w:pPr>
      <w:r w:rsidRPr="483DBD79">
        <w:t>enhance state and community resilience to external pressures and shocks</w:t>
      </w:r>
    </w:p>
    <w:p w14:paraId="1467C89C" w14:textId="599CD2A1" w:rsidR="000F5CB7" w:rsidRDefault="000F5CB7" w:rsidP="00876B1A">
      <w:pPr>
        <w:pStyle w:val="NormalBullets-L1"/>
      </w:pPr>
      <w:r w:rsidRPr="483DBD79">
        <w:t>generate collective action on global challenges that impact us and our region.</w:t>
      </w:r>
    </w:p>
    <w:p w14:paraId="4E6945C6" w14:textId="540C3D6B" w:rsidR="00BB1881" w:rsidRDefault="0068689B" w:rsidP="00F851AA">
      <w:pPr>
        <w:rPr>
          <w:rFonts w:eastAsia="Calibri Light"/>
        </w:rPr>
      </w:pPr>
      <w:r>
        <w:t xml:space="preserve">Climate change </w:t>
      </w:r>
      <w:r w:rsidR="00E82603">
        <w:t xml:space="preserve">impacts are </w:t>
      </w:r>
      <w:r>
        <w:t xml:space="preserve">an existential threat in the Pacific. </w:t>
      </w:r>
      <w:r w:rsidR="00BB1881" w:rsidRPr="000F5CB7">
        <w:t xml:space="preserve">Pacific island countries have clearly communicated their climate change priorities </w:t>
      </w:r>
      <w:r w:rsidR="00BB1881">
        <w:t>and</w:t>
      </w:r>
      <w:r w:rsidR="00BB1881" w:rsidRPr="008D2EAA">
        <w:rPr>
          <w:rFonts w:eastAsia="Calibri Light"/>
        </w:rPr>
        <w:t xml:space="preserve"> </w:t>
      </w:r>
      <w:r w:rsidR="00271713">
        <w:rPr>
          <w:rFonts w:eastAsia="Calibri Light"/>
        </w:rPr>
        <w:t>are leaders</w:t>
      </w:r>
      <w:r w:rsidR="00BB1881" w:rsidRPr="008D2EAA">
        <w:t xml:space="preserve"> in global climate </w:t>
      </w:r>
      <w:r w:rsidR="00BB1881" w:rsidRPr="008D2EAA">
        <w:rPr>
          <w:rFonts w:eastAsia="Calibri Light"/>
        </w:rPr>
        <w:t>forums</w:t>
      </w:r>
      <w:r w:rsidR="00271713">
        <w:rPr>
          <w:rFonts w:eastAsia="Calibri Light"/>
        </w:rPr>
        <w:t>,</w:t>
      </w:r>
      <w:r w:rsidR="00BB1881" w:rsidRPr="008D2EAA">
        <w:rPr>
          <w:rFonts w:eastAsia="Calibri Light"/>
        </w:rPr>
        <w:t xml:space="preserve"> advocating for stronger</w:t>
      </w:r>
      <w:r w:rsidR="00BB1881" w:rsidRPr="008D2EAA">
        <w:t xml:space="preserve"> climate </w:t>
      </w:r>
      <w:r w:rsidR="00BB1881" w:rsidRPr="008D2EAA">
        <w:rPr>
          <w:rFonts w:eastAsia="Calibri Light"/>
        </w:rPr>
        <w:t>commitments and calling for</w:t>
      </w:r>
      <w:r w:rsidR="00015E72">
        <w:rPr>
          <w:rFonts w:eastAsia="Calibri Light"/>
        </w:rPr>
        <w:t xml:space="preserve"> act</w:t>
      </w:r>
      <w:r>
        <w:rPr>
          <w:rFonts w:eastAsia="Calibri Light"/>
        </w:rPr>
        <w:t xml:space="preserve">ions </w:t>
      </w:r>
      <w:r w:rsidR="001C52AA">
        <w:rPr>
          <w:rFonts w:eastAsia="Calibri Light"/>
        </w:rPr>
        <w:t>to</w:t>
      </w:r>
      <w:r w:rsidR="001C52AA" w:rsidRPr="008D2EAA">
        <w:rPr>
          <w:rFonts w:eastAsia="Calibri Light"/>
        </w:rPr>
        <w:t xml:space="preserve"> </w:t>
      </w:r>
      <w:r w:rsidR="00BB1881" w:rsidRPr="008D2EAA">
        <w:rPr>
          <w:rFonts w:eastAsia="Calibri Light"/>
        </w:rPr>
        <w:t>limit global warming to 1.5</w:t>
      </w:r>
      <w:r w:rsidR="00576B3C" w:rsidRPr="00547BC4">
        <w:rPr>
          <w:rFonts w:eastAsia="Calibri Light"/>
        </w:rPr>
        <w:t>°</w:t>
      </w:r>
      <w:r w:rsidR="00576B3C">
        <w:rPr>
          <w:rFonts w:eastAsia="Calibri Light"/>
        </w:rPr>
        <w:t>C</w:t>
      </w:r>
      <w:r w:rsidR="00BB1881" w:rsidRPr="008D2EAA">
        <w:rPr>
          <w:rFonts w:eastAsia="Calibri Light"/>
        </w:rPr>
        <w:t>.</w:t>
      </w:r>
    </w:p>
    <w:p w14:paraId="76F7822F" w14:textId="4238828D" w:rsidR="000F5CB7" w:rsidRDefault="00E532A1" w:rsidP="00F851AA">
      <w:r>
        <w:t>R</w:t>
      </w:r>
      <w:r w:rsidR="009C646C" w:rsidRPr="00235CEF">
        <w:t>ecognising Pacific priorities and leadership</w:t>
      </w:r>
      <w:r w:rsidR="009C646C">
        <w:t xml:space="preserve">, and </w:t>
      </w:r>
      <w:r w:rsidR="00235CEF" w:rsidRPr="00235CEF">
        <w:t xml:space="preserve">the urgency of addressing the climate crisis, </w:t>
      </w:r>
      <w:r w:rsidR="00A263F8">
        <w:t>Australia</w:t>
      </w:r>
      <w:r w:rsidR="00235CEF" w:rsidRPr="00235CEF">
        <w:t xml:space="preserve"> is making climate change a central pillar of all our partnerships.</w:t>
      </w:r>
      <w:r w:rsidR="000F5CB7" w:rsidRPr="000F5CB7">
        <w:rPr>
          <w:szCs w:val="21"/>
        </w:rPr>
        <w:t xml:space="preserve"> </w:t>
      </w:r>
      <w:r w:rsidR="000F5CB7" w:rsidRPr="00C672AD">
        <w:t xml:space="preserve">Australia will deliver quality climate programming to respond to nationally determined needs. This includes providing and mobilising climate finance to meet the needs of the </w:t>
      </w:r>
      <w:proofErr w:type="gramStart"/>
      <w:r w:rsidR="000F5CB7" w:rsidRPr="00C672AD">
        <w:t>region</w:t>
      </w:r>
      <w:r w:rsidR="00881DBB">
        <w:t>,</w:t>
      </w:r>
      <w:r w:rsidR="000F5CB7" w:rsidRPr="00C672AD">
        <w:t xml:space="preserve"> and</w:t>
      </w:r>
      <w:proofErr w:type="gramEnd"/>
      <w:r w:rsidR="000F5CB7" w:rsidRPr="00C672AD">
        <w:t xml:space="preserve"> strengthening the capacity and readiness of Pacific governments and communities to deal with the impact of climate change and disasters.</w:t>
      </w:r>
    </w:p>
    <w:p w14:paraId="4A4259DF" w14:textId="749D196B" w:rsidR="00D478D7" w:rsidRDefault="00CD6FFA" w:rsidP="00F851AA">
      <w:pPr>
        <w:rPr>
          <w:lang w:eastAsia="en-AU"/>
        </w:rPr>
      </w:pPr>
      <w:r>
        <w:rPr>
          <w:lang w:eastAsia="en-AU"/>
        </w:rPr>
        <w:t>We</w:t>
      </w:r>
      <w:r w:rsidR="001400F6" w:rsidRPr="00B0475B">
        <w:rPr>
          <w:lang w:eastAsia="en-AU"/>
        </w:rPr>
        <w:t xml:space="preserve"> will integrate climate change and disaster resilience across all investments in the </w:t>
      </w:r>
      <w:r>
        <w:rPr>
          <w:lang w:eastAsia="en-AU"/>
        </w:rPr>
        <w:t xml:space="preserve">regional </w:t>
      </w:r>
      <w:r w:rsidR="001400F6" w:rsidRPr="00B0475B">
        <w:rPr>
          <w:lang w:eastAsia="en-AU"/>
        </w:rPr>
        <w:t>portfolio. This includes attention to climate resilient school infrastructure, coastal and flood management activities</w:t>
      </w:r>
      <w:r w:rsidR="00881DBB">
        <w:rPr>
          <w:lang w:eastAsia="en-AU"/>
        </w:rPr>
        <w:t>,</w:t>
      </w:r>
      <w:r w:rsidR="001400F6" w:rsidRPr="00B0475B">
        <w:rPr>
          <w:lang w:eastAsia="en-AU"/>
        </w:rPr>
        <w:t xml:space="preserve"> and renewable energy projects, such as through the AIFFP</w:t>
      </w:r>
      <w:r w:rsidR="00E82603">
        <w:rPr>
          <w:lang w:eastAsia="en-AU"/>
        </w:rPr>
        <w:t>’s</w:t>
      </w:r>
      <w:r w:rsidR="001400F6" w:rsidRPr="00B0475B">
        <w:rPr>
          <w:lang w:eastAsia="en-AU"/>
        </w:rPr>
        <w:t xml:space="preserve"> Palau Solar </w:t>
      </w:r>
      <w:r w:rsidR="00F07703">
        <w:rPr>
          <w:lang w:eastAsia="en-AU"/>
        </w:rPr>
        <w:t>p</w:t>
      </w:r>
      <w:r w:rsidR="001400F6" w:rsidRPr="00B0475B">
        <w:rPr>
          <w:lang w:eastAsia="en-AU"/>
        </w:rPr>
        <w:t xml:space="preserve">roject and </w:t>
      </w:r>
      <w:r w:rsidR="00881DBB">
        <w:rPr>
          <w:lang w:eastAsia="en-AU"/>
        </w:rPr>
        <w:t xml:space="preserve">the </w:t>
      </w:r>
      <w:r w:rsidR="001400F6" w:rsidRPr="00B0475B">
        <w:rPr>
          <w:lang w:eastAsia="en-AU"/>
        </w:rPr>
        <w:t xml:space="preserve">Nadi Flood Alleviation </w:t>
      </w:r>
      <w:r w:rsidR="00F07703">
        <w:rPr>
          <w:lang w:eastAsia="en-AU"/>
        </w:rPr>
        <w:t xml:space="preserve">Project </w:t>
      </w:r>
      <w:r w:rsidR="001400F6" w:rsidRPr="00B0475B">
        <w:rPr>
          <w:lang w:eastAsia="en-AU"/>
        </w:rPr>
        <w:t>feasibility study</w:t>
      </w:r>
      <w:r w:rsidR="00E82603">
        <w:rPr>
          <w:lang w:eastAsia="en-AU"/>
        </w:rPr>
        <w:t xml:space="preserve"> in</w:t>
      </w:r>
      <w:r w:rsidR="001400F6" w:rsidRPr="00B0475B">
        <w:rPr>
          <w:lang w:eastAsia="en-AU"/>
        </w:rPr>
        <w:t xml:space="preserve"> Fiji.</w:t>
      </w:r>
    </w:p>
    <w:p w14:paraId="456F57AC" w14:textId="795A12BC" w:rsidR="001400F6" w:rsidRDefault="6FDA89A5" w:rsidP="00F851AA">
      <w:pPr>
        <w:rPr>
          <w:szCs w:val="21"/>
        </w:rPr>
      </w:pPr>
      <w:r w:rsidRPr="004A542D">
        <w:rPr>
          <w:szCs w:val="21"/>
        </w:rPr>
        <w:lastRenderedPageBreak/>
        <w:t xml:space="preserve">Australia has </w:t>
      </w:r>
      <w:r w:rsidR="007D5237">
        <w:rPr>
          <w:szCs w:val="21"/>
        </w:rPr>
        <w:t>increased its</w:t>
      </w:r>
      <w:r w:rsidRPr="004A542D">
        <w:rPr>
          <w:szCs w:val="21"/>
        </w:rPr>
        <w:t xml:space="preserve"> previous </w:t>
      </w:r>
      <w:r w:rsidR="00906BC8">
        <w:rPr>
          <w:szCs w:val="21"/>
        </w:rPr>
        <w:t>$</w:t>
      </w:r>
      <w:r w:rsidR="00906BC8" w:rsidRPr="004A542D">
        <w:rPr>
          <w:szCs w:val="21"/>
        </w:rPr>
        <w:t xml:space="preserve">2 </w:t>
      </w:r>
      <w:r w:rsidRPr="004A542D">
        <w:rPr>
          <w:szCs w:val="21"/>
        </w:rPr>
        <w:t xml:space="preserve">billion climate finance commitment and expects to deliver </w:t>
      </w:r>
      <w:r w:rsidR="00906BC8">
        <w:rPr>
          <w:szCs w:val="21"/>
        </w:rPr>
        <w:t>$</w:t>
      </w:r>
      <w:r w:rsidR="00906BC8" w:rsidRPr="004A542D">
        <w:rPr>
          <w:szCs w:val="21"/>
        </w:rPr>
        <w:t>3 </w:t>
      </w:r>
      <w:r w:rsidRPr="004A542D">
        <w:rPr>
          <w:szCs w:val="21"/>
        </w:rPr>
        <w:t xml:space="preserve">billion to the global </w:t>
      </w:r>
      <w:r w:rsidR="00E82603">
        <w:rPr>
          <w:szCs w:val="21"/>
        </w:rPr>
        <w:t xml:space="preserve">climate finance </w:t>
      </w:r>
      <w:r w:rsidRPr="004A542D">
        <w:rPr>
          <w:szCs w:val="21"/>
        </w:rPr>
        <w:t>goal over 2020</w:t>
      </w:r>
      <w:r w:rsidR="00881DBB">
        <w:rPr>
          <w:szCs w:val="21"/>
        </w:rPr>
        <w:t>–</w:t>
      </w:r>
      <w:r w:rsidRPr="004A542D">
        <w:rPr>
          <w:szCs w:val="21"/>
        </w:rPr>
        <w:t xml:space="preserve">25. </w:t>
      </w:r>
      <w:r w:rsidR="001400F6" w:rsidRPr="00DC1433">
        <w:rPr>
          <w:lang w:eastAsia="en-AU"/>
        </w:rPr>
        <w:t xml:space="preserve">Australia is contributing a foundational </w:t>
      </w:r>
      <w:r w:rsidR="003800A0">
        <w:rPr>
          <w:lang w:eastAsia="en-AU"/>
        </w:rPr>
        <w:t>$</w:t>
      </w:r>
      <w:r w:rsidR="003800A0" w:rsidRPr="00DC1433">
        <w:rPr>
          <w:lang w:eastAsia="en-AU"/>
        </w:rPr>
        <w:t xml:space="preserve">100 </w:t>
      </w:r>
      <w:r w:rsidR="001400F6" w:rsidRPr="00DC1433">
        <w:rPr>
          <w:lang w:eastAsia="en-AU"/>
        </w:rPr>
        <w:t>million to help capitalise the Pacific Resilience Facility, a Pacific</w:t>
      </w:r>
      <w:r w:rsidR="00547BC4">
        <w:rPr>
          <w:lang w:eastAsia="en-AU"/>
        </w:rPr>
        <w:t xml:space="preserve"> </w:t>
      </w:r>
      <w:r w:rsidR="001400F6" w:rsidRPr="00DC1433">
        <w:rPr>
          <w:lang w:eastAsia="en-AU"/>
        </w:rPr>
        <w:t xml:space="preserve">led climate finance initiative to build climate resilience. </w:t>
      </w:r>
      <w:r w:rsidR="001400F6" w:rsidRPr="00160810">
        <w:rPr>
          <w:szCs w:val="21"/>
        </w:rPr>
        <w:t>Australia is also re</w:t>
      </w:r>
      <w:r w:rsidR="00881DBB">
        <w:rPr>
          <w:szCs w:val="21"/>
        </w:rPr>
        <w:noBreakHyphen/>
      </w:r>
      <w:r w:rsidR="001400F6" w:rsidRPr="00160810">
        <w:rPr>
          <w:szCs w:val="21"/>
        </w:rPr>
        <w:t xml:space="preserve">engaging with the Green Climate </w:t>
      </w:r>
      <w:r w:rsidR="00B20030" w:rsidRPr="00160810">
        <w:rPr>
          <w:szCs w:val="21"/>
        </w:rPr>
        <w:t>Fund,</w:t>
      </w:r>
      <w:r w:rsidR="001400F6" w:rsidRPr="00160810">
        <w:rPr>
          <w:szCs w:val="21"/>
        </w:rPr>
        <w:t xml:space="preserve"> pledging </w:t>
      </w:r>
      <w:r w:rsidR="003800A0">
        <w:rPr>
          <w:szCs w:val="21"/>
        </w:rPr>
        <w:t>$</w:t>
      </w:r>
      <w:r w:rsidR="003800A0" w:rsidRPr="00160810">
        <w:rPr>
          <w:szCs w:val="21"/>
        </w:rPr>
        <w:t xml:space="preserve">50 </w:t>
      </w:r>
      <w:r w:rsidR="001400F6" w:rsidRPr="00160810">
        <w:rPr>
          <w:szCs w:val="21"/>
        </w:rPr>
        <w:t>million</w:t>
      </w:r>
      <w:r w:rsidR="00881DBB">
        <w:rPr>
          <w:szCs w:val="21"/>
        </w:rPr>
        <w:t>,</w:t>
      </w:r>
      <w:r w:rsidR="005A4D0A">
        <w:rPr>
          <w:szCs w:val="21"/>
        </w:rPr>
        <w:t xml:space="preserve"> and</w:t>
      </w:r>
      <w:r w:rsidR="00D7754D" w:rsidRPr="00160810">
        <w:rPr>
          <w:szCs w:val="21"/>
        </w:rPr>
        <w:t xml:space="preserve"> </w:t>
      </w:r>
      <w:r w:rsidR="00D24D54" w:rsidRPr="00160810">
        <w:rPr>
          <w:szCs w:val="21"/>
        </w:rPr>
        <w:t>will advocate</w:t>
      </w:r>
      <w:r w:rsidR="001400F6" w:rsidRPr="00160810">
        <w:rPr>
          <w:szCs w:val="21"/>
        </w:rPr>
        <w:t xml:space="preserve"> </w:t>
      </w:r>
      <w:r w:rsidR="003D2CA8">
        <w:rPr>
          <w:szCs w:val="21"/>
        </w:rPr>
        <w:t>for</w:t>
      </w:r>
      <w:r w:rsidR="003D2CA8" w:rsidRPr="00160810">
        <w:rPr>
          <w:szCs w:val="21"/>
        </w:rPr>
        <w:t xml:space="preserve"> prioritisa</w:t>
      </w:r>
      <w:r w:rsidR="003D2CA8">
        <w:rPr>
          <w:szCs w:val="21"/>
        </w:rPr>
        <w:t>tion</w:t>
      </w:r>
      <w:r w:rsidR="001400F6" w:rsidRPr="00160810">
        <w:rPr>
          <w:szCs w:val="21"/>
        </w:rPr>
        <w:t xml:space="preserve"> </w:t>
      </w:r>
      <w:r w:rsidR="00881DBB">
        <w:rPr>
          <w:szCs w:val="21"/>
        </w:rPr>
        <w:t xml:space="preserve">of </w:t>
      </w:r>
      <w:r w:rsidR="001400F6" w:rsidRPr="00160810">
        <w:rPr>
          <w:szCs w:val="21"/>
        </w:rPr>
        <w:t>G</w:t>
      </w:r>
      <w:r w:rsidR="003D2CA8">
        <w:rPr>
          <w:szCs w:val="21"/>
        </w:rPr>
        <w:t xml:space="preserve">reen </w:t>
      </w:r>
      <w:r w:rsidR="001400F6" w:rsidRPr="00160810">
        <w:rPr>
          <w:szCs w:val="21"/>
        </w:rPr>
        <w:t>C</w:t>
      </w:r>
      <w:r w:rsidR="003D2CA8">
        <w:rPr>
          <w:szCs w:val="21"/>
        </w:rPr>
        <w:t xml:space="preserve">limate </w:t>
      </w:r>
      <w:r w:rsidR="001400F6" w:rsidRPr="00160810">
        <w:rPr>
          <w:szCs w:val="21"/>
        </w:rPr>
        <w:t>F</w:t>
      </w:r>
      <w:r w:rsidR="003D2CA8">
        <w:rPr>
          <w:szCs w:val="21"/>
        </w:rPr>
        <w:t>und</w:t>
      </w:r>
      <w:r w:rsidR="001400F6" w:rsidRPr="00160810">
        <w:rPr>
          <w:szCs w:val="21"/>
        </w:rPr>
        <w:t xml:space="preserve"> financing for the Pacific.</w:t>
      </w:r>
      <w:r w:rsidR="00F179EB">
        <w:rPr>
          <w:szCs w:val="21"/>
        </w:rPr>
        <w:t xml:space="preserve"> Australia </w:t>
      </w:r>
      <w:r w:rsidR="00140343">
        <w:rPr>
          <w:szCs w:val="21"/>
        </w:rPr>
        <w:t xml:space="preserve">has </w:t>
      </w:r>
      <w:r w:rsidR="00226879">
        <w:rPr>
          <w:szCs w:val="21"/>
        </w:rPr>
        <w:t>pledged</w:t>
      </w:r>
      <w:r w:rsidR="00140343">
        <w:rPr>
          <w:szCs w:val="21"/>
        </w:rPr>
        <w:t xml:space="preserve"> $50 million to</w:t>
      </w:r>
      <w:r w:rsidR="00226879">
        <w:rPr>
          <w:szCs w:val="21"/>
        </w:rPr>
        <w:t xml:space="preserve"> the Fund for Responding to Loss and Damage, to assist countries impacted by the climate crisis.</w:t>
      </w:r>
      <w:r w:rsidR="001400F6" w:rsidRPr="001400F6">
        <w:rPr>
          <w:lang w:eastAsia="en-AU"/>
        </w:rPr>
        <w:t xml:space="preserve"> </w:t>
      </w:r>
      <w:r w:rsidR="001400F6" w:rsidRPr="00DC1433">
        <w:rPr>
          <w:lang w:eastAsia="en-AU"/>
        </w:rPr>
        <w:t>We are embedding technical experts in eight Pacific countries to help Pacific ministries plan and prepare for climate investment opportunities, structure finance, develop a pipeline of high-impact projects and support country-identified needs.</w:t>
      </w:r>
    </w:p>
    <w:p w14:paraId="40AC66B5" w14:textId="6F4C6067" w:rsidR="001400F6" w:rsidRPr="00B0475B" w:rsidRDefault="001400F6" w:rsidP="00F851AA">
      <w:pPr>
        <w:rPr>
          <w:lang w:eastAsia="en-AU"/>
        </w:rPr>
      </w:pPr>
      <w:r w:rsidRPr="00B0475B">
        <w:rPr>
          <w:lang w:eastAsia="en-AU"/>
        </w:rPr>
        <w:t xml:space="preserve">Australia supports partner governments and regional organisations in the Pacific to implement climate adaptation and resilience priorities. </w:t>
      </w:r>
      <w:r w:rsidRPr="00DC1433">
        <w:rPr>
          <w:lang w:eastAsia="en-AU"/>
        </w:rPr>
        <w:t xml:space="preserve">Australia will invest at least </w:t>
      </w:r>
      <w:r w:rsidR="005B3EDE">
        <w:rPr>
          <w:lang w:eastAsia="en-AU"/>
        </w:rPr>
        <w:t>$</w:t>
      </w:r>
      <w:r w:rsidR="005B3EDE" w:rsidRPr="00DC1433">
        <w:rPr>
          <w:lang w:eastAsia="en-AU"/>
        </w:rPr>
        <w:t xml:space="preserve">350 </w:t>
      </w:r>
      <w:r w:rsidRPr="00DC1433">
        <w:rPr>
          <w:lang w:eastAsia="en-AU"/>
        </w:rPr>
        <w:t xml:space="preserve">million in climate resilient infrastructure through AIFFP’s Pacific Climate Infrastructure Financing Partnership, including at least </w:t>
      </w:r>
      <w:r w:rsidR="005B3EDE">
        <w:rPr>
          <w:lang w:eastAsia="en-AU"/>
        </w:rPr>
        <w:t>$</w:t>
      </w:r>
      <w:r w:rsidR="005B3EDE" w:rsidRPr="00DC1433">
        <w:rPr>
          <w:lang w:eastAsia="en-AU"/>
        </w:rPr>
        <w:t xml:space="preserve">75 </w:t>
      </w:r>
      <w:r w:rsidRPr="00DC1433">
        <w:rPr>
          <w:lang w:eastAsia="en-AU"/>
        </w:rPr>
        <w:t>million in off</w:t>
      </w:r>
      <w:r w:rsidR="00881DBB">
        <w:rPr>
          <w:lang w:eastAsia="en-AU"/>
        </w:rPr>
        <w:t>-</w:t>
      </w:r>
      <w:r w:rsidRPr="00DC1433">
        <w:rPr>
          <w:lang w:eastAsia="en-AU"/>
        </w:rPr>
        <w:t>grid and community</w:t>
      </w:r>
      <w:r w:rsidR="00881DBB">
        <w:rPr>
          <w:lang w:eastAsia="en-AU"/>
        </w:rPr>
        <w:t>-</w:t>
      </w:r>
      <w:r w:rsidRPr="00DC1433">
        <w:rPr>
          <w:lang w:eastAsia="en-AU"/>
        </w:rPr>
        <w:t>scale renewable energy</w:t>
      </w:r>
      <w:r w:rsidR="00881DBB">
        <w:rPr>
          <w:lang w:eastAsia="en-AU"/>
        </w:rPr>
        <w:t>,</w:t>
      </w:r>
      <w:r w:rsidRPr="00DC1433">
        <w:rPr>
          <w:lang w:eastAsia="en-AU"/>
        </w:rPr>
        <w:t xml:space="preserve"> and </w:t>
      </w:r>
      <w:r w:rsidR="005B3EDE">
        <w:rPr>
          <w:lang w:eastAsia="en-AU"/>
        </w:rPr>
        <w:t>$</w:t>
      </w:r>
      <w:r w:rsidR="005B3EDE" w:rsidRPr="00DC1433">
        <w:rPr>
          <w:lang w:eastAsia="en-AU"/>
        </w:rPr>
        <w:t xml:space="preserve">50 </w:t>
      </w:r>
      <w:r w:rsidRPr="00DC1433">
        <w:rPr>
          <w:lang w:eastAsia="en-AU"/>
        </w:rPr>
        <w:t>million in</w:t>
      </w:r>
      <w:r w:rsidR="005B3EDE">
        <w:rPr>
          <w:lang w:eastAsia="en-AU"/>
        </w:rPr>
        <w:t xml:space="preserve"> strengthening</w:t>
      </w:r>
      <w:r w:rsidRPr="00DC1433">
        <w:rPr>
          <w:lang w:eastAsia="en-AU"/>
        </w:rPr>
        <w:t xml:space="preserve"> climate resilience and emission</w:t>
      </w:r>
      <w:r w:rsidR="0016515B">
        <w:rPr>
          <w:lang w:eastAsia="en-AU"/>
        </w:rPr>
        <w:t>s</w:t>
      </w:r>
      <w:r w:rsidRPr="00DC1433">
        <w:rPr>
          <w:lang w:eastAsia="en-AU"/>
        </w:rPr>
        <w:t xml:space="preserve"> </w:t>
      </w:r>
      <w:r w:rsidR="00B20030" w:rsidRPr="00DC1433">
        <w:rPr>
          <w:lang w:eastAsia="en-AU"/>
        </w:rPr>
        <w:t>mitigation.</w:t>
      </w:r>
      <w:r w:rsidRPr="00DC1433">
        <w:rPr>
          <w:lang w:eastAsia="en-AU"/>
        </w:rPr>
        <w:t xml:space="preserve"> </w:t>
      </w:r>
      <w:r>
        <w:rPr>
          <w:lang w:eastAsia="en-AU"/>
        </w:rPr>
        <w:t>The</w:t>
      </w:r>
      <w:r w:rsidRPr="00B0475B">
        <w:rPr>
          <w:lang w:eastAsia="en-AU"/>
        </w:rPr>
        <w:t xml:space="preserve"> Infrastructure for Resilient Island States initiative </w:t>
      </w:r>
      <w:r w:rsidR="00D30CD7">
        <w:rPr>
          <w:lang w:eastAsia="en-AU"/>
        </w:rPr>
        <w:t xml:space="preserve">is </w:t>
      </w:r>
      <w:r w:rsidRPr="00B0475B">
        <w:rPr>
          <w:lang w:eastAsia="en-AU"/>
        </w:rPr>
        <w:t xml:space="preserve">a long-term </w:t>
      </w:r>
      <w:proofErr w:type="spellStart"/>
      <w:r w:rsidRPr="00B0475B">
        <w:rPr>
          <w:lang w:eastAsia="en-AU"/>
        </w:rPr>
        <w:t>multipartner</w:t>
      </w:r>
      <w:proofErr w:type="spellEnd"/>
      <w:r w:rsidRPr="00B0475B">
        <w:rPr>
          <w:lang w:eastAsia="en-AU"/>
        </w:rPr>
        <w:t xml:space="preserve"> investment designed to support access to finance, technical support and local technical expertise to improve the resilience of infrastructure to climate change and disaster</w:t>
      </w:r>
      <w:r w:rsidR="00D30CD7">
        <w:rPr>
          <w:lang w:eastAsia="en-AU"/>
        </w:rPr>
        <w:t>s</w:t>
      </w:r>
      <w:r w:rsidRPr="00B0475B">
        <w:rPr>
          <w:lang w:eastAsia="en-AU"/>
        </w:rPr>
        <w:t xml:space="preserve">. Through </w:t>
      </w:r>
      <w:r w:rsidR="00D30CD7">
        <w:rPr>
          <w:lang w:eastAsia="en-AU"/>
        </w:rPr>
        <w:t>the initiative</w:t>
      </w:r>
      <w:r w:rsidRPr="00B0475B">
        <w:rPr>
          <w:lang w:eastAsia="en-AU"/>
        </w:rPr>
        <w:t>, Australia will support locally</w:t>
      </w:r>
      <w:r w:rsidR="0012717B">
        <w:rPr>
          <w:lang w:eastAsia="en-AU"/>
        </w:rPr>
        <w:t xml:space="preserve"> </w:t>
      </w:r>
      <w:r w:rsidRPr="00B0475B">
        <w:rPr>
          <w:lang w:eastAsia="en-AU"/>
        </w:rPr>
        <w:t>led and gender-responsive solutions to infrastructure resilience challenges.</w:t>
      </w:r>
    </w:p>
    <w:p w14:paraId="070AC145" w14:textId="1379B08C" w:rsidR="00AC73FA" w:rsidRPr="00853135" w:rsidRDefault="0093297E" w:rsidP="00F851AA">
      <w:pPr>
        <w:rPr>
          <w:lang w:eastAsia="en-AU"/>
        </w:rPr>
      </w:pPr>
      <w:r w:rsidRPr="00853135">
        <w:rPr>
          <w:lang w:eastAsia="en-AU"/>
        </w:rPr>
        <w:t>We support the Pacific</w:t>
      </w:r>
      <w:r w:rsidR="00525E48">
        <w:rPr>
          <w:lang w:eastAsia="en-AU"/>
        </w:rPr>
        <w:t>’</w:t>
      </w:r>
      <w:r w:rsidRPr="00853135">
        <w:rPr>
          <w:lang w:eastAsia="en-AU"/>
        </w:rPr>
        <w:t>s</w:t>
      </w:r>
      <w:r w:rsidR="0016515B">
        <w:rPr>
          <w:lang w:eastAsia="en-AU"/>
        </w:rPr>
        <w:t xml:space="preserve"> </w:t>
      </w:r>
      <w:r w:rsidRPr="00853135">
        <w:rPr>
          <w:lang w:eastAsia="en-AU"/>
        </w:rPr>
        <w:t>regional and global advocacy efforts for the sustainable development, management and conservation of the ocean and its resources.</w:t>
      </w:r>
      <w:r>
        <w:rPr>
          <w:lang w:eastAsia="en-AU"/>
        </w:rPr>
        <w:t xml:space="preserve"> </w:t>
      </w:r>
      <w:r w:rsidRPr="00853135">
        <w:rPr>
          <w:lang w:eastAsia="en-AU"/>
        </w:rPr>
        <w:t xml:space="preserve">Australia </w:t>
      </w:r>
      <w:r w:rsidR="00D40F2A">
        <w:rPr>
          <w:lang w:eastAsia="en-AU"/>
        </w:rPr>
        <w:t>strongly supports</w:t>
      </w:r>
      <w:r w:rsidRPr="00853135">
        <w:rPr>
          <w:lang w:eastAsia="en-AU"/>
        </w:rPr>
        <w:t xml:space="preserve"> the Pacific Ocean Commissioner</w:t>
      </w:r>
      <w:r w:rsidR="00B72557">
        <w:rPr>
          <w:lang w:eastAsia="en-AU"/>
        </w:rPr>
        <w:t>’</w:t>
      </w:r>
      <w:r w:rsidRPr="00853135">
        <w:rPr>
          <w:lang w:eastAsia="en-AU"/>
        </w:rPr>
        <w:t>s role in oceans advocacy and coordination.</w:t>
      </w:r>
      <w:r>
        <w:rPr>
          <w:lang w:eastAsia="en-AU"/>
        </w:rPr>
        <w:t xml:space="preserve"> </w:t>
      </w:r>
      <w:r w:rsidR="00520BD7">
        <w:rPr>
          <w:color w:val="222222"/>
          <w:lang w:eastAsia="en-AU"/>
        </w:rPr>
        <w:t xml:space="preserve">Australia </w:t>
      </w:r>
      <w:r w:rsidR="006D3E95">
        <w:rPr>
          <w:color w:val="222222"/>
          <w:lang w:eastAsia="en-AU"/>
        </w:rPr>
        <w:t xml:space="preserve">has </w:t>
      </w:r>
      <w:r w:rsidR="00520BD7" w:rsidRPr="00DC1433">
        <w:rPr>
          <w:rFonts w:cs="Calibri Light"/>
          <w:color w:val="222222"/>
          <w:lang w:eastAsia="en-AU"/>
        </w:rPr>
        <w:t xml:space="preserve">committed </w:t>
      </w:r>
      <w:r w:rsidR="00465546">
        <w:rPr>
          <w:rFonts w:cs="Calibri Light"/>
          <w:color w:val="222222"/>
          <w:lang w:eastAsia="en-AU"/>
        </w:rPr>
        <w:t>$</w:t>
      </w:r>
      <w:r w:rsidR="00465546" w:rsidRPr="00DC1433">
        <w:rPr>
          <w:rFonts w:cs="Calibri Light"/>
          <w:color w:val="222222"/>
          <w:lang w:eastAsia="en-AU"/>
        </w:rPr>
        <w:t xml:space="preserve">30 </w:t>
      </w:r>
      <w:r w:rsidR="00520BD7" w:rsidRPr="00DC1433">
        <w:rPr>
          <w:rFonts w:cs="Calibri Light"/>
          <w:color w:val="222222"/>
          <w:lang w:eastAsia="en-AU"/>
        </w:rPr>
        <w:t>million to the Weather Ready Pacific program</w:t>
      </w:r>
      <w:r w:rsidR="0050575A">
        <w:rPr>
          <w:rFonts w:cs="Calibri Light"/>
          <w:color w:val="222222"/>
          <w:lang w:eastAsia="en-AU"/>
        </w:rPr>
        <w:t>,</w:t>
      </w:r>
      <w:r w:rsidR="00520BD7" w:rsidRPr="00DC1433">
        <w:rPr>
          <w:rFonts w:cs="Calibri Light"/>
          <w:color w:val="222222"/>
          <w:lang w:eastAsia="en-AU"/>
        </w:rPr>
        <w:t xml:space="preserve"> which will strengthen the region’s ability to anticipate, plan for and respond to extreme weather, water and ocean events. </w:t>
      </w:r>
      <w:r w:rsidR="004870D9">
        <w:rPr>
          <w:color w:val="222222"/>
          <w:lang w:eastAsia="en-AU"/>
        </w:rPr>
        <w:t>We will also continue to work</w:t>
      </w:r>
      <w:r w:rsidR="001400F6" w:rsidRPr="00B0475B">
        <w:rPr>
          <w:color w:val="222222"/>
          <w:lang w:eastAsia="en-AU"/>
        </w:rPr>
        <w:t xml:space="preserve"> with 14 Pacific meteorological services </w:t>
      </w:r>
      <w:r w:rsidR="00C26259" w:rsidRPr="00B0475B">
        <w:rPr>
          <w:color w:val="222222"/>
          <w:lang w:eastAsia="en-AU"/>
        </w:rPr>
        <w:t>through the Climate and Oceans Support Program</w:t>
      </w:r>
      <w:r w:rsidR="00C26259">
        <w:rPr>
          <w:color w:val="222222"/>
          <w:lang w:eastAsia="en-AU"/>
        </w:rPr>
        <w:t xml:space="preserve"> in the Pacific</w:t>
      </w:r>
      <w:r w:rsidR="00C26259" w:rsidRPr="00B0475B">
        <w:rPr>
          <w:color w:val="222222"/>
          <w:lang w:eastAsia="en-AU"/>
        </w:rPr>
        <w:t xml:space="preserve"> </w:t>
      </w:r>
      <w:r w:rsidR="001400F6" w:rsidRPr="00B0475B">
        <w:rPr>
          <w:color w:val="222222"/>
          <w:lang w:eastAsia="en-AU"/>
        </w:rPr>
        <w:t>to analyse and forecast climate and oceans information.</w:t>
      </w:r>
    </w:p>
    <w:p w14:paraId="7E8C406C" w14:textId="3E76AF0B" w:rsidR="0022410E" w:rsidRPr="00DC1433" w:rsidRDefault="00045586" w:rsidP="00F851AA">
      <w:pPr>
        <w:rPr>
          <w:rFonts w:cs="Calibri Light"/>
          <w:color w:val="222222"/>
          <w:lang w:eastAsia="en-AU"/>
        </w:rPr>
      </w:pPr>
      <w:r w:rsidRPr="00DC1433">
        <w:rPr>
          <w:rFonts w:cs="Calibri Light"/>
          <w:color w:val="222222"/>
          <w:lang w:eastAsia="en-AU"/>
        </w:rPr>
        <w:t>Australia supports disaster preparedness</w:t>
      </w:r>
      <w:r w:rsidR="00E82603">
        <w:rPr>
          <w:rFonts w:cs="Calibri Light"/>
          <w:color w:val="222222"/>
          <w:lang w:eastAsia="en-AU"/>
        </w:rPr>
        <w:t>, response</w:t>
      </w:r>
      <w:r w:rsidRPr="00DC1433">
        <w:rPr>
          <w:rFonts w:cs="Calibri Light"/>
          <w:color w:val="222222"/>
          <w:lang w:eastAsia="en-AU"/>
        </w:rPr>
        <w:t xml:space="preserve"> and risk reduction initiatives throughout the </w:t>
      </w:r>
      <w:r w:rsidR="00F466A2">
        <w:rPr>
          <w:rFonts w:cs="Calibri Light"/>
          <w:color w:val="222222"/>
          <w:lang w:eastAsia="en-AU"/>
        </w:rPr>
        <w:t>region</w:t>
      </w:r>
      <w:r w:rsidR="004907C7" w:rsidRPr="00DC1433">
        <w:rPr>
          <w:rFonts w:cs="Calibri Light"/>
          <w:color w:val="222222"/>
          <w:lang w:eastAsia="en-AU"/>
        </w:rPr>
        <w:t xml:space="preserve">. </w:t>
      </w:r>
      <w:r w:rsidR="004870D9">
        <w:rPr>
          <w:rFonts w:cs="Calibri Light"/>
          <w:color w:val="222222"/>
          <w:lang w:eastAsia="en-AU"/>
        </w:rPr>
        <w:t>We</w:t>
      </w:r>
      <w:r w:rsidRPr="00DC1433">
        <w:rPr>
          <w:rFonts w:cs="Calibri Light"/>
          <w:color w:val="222222"/>
          <w:lang w:eastAsia="en-AU"/>
        </w:rPr>
        <w:t xml:space="preserve"> maintain a sovereign response capability to deploy technical expertise and relief supplies to the </w:t>
      </w:r>
      <w:r w:rsidR="001B543C" w:rsidRPr="00DC1433">
        <w:rPr>
          <w:rFonts w:cs="Calibri Light"/>
          <w:color w:val="222222"/>
          <w:lang w:eastAsia="en-AU"/>
        </w:rPr>
        <w:t>region</w:t>
      </w:r>
      <w:r w:rsidRPr="00DC1433">
        <w:rPr>
          <w:rFonts w:cs="Calibri Light"/>
          <w:color w:val="222222"/>
          <w:lang w:eastAsia="en-AU"/>
        </w:rPr>
        <w:t xml:space="preserve"> within 48</w:t>
      </w:r>
      <w:r w:rsidR="0050575A">
        <w:rPr>
          <w:rFonts w:cs="Calibri Light"/>
          <w:color w:val="222222"/>
          <w:lang w:eastAsia="en-AU"/>
        </w:rPr>
        <w:t> </w:t>
      </w:r>
      <w:r w:rsidRPr="00DC1433">
        <w:rPr>
          <w:rFonts w:cs="Calibri Light"/>
          <w:color w:val="222222"/>
          <w:lang w:eastAsia="en-AU"/>
        </w:rPr>
        <w:t xml:space="preserve">hours of a request for assistance. This includes deployment of civilian technical experts, funding </w:t>
      </w:r>
      <w:r w:rsidR="0050575A">
        <w:rPr>
          <w:rFonts w:cs="Calibri Light"/>
          <w:color w:val="222222"/>
          <w:lang w:eastAsia="en-AU"/>
        </w:rPr>
        <w:t xml:space="preserve">for </w:t>
      </w:r>
      <w:r w:rsidRPr="00DC1433">
        <w:rPr>
          <w:rFonts w:cs="Calibri Light"/>
          <w:color w:val="222222"/>
          <w:lang w:eastAsia="en-AU"/>
        </w:rPr>
        <w:t xml:space="preserve">key humanitarian expert response agencies (such as the Red Cross, </w:t>
      </w:r>
      <w:r w:rsidR="0063547C">
        <w:rPr>
          <w:rFonts w:cs="Calibri Light"/>
          <w:color w:val="222222"/>
          <w:lang w:eastAsia="en-AU"/>
        </w:rPr>
        <w:t xml:space="preserve">the </w:t>
      </w:r>
      <w:r w:rsidRPr="00DC1433">
        <w:rPr>
          <w:rFonts w:cs="Calibri Light"/>
          <w:color w:val="222222"/>
          <w:lang w:eastAsia="en-AU"/>
        </w:rPr>
        <w:t>U</w:t>
      </w:r>
      <w:r w:rsidR="00381F3F">
        <w:rPr>
          <w:rFonts w:cs="Calibri Light"/>
          <w:color w:val="222222"/>
          <w:lang w:eastAsia="en-AU"/>
        </w:rPr>
        <w:t xml:space="preserve">nited </w:t>
      </w:r>
      <w:r w:rsidRPr="00DC1433">
        <w:rPr>
          <w:rFonts w:cs="Calibri Light"/>
          <w:color w:val="222222"/>
          <w:lang w:eastAsia="en-AU"/>
        </w:rPr>
        <w:t>N</w:t>
      </w:r>
      <w:r w:rsidR="00381F3F">
        <w:rPr>
          <w:rFonts w:cs="Calibri Light"/>
          <w:color w:val="222222"/>
          <w:lang w:eastAsia="en-AU"/>
        </w:rPr>
        <w:t xml:space="preserve">ations </w:t>
      </w:r>
      <w:r w:rsidR="004A76DE">
        <w:rPr>
          <w:rFonts w:cs="Calibri Light"/>
          <w:color w:val="222222"/>
          <w:lang w:eastAsia="en-AU"/>
        </w:rPr>
        <w:t>agencies</w:t>
      </w:r>
      <w:r w:rsidRPr="00DC1433">
        <w:rPr>
          <w:rFonts w:cs="Calibri Light"/>
          <w:color w:val="222222"/>
          <w:lang w:eastAsia="en-AU"/>
        </w:rPr>
        <w:t xml:space="preserve"> and </w:t>
      </w:r>
      <w:r w:rsidR="00381F3F">
        <w:rPr>
          <w:rFonts w:cs="Calibri Light"/>
          <w:color w:val="222222"/>
          <w:lang w:eastAsia="en-AU"/>
        </w:rPr>
        <w:t>non-government organisations</w:t>
      </w:r>
      <w:r w:rsidRPr="00DC1433">
        <w:rPr>
          <w:rFonts w:cs="Calibri Light"/>
          <w:color w:val="222222"/>
          <w:lang w:eastAsia="en-AU"/>
        </w:rPr>
        <w:t xml:space="preserve">) and distribution of relief supplies from Australia’s global humanitarian warehouse in Brisbane, </w:t>
      </w:r>
      <w:r w:rsidR="00381F3F">
        <w:rPr>
          <w:rFonts w:cs="Calibri Light"/>
          <w:color w:val="222222"/>
          <w:lang w:eastAsia="en-AU"/>
        </w:rPr>
        <w:t>which has the</w:t>
      </w:r>
      <w:r w:rsidR="00381F3F" w:rsidRPr="00DC1433">
        <w:rPr>
          <w:rFonts w:cs="Calibri Light"/>
          <w:color w:val="222222"/>
          <w:lang w:eastAsia="en-AU"/>
        </w:rPr>
        <w:t xml:space="preserve"> </w:t>
      </w:r>
      <w:r w:rsidRPr="00DC1433">
        <w:rPr>
          <w:rFonts w:cs="Calibri Light"/>
          <w:color w:val="222222"/>
          <w:lang w:eastAsia="en-AU"/>
        </w:rPr>
        <w:t>capability to support up to 11,000 families (or 55,000 people).</w:t>
      </w:r>
    </w:p>
    <w:p w14:paraId="1A0D6CE0" w14:textId="535C9A04" w:rsidR="00525873" w:rsidRPr="00DC1433" w:rsidRDefault="005D3D4F" w:rsidP="00F851AA">
      <w:pPr>
        <w:rPr>
          <w:rFonts w:cs="Calibri Light"/>
          <w:color w:val="222222"/>
          <w:lang w:eastAsia="en-AU"/>
        </w:rPr>
      </w:pPr>
      <w:r w:rsidRPr="00DC1433">
        <w:rPr>
          <w:rFonts w:cs="Calibri Light"/>
          <w:color w:val="222222"/>
          <w:lang w:eastAsia="en-AU"/>
        </w:rPr>
        <w:t xml:space="preserve">The Pacific Humanitarian Warehousing Program </w:t>
      </w:r>
      <w:r w:rsidR="00E82603">
        <w:rPr>
          <w:rFonts w:cs="Calibri Light"/>
          <w:color w:val="222222"/>
          <w:lang w:eastAsia="en-AU"/>
        </w:rPr>
        <w:t xml:space="preserve">(PHWP) </w:t>
      </w:r>
      <w:r w:rsidRPr="00DC1433">
        <w:rPr>
          <w:rFonts w:cs="Calibri Light"/>
          <w:color w:val="222222"/>
          <w:lang w:eastAsia="en-AU"/>
        </w:rPr>
        <w:t xml:space="preserve">is an eight-year </w:t>
      </w:r>
      <w:proofErr w:type="spellStart"/>
      <w:r w:rsidRPr="00DC1433">
        <w:rPr>
          <w:rFonts w:cs="Calibri Light"/>
          <w:color w:val="222222"/>
          <w:lang w:eastAsia="en-AU"/>
        </w:rPr>
        <w:t>multidonor</w:t>
      </w:r>
      <w:proofErr w:type="spellEnd"/>
      <w:r w:rsidRPr="00DC1433">
        <w:rPr>
          <w:rFonts w:cs="Calibri Light"/>
          <w:color w:val="222222"/>
          <w:lang w:eastAsia="en-AU"/>
        </w:rPr>
        <w:t xml:space="preserve"> initiative, focused on supporting Pacific countries (and Timor-Leste) to </w:t>
      </w:r>
      <w:r w:rsidR="0063547C">
        <w:rPr>
          <w:rFonts w:cs="Calibri Light"/>
          <w:color w:val="222222"/>
          <w:lang w:eastAsia="en-AU"/>
        </w:rPr>
        <w:t>develop their</w:t>
      </w:r>
      <w:r w:rsidRPr="00DC1433">
        <w:rPr>
          <w:rFonts w:cs="Calibri Light"/>
          <w:color w:val="222222"/>
          <w:lang w:eastAsia="en-AU"/>
        </w:rPr>
        <w:t xml:space="preserve"> sovereign humanitarian warehousing capability. Australia’s support for the Pacific Islands Emergency Management Alliance program will be complementary to </w:t>
      </w:r>
      <w:r w:rsidR="00E82603">
        <w:rPr>
          <w:rFonts w:cs="Calibri Light"/>
          <w:color w:val="222222"/>
          <w:lang w:eastAsia="en-AU"/>
        </w:rPr>
        <w:t>the PHWP</w:t>
      </w:r>
      <w:r w:rsidRPr="00DC1433">
        <w:rPr>
          <w:rFonts w:cs="Calibri Light"/>
          <w:color w:val="222222"/>
          <w:lang w:eastAsia="en-AU"/>
        </w:rPr>
        <w:t xml:space="preserve"> and aims to build National Disaster Management Office capability to prepare</w:t>
      </w:r>
      <w:r w:rsidR="00E82603">
        <w:rPr>
          <w:rFonts w:cs="Calibri Light"/>
          <w:color w:val="222222"/>
          <w:lang w:eastAsia="en-AU"/>
        </w:rPr>
        <w:t xml:space="preserve"> </w:t>
      </w:r>
      <w:r w:rsidR="00B20030">
        <w:rPr>
          <w:rFonts w:cs="Calibri Light"/>
          <w:color w:val="222222"/>
          <w:lang w:eastAsia="en-AU"/>
        </w:rPr>
        <w:t xml:space="preserve">for </w:t>
      </w:r>
      <w:r w:rsidR="00B20030" w:rsidRPr="00DC1433">
        <w:rPr>
          <w:rFonts w:cs="Calibri Light"/>
          <w:color w:val="222222"/>
          <w:lang w:eastAsia="en-AU"/>
        </w:rPr>
        <w:t>and</w:t>
      </w:r>
      <w:r w:rsidRPr="00DC1433">
        <w:rPr>
          <w:rFonts w:cs="Calibri Light"/>
          <w:color w:val="222222"/>
          <w:lang w:eastAsia="en-AU"/>
        </w:rPr>
        <w:t xml:space="preserve"> respond </w:t>
      </w:r>
      <w:r w:rsidR="00D115A0">
        <w:rPr>
          <w:rFonts w:cs="Calibri Light"/>
          <w:color w:val="222222"/>
          <w:lang w:eastAsia="en-AU"/>
        </w:rPr>
        <w:t>to</w:t>
      </w:r>
      <w:r w:rsidR="00B20030">
        <w:rPr>
          <w:rFonts w:cs="Calibri Light"/>
          <w:color w:val="222222"/>
          <w:lang w:eastAsia="en-AU"/>
        </w:rPr>
        <w:t xml:space="preserve"> </w:t>
      </w:r>
      <w:r w:rsidRPr="00DC1433">
        <w:rPr>
          <w:rFonts w:cs="Calibri Light"/>
          <w:color w:val="222222"/>
          <w:lang w:eastAsia="en-AU"/>
        </w:rPr>
        <w:t>disaster</w:t>
      </w:r>
      <w:r w:rsidR="00E82603">
        <w:rPr>
          <w:rFonts w:cs="Calibri Light"/>
          <w:color w:val="222222"/>
          <w:lang w:eastAsia="en-AU"/>
        </w:rPr>
        <w:t>s</w:t>
      </w:r>
      <w:r w:rsidRPr="00DC1433">
        <w:rPr>
          <w:rFonts w:cs="Calibri Light"/>
          <w:color w:val="222222"/>
          <w:lang w:eastAsia="en-AU"/>
        </w:rPr>
        <w:t>.</w:t>
      </w:r>
    </w:p>
    <w:p w14:paraId="3337CF14" w14:textId="457EC55F" w:rsidR="00945289" w:rsidRPr="00DC1433" w:rsidRDefault="005D3D4F" w:rsidP="00F851AA">
      <w:pPr>
        <w:rPr>
          <w:rFonts w:cs="Calibri Light"/>
          <w:color w:val="222222"/>
          <w:lang w:eastAsia="en-AU"/>
        </w:rPr>
      </w:pPr>
      <w:r w:rsidRPr="00DC1433">
        <w:rPr>
          <w:rFonts w:cs="Calibri Light"/>
          <w:color w:val="222222"/>
          <w:lang w:eastAsia="en-AU"/>
        </w:rPr>
        <w:t xml:space="preserve">Australia is supporting the capacity of Pacific </w:t>
      </w:r>
      <w:r w:rsidR="00673597">
        <w:rPr>
          <w:rFonts w:cs="Calibri Light"/>
          <w:color w:val="222222"/>
          <w:lang w:eastAsia="en-AU"/>
        </w:rPr>
        <w:t>E</w:t>
      </w:r>
      <w:r w:rsidRPr="00DC1433">
        <w:rPr>
          <w:rFonts w:cs="Calibri Light"/>
          <w:color w:val="222222"/>
          <w:lang w:eastAsia="en-AU"/>
        </w:rPr>
        <w:t xml:space="preserve">mergency </w:t>
      </w:r>
      <w:r w:rsidR="00673597">
        <w:rPr>
          <w:rFonts w:cs="Calibri Light"/>
          <w:color w:val="222222"/>
          <w:lang w:eastAsia="en-AU"/>
        </w:rPr>
        <w:t>M</w:t>
      </w:r>
      <w:r w:rsidRPr="00DC1433">
        <w:rPr>
          <w:rFonts w:cs="Calibri Light"/>
          <w:color w:val="222222"/>
          <w:lang w:eastAsia="en-AU"/>
        </w:rPr>
        <w:t xml:space="preserve">edical </w:t>
      </w:r>
      <w:r w:rsidR="00673597">
        <w:rPr>
          <w:rFonts w:cs="Calibri Light"/>
          <w:color w:val="222222"/>
          <w:lang w:eastAsia="en-AU"/>
        </w:rPr>
        <w:t>T</w:t>
      </w:r>
      <w:r w:rsidRPr="00DC1433">
        <w:rPr>
          <w:rFonts w:cs="Calibri Light"/>
          <w:color w:val="222222"/>
          <w:lang w:eastAsia="en-AU"/>
        </w:rPr>
        <w:t xml:space="preserve">eams to respond to emergencies through </w:t>
      </w:r>
      <w:r w:rsidR="009107E3">
        <w:rPr>
          <w:rFonts w:cs="Calibri Light"/>
          <w:color w:val="222222"/>
          <w:lang w:eastAsia="en-AU"/>
        </w:rPr>
        <w:t>more than</w:t>
      </w:r>
      <w:r w:rsidR="009107E3" w:rsidRPr="00DC1433">
        <w:rPr>
          <w:rFonts w:cs="Calibri Light"/>
          <w:color w:val="222222"/>
          <w:lang w:eastAsia="en-AU"/>
        </w:rPr>
        <w:t xml:space="preserve"> </w:t>
      </w:r>
      <w:r w:rsidRPr="00DC1433">
        <w:rPr>
          <w:rFonts w:cs="Calibri Light"/>
          <w:color w:val="222222"/>
          <w:lang w:eastAsia="en-AU"/>
        </w:rPr>
        <w:t>$6</w:t>
      </w:r>
      <w:r w:rsidR="004907C7" w:rsidRPr="00DC1433">
        <w:rPr>
          <w:rFonts w:cs="Calibri Light"/>
          <w:color w:val="222222"/>
          <w:lang w:eastAsia="en-AU"/>
        </w:rPr>
        <w:t xml:space="preserve"> </w:t>
      </w:r>
      <w:r w:rsidRPr="00DC1433">
        <w:rPr>
          <w:rFonts w:cs="Calibri Light"/>
          <w:color w:val="222222"/>
          <w:lang w:eastAsia="en-AU"/>
        </w:rPr>
        <w:t xml:space="preserve">million </w:t>
      </w:r>
      <w:r w:rsidR="004907C7" w:rsidRPr="00DC1433">
        <w:rPr>
          <w:rFonts w:cs="Calibri Light"/>
          <w:color w:val="222222"/>
          <w:lang w:eastAsia="en-AU"/>
        </w:rPr>
        <w:t xml:space="preserve">of </w:t>
      </w:r>
      <w:r w:rsidRPr="00DC1433">
        <w:rPr>
          <w:rFonts w:cs="Calibri Light"/>
          <w:color w:val="222222"/>
          <w:lang w:eastAsia="en-AU"/>
        </w:rPr>
        <w:t xml:space="preserve">investments in training and mentoring of Pacific health professionals by the World Health Organization and the </w:t>
      </w:r>
      <w:r w:rsidR="00B80B2E">
        <w:rPr>
          <w:rFonts w:cs="Calibri Light"/>
          <w:color w:val="222222"/>
          <w:lang w:eastAsia="en-AU"/>
        </w:rPr>
        <w:t xml:space="preserve">Australian Government </w:t>
      </w:r>
      <w:r w:rsidRPr="00DC1433">
        <w:rPr>
          <w:rFonts w:cs="Calibri Light"/>
          <w:color w:val="222222"/>
          <w:lang w:eastAsia="en-AU"/>
        </w:rPr>
        <w:t xml:space="preserve">National Critical Care and Trauma Response Centre. </w:t>
      </w:r>
      <w:r w:rsidR="00023C80" w:rsidRPr="00DC1433">
        <w:rPr>
          <w:rFonts w:cs="Calibri Light"/>
          <w:color w:val="222222"/>
          <w:lang w:eastAsia="en-AU"/>
        </w:rPr>
        <w:t>This compl</w:t>
      </w:r>
      <w:r w:rsidR="008946DD">
        <w:rPr>
          <w:rFonts w:cs="Calibri Light"/>
          <w:color w:val="222222"/>
          <w:lang w:eastAsia="en-AU"/>
        </w:rPr>
        <w:t>e</w:t>
      </w:r>
      <w:r w:rsidR="00023C80" w:rsidRPr="00DC1433">
        <w:rPr>
          <w:rFonts w:cs="Calibri Light"/>
          <w:color w:val="222222"/>
          <w:lang w:eastAsia="en-AU"/>
        </w:rPr>
        <w:t xml:space="preserve">ments work in the region through Partnerships for a Healthy Region to support </w:t>
      </w:r>
      <w:proofErr w:type="gramStart"/>
      <w:r w:rsidR="00E82603">
        <w:rPr>
          <w:rFonts w:cs="Calibri Light"/>
          <w:color w:val="222222"/>
          <w:lang w:eastAsia="en-AU"/>
        </w:rPr>
        <w:t>Pacific island</w:t>
      </w:r>
      <w:proofErr w:type="gramEnd"/>
      <w:r w:rsidR="00E82603">
        <w:rPr>
          <w:rFonts w:cs="Calibri Light"/>
          <w:color w:val="222222"/>
          <w:lang w:eastAsia="en-AU"/>
        </w:rPr>
        <w:t xml:space="preserve"> </w:t>
      </w:r>
      <w:r w:rsidR="00023C80" w:rsidRPr="00DC1433">
        <w:rPr>
          <w:rFonts w:cs="Calibri Light"/>
          <w:color w:val="222222"/>
          <w:lang w:eastAsia="en-AU"/>
        </w:rPr>
        <w:t xml:space="preserve">countries build </w:t>
      </w:r>
      <w:r w:rsidR="00E82603">
        <w:rPr>
          <w:rFonts w:cs="Calibri Light"/>
          <w:color w:val="222222"/>
          <w:lang w:eastAsia="en-AU"/>
        </w:rPr>
        <w:t xml:space="preserve">more </w:t>
      </w:r>
      <w:r w:rsidR="00023C80" w:rsidRPr="00DC1433">
        <w:rPr>
          <w:rFonts w:cs="Calibri Light"/>
          <w:color w:val="222222"/>
          <w:lang w:eastAsia="en-AU"/>
        </w:rPr>
        <w:t>resilient and equitable health systems.</w:t>
      </w:r>
    </w:p>
    <w:p w14:paraId="68D9613A" w14:textId="3D5A405A" w:rsidR="00090CD9" w:rsidRPr="00C71632" w:rsidRDefault="13853522" w:rsidP="00C71632">
      <w:pPr>
        <w:pStyle w:val="H3-Heading3"/>
      </w:pPr>
      <w:r w:rsidRPr="00C71632">
        <w:t>Objecti</w:t>
      </w:r>
      <w:r w:rsidR="00525873" w:rsidRPr="00C71632">
        <w:t>v</w:t>
      </w:r>
      <w:r w:rsidRPr="00C71632">
        <w:t xml:space="preserve">e 3: </w:t>
      </w:r>
      <w:r w:rsidR="3C87FB53" w:rsidRPr="00C71632">
        <w:t>Sustainable and resilient economic development</w:t>
      </w:r>
    </w:p>
    <w:p w14:paraId="39072CA9" w14:textId="653CCCF5" w:rsidR="008E42B7" w:rsidRDefault="00780C88" w:rsidP="00F851AA">
      <w:pPr>
        <w:rPr>
          <w:lang w:eastAsia="en-AU"/>
        </w:rPr>
      </w:pPr>
      <w:r>
        <w:rPr>
          <w:lang w:eastAsia="en-AU"/>
        </w:rPr>
        <w:t>Objective 3</w:t>
      </w:r>
      <w:r w:rsidRPr="00BB792E">
        <w:rPr>
          <w:lang w:eastAsia="en-AU"/>
        </w:rPr>
        <w:t xml:space="preserve"> </w:t>
      </w:r>
      <w:r w:rsidR="008E42B7">
        <w:rPr>
          <w:lang w:eastAsia="en-AU"/>
        </w:rPr>
        <w:t>contributes to the following</w:t>
      </w:r>
      <w:r>
        <w:rPr>
          <w:lang w:eastAsia="en-AU"/>
        </w:rPr>
        <w:t xml:space="preserve"> focus areas in </w:t>
      </w:r>
      <w:r w:rsidRPr="00BB792E">
        <w:rPr>
          <w:lang w:eastAsia="en-AU"/>
        </w:rPr>
        <w:t>Australia’s International Development Policy</w:t>
      </w:r>
      <w:r>
        <w:rPr>
          <w:lang w:eastAsia="en-AU"/>
        </w:rPr>
        <w:t xml:space="preserve">: </w:t>
      </w:r>
    </w:p>
    <w:p w14:paraId="666FCD7F" w14:textId="75099BB6" w:rsidR="008E42B7" w:rsidRDefault="008E42B7" w:rsidP="004E1DF2">
      <w:pPr>
        <w:pStyle w:val="NormalBullets-L1"/>
      </w:pPr>
      <w:r>
        <w:t>bu</w:t>
      </w:r>
      <w:r w:rsidR="001A66BF">
        <w:t>ild effective, accountable states that drive their own development</w:t>
      </w:r>
    </w:p>
    <w:p w14:paraId="0B2CE422" w14:textId="7D83AC85" w:rsidR="001A66BF" w:rsidRDefault="00780C88" w:rsidP="004E1DF2">
      <w:pPr>
        <w:pStyle w:val="NormalBullets-L1"/>
      </w:pPr>
      <w:r w:rsidRPr="483DBD79">
        <w:t>enhance state and community resilience to external pressures and shocks</w:t>
      </w:r>
    </w:p>
    <w:p w14:paraId="5ED9E1D2" w14:textId="1E1F7CD8" w:rsidR="001A66BF" w:rsidRDefault="00780C88" w:rsidP="004E1DF2">
      <w:pPr>
        <w:pStyle w:val="NormalBullets-L1"/>
      </w:pPr>
      <w:r w:rsidRPr="483DBD79">
        <w:t>generate collective action on global challenges that impact us and our region</w:t>
      </w:r>
      <w:r w:rsidR="006D3BB5">
        <w:t>.</w:t>
      </w:r>
    </w:p>
    <w:p w14:paraId="70EBC1B4" w14:textId="228D6080" w:rsidR="006D3BB5" w:rsidRDefault="006D3BB5" w:rsidP="001A66BF">
      <w:pPr>
        <w:rPr>
          <w:lang w:eastAsia="en-AU"/>
        </w:rPr>
      </w:pPr>
      <w:r w:rsidRPr="00C57D7F">
        <w:rPr>
          <w:lang w:eastAsia="en-AU"/>
        </w:rPr>
        <w:lastRenderedPageBreak/>
        <w:t xml:space="preserve">The </w:t>
      </w:r>
      <w:r w:rsidRPr="003941D5">
        <w:rPr>
          <w:lang w:eastAsia="en-AU"/>
        </w:rPr>
        <w:t>2050 Strategy</w:t>
      </w:r>
      <w:r w:rsidRPr="00C57D7F">
        <w:rPr>
          <w:lang w:eastAsia="en-AU"/>
        </w:rPr>
        <w:t xml:space="preserve"> identifies key economic priorities in the Pacific region as accelerating economic growth, </w:t>
      </w:r>
      <w:r w:rsidR="003E7C37">
        <w:rPr>
          <w:lang w:eastAsia="en-AU"/>
        </w:rPr>
        <w:t>increasing</w:t>
      </w:r>
      <w:r w:rsidR="003E7C37" w:rsidRPr="00C57D7F">
        <w:rPr>
          <w:lang w:eastAsia="en-AU"/>
        </w:rPr>
        <w:t xml:space="preserve"> </w:t>
      </w:r>
      <w:r w:rsidRPr="00C57D7F">
        <w:rPr>
          <w:lang w:eastAsia="en-AU"/>
        </w:rPr>
        <w:t>employment opportunities, sustainabl</w:t>
      </w:r>
      <w:r w:rsidR="003E7C37">
        <w:rPr>
          <w:lang w:eastAsia="en-AU"/>
        </w:rPr>
        <w:t>y</w:t>
      </w:r>
      <w:r w:rsidRPr="00C57D7F">
        <w:rPr>
          <w:lang w:eastAsia="en-AU"/>
        </w:rPr>
        <w:t xml:space="preserve"> manag</w:t>
      </w:r>
      <w:r w:rsidR="003E7C37">
        <w:rPr>
          <w:lang w:eastAsia="en-AU"/>
        </w:rPr>
        <w:t>ing</w:t>
      </w:r>
      <w:r w:rsidRPr="00C57D7F">
        <w:rPr>
          <w:lang w:eastAsia="en-AU"/>
        </w:rPr>
        <w:t xml:space="preserve"> public finances, </w:t>
      </w:r>
      <w:r w:rsidR="003E7C37">
        <w:rPr>
          <w:lang w:eastAsia="en-AU"/>
        </w:rPr>
        <w:t xml:space="preserve">and </w:t>
      </w:r>
      <w:r w:rsidRPr="00C57D7F">
        <w:rPr>
          <w:lang w:eastAsia="en-AU"/>
        </w:rPr>
        <w:t>driving private</w:t>
      </w:r>
      <w:r w:rsidR="00F62A09">
        <w:rPr>
          <w:lang w:eastAsia="en-AU"/>
        </w:rPr>
        <w:t xml:space="preserve"> </w:t>
      </w:r>
      <w:r w:rsidRPr="00C57D7F">
        <w:rPr>
          <w:lang w:eastAsia="en-AU"/>
        </w:rPr>
        <w:t>sector development and investment</w:t>
      </w:r>
      <w:r w:rsidR="003941D5">
        <w:rPr>
          <w:lang w:eastAsia="en-AU"/>
        </w:rPr>
        <w:t>.</w:t>
      </w:r>
    </w:p>
    <w:p w14:paraId="0597B41F" w14:textId="49B088E8" w:rsidR="0058600B" w:rsidRPr="00B2274C" w:rsidRDefault="00124CCE" w:rsidP="00F851AA">
      <w:pPr>
        <w:rPr>
          <w:rFonts w:cs="Calibri Light"/>
          <w:lang w:eastAsia="en-AU"/>
        </w:rPr>
      </w:pPr>
      <w:r w:rsidRPr="00B2274C">
        <w:rPr>
          <w:rFonts w:cs="Calibri Light"/>
          <w:lang w:eastAsia="en-AU"/>
        </w:rPr>
        <w:t>E</w:t>
      </w:r>
      <w:r w:rsidR="00130581" w:rsidRPr="00B2274C">
        <w:rPr>
          <w:rFonts w:cs="Calibri Light"/>
          <w:lang w:eastAsia="en-AU"/>
        </w:rPr>
        <w:t>conomic development is a top priority for the Pacific</w:t>
      </w:r>
      <w:r w:rsidR="00836E0E" w:rsidRPr="00B2274C">
        <w:rPr>
          <w:rFonts w:cs="Calibri Light"/>
          <w:lang w:eastAsia="en-AU"/>
        </w:rPr>
        <w:t>. N</w:t>
      </w:r>
      <w:r w:rsidR="00130581" w:rsidRPr="00B2274C">
        <w:rPr>
          <w:rFonts w:cs="Calibri Light"/>
          <w:lang w:eastAsia="en-AU"/>
        </w:rPr>
        <w:t xml:space="preserve">o region was impacted more by </w:t>
      </w:r>
      <w:r w:rsidR="0056461B">
        <w:rPr>
          <w:rFonts w:cs="Calibri Light"/>
          <w:lang w:eastAsia="en-AU"/>
        </w:rPr>
        <w:t xml:space="preserve">the </w:t>
      </w:r>
      <w:r w:rsidR="00130581" w:rsidRPr="00B2274C">
        <w:rPr>
          <w:rFonts w:cs="Calibri Light"/>
          <w:lang w:eastAsia="en-AU"/>
        </w:rPr>
        <w:t>COVID-19</w:t>
      </w:r>
      <w:r w:rsidR="00982425">
        <w:rPr>
          <w:rFonts w:cs="Calibri Light"/>
          <w:lang w:eastAsia="en-AU"/>
        </w:rPr>
        <w:t xml:space="preserve"> </w:t>
      </w:r>
      <w:r w:rsidR="0056461B">
        <w:rPr>
          <w:rFonts w:cs="Calibri Light"/>
          <w:lang w:eastAsia="en-AU"/>
        </w:rPr>
        <w:t xml:space="preserve">pandemic </w:t>
      </w:r>
      <w:r w:rsidR="00982425">
        <w:rPr>
          <w:rFonts w:cs="Calibri Light"/>
          <w:lang w:eastAsia="en-AU"/>
        </w:rPr>
        <w:t>and t</w:t>
      </w:r>
      <w:r w:rsidR="008946DD" w:rsidRPr="00B2274C">
        <w:rPr>
          <w:rFonts w:cs="Calibri Light"/>
          <w:lang w:eastAsia="en-AU"/>
        </w:rPr>
        <w:t>hese</w:t>
      </w:r>
      <w:r w:rsidR="00130581" w:rsidRPr="00B2274C">
        <w:rPr>
          <w:rFonts w:cs="Calibri Light"/>
          <w:lang w:eastAsia="en-AU"/>
        </w:rPr>
        <w:t xml:space="preserve"> effects are still being felt widely across Pacific economies and societies</w:t>
      </w:r>
      <w:r w:rsidR="00C57D7F" w:rsidRPr="00B2274C">
        <w:rPr>
          <w:rFonts w:cs="Calibri Light"/>
          <w:lang w:eastAsia="en-AU"/>
        </w:rPr>
        <w:t xml:space="preserve">. </w:t>
      </w:r>
      <w:r w:rsidR="0058600B" w:rsidRPr="00B2274C">
        <w:rPr>
          <w:rFonts w:cs="Calibri Light"/>
          <w:lang w:eastAsia="en-AU"/>
        </w:rPr>
        <w:t xml:space="preserve">Under </w:t>
      </w:r>
      <w:r w:rsidR="0056461B">
        <w:rPr>
          <w:rFonts w:cs="Calibri Light"/>
          <w:lang w:eastAsia="en-AU"/>
        </w:rPr>
        <w:t>O</w:t>
      </w:r>
      <w:r w:rsidR="0058600B" w:rsidRPr="00B2274C">
        <w:rPr>
          <w:rFonts w:cs="Calibri Light"/>
          <w:lang w:eastAsia="en-AU"/>
        </w:rPr>
        <w:t>bjective</w:t>
      </w:r>
      <w:r w:rsidR="0056461B">
        <w:rPr>
          <w:rFonts w:cs="Calibri Light"/>
          <w:lang w:eastAsia="en-AU"/>
        </w:rPr>
        <w:t xml:space="preserve"> 3</w:t>
      </w:r>
      <w:r w:rsidR="0058600B" w:rsidRPr="00B2274C">
        <w:rPr>
          <w:rFonts w:cs="Calibri Light"/>
          <w:lang w:eastAsia="en-AU"/>
        </w:rPr>
        <w:t>, Australia will invest in sustainable, climate resilient infrastructure for growth; Pacific</w:t>
      </w:r>
      <w:r w:rsidR="00547BC4">
        <w:rPr>
          <w:rFonts w:cs="Calibri Light"/>
          <w:lang w:eastAsia="en-AU"/>
        </w:rPr>
        <w:t xml:space="preserve"> </w:t>
      </w:r>
      <w:r w:rsidR="0058600B" w:rsidRPr="00B2274C">
        <w:rPr>
          <w:rFonts w:cs="Calibri Light"/>
          <w:lang w:eastAsia="en-AU"/>
        </w:rPr>
        <w:t>led efforts to achieve economic reform and financial and fiscal stability; increased labour mobility</w:t>
      </w:r>
      <w:r w:rsidR="0056461B">
        <w:rPr>
          <w:rFonts w:cs="Calibri Light"/>
          <w:lang w:eastAsia="en-AU"/>
        </w:rPr>
        <w:t>;</w:t>
      </w:r>
      <w:r w:rsidR="0058600B" w:rsidRPr="00B2274C">
        <w:rPr>
          <w:rFonts w:cs="Calibri Light"/>
          <w:lang w:eastAsia="en-AU"/>
        </w:rPr>
        <w:t xml:space="preserve"> and enhanced connectivity of people, services and goods.</w:t>
      </w:r>
    </w:p>
    <w:p w14:paraId="694692A4" w14:textId="27CFC117" w:rsidR="00405DCD" w:rsidRPr="00B2274C" w:rsidRDefault="00C57D7F" w:rsidP="00F851AA">
      <w:pPr>
        <w:rPr>
          <w:rFonts w:cs="Calibri Light"/>
          <w:lang w:eastAsia="en-AU"/>
        </w:rPr>
      </w:pPr>
      <w:r w:rsidRPr="00B2274C">
        <w:rPr>
          <w:rFonts w:cs="Calibri Light"/>
          <w:lang w:eastAsia="en-AU"/>
        </w:rPr>
        <w:t xml:space="preserve">A key pillar of Australia’s response to the economic crisis caused by </w:t>
      </w:r>
      <w:r w:rsidR="00125067">
        <w:rPr>
          <w:rFonts w:cs="Calibri Light"/>
          <w:lang w:eastAsia="en-AU"/>
        </w:rPr>
        <w:t xml:space="preserve">the </w:t>
      </w:r>
      <w:r w:rsidRPr="00B2274C">
        <w:rPr>
          <w:rFonts w:cs="Calibri Light"/>
          <w:lang w:eastAsia="en-AU"/>
        </w:rPr>
        <w:t xml:space="preserve">COVID-19 </w:t>
      </w:r>
      <w:r w:rsidR="00FE4AD5">
        <w:rPr>
          <w:rFonts w:cs="Calibri Light"/>
          <w:lang w:eastAsia="en-AU"/>
        </w:rPr>
        <w:t xml:space="preserve">pandemic </w:t>
      </w:r>
      <w:r w:rsidRPr="00B2274C">
        <w:rPr>
          <w:rFonts w:cs="Calibri Light"/>
          <w:lang w:eastAsia="en-AU"/>
        </w:rPr>
        <w:t xml:space="preserve">has </w:t>
      </w:r>
      <w:r w:rsidRPr="00F851AA">
        <w:t xml:space="preserve">been the provision of direct financing to Pacific governments. </w:t>
      </w:r>
      <w:r w:rsidR="00C27991" w:rsidRPr="00F851AA">
        <w:t>Throu</w:t>
      </w:r>
      <w:r w:rsidR="00C27991" w:rsidRPr="00B2274C">
        <w:rPr>
          <w:rFonts w:cs="Calibri Light"/>
          <w:lang w:eastAsia="en-AU"/>
        </w:rPr>
        <w:t xml:space="preserve">gh the Pacific Direct Financing </w:t>
      </w:r>
      <w:r w:rsidR="00B20030" w:rsidRPr="00B2274C">
        <w:rPr>
          <w:rFonts w:cs="Calibri Light"/>
          <w:lang w:eastAsia="en-AU"/>
        </w:rPr>
        <w:t>Fund</w:t>
      </w:r>
      <w:r w:rsidR="00B20030">
        <w:rPr>
          <w:rFonts w:cs="Calibri Light"/>
          <w:lang w:eastAsia="en-AU"/>
        </w:rPr>
        <w:t>,</w:t>
      </w:r>
      <w:r w:rsidR="00B20030" w:rsidRPr="00B2274C">
        <w:rPr>
          <w:rFonts w:cs="Calibri Light"/>
          <w:lang w:eastAsia="en-AU"/>
        </w:rPr>
        <w:t xml:space="preserve"> Australia</w:t>
      </w:r>
      <w:r w:rsidR="00C27991" w:rsidRPr="00B2274C">
        <w:rPr>
          <w:rFonts w:cs="Calibri Light"/>
          <w:lang w:eastAsia="en-AU"/>
        </w:rPr>
        <w:t xml:space="preserve"> will provide budget support to Pacific governments to contribute to more effective and accountable public financial management, reduce fiscal pressures on budgets</w:t>
      </w:r>
      <w:r w:rsidR="00F62A09">
        <w:rPr>
          <w:rFonts w:cs="Calibri Light"/>
          <w:lang w:eastAsia="en-AU"/>
        </w:rPr>
        <w:t>,</w:t>
      </w:r>
      <w:r w:rsidR="00C27991" w:rsidRPr="00B2274C">
        <w:rPr>
          <w:rFonts w:cs="Calibri Light"/>
          <w:lang w:eastAsia="en-AU"/>
        </w:rPr>
        <w:t xml:space="preserve"> and enable ongoing critical health and education services. Australia engages with development partners, including multilateral development banks, through joint policy action and dialogue</w:t>
      </w:r>
      <w:r w:rsidR="009C0F8D" w:rsidRPr="00B2274C">
        <w:rPr>
          <w:rFonts w:cs="Calibri Light"/>
          <w:lang w:eastAsia="en-AU"/>
        </w:rPr>
        <w:t xml:space="preserve"> as we deliver this assistance</w:t>
      </w:r>
      <w:r w:rsidR="00C27991" w:rsidRPr="00B2274C">
        <w:rPr>
          <w:rFonts w:cs="Calibri Light"/>
          <w:lang w:eastAsia="en-AU"/>
        </w:rPr>
        <w:t>.</w:t>
      </w:r>
    </w:p>
    <w:p w14:paraId="6471866D" w14:textId="682F564F" w:rsidR="00405DCD" w:rsidRPr="00B2274C" w:rsidRDefault="009C0F8D" w:rsidP="00F851AA">
      <w:pPr>
        <w:rPr>
          <w:rFonts w:cs="Calibri Light"/>
          <w:lang w:eastAsia="en-AU"/>
        </w:rPr>
      </w:pPr>
      <w:r w:rsidRPr="00B2274C">
        <w:rPr>
          <w:rFonts w:cs="Calibri Light"/>
          <w:lang w:eastAsia="en-AU"/>
        </w:rPr>
        <w:t xml:space="preserve">We will </w:t>
      </w:r>
      <w:r w:rsidR="00513F6A">
        <w:rPr>
          <w:rFonts w:cs="Calibri Light"/>
          <w:lang w:eastAsia="en-AU"/>
        </w:rPr>
        <w:t xml:space="preserve">support </w:t>
      </w:r>
      <w:r w:rsidRPr="00B2274C">
        <w:rPr>
          <w:rFonts w:cs="Calibri Light"/>
          <w:lang w:eastAsia="en-AU"/>
        </w:rPr>
        <w:t>improve</w:t>
      </w:r>
      <w:r w:rsidR="00513F6A">
        <w:rPr>
          <w:rFonts w:cs="Calibri Light"/>
          <w:lang w:eastAsia="en-AU"/>
        </w:rPr>
        <w:t>d</w:t>
      </w:r>
      <w:r w:rsidR="00405DCD" w:rsidRPr="00B2274C">
        <w:rPr>
          <w:rFonts w:cs="Calibri Light"/>
          <w:lang w:eastAsia="en-AU"/>
        </w:rPr>
        <w:t xml:space="preserve"> public financial management in the Pacific</w:t>
      </w:r>
      <w:r w:rsidRPr="00B2274C">
        <w:rPr>
          <w:rFonts w:cs="Calibri Light"/>
          <w:lang w:eastAsia="en-AU"/>
        </w:rPr>
        <w:t xml:space="preserve"> through</w:t>
      </w:r>
      <w:r w:rsidR="00405DCD" w:rsidRPr="00B2274C">
        <w:rPr>
          <w:rFonts w:cs="Calibri Light"/>
          <w:lang w:eastAsia="en-AU"/>
        </w:rPr>
        <w:t xml:space="preserve"> the Pacific Financial Technical Assistance </w:t>
      </w:r>
      <w:r w:rsidR="00B20030" w:rsidRPr="00B2274C">
        <w:rPr>
          <w:rFonts w:cs="Calibri Light"/>
          <w:lang w:eastAsia="en-AU"/>
        </w:rPr>
        <w:t>Centre and</w:t>
      </w:r>
      <w:r w:rsidR="00405DCD" w:rsidRPr="00B2274C">
        <w:rPr>
          <w:rFonts w:cs="Calibri Light"/>
          <w:lang w:eastAsia="en-AU"/>
        </w:rPr>
        <w:t xml:space="preserve"> </w:t>
      </w:r>
      <w:r w:rsidR="00513F6A">
        <w:rPr>
          <w:rFonts w:cs="Calibri Light"/>
          <w:lang w:eastAsia="en-AU"/>
        </w:rPr>
        <w:t xml:space="preserve">the </w:t>
      </w:r>
      <w:r w:rsidR="00405DCD" w:rsidRPr="00B2274C">
        <w:rPr>
          <w:rFonts w:cs="Calibri Light"/>
          <w:lang w:eastAsia="en-AU"/>
        </w:rPr>
        <w:t xml:space="preserve">Pacific Association of Supreme Audit </w:t>
      </w:r>
      <w:r w:rsidR="00B20030" w:rsidRPr="00B2274C">
        <w:rPr>
          <w:rFonts w:cs="Calibri Light"/>
          <w:lang w:eastAsia="en-AU"/>
        </w:rPr>
        <w:t>Institutions.</w:t>
      </w:r>
      <w:r w:rsidR="00405DCD" w:rsidRPr="00B2274C">
        <w:rPr>
          <w:rFonts w:cs="Calibri Light"/>
          <w:lang w:eastAsia="en-AU"/>
        </w:rPr>
        <w:t xml:space="preserve"> </w:t>
      </w:r>
      <w:r w:rsidR="00513F6A">
        <w:rPr>
          <w:rFonts w:cs="Calibri Light"/>
          <w:lang w:eastAsia="en-AU"/>
        </w:rPr>
        <w:t xml:space="preserve">The </w:t>
      </w:r>
      <w:r w:rsidR="00AA0FB9">
        <w:rPr>
          <w:rFonts w:cs="Calibri Light"/>
          <w:lang w:eastAsia="en-AU"/>
        </w:rPr>
        <w:t xml:space="preserve">Pacific Financial Technical Assistance Centre </w:t>
      </w:r>
      <w:r w:rsidR="00405DCD" w:rsidRPr="00B2274C">
        <w:rPr>
          <w:rFonts w:cs="Calibri Light"/>
          <w:lang w:eastAsia="en-AU"/>
        </w:rPr>
        <w:t>strengthens the institutional capacity of Pacific countries to design and implement sound macro</w:t>
      </w:r>
      <w:r w:rsidR="00F62A09">
        <w:rPr>
          <w:rFonts w:cs="Calibri Light"/>
          <w:lang w:eastAsia="en-AU"/>
        </w:rPr>
        <w:noBreakHyphen/>
      </w:r>
      <w:r w:rsidR="00405DCD" w:rsidRPr="00B2274C">
        <w:rPr>
          <w:rFonts w:cs="Calibri Light"/>
          <w:lang w:eastAsia="en-AU"/>
        </w:rPr>
        <w:t xml:space="preserve">economic and financial policies. </w:t>
      </w:r>
      <w:r w:rsidR="006B0016">
        <w:rPr>
          <w:rFonts w:cs="Calibri Light"/>
          <w:lang w:eastAsia="en-AU"/>
        </w:rPr>
        <w:t>The Pacific Association of Supreme Audit Institutions</w:t>
      </w:r>
      <w:r w:rsidR="006B0016" w:rsidRPr="00B2274C">
        <w:rPr>
          <w:rFonts w:cs="Calibri Light"/>
          <w:lang w:eastAsia="en-AU"/>
        </w:rPr>
        <w:t xml:space="preserve"> </w:t>
      </w:r>
      <w:r w:rsidR="00405DCD" w:rsidRPr="00B2274C">
        <w:rPr>
          <w:rFonts w:cs="Calibri Light"/>
          <w:lang w:eastAsia="en-AU"/>
        </w:rPr>
        <w:t xml:space="preserve">promotes transparent, accountable, </w:t>
      </w:r>
      <w:r w:rsidR="00405DCD" w:rsidRPr="0043299A">
        <w:rPr>
          <w:rFonts w:cs="Calibri Light"/>
          <w:lang w:eastAsia="en-AU"/>
        </w:rPr>
        <w:t>effective</w:t>
      </w:r>
      <w:r w:rsidR="00405DCD" w:rsidRPr="00B2274C">
        <w:rPr>
          <w:rFonts w:cs="Calibri Light"/>
          <w:lang w:eastAsia="en-AU"/>
        </w:rPr>
        <w:t xml:space="preserve"> and efficient use of public sector resources in the Pacific region. Australia </w:t>
      </w:r>
      <w:r w:rsidR="009E54B9" w:rsidRPr="00B2274C">
        <w:rPr>
          <w:rFonts w:cs="Calibri Light"/>
          <w:lang w:eastAsia="en-AU"/>
        </w:rPr>
        <w:t>will continue to</w:t>
      </w:r>
      <w:r w:rsidR="00405DCD" w:rsidRPr="00B2274C">
        <w:rPr>
          <w:rFonts w:cs="Calibri Light"/>
          <w:lang w:eastAsia="en-AU"/>
        </w:rPr>
        <w:t xml:space="preserve"> provid</w:t>
      </w:r>
      <w:r w:rsidR="009E54B9" w:rsidRPr="00B2274C">
        <w:rPr>
          <w:rFonts w:cs="Calibri Light"/>
          <w:lang w:eastAsia="en-AU"/>
        </w:rPr>
        <w:t xml:space="preserve">e </w:t>
      </w:r>
      <w:r w:rsidR="00405DCD" w:rsidRPr="00B2274C">
        <w:rPr>
          <w:rFonts w:cs="Calibri Light"/>
          <w:lang w:eastAsia="en-AU"/>
        </w:rPr>
        <w:t>core funding to the World Bank to scal</w:t>
      </w:r>
      <w:r w:rsidR="00114A0C">
        <w:rPr>
          <w:rFonts w:cs="Calibri Light"/>
          <w:lang w:eastAsia="en-AU"/>
        </w:rPr>
        <w:t>e</w:t>
      </w:r>
      <w:r w:rsidR="00405DCD" w:rsidRPr="00B2274C">
        <w:rPr>
          <w:rFonts w:cs="Calibri Light"/>
          <w:lang w:eastAsia="en-AU"/>
        </w:rPr>
        <w:t xml:space="preserve"> </w:t>
      </w:r>
      <w:r w:rsidR="00114A0C">
        <w:rPr>
          <w:rFonts w:cs="Calibri Light"/>
          <w:lang w:eastAsia="en-AU"/>
        </w:rPr>
        <w:t>its</w:t>
      </w:r>
      <w:r w:rsidR="00405DCD" w:rsidRPr="00B2274C">
        <w:rPr>
          <w:rFonts w:cs="Calibri Light"/>
          <w:lang w:eastAsia="en-AU"/>
        </w:rPr>
        <w:t xml:space="preserve"> Pacific operations, in addition to </w:t>
      </w:r>
      <w:r w:rsidR="0071535E">
        <w:rPr>
          <w:rFonts w:cs="Calibri Light"/>
          <w:lang w:eastAsia="en-AU"/>
        </w:rPr>
        <w:t xml:space="preserve">providing </w:t>
      </w:r>
      <w:r w:rsidR="00405DCD" w:rsidRPr="00B2274C">
        <w:rPr>
          <w:rFonts w:cs="Calibri Light"/>
          <w:lang w:eastAsia="en-AU"/>
        </w:rPr>
        <w:t>co-financing for regional and bilateral projects. </w:t>
      </w:r>
      <w:r w:rsidR="00F53AC6">
        <w:rPr>
          <w:rFonts w:cs="Calibri Light"/>
          <w:lang w:eastAsia="en-AU"/>
        </w:rPr>
        <w:t>We</w:t>
      </w:r>
      <w:r w:rsidR="00EE275A">
        <w:rPr>
          <w:rFonts w:cs="Calibri Light"/>
          <w:lang w:eastAsia="en-AU"/>
        </w:rPr>
        <w:t xml:space="preserve"> will </w:t>
      </w:r>
      <w:r w:rsidR="00937932">
        <w:rPr>
          <w:rFonts w:cs="Calibri Light"/>
          <w:lang w:eastAsia="en-AU"/>
        </w:rPr>
        <w:t xml:space="preserve">also </w:t>
      </w:r>
      <w:r w:rsidR="00EE275A">
        <w:rPr>
          <w:rFonts w:cs="Calibri Light"/>
          <w:lang w:eastAsia="en-AU"/>
        </w:rPr>
        <w:t xml:space="preserve">continue to </w:t>
      </w:r>
      <w:r w:rsidR="004D4890">
        <w:rPr>
          <w:rFonts w:cs="Calibri Light"/>
          <w:lang w:eastAsia="en-AU"/>
        </w:rPr>
        <w:t xml:space="preserve">support </w:t>
      </w:r>
      <w:r w:rsidR="00EE275A">
        <w:rPr>
          <w:rFonts w:cs="Calibri Light"/>
          <w:lang w:eastAsia="en-AU"/>
        </w:rPr>
        <w:t>Pacific governments to strengthen national safety nets</w:t>
      </w:r>
      <w:r w:rsidR="00937932">
        <w:rPr>
          <w:rFonts w:cs="Calibri Light"/>
          <w:lang w:eastAsia="en-AU"/>
        </w:rPr>
        <w:t xml:space="preserve"> </w:t>
      </w:r>
      <w:r w:rsidR="004D4890">
        <w:rPr>
          <w:rFonts w:cs="Calibri Light"/>
          <w:lang w:eastAsia="en-AU"/>
        </w:rPr>
        <w:t xml:space="preserve">that </w:t>
      </w:r>
      <w:r w:rsidR="00EE275A">
        <w:rPr>
          <w:rFonts w:cs="Calibri Light"/>
          <w:lang w:eastAsia="en-AU"/>
        </w:rPr>
        <w:t xml:space="preserve">reduce hardship and vulnerability </w:t>
      </w:r>
      <w:r w:rsidR="00ED6616">
        <w:rPr>
          <w:rFonts w:cs="Calibri Light"/>
          <w:lang w:eastAsia="en-AU"/>
        </w:rPr>
        <w:t xml:space="preserve">and </w:t>
      </w:r>
      <w:r w:rsidR="00EE275A">
        <w:rPr>
          <w:rFonts w:cs="Calibri Light"/>
          <w:lang w:eastAsia="en-AU"/>
        </w:rPr>
        <w:t>provid</w:t>
      </w:r>
      <w:r w:rsidR="00ED6616">
        <w:rPr>
          <w:rFonts w:cs="Calibri Light"/>
          <w:lang w:eastAsia="en-AU"/>
        </w:rPr>
        <w:t>e</w:t>
      </w:r>
      <w:r w:rsidR="00EE275A">
        <w:rPr>
          <w:rFonts w:cs="Calibri Light"/>
          <w:lang w:eastAsia="en-AU"/>
        </w:rPr>
        <w:t xml:space="preserve"> a buffer to shocks.</w:t>
      </w:r>
    </w:p>
    <w:p w14:paraId="7FAE4B58" w14:textId="3660668E" w:rsidR="00130581" w:rsidRPr="00B2274C" w:rsidRDefault="00963B3F" w:rsidP="00F851AA">
      <w:pPr>
        <w:rPr>
          <w:lang w:eastAsia="en-AU"/>
        </w:rPr>
      </w:pPr>
      <w:r w:rsidRPr="00B2274C">
        <w:rPr>
          <w:lang w:eastAsia="en-AU"/>
        </w:rPr>
        <w:t xml:space="preserve">Australia </w:t>
      </w:r>
      <w:r w:rsidR="00130581" w:rsidRPr="00B2274C">
        <w:rPr>
          <w:lang w:eastAsia="en-AU"/>
        </w:rPr>
        <w:t>recognise</w:t>
      </w:r>
      <w:r w:rsidRPr="00B2274C">
        <w:rPr>
          <w:lang w:eastAsia="en-AU"/>
        </w:rPr>
        <w:t xml:space="preserve">s </w:t>
      </w:r>
      <w:r w:rsidR="00130581" w:rsidRPr="00F851AA">
        <w:t>the critical importance of quality, affordable infrastructure in supporting economic growth</w:t>
      </w:r>
      <w:r w:rsidR="00771CA0">
        <w:t xml:space="preserve"> and a </w:t>
      </w:r>
      <w:r w:rsidR="00771CA0" w:rsidRPr="00B2274C">
        <w:rPr>
          <w:lang w:eastAsia="en-AU"/>
        </w:rPr>
        <w:t>more connected future</w:t>
      </w:r>
      <w:r w:rsidR="003A19FD" w:rsidRPr="00F851AA">
        <w:t>. We</w:t>
      </w:r>
      <w:r w:rsidR="003A19FD" w:rsidRPr="00B2274C">
        <w:rPr>
          <w:lang w:eastAsia="en-AU"/>
        </w:rPr>
        <w:t xml:space="preserve"> are</w:t>
      </w:r>
      <w:r w:rsidR="009E54B9" w:rsidRPr="00B2274C">
        <w:rPr>
          <w:lang w:eastAsia="en-AU"/>
        </w:rPr>
        <w:t xml:space="preserve"> </w:t>
      </w:r>
      <w:r w:rsidR="00130581" w:rsidRPr="00B2274C">
        <w:rPr>
          <w:lang w:eastAsia="en-AU"/>
        </w:rPr>
        <w:t xml:space="preserve">expanding the </w:t>
      </w:r>
      <w:r w:rsidR="009E54B9" w:rsidRPr="00B2274C">
        <w:rPr>
          <w:lang w:eastAsia="en-AU"/>
        </w:rPr>
        <w:t>AIFFP</w:t>
      </w:r>
      <w:r w:rsidR="00920479">
        <w:rPr>
          <w:lang w:eastAsia="en-AU"/>
        </w:rPr>
        <w:t>,</w:t>
      </w:r>
      <w:r w:rsidR="003B13AD">
        <w:rPr>
          <w:lang w:eastAsia="en-AU"/>
        </w:rPr>
        <w:t xml:space="preserve"> which is</w:t>
      </w:r>
      <w:r w:rsidR="009E54B9" w:rsidRPr="00B2274C">
        <w:rPr>
          <w:lang w:eastAsia="en-AU"/>
        </w:rPr>
        <w:t xml:space="preserve"> supporting</w:t>
      </w:r>
      <w:r w:rsidR="00C27991" w:rsidRPr="00B2274C">
        <w:rPr>
          <w:lang w:eastAsia="en-AU"/>
        </w:rPr>
        <w:t xml:space="preserve"> </w:t>
      </w:r>
      <w:r w:rsidR="009E54B9" w:rsidRPr="00B2274C">
        <w:rPr>
          <w:lang w:eastAsia="en-AU"/>
        </w:rPr>
        <w:t>h</w:t>
      </w:r>
      <w:r w:rsidR="007D1644" w:rsidRPr="00B2274C">
        <w:rPr>
          <w:lang w:eastAsia="en-AU"/>
        </w:rPr>
        <w:t>igh-quality, transformative infrastructure such as highways, seaports, airports</w:t>
      </w:r>
      <w:r w:rsidR="009A015B">
        <w:rPr>
          <w:lang w:eastAsia="en-AU"/>
        </w:rPr>
        <w:t>,</w:t>
      </w:r>
      <w:r w:rsidR="000A1564">
        <w:rPr>
          <w:lang w:eastAsia="en-AU"/>
        </w:rPr>
        <w:t xml:space="preserve"> </w:t>
      </w:r>
      <w:r w:rsidR="007D1644" w:rsidRPr="00B2274C">
        <w:rPr>
          <w:lang w:eastAsia="en-AU"/>
        </w:rPr>
        <w:t xml:space="preserve">aviation links </w:t>
      </w:r>
      <w:r w:rsidR="000A1564">
        <w:rPr>
          <w:lang w:eastAsia="en-AU"/>
        </w:rPr>
        <w:t>and</w:t>
      </w:r>
      <w:r w:rsidR="007D1644" w:rsidRPr="00B2274C">
        <w:rPr>
          <w:lang w:eastAsia="en-AU"/>
        </w:rPr>
        <w:t xml:space="preserve"> fibre optic internet projects. </w:t>
      </w:r>
      <w:r w:rsidR="00391D8B">
        <w:rPr>
          <w:lang w:eastAsia="en-AU"/>
        </w:rPr>
        <w:t>O</w:t>
      </w:r>
      <w:r w:rsidR="00130581" w:rsidRPr="00B2274C">
        <w:rPr>
          <w:lang w:eastAsia="en-AU"/>
        </w:rPr>
        <w:t xml:space="preserve">ur support </w:t>
      </w:r>
      <w:r w:rsidR="00332802">
        <w:rPr>
          <w:lang w:eastAsia="en-AU"/>
        </w:rPr>
        <w:t>for</w:t>
      </w:r>
      <w:r w:rsidR="00332802" w:rsidRPr="00B2274C">
        <w:rPr>
          <w:lang w:eastAsia="en-AU"/>
        </w:rPr>
        <w:t xml:space="preserve"> </w:t>
      </w:r>
      <w:r w:rsidR="00130581" w:rsidRPr="00B2274C">
        <w:rPr>
          <w:lang w:eastAsia="en-AU"/>
        </w:rPr>
        <w:t xml:space="preserve">connectivity </w:t>
      </w:r>
      <w:r w:rsidR="00D42E99">
        <w:rPr>
          <w:lang w:eastAsia="en-AU"/>
        </w:rPr>
        <w:t xml:space="preserve">also </w:t>
      </w:r>
      <w:r w:rsidR="00B20030" w:rsidRPr="00B2274C">
        <w:rPr>
          <w:lang w:eastAsia="en-AU"/>
        </w:rPr>
        <w:t>includ</w:t>
      </w:r>
      <w:r w:rsidR="00B20030">
        <w:rPr>
          <w:lang w:eastAsia="en-AU"/>
        </w:rPr>
        <w:t>es</w:t>
      </w:r>
      <w:r w:rsidR="00B20030" w:rsidRPr="00B2274C">
        <w:rPr>
          <w:lang w:eastAsia="en-AU"/>
        </w:rPr>
        <w:t xml:space="preserve"> undersea</w:t>
      </w:r>
      <w:r w:rsidR="00130581" w:rsidRPr="00B2274C">
        <w:rPr>
          <w:lang w:eastAsia="en-AU"/>
        </w:rPr>
        <w:t xml:space="preserve"> cables</w:t>
      </w:r>
      <w:r w:rsidR="00EC65E9" w:rsidRPr="00B2274C">
        <w:rPr>
          <w:lang w:eastAsia="en-AU"/>
        </w:rPr>
        <w:t xml:space="preserve">, </w:t>
      </w:r>
      <w:r w:rsidR="00130581" w:rsidRPr="00B2274C">
        <w:rPr>
          <w:lang w:eastAsia="en-AU"/>
        </w:rPr>
        <w:t>which are opening new frontiers of digital economic development and access to communications and data</w:t>
      </w:r>
      <w:r w:rsidR="007D1644" w:rsidRPr="00B2274C">
        <w:rPr>
          <w:lang w:eastAsia="en-AU"/>
        </w:rPr>
        <w:t xml:space="preserve">. The AIFFP encourages local industry involvement in infrastructure projects, </w:t>
      </w:r>
      <w:r w:rsidR="001A2932">
        <w:rPr>
          <w:lang w:eastAsia="en-AU"/>
        </w:rPr>
        <w:t>and has</w:t>
      </w:r>
      <w:r w:rsidR="001A2932" w:rsidRPr="00B2274C">
        <w:rPr>
          <w:lang w:eastAsia="en-AU"/>
        </w:rPr>
        <w:t xml:space="preserve"> </w:t>
      </w:r>
      <w:r w:rsidR="007D1644" w:rsidRPr="00B2274C">
        <w:rPr>
          <w:lang w:eastAsia="en-AU"/>
        </w:rPr>
        <w:t>targets to support local jobs, women’s economic participation and local skill acquisition.</w:t>
      </w:r>
    </w:p>
    <w:p w14:paraId="515A06FB" w14:textId="7E199DC2" w:rsidR="00AC3F56" w:rsidRPr="00B2274C" w:rsidRDefault="00F84D9B" w:rsidP="00F851AA">
      <w:pPr>
        <w:rPr>
          <w:lang w:eastAsia="en-AU"/>
        </w:rPr>
      </w:pPr>
      <w:r w:rsidRPr="00B2274C">
        <w:rPr>
          <w:lang w:eastAsia="en-AU"/>
        </w:rPr>
        <w:t>Australia is a primary contributor to the Pacific Regional Infrastructure Facility</w:t>
      </w:r>
      <w:r w:rsidR="008C0B74">
        <w:rPr>
          <w:lang w:eastAsia="en-AU"/>
        </w:rPr>
        <w:t xml:space="preserve">, which </w:t>
      </w:r>
      <w:r w:rsidR="008C0B74" w:rsidRPr="00B2274C">
        <w:rPr>
          <w:lang w:eastAsia="en-AU"/>
        </w:rPr>
        <w:t>has been operating since 2008</w:t>
      </w:r>
      <w:r w:rsidRPr="00B2274C">
        <w:rPr>
          <w:lang w:eastAsia="en-AU"/>
        </w:rPr>
        <w:t xml:space="preserve">. </w:t>
      </w:r>
      <w:r w:rsidR="00142050">
        <w:rPr>
          <w:lang w:eastAsia="en-AU"/>
        </w:rPr>
        <w:t>The facility</w:t>
      </w:r>
      <w:r w:rsidRPr="00B2274C">
        <w:rPr>
          <w:lang w:eastAsia="en-AU"/>
        </w:rPr>
        <w:t xml:space="preserve"> involv</w:t>
      </w:r>
      <w:r w:rsidR="009076F6">
        <w:rPr>
          <w:lang w:eastAsia="en-AU"/>
        </w:rPr>
        <w:t>es</w:t>
      </w:r>
      <w:r w:rsidRPr="00B2274C">
        <w:rPr>
          <w:lang w:eastAsia="en-AU"/>
        </w:rPr>
        <w:t xml:space="preserve"> three multilateral banks and five partner countries, and acts as an interface between development partners and 14 Pacific member countries to improve the quality and coverage of infrastructure and service delivery in support of socioeconomic development. It enhances coordination of </w:t>
      </w:r>
      <w:r w:rsidR="00AF570E">
        <w:rPr>
          <w:lang w:eastAsia="en-AU"/>
        </w:rPr>
        <w:t xml:space="preserve">its </w:t>
      </w:r>
      <w:r w:rsidRPr="00B2274C">
        <w:rPr>
          <w:lang w:eastAsia="en-AU"/>
        </w:rPr>
        <w:t>partner</w:t>
      </w:r>
      <w:r w:rsidR="00AF570E">
        <w:rPr>
          <w:lang w:eastAsia="en-AU"/>
        </w:rPr>
        <w:t>s’</w:t>
      </w:r>
      <w:r w:rsidRPr="00B2274C">
        <w:rPr>
          <w:lang w:eastAsia="en-AU"/>
        </w:rPr>
        <w:t xml:space="preserve"> investments in the Pacific and provides technical advice on infrastructure development and sustainable management</w:t>
      </w:r>
      <w:r w:rsidR="00AC3F56" w:rsidRPr="00B2274C">
        <w:rPr>
          <w:lang w:eastAsia="en-AU"/>
        </w:rPr>
        <w:t>.</w:t>
      </w:r>
    </w:p>
    <w:p w14:paraId="4F26B899" w14:textId="4BA4AE39" w:rsidR="00AC3F56" w:rsidRPr="00B2274C" w:rsidRDefault="00AC3F56" w:rsidP="00F851AA">
      <w:pPr>
        <w:rPr>
          <w:lang w:eastAsia="en-AU"/>
        </w:rPr>
      </w:pPr>
      <w:r w:rsidRPr="00B2274C">
        <w:rPr>
          <w:lang w:eastAsia="en-AU"/>
        </w:rPr>
        <w:t xml:space="preserve">Recognising the critical role of </w:t>
      </w:r>
      <w:r w:rsidR="008B06F9" w:rsidRPr="00B2274C">
        <w:rPr>
          <w:lang w:eastAsia="en-AU"/>
        </w:rPr>
        <w:t>physical connectivity</w:t>
      </w:r>
      <w:r w:rsidRPr="00B2274C">
        <w:rPr>
          <w:lang w:eastAsia="en-AU"/>
        </w:rPr>
        <w:t>, Australia</w:t>
      </w:r>
      <w:r w:rsidR="00901B1E" w:rsidRPr="00B2274C">
        <w:rPr>
          <w:lang w:eastAsia="en-AU"/>
        </w:rPr>
        <w:t xml:space="preserve"> is increasing our investment </w:t>
      </w:r>
      <w:r w:rsidR="00CD627C" w:rsidRPr="00B2274C">
        <w:rPr>
          <w:lang w:eastAsia="en-AU"/>
        </w:rPr>
        <w:t xml:space="preserve">in regional aviation. The five-year </w:t>
      </w:r>
      <w:r w:rsidRPr="00B2274C">
        <w:rPr>
          <w:lang w:eastAsia="en-AU"/>
        </w:rPr>
        <w:t>(2023</w:t>
      </w:r>
      <w:r w:rsidR="008C0B74">
        <w:rPr>
          <w:lang w:eastAsia="en-AU"/>
        </w:rPr>
        <w:t>–</w:t>
      </w:r>
      <w:r w:rsidRPr="00B2274C">
        <w:rPr>
          <w:lang w:eastAsia="en-AU"/>
        </w:rPr>
        <w:t xml:space="preserve">24 </w:t>
      </w:r>
      <w:r w:rsidR="003D5B27">
        <w:rPr>
          <w:lang w:eastAsia="en-AU"/>
        </w:rPr>
        <w:t>to</w:t>
      </w:r>
      <w:r w:rsidR="003D5B27" w:rsidRPr="00B2274C">
        <w:rPr>
          <w:lang w:eastAsia="en-AU"/>
        </w:rPr>
        <w:t xml:space="preserve"> </w:t>
      </w:r>
      <w:r w:rsidRPr="00B2274C">
        <w:rPr>
          <w:lang w:eastAsia="en-AU"/>
        </w:rPr>
        <w:t>2027</w:t>
      </w:r>
      <w:r w:rsidR="008C0B74">
        <w:rPr>
          <w:lang w:eastAsia="en-AU"/>
        </w:rPr>
        <w:t>–</w:t>
      </w:r>
      <w:r w:rsidRPr="00B2274C">
        <w:rPr>
          <w:lang w:eastAsia="en-AU"/>
        </w:rPr>
        <w:t xml:space="preserve">28) $100 million Australia-Pacific Partnerships for Aviation </w:t>
      </w:r>
      <w:r w:rsidR="006D0C66">
        <w:rPr>
          <w:lang w:eastAsia="en-AU"/>
        </w:rPr>
        <w:t>P</w:t>
      </w:r>
      <w:r w:rsidRPr="00B2274C">
        <w:rPr>
          <w:lang w:eastAsia="en-AU"/>
        </w:rPr>
        <w:t xml:space="preserve">rogram will help the region </w:t>
      </w:r>
      <w:r w:rsidR="006D0C66">
        <w:rPr>
          <w:lang w:eastAsia="en-AU"/>
        </w:rPr>
        <w:t xml:space="preserve">to </w:t>
      </w:r>
      <w:r w:rsidRPr="00B2274C">
        <w:rPr>
          <w:lang w:eastAsia="en-AU"/>
        </w:rPr>
        <w:t>more easily access aviation support and increase connectivity</w:t>
      </w:r>
      <w:r w:rsidR="00EC23C7" w:rsidRPr="00B2274C">
        <w:rPr>
          <w:lang w:eastAsia="en-AU"/>
        </w:rPr>
        <w:t xml:space="preserve">. </w:t>
      </w:r>
      <w:r w:rsidR="00D815A1" w:rsidRPr="00B2274C">
        <w:rPr>
          <w:lang w:eastAsia="en-AU"/>
        </w:rPr>
        <w:t>Th</w:t>
      </w:r>
      <w:r w:rsidR="006C460A">
        <w:rPr>
          <w:lang w:eastAsia="en-AU"/>
        </w:rPr>
        <w:t xml:space="preserve">e program </w:t>
      </w:r>
      <w:r w:rsidR="00D815A1" w:rsidRPr="00B2274C">
        <w:rPr>
          <w:lang w:eastAsia="en-AU"/>
        </w:rPr>
        <w:t>includes</w:t>
      </w:r>
      <w:r w:rsidRPr="00B2274C">
        <w:rPr>
          <w:lang w:eastAsia="en-AU"/>
        </w:rPr>
        <w:t xml:space="preserve"> </w:t>
      </w:r>
      <w:r w:rsidR="006C460A">
        <w:rPr>
          <w:lang w:eastAsia="en-AU"/>
        </w:rPr>
        <w:t xml:space="preserve">support to </w:t>
      </w:r>
      <w:r w:rsidRPr="00B2274C">
        <w:rPr>
          <w:lang w:eastAsia="en-AU"/>
        </w:rPr>
        <w:t xml:space="preserve">develop harmonised aviation strategies, policies and regulations; </w:t>
      </w:r>
      <w:r w:rsidR="006C460A">
        <w:rPr>
          <w:lang w:eastAsia="en-AU"/>
        </w:rPr>
        <w:t xml:space="preserve">build </w:t>
      </w:r>
      <w:r w:rsidRPr="00B2274C">
        <w:rPr>
          <w:lang w:eastAsia="en-AU"/>
        </w:rPr>
        <w:t>aviation skills, education and training; improve safety and quality systems; strengthen aviation meteorological capabilities</w:t>
      </w:r>
      <w:r w:rsidR="008C0B74">
        <w:rPr>
          <w:lang w:eastAsia="en-AU"/>
        </w:rPr>
        <w:t>;</w:t>
      </w:r>
      <w:r w:rsidRPr="00B2274C">
        <w:rPr>
          <w:lang w:eastAsia="en-AU"/>
        </w:rPr>
        <w:t xml:space="preserve"> </w:t>
      </w:r>
      <w:r w:rsidR="005431EE">
        <w:rPr>
          <w:lang w:eastAsia="en-AU"/>
        </w:rPr>
        <w:t>and</w:t>
      </w:r>
      <w:r w:rsidRPr="00B2274C">
        <w:rPr>
          <w:lang w:eastAsia="en-AU"/>
        </w:rPr>
        <w:t xml:space="preserve"> enhance gender equality, disability inclusion and environmental sustainability across the aviation sector.</w:t>
      </w:r>
    </w:p>
    <w:p w14:paraId="4A2F9A80" w14:textId="27C396CE" w:rsidR="00CC1CF5" w:rsidRPr="00B2274C" w:rsidRDefault="00B61CEA" w:rsidP="00F851AA">
      <w:pPr>
        <w:rPr>
          <w:lang w:eastAsia="en-AU"/>
        </w:rPr>
      </w:pPr>
      <w:r w:rsidRPr="00F851AA">
        <w:t>Australia is investing in the Pacific’s key economic drivers</w:t>
      </w:r>
      <w:r w:rsidR="004A796A">
        <w:t xml:space="preserve"> </w:t>
      </w:r>
      <w:r w:rsidR="008C0B74">
        <w:t>–</w:t>
      </w:r>
      <w:r w:rsidR="008C0B74" w:rsidRPr="00F851AA">
        <w:t xml:space="preserve"> </w:t>
      </w:r>
      <w:r w:rsidRPr="00F851AA">
        <w:t>tourism, forestry</w:t>
      </w:r>
      <w:r w:rsidRPr="00B2274C">
        <w:rPr>
          <w:lang w:eastAsia="en-AU"/>
        </w:rPr>
        <w:t>, fisheries, mineral resources and agriculture</w:t>
      </w:r>
      <w:r w:rsidR="009E081F">
        <w:rPr>
          <w:lang w:eastAsia="en-AU"/>
        </w:rPr>
        <w:t xml:space="preserve"> </w:t>
      </w:r>
      <w:r w:rsidR="008C0B74">
        <w:rPr>
          <w:lang w:eastAsia="en-AU"/>
        </w:rPr>
        <w:t>–</w:t>
      </w:r>
      <w:r w:rsidR="008C0B74" w:rsidRPr="00B2274C">
        <w:rPr>
          <w:lang w:eastAsia="en-AU"/>
        </w:rPr>
        <w:t xml:space="preserve"> </w:t>
      </w:r>
      <w:r w:rsidRPr="00B2274C">
        <w:rPr>
          <w:lang w:eastAsia="en-AU"/>
        </w:rPr>
        <w:t xml:space="preserve">to create more and better jobs across our region. </w:t>
      </w:r>
      <w:r w:rsidR="00CC1CF5" w:rsidRPr="00B2274C">
        <w:rPr>
          <w:lang w:eastAsia="en-AU"/>
        </w:rPr>
        <w:t xml:space="preserve">Australia is supporting Pacific members to implement the development-focused </w:t>
      </w:r>
      <w:r w:rsidR="00320663">
        <w:rPr>
          <w:lang w:eastAsia="en-AU"/>
        </w:rPr>
        <w:t>Pacific Agreement on Closer Economic Relation</w:t>
      </w:r>
      <w:r w:rsidR="00C20764">
        <w:rPr>
          <w:lang w:eastAsia="en-AU"/>
        </w:rPr>
        <w:t>s Plus (PACER</w:t>
      </w:r>
      <w:r w:rsidR="008C0B74">
        <w:rPr>
          <w:lang w:eastAsia="en-AU"/>
        </w:rPr>
        <w:t xml:space="preserve"> </w:t>
      </w:r>
      <w:r w:rsidR="00CC1CF5" w:rsidRPr="00B2274C">
        <w:rPr>
          <w:lang w:eastAsia="en-AU"/>
        </w:rPr>
        <w:t>Plus</w:t>
      </w:r>
      <w:r w:rsidR="00C20764">
        <w:rPr>
          <w:lang w:eastAsia="en-AU"/>
        </w:rPr>
        <w:t>)</w:t>
      </w:r>
      <w:r w:rsidR="00CC1CF5" w:rsidRPr="00B2274C">
        <w:rPr>
          <w:lang w:eastAsia="en-AU"/>
        </w:rPr>
        <w:t xml:space="preserve">, which establishes a common set of trading rules for the region, making it easier for businesses to trade </w:t>
      </w:r>
      <w:r w:rsidR="00290377">
        <w:rPr>
          <w:lang w:eastAsia="en-AU"/>
        </w:rPr>
        <w:t>in</w:t>
      </w:r>
      <w:r w:rsidR="00290377" w:rsidRPr="00B2274C">
        <w:rPr>
          <w:lang w:eastAsia="en-AU"/>
        </w:rPr>
        <w:t xml:space="preserve"> </w:t>
      </w:r>
      <w:r w:rsidR="00CC1CF5" w:rsidRPr="00B2274C">
        <w:rPr>
          <w:lang w:eastAsia="en-AU"/>
        </w:rPr>
        <w:t xml:space="preserve">the Pacific and </w:t>
      </w:r>
      <w:r w:rsidR="00290377">
        <w:rPr>
          <w:lang w:eastAsia="en-AU"/>
        </w:rPr>
        <w:t>beyond</w:t>
      </w:r>
      <w:r w:rsidR="00CC1CF5" w:rsidRPr="00B2274C">
        <w:rPr>
          <w:lang w:eastAsia="en-AU"/>
        </w:rPr>
        <w:t xml:space="preserve">. We will continue to support the Pacific Horticultural and Agricultural Market Access </w:t>
      </w:r>
      <w:r w:rsidR="00FF17B4">
        <w:rPr>
          <w:lang w:eastAsia="en-AU"/>
        </w:rPr>
        <w:t xml:space="preserve">Plus </w:t>
      </w:r>
      <w:r w:rsidR="00CC1CF5" w:rsidRPr="00B2274C">
        <w:rPr>
          <w:lang w:eastAsia="en-AU"/>
        </w:rPr>
        <w:t>(PHAMA</w:t>
      </w:r>
      <w:r w:rsidR="00FF17B4">
        <w:rPr>
          <w:lang w:eastAsia="en-AU"/>
        </w:rPr>
        <w:t xml:space="preserve"> Plus</w:t>
      </w:r>
      <w:r w:rsidR="00CC1CF5" w:rsidRPr="00B2274C">
        <w:rPr>
          <w:lang w:eastAsia="en-AU"/>
        </w:rPr>
        <w:t xml:space="preserve">) </w:t>
      </w:r>
      <w:r w:rsidR="00FF17B4">
        <w:rPr>
          <w:lang w:eastAsia="en-AU"/>
        </w:rPr>
        <w:t>P</w:t>
      </w:r>
      <w:r w:rsidR="00CC1CF5" w:rsidRPr="00B2274C">
        <w:rPr>
          <w:lang w:eastAsia="en-AU"/>
        </w:rPr>
        <w:t>rogram</w:t>
      </w:r>
      <w:r w:rsidR="003E5AD6">
        <w:rPr>
          <w:lang w:eastAsia="en-AU"/>
        </w:rPr>
        <w:t>,</w:t>
      </w:r>
      <w:r w:rsidR="00CC1CF5" w:rsidRPr="00B2274C">
        <w:rPr>
          <w:lang w:eastAsia="en-AU"/>
        </w:rPr>
        <w:t xml:space="preserve"> which works with Pacific </w:t>
      </w:r>
      <w:r w:rsidR="002D056B" w:rsidRPr="00B2274C">
        <w:rPr>
          <w:lang w:eastAsia="en-AU"/>
        </w:rPr>
        <w:t>countries</w:t>
      </w:r>
      <w:r w:rsidR="00CC1CF5" w:rsidRPr="00B2274C">
        <w:rPr>
          <w:lang w:eastAsia="en-AU"/>
        </w:rPr>
        <w:t xml:space="preserve"> as they ratify PACER Plus</w:t>
      </w:r>
      <w:r w:rsidR="003E5AD6">
        <w:rPr>
          <w:lang w:eastAsia="en-AU"/>
        </w:rPr>
        <w:t xml:space="preserve"> and</w:t>
      </w:r>
      <w:r w:rsidR="00CC1CF5" w:rsidRPr="00B2274C">
        <w:rPr>
          <w:lang w:eastAsia="en-AU"/>
        </w:rPr>
        <w:t xml:space="preserve"> facilitates increased agricultural and </w:t>
      </w:r>
      <w:r w:rsidR="00CC1CF5" w:rsidRPr="00B2274C">
        <w:rPr>
          <w:lang w:eastAsia="en-AU"/>
        </w:rPr>
        <w:lastRenderedPageBreak/>
        <w:t>horticultural exports from the Pacific</w:t>
      </w:r>
      <w:r w:rsidR="008C0B74">
        <w:rPr>
          <w:lang w:eastAsia="en-AU"/>
        </w:rPr>
        <w:t>.</w:t>
      </w:r>
      <w:r w:rsidR="00627D85">
        <w:rPr>
          <w:lang w:eastAsia="en-AU"/>
        </w:rPr>
        <w:t xml:space="preserve"> </w:t>
      </w:r>
      <w:r w:rsidR="00662291">
        <w:rPr>
          <w:lang w:eastAsia="en-AU"/>
        </w:rPr>
        <w:t>B</w:t>
      </w:r>
      <w:r w:rsidR="00CC1CF5" w:rsidRPr="00B2274C">
        <w:rPr>
          <w:lang w:eastAsia="en-AU"/>
        </w:rPr>
        <w:t xml:space="preserve">usinesses led by women will be included </w:t>
      </w:r>
      <w:r w:rsidR="00E02C8B">
        <w:rPr>
          <w:lang w:eastAsia="en-AU"/>
        </w:rPr>
        <w:t xml:space="preserve">in PHAMA Plus’s </w:t>
      </w:r>
      <w:r w:rsidR="00CC1CF5" w:rsidRPr="00B2274C">
        <w:rPr>
          <w:lang w:eastAsia="en-AU"/>
        </w:rPr>
        <w:t xml:space="preserve">investment portfolio over the coming four years, building on </w:t>
      </w:r>
      <w:r w:rsidR="00E02C8B">
        <w:rPr>
          <w:lang w:eastAsia="en-AU"/>
        </w:rPr>
        <w:t>the</w:t>
      </w:r>
      <w:r w:rsidR="00CC1CF5" w:rsidRPr="00B2274C">
        <w:rPr>
          <w:lang w:eastAsia="en-AU"/>
        </w:rPr>
        <w:t xml:space="preserve"> women-led businesses</w:t>
      </w:r>
      <w:r w:rsidR="00E02C8B">
        <w:rPr>
          <w:lang w:eastAsia="en-AU"/>
        </w:rPr>
        <w:t xml:space="preserve"> already</w:t>
      </w:r>
      <w:r w:rsidR="00CC1CF5" w:rsidRPr="00B2274C">
        <w:rPr>
          <w:lang w:eastAsia="en-AU"/>
        </w:rPr>
        <w:t xml:space="preserve"> supported by PHAMA Plus in P</w:t>
      </w:r>
      <w:r w:rsidR="00443026">
        <w:rPr>
          <w:lang w:eastAsia="en-AU"/>
        </w:rPr>
        <w:t xml:space="preserve">apua </w:t>
      </w:r>
      <w:r w:rsidR="00CC1CF5" w:rsidRPr="00B2274C">
        <w:rPr>
          <w:lang w:eastAsia="en-AU"/>
        </w:rPr>
        <w:t>N</w:t>
      </w:r>
      <w:r w:rsidR="00443026">
        <w:rPr>
          <w:lang w:eastAsia="en-AU"/>
        </w:rPr>
        <w:t xml:space="preserve">ew </w:t>
      </w:r>
      <w:r w:rsidR="00CC1CF5" w:rsidRPr="00B2274C">
        <w:rPr>
          <w:lang w:eastAsia="en-AU"/>
        </w:rPr>
        <w:t>G</w:t>
      </w:r>
      <w:r w:rsidR="00443026">
        <w:rPr>
          <w:lang w:eastAsia="en-AU"/>
        </w:rPr>
        <w:t>uinea</w:t>
      </w:r>
      <w:r w:rsidR="00CC1CF5" w:rsidRPr="00B2274C">
        <w:rPr>
          <w:lang w:eastAsia="en-AU"/>
        </w:rPr>
        <w:t xml:space="preserve">, Vanuatu and Solomon Islands. </w:t>
      </w:r>
      <w:r w:rsidR="00AD53F8" w:rsidRPr="00B2274C">
        <w:rPr>
          <w:lang w:eastAsia="en-AU"/>
        </w:rPr>
        <w:t>We will also maintain our support for t</w:t>
      </w:r>
      <w:r w:rsidR="00CC1CF5" w:rsidRPr="00B2274C">
        <w:rPr>
          <w:lang w:eastAsia="en-AU"/>
        </w:rPr>
        <w:t xml:space="preserve">he Market Development </w:t>
      </w:r>
      <w:r w:rsidR="00B20030" w:rsidRPr="00B2274C">
        <w:rPr>
          <w:lang w:eastAsia="en-AU"/>
        </w:rPr>
        <w:t>Facility to</w:t>
      </w:r>
      <w:r w:rsidR="00CC1CF5" w:rsidRPr="00B2274C">
        <w:rPr>
          <w:lang w:eastAsia="en-AU"/>
        </w:rPr>
        <w:t xml:space="preserve"> explore and deliver regional investment opportunities with the private sector that create additional employment and income opportunities, while pursuing inclusive growth.</w:t>
      </w:r>
    </w:p>
    <w:p w14:paraId="6773A7F2" w14:textId="157D3494" w:rsidR="00C81B98" w:rsidRPr="00B2274C" w:rsidRDefault="00B61CEA" w:rsidP="00F851AA">
      <w:pPr>
        <w:rPr>
          <w:lang w:eastAsia="en-AU"/>
        </w:rPr>
      </w:pPr>
      <w:r w:rsidRPr="00B2274C">
        <w:rPr>
          <w:lang w:eastAsia="en-AU"/>
        </w:rPr>
        <w:t>The Pacific</w:t>
      </w:r>
      <w:r w:rsidR="0052525C">
        <w:rPr>
          <w:lang w:eastAsia="en-AU"/>
        </w:rPr>
        <w:t xml:space="preserve"> </w:t>
      </w:r>
      <w:r w:rsidRPr="00B2274C">
        <w:rPr>
          <w:lang w:eastAsia="en-AU"/>
        </w:rPr>
        <w:t xml:space="preserve">Australia Labour Mobility </w:t>
      </w:r>
      <w:r w:rsidR="00050DD8" w:rsidRPr="00B2274C">
        <w:rPr>
          <w:lang w:eastAsia="en-AU"/>
        </w:rPr>
        <w:t xml:space="preserve">(PALM) </w:t>
      </w:r>
      <w:r w:rsidRPr="00B2274C">
        <w:rPr>
          <w:lang w:eastAsia="en-AU"/>
        </w:rPr>
        <w:t>scheme fills critical workforce shortages in Australia and delivers skills dividends and higher incomes to the region</w:t>
      </w:r>
      <w:r w:rsidR="00D35EFF" w:rsidRPr="00B2274C">
        <w:rPr>
          <w:lang w:eastAsia="en-AU"/>
        </w:rPr>
        <w:t xml:space="preserve">. </w:t>
      </w:r>
      <w:r w:rsidR="003C09FA">
        <w:rPr>
          <w:lang w:eastAsia="en-AU"/>
        </w:rPr>
        <w:t xml:space="preserve">The </w:t>
      </w:r>
      <w:r w:rsidR="00050DD8" w:rsidRPr="00B2274C">
        <w:rPr>
          <w:lang w:eastAsia="en-AU"/>
        </w:rPr>
        <w:t>PALM</w:t>
      </w:r>
      <w:r w:rsidR="00C81B98" w:rsidRPr="00B2274C">
        <w:rPr>
          <w:lang w:eastAsia="en-AU"/>
        </w:rPr>
        <w:t xml:space="preserve"> </w:t>
      </w:r>
      <w:r w:rsidR="003C09FA">
        <w:rPr>
          <w:lang w:eastAsia="en-AU"/>
        </w:rPr>
        <w:t xml:space="preserve">scheme </w:t>
      </w:r>
      <w:r w:rsidR="00C81B98" w:rsidRPr="00B2274C">
        <w:rPr>
          <w:lang w:eastAsia="en-AU"/>
        </w:rPr>
        <w:t>delivers jobs</w:t>
      </w:r>
      <w:r w:rsidR="003C09FA">
        <w:rPr>
          <w:lang w:eastAsia="en-AU"/>
        </w:rPr>
        <w:t xml:space="preserve"> in Australia</w:t>
      </w:r>
      <w:r w:rsidR="00C81B98" w:rsidRPr="00B2274C">
        <w:rPr>
          <w:lang w:eastAsia="en-AU"/>
        </w:rPr>
        <w:t xml:space="preserve"> for Pacific workers, enabling them to develop skills, earn income and support families back home. Australian employers gain access to reliable, productive workers to fill labour shortages, especially in regional Australia. </w:t>
      </w:r>
      <w:r w:rsidR="003C09FA">
        <w:rPr>
          <w:lang w:eastAsia="en-AU"/>
        </w:rPr>
        <w:t>PALM scheme</w:t>
      </w:r>
      <w:r w:rsidR="003C09FA" w:rsidRPr="00B2274C">
        <w:rPr>
          <w:lang w:eastAsia="en-AU"/>
        </w:rPr>
        <w:t xml:space="preserve"> </w:t>
      </w:r>
      <w:r w:rsidR="00C81B98" w:rsidRPr="00B2274C">
        <w:rPr>
          <w:lang w:eastAsia="en-AU"/>
        </w:rPr>
        <w:t>workers also contribute to the cultural and economic vibrancy of communities across Australia.</w:t>
      </w:r>
      <w:r w:rsidR="00D35EFF" w:rsidRPr="00B2274C">
        <w:rPr>
          <w:lang w:eastAsia="en-AU"/>
        </w:rPr>
        <w:t xml:space="preserve"> </w:t>
      </w:r>
      <w:r w:rsidR="00C81B98" w:rsidRPr="00B2274C">
        <w:rPr>
          <w:lang w:eastAsia="en-AU"/>
        </w:rPr>
        <w:t xml:space="preserve">Australia has </w:t>
      </w:r>
      <w:r w:rsidR="003A5095">
        <w:rPr>
          <w:lang w:eastAsia="en-AU"/>
        </w:rPr>
        <w:t>invested</w:t>
      </w:r>
      <w:r w:rsidR="00C81B98" w:rsidRPr="00B2274C">
        <w:rPr>
          <w:lang w:eastAsia="en-AU"/>
        </w:rPr>
        <w:t xml:space="preserve"> nearly $440</w:t>
      </w:r>
      <w:r w:rsidR="008C0B74">
        <w:rPr>
          <w:lang w:eastAsia="en-AU"/>
        </w:rPr>
        <w:t> </w:t>
      </w:r>
      <w:r w:rsidR="00C81B98" w:rsidRPr="00B2274C">
        <w:rPr>
          <w:lang w:eastAsia="en-AU"/>
        </w:rPr>
        <w:t xml:space="preserve">million across successive budgets </w:t>
      </w:r>
      <w:r w:rsidR="00B0482C" w:rsidRPr="00B2274C">
        <w:rPr>
          <w:lang w:eastAsia="en-AU"/>
        </w:rPr>
        <w:t>to</w:t>
      </w:r>
      <w:r w:rsidR="006D1653" w:rsidRPr="00B2274C">
        <w:rPr>
          <w:lang w:eastAsia="en-AU"/>
        </w:rPr>
        <w:t xml:space="preserve"> expand the PALM scheme</w:t>
      </w:r>
      <w:r w:rsidR="00C81B98" w:rsidRPr="00B2274C">
        <w:rPr>
          <w:lang w:eastAsia="en-AU"/>
        </w:rPr>
        <w:t>. Australia is strengthening oversight of domestic operations to improve support for PALM scheme workers</w:t>
      </w:r>
      <w:r w:rsidR="008C0B74">
        <w:rPr>
          <w:lang w:eastAsia="en-AU"/>
        </w:rPr>
        <w:t>,</w:t>
      </w:r>
      <w:r w:rsidR="00B0482C" w:rsidRPr="00B2274C">
        <w:rPr>
          <w:lang w:eastAsia="en-AU"/>
        </w:rPr>
        <w:t xml:space="preserve"> and increasing support for sending </w:t>
      </w:r>
      <w:r w:rsidR="00C81B98" w:rsidRPr="00B2274C">
        <w:rPr>
          <w:lang w:eastAsia="en-AU"/>
        </w:rPr>
        <w:t xml:space="preserve">countries </w:t>
      </w:r>
      <w:r w:rsidR="003759B5">
        <w:rPr>
          <w:lang w:eastAsia="en-AU"/>
        </w:rPr>
        <w:t>i</w:t>
      </w:r>
      <w:r w:rsidR="003759B5" w:rsidRPr="00B2274C">
        <w:rPr>
          <w:lang w:eastAsia="en-AU"/>
        </w:rPr>
        <w:t xml:space="preserve">n </w:t>
      </w:r>
      <w:r w:rsidR="00C81B98" w:rsidRPr="00B2274C">
        <w:rPr>
          <w:lang w:eastAsia="en-AU"/>
        </w:rPr>
        <w:t>worker welfare, skills dividends from the scheme</w:t>
      </w:r>
      <w:r w:rsidR="008C0B74">
        <w:rPr>
          <w:lang w:eastAsia="en-AU"/>
        </w:rPr>
        <w:t>,</w:t>
      </w:r>
      <w:r w:rsidR="00C81B98" w:rsidRPr="00B2274C">
        <w:rPr>
          <w:lang w:eastAsia="en-AU"/>
        </w:rPr>
        <w:t xml:space="preserve"> and </w:t>
      </w:r>
      <w:r w:rsidR="00B0482C" w:rsidRPr="00B2274C">
        <w:rPr>
          <w:lang w:eastAsia="en-AU"/>
        </w:rPr>
        <w:t>management of</w:t>
      </w:r>
      <w:r w:rsidR="00C81B98" w:rsidRPr="00B2274C">
        <w:rPr>
          <w:lang w:eastAsia="en-AU"/>
        </w:rPr>
        <w:t xml:space="preserve"> the challenges that labour mobility sometimes presents.</w:t>
      </w:r>
    </w:p>
    <w:p w14:paraId="645E20A8" w14:textId="274E4AB0" w:rsidR="005E2B00" w:rsidRPr="00C71632" w:rsidRDefault="005E2B00" w:rsidP="00C71632">
      <w:pPr>
        <w:pStyle w:val="H3-Heading3"/>
      </w:pPr>
      <w:r w:rsidRPr="00C71632">
        <w:t>Objective 4:</w:t>
      </w:r>
      <w:r w:rsidR="00F046E9" w:rsidRPr="00C71632">
        <w:t xml:space="preserve"> </w:t>
      </w:r>
      <w:r w:rsidR="0091220E" w:rsidRPr="00C71632">
        <w:t xml:space="preserve">Wellbeing, </w:t>
      </w:r>
      <w:r w:rsidR="00C2322E" w:rsidRPr="00C71632">
        <w:t>inclusion and equity</w:t>
      </w:r>
    </w:p>
    <w:p w14:paraId="33F22FD2" w14:textId="77777777" w:rsidR="0004484D" w:rsidRDefault="00020665" w:rsidP="00F851AA">
      <w:pPr>
        <w:rPr>
          <w:lang w:eastAsia="en-AU"/>
        </w:rPr>
      </w:pPr>
      <w:r>
        <w:rPr>
          <w:lang w:eastAsia="en-AU"/>
        </w:rPr>
        <w:t xml:space="preserve">Objective </w:t>
      </w:r>
      <w:r w:rsidR="00AB7283">
        <w:rPr>
          <w:lang w:eastAsia="en-AU"/>
        </w:rPr>
        <w:t>4</w:t>
      </w:r>
      <w:r w:rsidR="00AB7283" w:rsidRPr="00BB792E">
        <w:rPr>
          <w:lang w:eastAsia="en-AU"/>
        </w:rPr>
        <w:t xml:space="preserve"> </w:t>
      </w:r>
      <w:r w:rsidR="00AB7283">
        <w:rPr>
          <w:lang w:eastAsia="en-AU"/>
        </w:rPr>
        <w:t>contributes to the following</w:t>
      </w:r>
      <w:r>
        <w:rPr>
          <w:lang w:eastAsia="en-AU"/>
        </w:rPr>
        <w:t xml:space="preserve"> focus area </w:t>
      </w:r>
      <w:r w:rsidR="00204CAE">
        <w:rPr>
          <w:lang w:eastAsia="en-AU"/>
        </w:rPr>
        <w:t>of</w:t>
      </w:r>
      <w:r>
        <w:rPr>
          <w:lang w:eastAsia="en-AU"/>
        </w:rPr>
        <w:t xml:space="preserve"> </w:t>
      </w:r>
      <w:r w:rsidRPr="00BB792E">
        <w:rPr>
          <w:lang w:eastAsia="en-AU"/>
        </w:rPr>
        <w:t>Australia’s International Development Policy</w:t>
      </w:r>
      <w:r>
        <w:rPr>
          <w:lang w:eastAsia="en-AU"/>
        </w:rPr>
        <w:t xml:space="preserve">: </w:t>
      </w:r>
      <w:r w:rsidRPr="000D628C">
        <w:rPr>
          <w:lang w:eastAsia="en-AU"/>
        </w:rPr>
        <w:t>build effective, accountable states that drive their own development</w:t>
      </w:r>
      <w:r w:rsidRPr="483DBD79">
        <w:rPr>
          <w:lang w:eastAsia="en-AU"/>
        </w:rPr>
        <w:t xml:space="preserve">. </w:t>
      </w:r>
    </w:p>
    <w:p w14:paraId="487A5651" w14:textId="42E19EC4" w:rsidR="00020665" w:rsidRPr="00AA47AF" w:rsidRDefault="00020665" w:rsidP="00F851AA">
      <w:r w:rsidRPr="1E4286C7">
        <w:t xml:space="preserve">The </w:t>
      </w:r>
      <w:r w:rsidRPr="00547BC4">
        <w:rPr>
          <w:iCs/>
        </w:rPr>
        <w:t>2050 Strategy</w:t>
      </w:r>
      <w:r w:rsidRPr="0004484D">
        <w:rPr>
          <w:iCs/>
        </w:rPr>
        <w:t xml:space="preserve"> </w:t>
      </w:r>
      <w:r w:rsidRPr="1E4286C7">
        <w:t xml:space="preserve">emphasises the need to address </w:t>
      </w:r>
      <w:r w:rsidRPr="1E4286C7">
        <w:rPr>
          <w:color w:val="221E1F"/>
        </w:rPr>
        <w:t xml:space="preserve">high levels of </w:t>
      </w:r>
      <w:r w:rsidR="00457CB2">
        <w:rPr>
          <w:color w:val="221E1F"/>
        </w:rPr>
        <w:t>n</w:t>
      </w:r>
      <w:r w:rsidRPr="1E4286C7">
        <w:rPr>
          <w:color w:val="221E1F"/>
        </w:rPr>
        <w:t>on-</w:t>
      </w:r>
      <w:r w:rsidR="00457CB2">
        <w:rPr>
          <w:color w:val="221E1F"/>
        </w:rPr>
        <w:t>c</w:t>
      </w:r>
      <w:r w:rsidRPr="1E4286C7">
        <w:rPr>
          <w:color w:val="221E1F"/>
        </w:rPr>
        <w:t xml:space="preserve">ommunicable </w:t>
      </w:r>
      <w:r w:rsidR="00457CB2">
        <w:rPr>
          <w:color w:val="221E1F"/>
        </w:rPr>
        <w:t>d</w:t>
      </w:r>
      <w:r w:rsidRPr="1E4286C7">
        <w:rPr>
          <w:color w:val="221E1F"/>
        </w:rPr>
        <w:t>iseases</w:t>
      </w:r>
      <w:r w:rsidR="00E73F5C">
        <w:rPr>
          <w:color w:val="221E1F"/>
        </w:rPr>
        <w:t>,</w:t>
      </w:r>
      <w:r w:rsidRPr="1E4286C7">
        <w:rPr>
          <w:color w:val="221E1F"/>
        </w:rPr>
        <w:t xml:space="preserve"> ensure availability of quality education for all</w:t>
      </w:r>
      <w:r w:rsidR="00C77FB0">
        <w:rPr>
          <w:color w:val="221E1F"/>
        </w:rPr>
        <w:t>,</w:t>
      </w:r>
      <w:r w:rsidR="00C77FB0" w:rsidRPr="1E4286C7">
        <w:rPr>
          <w:color w:val="221E1F"/>
        </w:rPr>
        <w:t xml:space="preserve"> </w:t>
      </w:r>
      <w:r w:rsidRPr="1E4286C7">
        <w:rPr>
          <w:color w:val="221E1F"/>
        </w:rPr>
        <w:t xml:space="preserve">and </w:t>
      </w:r>
      <w:r w:rsidRPr="00AA47AF">
        <w:t>strengthen commitment to human rights, gender equality and social inclusion.</w:t>
      </w:r>
    </w:p>
    <w:p w14:paraId="32F55958" w14:textId="52623B04" w:rsidR="00AA47AF" w:rsidRPr="00B2274C" w:rsidRDefault="008A3300" w:rsidP="00F851AA">
      <w:pPr>
        <w:rPr>
          <w:rFonts w:cs="Calibri Light"/>
          <w:lang w:eastAsia="en-AU"/>
        </w:rPr>
      </w:pPr>
      <w:r w:rsidRPr="00B2274C">
        <w:rPr>
          <w:rFonts w:cs="Calibri Light"/>
          <w:lang w:eastAsia="en-AU"/>
        </w:rPr>
        <w:t xml:space="preserve">Australia </w:t>
      </w:r>
      <w:r w:rsidR="005E2B00" w:rsidRPr="00B2274C">
        <w:rPr>
          <w:rFonts w:cs="Calibri Light"/>
          <w:lang w:eastAsia="en-AU"/>
        </w:rPr>
        <w:t xml:space="preserve">has a steadfast commitment </w:t>
      </w:r>
      <w:r w:rsidR="005E2B00" w:rsidRPr="00F851AA">
        <w:t>to advancing gender equality and the empowerment of women and girls in</w:t>
      </w:r>
      <w:r w:rsidR="005E2B00" w:rsidRPr="00B2274C">
        <w:rPr>
          <w:rFonts w:cs="Calibri Light"/>
          <w:lang w:eastAsia="en-AU"/>
        </w:rPr>
        <w:t xml:space="preserve"> all their diversity, at home and globally. </w:t>
      </w:r>
      <w:r w:rsidR="005D718E" w:rsidRPr="00B2274C">
        <w:rPr>
          <w:rFonts w:cs="Calibri Light"/>
          <w:lang w:eastAsia="en-AU"/>
        </w:rPr>
        <w:t xml:space="preserve">Our regional gender program, </w:t>
      </w:r>
      <w:r w:rsidR="617CFDCF" w:rsidRPr="00B2274C">
        <w:rPr>
          <w:rFonts w:cs="Calibri Light"/>
          <w:lang w:eastAsia="en-AU"/>
        </w:rPr>
        <w:t>Pacific Women Lead</w:t>
      </w:r>
      <w:r w:rsidR="0019024C">
        <w:rPr>
          <w:rFonts w:cs="Calibri Light"/>
          <w:lang w:eastAsia="en-AU"/>
        </w:rPr>
        <w:t>,</w:t>
      </w:r>
      <w:r w:rsidR="617CFDCF" w:rsidRPr="00B2274C">
        <w:rPr>
          <w:rFonts w:cs="Calibri Light"/>
          <w:lang w:eastAsia="en-AU"/>
        </w:rPr>
        <w:t xml:space="preserve"> </w:t>
      </w:r>
      <w:r w:rsidR="005D718E" w:rsidRPr="00B2274C">
        <w:rPr>
          <w:rFonts w:cs="Calibri Light"/>
          <w:lang w:eastAsia="en-AU"/>
        </w:rPr>
        <w:t xml:space="preserve">builds on a decade of support </w:t>
      </w:r>
      <w:r w:rsidR="00B6618A">
        <w:rPr>
          <w:rFonts w:cs="Calibri Light"/>
          <w:lang w:eastAsia="en-AU"/>
        </w:rPr>
        <w:t>for</w:t>
      </w:r>
      <w:r w:rsidR="00B6618A" w:rsidRPr="00B2274C">
        <w:rPr>
          <w:rFonts w:cs="Calibri Light"/>
          <w:lang w:eastAsia="en-AU"/>
        </w:rPr>
        <w:t xml:space="preserve"> </w:t>
      </w:r>
      <w:r w:rsidR="005D718E" w:rsidRPr="00B2274C">
        <w:rPr>
          <w:rFonts w:cs="Calibri Light"/>
          <w:lang w:eastAsia="en-AU"/>
        </w:rPr>
        <w:t xml:space="preserve">gender equality in the Pacific. </w:t>
      </w:r>
      <w:r w:rsidR="00B6618A">
        <w:rPr>
          <w:rFonts w:cs="Calibri Light"/>
          <w:lang w:eastAsia="en-AU"/>
        </w:rPr>
        <w:t>The program</w:t>
      </w:r>
      <w:r w:rsidR="00B6618A" w:rsidRPr="00B2274C">
        <w:rPr>
          <w:rFonts w:cs="Calibri Light"/>
          <w:lang w:eastAsia="en-AU"/>
        </w:rPr>
        <w:t xml:space="preserve"> </w:t>
      </w:r>
      <w:r w:rsidR="005D718E" w:rsidRPr="00B2274C">
        <w:rPr>
          <w:rFonts w:cs="Calibri Light"/>
          <w:lang w:eastAsia="en-AU"/>
        </w:rPr>
        <w:t>a</w:t>
      </w:r>
      <w:r w:rsidR="617CFDCF" w:rsidRPr="00B2274C">
        <w:rPr>
          <w:rFonts w:cs="Calibri Light"/>
          <w:lang w:eastAsia="en-AU"/>
        </w:rPr>
        <w:t xml:space="preserve">ims to ensure that Pacific women and girls, in all their diversity, are safe and equitably share in resources, opportunities and decision-making. </w:t>
      </w:r>
      <w:r w:rsidR="00D15498" w:rsidRPr="00B2274C">
        <w:rPr>
          <w:rFonts w:cs="Calibri Light"/>
          <w:lang w:eastAsia="en-AU"/>
        </w:rPr>
        <w:t xml:space="preserve">Pacific Women Lead maximises the voices and ownership of Pacific women in governance, management and delivery through </w:t>
      </w:r>
      <w:r w:rsidR="00AA47AF" w:rsidRPr="00B2274C">
        <w:rPr>
          <w:rFonts w:cs="Calibri Light"/>
          <w:lang w:eastAsia="en-AU"/>
        </w:rPr>
        <w:t>strategic partnerships with Pacific organisations</w:t>
      </w:r>
      <w:r w:rsidR="00FC60A3">
        <w:rPr>
          <w:rFonts w:cs="Calibri Light"/>
          <w:lang w:eastAsia="en-AU"/>
        </w:rPr>
        <w:t xml:space="preserve"> </w:t>
      </w:r>
      <w:r w:rsidR="0004484D">
        <w:rPr>
          <w:rFonts w:cs="Calibri Light"/>
          <w:lang w:eastAsia="en-AU"/>
        </w:rPr>
        <w:t>–</w:t>
      </w:r>
      <w:r w:rsidR="0004484D" w:rsidRPr="00B2274C">
        <w:rPr>
          <w:rFonts w:cs="Calibri Light"/>
          <w:lang w:eastAsia="en-AU"/>
        </w:rPr>
        <w:t xml:space="preserve"> </w:t>
      </w:r>
      <w:r w:rsidR="00AA47AF" w:rsidRPr="00B2274C">
        <w:rPr>
          <w:rFonts w:cs="Calibri Light"/>
          <w:lang w:eastAsia="en-AU"/>
        </w:rPr>
        <w:t xml:space="preserve">including </w:t>
      </w:r>
      <w:r w:rsidR="00FC60A3">
        <w:rPr>
          <w:rFonts w:cs="Calibri Light"/>
          <w:lang w:eastAsia="en-AU"/>
        </w:rPr>
        <w:t xml:space="preserve">the </w:t>
      </w:r>
      <w:r w:rsidR="00AA47AF" w:rsidRPr="00B2274C">
        <w:rPr>
          <w:rFonts w:cs="Calibri Light"/>
          <w:lang w:eastAsia="en-AU"/>
        </w:rPr>
        <w:t>PIF</w:t>
      </w:r>
      <w:r w:rsidR="00FC60A3">
        <w:rPr>
          <w:rFonts w:cs="Calibri Light"/>
          <w:lang w:eastAsia="en-AU"/>
        </w:rPr>
        <w:t>, the</w:t>
      </w:r>
      <w:r w:rsidR="00440444">
        <w:rPr>
          <w:rFonts w:cs="Calibri Light"/>
          <w:lang w:eastAsia="en-AU"/>
        </w:rPr>
        <w:t xml:space="preserve"> </w:t>
      </w:r>
      <w:r w:rsidR="00AA47AF" w:rsidRPr="00B2274C">
        <w:rPr>
          <w:rFonts w:cs="Calibri Light"/>
          <w:lang w:eastAsia="en-AU"/>
        </w:rPr>
        <w:t>SPC, Pacific women’s funds and civil society organisations</w:t>
      </w:r>
      <w:r w:rsidR="00FC60A3">
        <w:rPr>
          <w:rFonts w:cs="Calibri Light"/>
          <w:lang w:eastAsia="en-AU"/>
        </w:rPr>
        <w:t xml:space="preserve"> </w:t>
      </w:r>
      <w:r w:rsidR="0004484D">
        <w:rPr>
          <w:rFonts w:cs="Calibri Light"/>
          <w:lang w:eastAsia="en-AU"/>
        </w:rPr>
        <w:t>–</w:t>
      </w:r>
      <w:r w:rsidR="0004484D" w:rsidRPr="00B2274C">
        <w:rPr>
          <w:rFonts w:cs="Calibri Light"/>
          <w:lang w:eastAsia="en-AU"/>
        </w:rPr>
        <w:t xml:space="preserve"> </w:t>
      </w:r>
      <w:r w:rsidR="00AA47AF" w:rsidRPr="00B2274C">
        <w:rPr>
          <w:rFonts w:cs="Calibri Light"/>
          <w:lang w:eastAsia="en-AU"/>
        </w:rPr>
        <w:t xml:space="preserve">and </w:t>
      </w:r>
      <w:r w:rsidR="00FC60A3">
        <w:rPr>
          <w:rFonts w:cs="Calibri Light"/>
          <w:lang w:eastAsia="en-AU"/>
        </w:rPr>
        <w:t>the</w:t>
      </w:r>
      <w:r w:rsidR="00FC60A3" w:rsidRPr="00B2274C">
        <w:rPr>
          <w:rFonts w:cs="Calibri Light"/>
          <w:lang w:eastAsia="en-AU"/>
        </w:rPr>
        <w:t xml:space="preserve"> </w:t>
      </w:r>
      <w:r w:rsidR="00AA47AF" w:rsidRPr="00B2274C">
        <w:rPr>
          <w:rFonts w:cs="Calibri Light"/>
          <w:lang w:eastAsia="en-AU"/>
        </w:rPr>
        <w:t>Pacific Women Lead Governance Board</w:t>
      </w:r>
      <w:r w:rsidR="00FC60A3">
        <w:rPr>
          <w:rFonts w:cs="Calibri Light"/>
          <w:lang w:eastAsia="en-AU"/>
        </w:rPr>
        <w:t>, which is</w:t>
      </w:r>
      <w:r w:rsidR="00AA47AF" w:rsidRPr="00B2274C">
        <w:rPr>
          <w:rFonts w:cs="Calibri Light"/>
          <w:lang w:eastAsia="en-AU"/>
        </w:rPr>
        <w:t xml:space="preserve"> led by eminent Pacific women and men</w:t>
      </w:r>
      <w:r w:rsidR="00884491" w:rsidRPr="00B2274C">
        <w:rPr>
          <w:rFonts w:cs="Calibri Light"/>
          <w:lang w:eastAsia="en-AU"/>
        </w:rPr>
        <w:t>.</w:t>
      </w:r>
    </w:p>
    <w:p w14:paraId="6F5A7BB4" w14:textId="369A7D6B" w:rsidR="005E2B00" w:rsidRPr="00B2274C" w:rsidRDefault="003652EC" w:rsidP="00F851AA">
      <w:pPr>
        <w:rPr>
          <w:rFonts w:cs="Calibri Light"/>
          <w:lang w:eastAsia="en-AU"/>
        </w:rPr>
      </w:pPr>
      <w:r w:rsidRPr="00B2274C">
        <w:rPr>
          <w:rFonts w:cs="Calibri Light"/>
          <w:lang w:eastAsia="en-AU"/>
        </w:rPr>
        <w:t>Australia</w:t>
      </w:r>
      <w:r w:rsidR="005E2B00" w:rsidRPr="00B2274C">
        <w:rPr>
          <w:rFonts w:cs="Calibri Light"/>
          <w:lang w:eastAsia="en-AU"/>
        </w:rPr>
        <w:t xml:space="preserve"> </w:t>
      </w:r>
      <w:r w:rsidR="00D15498" w:rsidRPr="00B2274C">
        <w:rPr>
          <w:rFonts w:cs="Calibri Light"/>
          <w:lang w:eastAsia="en-AU"/>
        </w:rPr>
        <w:t xml:space="preserve">also </w:t>
      </w:r>
      <w:r w:rsidR="005E2B00" w:rsidRPr="00B2274C">
        <w:rPr>
          <w:rFonts w:cs="Calibri Light"/>
          <w:lang w:eastAsia="en-AU"/>
        </w:rPr>
        <w:t xml:space="preserve">supports efforts to prevent and respond to gender-based violence in the Pacific. </w:t>
      </w:r>
      <w:r w:rsidRPr="00B2274C">
        <w:rPr>
          <w:rFonts w:cs="Calibri Light"/>
          <w:lang w:eastAsia="en-AU"/>
        </w:rPr>
        <w:t>This includes</w:t>
      </w:r>
      <w:r w:rsidR="005E2B00" w:rsidRPr="00B2274C">
        <w:rPr>
          <w:rFonts w:cs="Calibri Light"/>
          <w:lang w:eastAsia="en-AU"/>
        </w:rPr>
        <w:t xml:space="preserve"> help</w:t>
      </w:r>
      <w:r w:rsidR="001F343C" w:rsidRPr="00B2274C">
        <w:rPr>
          <w:rFonts w:cs="Calibri Light"/>
          <w:lang w:eastAsia="en-AU"/>
        </w:rPr>
        <w:t>ing</w:t>
      </w:r>
      <w:r w:rsidR="005E2B00" w:rsidRPr="00B2274C">
        <w:rPr>
          <w:rFonts w:cs="Calibri Light"/>
          <w:lang w:eastAsia="en-AU"/>
        </w:rPr>
        <w:t xml:space="preserve"> to build the evidence on what works to end violence, supporting knowledge exchange and collaboration between Australian organisations and our regional partners, and </w:t>
      </w:r>
      <w:r w:rsidR="006E4703" w:rsidRPr="00B2274C">
        <w:rPr>
          <w:rFonts w:cs="Calibri Light"/>
          <w:lang w:eastAsia="en-AU"/>
        </w:rPr>
        <w:t xml:space="preserve">advocacy. </w:t>
      </w:r>
      <w:r w:rsidR="0047075C" w:rsidRPr="00B2274C">
        <w:rPr>
          <w:rFonts w:cs="Calibri Light"/>
          <w:lang w:eastAsia="en-AU"/>
        </w:rPr>
        <w:t xml:space="preserve">Australia contributes to Pacific </w:t>
      </w:r>
      <w:r w:rsidR="006155C7">
        <w:rPr>
          <w:rFonts w:cs="Calibri Light"/>
          <w:lang w:eastAsia="en-AU"/>
        </w:rPr>
        <w:t>w</w:t>
      </w:r>
      <w:r w:rsidR="006155C7" w:rsidRPr="00B2274C">
        <w:rPr>
          <w:rFonts w:cs="Calibri Light"/>
          <w:lang w:eastAsia="en-AU"/>
        </w:rPr>
        <w:t xml:space="preserve">omen’s </w:t>
      </w:r>
      <w:r w:rsidR="006155C7">
        <w:rPr>
          <w:rFonts w:cs="Calibri Light"/>
          <w:lang w:eastAsia="en-AU"/>
        </w:rPr>
        <w:t>f</w:t>
      </w:r>
      <w:r w:rsidR="0047075C" w:rsidRPr="00B2274C">
        <w:rPr>
          <w:rFonts w:cs="Calibri Light"/>
          <w:lang w:eastAsia="en-AU"/>
        </w:rPr>
        <w:t xml:space="preserve">unds (Urgent Action Fund </w:t>
      </w:r>
      <w:r w:rsidR="00E41D15">
        <w:rPr>
          <w:rFonts w:cs="Calibri Light"/>
          <w:lang w:eastAsia="en-AU"/>
        </w:rPr>
        <w:t xml:space="preserve">for Women’s Human Rights </w:t>
      </w:r>
      <w:r w:rsidR="0047075C" w:rsidRPr="00B2274C">
        <w:rPr>
          <w:rFonts w:cs="Calibri Light"/>
          <w:lang w:eastAsia="en-AU"/>
        </w:rPr>
        <w:t>Asia and Pacific, Women’s Fund Fiji and Pacific Feminist Fund) through the Amplify</w:t>
      </w:r>
      <w:r w:rsidR="00220388">
        <w:rPr>
          <w:rFonts w:cs="Calibri Light"/>
          <w:lang w:eastAsia="en-AU"/>
        </w:rPr>
        <w:t>-</w:t>
      </w:r>
      <w:r w:rsidR="0047075C" w:rsidRPr="00B2274C">
        <w:rPr>
          <w:rFonts w:cs="Calibri Light"/>
          <w:lang w:eastAsia="en-AU"/>
        </w:rPr>
        <w:t>Invest</w:t>
      </w:r>
      <w:r w:rsidR="00220388">
        <w:rPr>
          <w:rFonts w:cs="Calibri Light"/>
          <w:lang w:eastAsia="en-AU"/>
        </w:rPr>
        <w:t>-</w:t>
      </w:r>
      <w:r w:rsidR="0047075C" w:rsidRPr="00B2274C">
        <w:rPr>
          <w:rFonts w:cs="Calibri Light"/>
          <w:lang w:eastAsia="en-AU"/>
        </w:rPr>
        <w:t>Reach program.</w:t>
      </w:r>
    </w:p>
    <w:p w14:paraId="7D48AAB0" w14:textId="34E9795D" w:rsidR="005E2B00" w:rsidRPr="00B2274C" w:rsidRDefault="00437AAA" w:rsidP="00F851AA">
      <w:pPr>
        <w:rPr>
          <w:rFonts w:cs="Calibri Light"/>
          <w:lang w:eastAsia="en-AU"/>
        </w:rPr>
      </w:pPr>
      <w:r w:rsidRPr="00B2274C">
        <w:rPr>
          <w:rFonts w:cs="Calibri Light"/>
          <w:lang w:eastAsia="en-AU"/>
        </w:rPr>
        <w:t>Australian</w:t>
      </w:r>
      <w:r w:rsidR="00F26AC2">
        <w:rPr>
          <w:rFonts w:cs="Calibri Light"/>
          <w:lang w:eastAsia="en-AU"/>
        </w:rPr>
        <w:t>-</w:t>
      </w:r>
      <w:r w:rsidRPr="00B2274C">
        <w:rPr>
          <w:rFonts w:cs="Calibri Light"/>
          <w:lang w:eastAsia="en-AU"/>
        </w:rPr>
        <w:t xml:space="preserve">funded partnerships with the PIF and </w:t>
      </w:r>
      <w:r w:rsidR="007602F7">
        <w:rPr>
          <w:rFonts w:cs="Calibri Light"/>
          <w:lang w:eastAsia="en-AU"/>
        </w:rPr>
        <w:t xml:space="preserve">the </w:t>
      </w:r>
      <w:r w:rsidRPr="00B2274C">
        <w:rPr>
          <w:rFonts w:cs="Calibri Light"/>
          <w:lang w:eastAsia="en-AU"/>
        </w:rPr>
        <w:t>SPC have</w:t>
      </w:r>
      <w:r w:rsidR="00E0760E" w:rsidRPr="00B2274C">
        <w:rPr>
          <w:rFonts w:cs="Calibri Light"/>
          <w:lang w:eastAsia="en-AU"/>
        </w:rPr>
        <w:t xml:space="preserve"> social inclusion and</w:t>
      </w:r>
      <w:r w:rsidRPr="00B2274C">
        <w:rPr>
          <w:rFonts w:cs="Calibri Light"/>
          <w:lang w:eastAsia="en-AU"/>
        </w:rPr>
        <w:t xml:space="preserve"> disability equity at their core.</w:t>
      </w:r>
      <w:r w:rsidR="00093FBD" w:rsidRPr="00B2274C">
        <w:rPr>
          <w:rFonts w:cs="Calibri Light"/>
          <w:lang w:eastAsia="en-AU"/>
        </w:rPr>
        <w:t xml:space="preserve"> </w:t>
      </w:r>
      <w:r w:rsidR="00E0760E" w:rsidRPr="00B2274C">
        <w:rPr>
          <w:rFonts w:cs="Calibri Light"/>
          <w:lang w:eastAsia="en-AU"/>
        </w:rPr>
        <w:t xml:space="preserve">This includes core funding to the SPC to provide technical assistance to advance human rights, gender equality, social inclusion, youth development and cultural development. </w:t>
      </w:r>
      <w:r w:rsidR="00093FBD" w:rsidRPr="00B2274C">
        <w:rPr>
          <w:rFonts w:cs="Calibri Light"/>
          <w:lang w:eastAsia="en-AU"/>
        </w:rPr>
        <w:t>Australia also</w:t>
      </w:r>
      <w:r w:rsidRPr="00B2274C">
        <w:rPr>
          <w:rFonts w:cs="Calibri Light"/>
          <w:lang w:eastAsia="en-AU"/>
        </w:rPr>
        <w:t xml:space="preserve"> provides core funding</w:t>
      </w:r>
      <w:r w:rsidR="00121C27" w:rsidRPr="00B2274C">
        <w:rPr>
          <w:rFonts w:cs="Calibri Light"/>
          <w:lang w:eastAsia="en-AU"/>
        </w:rPr>
        <w:t xml:space="preserve"> to </w:t>
      </w:r>
      <w:r w:rsidRPr="00B2274C">
        <w:rPr>
          <w:rFonts w:cs="Calibri Light"/>
          <w:lang w:eastAsia="en-AU"/>
        </w:rPr>
        <w:t xml:space="preserve">the Pacific Disability Forum. </w:t>
      </w:r>
      <w:r w:rsidR="007602F7">
        <w:rPr>
          <w:rFonts w:cs="Calibri Light"/>
          <w:lang w:eastAsia="en-AU"/>
        </w:rPr>
        <w:t>The forum</w:t>
      </w:r>
      <w:r w:rsidR="007602F7" w:rsidRPr="00B2274C">
        <w:rPr>
          <w:rFonts w:cs="Calibri Light"/>
          <w:lang w:eastAsia="en-AU"/>
        </w:rPr>
        <w:t xml:space="preserve"> </w:t>
      </w:r>
      <w:r w:rsidR="005E2B00" w:rsidRPr="00B2274C">
        <w:rPr>
          <w:rFonts w:cs="Calibri Light"/>
          <w:lang w:eastAsia="en-AU"/>
        </w:rPr>
        <w:t xml:space="preserve">works with governments, civil society and development partners to develop policies and actions that include people with </w:t>
      </w:r>
      <w:r w:rsidR="007602F7" w:rsidRPr="00B2274C">
        <w:rPr>
          <w:rFonts w:cs="Calibri Light"/>
          <w:lang w:eastAsia="en-AU"/>
        </w:rPr>
        <w:t>disabilit</w:t>
      </w:r>
      <w:r w:rsidR="007602F7">
        <w:rPr>
          <w:rFonts w:cs="Calibri Light"/>
          <w:lang w:eastAsia="en-AU"/>
        </w:rPr>
        <w:t>y</w:t>
      </w:r>
      <w:r w:rsidR="007602F7" w:rsidRPr="00B2274C">
        <w:rPr>
          <w:rFonts w:cs="Calibri Light"/>
          <w:lang w:eastAsia="en-AU"/>
        </w:rPr>
        <w:t xml:space="preserve"> </w:t>
      </w:r>
      <w:r w:rsidR="005E2B00" w:rsidRPr="00B2274C">
        <w:rPr>
          <w:rFonts w:cs="Calibri Light"/>
          <w:lang w:eastAsia="en-AU"/>
        </w:rPr>
        <w:t>in all aspects of public life on an equal basis with others.</w:t>
      </w:r>
    </w:p>
    <w:p w14:paraId="2AE186A4" w14:textId="73F221FD" w:rsidR="00395D86" w:rsidRPr="00B2274C" w:rsidRDefault="0009408A" w:rsidP="00F851AA">
      <w:pPr>
        <w:rPr>
          <w:rFonts w:cs="Calibri Light"/>
          <w:lang w:eastAsia="en-AU"/>
        </w:rPr>
      </w:pPr>
      <w:r w:rsidRPr="00B2274C">
        <w:rPr>
          <w:rFonts w:cs="Calibri Light"/>
          <w:lang w:eastAsia="en-AU"/>
        </w:rPr>
        <w:t xml:space="preserve">Australia is </w:t>
      </w:r>
      <w:r w:rsidRPr="00F851AA">
        <w:t>the largest supporter of education</w:t>
      </w:r>
      <w:r w:rsidRPr="0004484D">
        <w:rPr>
          <w:rFonts w:cs="Calibri Light"/>
          <w:lang w:eastAsia="en-AU"/>
        </w:rPr>
        <w:t xml:space="preserve"> </w:t>
      </w:r>
      <w:r w:rsidRPr="00B2274C">
        <w:rPr>
          <w:rFonts w:cs="Calibri Light"/>
          <w:lang w:eastAsia="en-AU"/>
        </w:rPr>
        <w:t xml:space="preserve">in the region. </w:t>
      </w:r>
      <w:r w:rsidR="00FC7A7E" w:rsidRPr="00B2274C">
        <w:rPr>
          <w:rFonts w:cs="Calibri Light"/>
          <w:lang w:eastAsia="en-AU"/>
        </w:rPr>
        <w:t xml:space="preserve">Education investments through </w:t>
      </w:r>
      <w:r w:rsidR="004A39A3">
        <w:rPr>
          <w:rFonts w:cs="Calibri Light"/>
          <w:lang w:eastAsia="en-AU"/>
        </w:rPr>
        <w:t>our</w:t>
      </w:r>
      <w:r w:rsidR="004A39A3" w:rsidRPr="00B2274C">
        <w:rPr>
          <w:rFonts w:cs="Calibri Light"/>
          <w:lang w:eastAsia="en-AU"/>
        </w:rPr>
        <w:t xml:space="preserve"> </w:t>
      </w:r>
      <w:r w:rsidR="00FC7A7E" w:rsidRPr="00B2274C">
        <w:rPr>
          <w:rFonts w:cs="Calibri Light"/>
          <w:lang w:eastAsia="en-AU"/>
        </w:rPr>
        <w:t>regional portfolio complement our longstanding support for partner government education systems through bilateral programs.</w:t>
      </w:r>
      <w:r w:rsidR="007F33F7" w:rsidRPr="00B2274C">
        <w:rPr>
          <w:rFonts w:cs="Calibri Light"/>
          <w:lang w:eastAsia="en-AU"/>
        </w:rPr>
        <w:t xml:space="preserve"> </w:t>
      </w:r>
      <w:r w:rsidR="00395D86" w:rsidRPr="00B2274C">
        <w:rPr>
          <w:rFonts w:cs="Calibri Light"/>
          <w:lang w:eastAsia="en-AU"/>
        </w:rPr>
        <w:t xml:space="preserve">We </w:t>
      </w:r>
      <w:r w:rsidR="00850F79" w:rsidRPr="00B2274C">
        <w:rPr>
          <w:rFonts w:cs="Calibri Light"/>
          <w:lang w:eastAsia="en-AU"/>
        </w:rPr>
        <w:t>directly</w:t>
      </w:r>
      <w:r w:rsidR="00395D86" w:rsidRPr="00B2274C">
        <w:rPr>
          <w:rFonts w:cs="Calibri Light"/>
          <w:lang w:eastAsia="en-AU"/>
        </w:rPr>
        <w:t xml:space="preserve"> suppor</w:t>
      </w:r>
      <w:r w:rsidR="00850F79" w:rsidRPr="00B2274C">
        <w:rPr>
          <w:rFonts w:cs="Calibri Light"/>
          <w:lang w:eastAsia="en-AU"/>
        </w:rPr>
        <w:t>t</w:t>
      </w:r>
      <w:r w:rsidR="00395D86" w:rsidRPr="00B2274C">
        <w:rPr>
          <w:rFonts w:cs="Calibri Light"/>
          <w:lang w:eastAsia="en-AU"/>
        </w:rPr>
        <w:t xml:space="preserve"> the Pacific Regional Education Framework</w:t>
      </w:r>
      <w:r w:rsidR="00C31807">
        <w:rPr>
          <w:rFonts w:cs="Calibri Light"/>
          <w:lang w:eastAsia="en-AU"/>
        </w:rPr>
        <w:t xml:space="preserve">, </w:t>
      </w:r>
      <w:r w:rsidR="00395D86" w:rsidRPr="00B2274C">
        <w:rPr>
          <w:rFonts w:cs="Calibri Light"/>
          <w:lang w:eastAsia="en-AU"/>
        </w:rPr>
        <w:t>the regional education policy agenda (2018</w:t>
      </w:r>
      <w:r w:rsidR="0004484D">
        <w:rPr>
          <w:rFonts w:cs="Calibri Light"/>
          <w:lang w:eastAsia="en-AU"/>
        </w:rPr>
        <w:t>–</w:t>
      </w:r>
      <w:r w:rsidR="00395D86" w:rsidRPr="00B2274C">
        <w:rPr>
          <w:rFonts w:cs="Calibri Light"/>
          <w:lang w:eastAsia="en-AU"/>
        </w:rPr>
        <w:t xml:space="preserve">30) </w:t>
      </w:r>
      <w:r w:rsidR="0004484D">
        <w:rPr>
          <w:rFonts w:cs="Calibri Light"/>
          <w:lang w:eastAsia="en-AU"/>
        </w:rPr>
        <w:t>that</w:t>
      </w:r>
      <w:r w:rsidR="0004484D" w:rsidRPr="00B2274C">
        <w:rPr>
          <w:rFonts w:cs="Calibri Light"/>
          <w:lang w:eastAsia="en-AU"/>
        </w:rPr>
        <w:t xml:space="preserve"> </w:t>
      </w:r>
      <w:r w:rsidR="00395D86" w:rsidRPr="00B2274C">
        <w:rPr>
          <w:rFonts w:cs="Calibri Light"/>
          <w:lang w:eastAsia="en-AU"/>
        </w:rPr>
        <w:t xml:space="preserve">focuses on education quality, learning pathways, student outcomes and teachers. </w:t>
      </w:r>
      <w:r w:rsidR="004D6D8A" w:rsidRPr="00B2274C">
        <w:rPr>
          <w:rFonts w:cs="Calibri Light"/>
          <w:lang w:eastAsia="en-AU"/>
        </w:rPr>
        <w:t>Through</w:t>
      </w:r>
      <w:r w:rsidR="00395D86" w:rsidRPr="00B2274C">
        <w:rPr>
          <w:rFonts w:cs="Calibri Light"/>
          <w:lang w:eastAsia="en-AU"/>
        </w:rPr>
        <w:t xml:space="preserve"> SPC’s Educational Quality and Assessment Programme</w:t>
      </w:r>
      <w:r w:rsidR="004D6D8A" w:rsidRPr="00B2274C">
        <w:rPr>
          <w:rFonts w:cs="Calibri Light"/>
          <w:lang w:eastAsia="en-AU"/>
        </w:rPr>
        <w:t xml:space="preserve"> we</w:t>
      </w:r>
      <w:r w:rsidR="00395D86" w:rsidRPr="00B2274C">
        <w:rPr>
          <w:rFonts w:cs="Calibri Light"/>
          <w:lang w:eastAsia="en-AU"/>
        </w:rPr>
        <w:t xml:space="preserve"> provide technical education services to Pacific education ministries, with a focus on assessment and data to inform education policies and planning. </w:t>
      </w:r>
      <w:r w:rsidR="00691D7B">
        <w:rPr>
          <w:rFonts w:cs="Calibri Light"/>
          <w:lang w:eastAsia="en-AU"/>
        </w:rPr>
        <w:t xml:space="preserve">The </w:t>
      </w:r>
      <w:r w:rsidR="00AD0E19">
        <w:rPr>
          <w:rFonts w:cs="Calibri Light"/>
          <w:lang w:eastAsia="en-AU"/>
        </w:rPr>
        <w:t>Education</w:t>
      </w:r>
      <w:r w:rsidR="0004484D">
        <w:rPr>
          <w:rFonts w:cs="Calibri Light"/>
          <w:lang w:eastAsia="en-AU"/>
        </w:rPr>
        <w:t>al</w:t>
      </w:r>
      <w:r w:rsidR="00691D7B">
        <w:rPr>
          <w:rFonts w:cs="Calibri Light"/>
          <w:lang w:eastAsia="en-AU"/>
        </w:rPr>
        <w:t xml:space="preserve"> Quality and Assessment Programme</w:t>
      </w:r>
      <w:r w:rsidR="00691D7B" w:rsidRPr="00B2274C">
        <w:rPr>
          <w:rFonts w:cs="Calibri Light"/>
          <w:lang w:eastAsia="en-AU"/>
        </w:rPr>
        <w:t xml:space="preserve"> </w:t>
      </w:r>
      <w:r w:rsidR="00FC7A7E" w:rsidRPr="00B2274C">
        <w:rPr>
          <w:rFonts w:cs="Calibri Light"/>
          <w:lang w:eastAsia="en-AU"/>
        </w:rPr>
        <w:t>also</w:t>
      </w:r>
      <w:r w:rsidR="00395D86" w:rsidRPr="00B2274C">
        <w:rPr>
          <w:rFonts w:cs="Calibri Light"/>
          <w:lang w:eastAsia="en-AU"/>
        </w:rPr>
        <w:t xml:space="preserve"> administers the Pacific Islands Literacy and Numeracy Assessment, a reliable and comprehensive </w:t>
      </w:r>
      <w:r w:rsidR="00395D86" w:rsidRPr="00B2274C">
        <w:rPr>
          <w:rFonts w:cs="Calibri Light"/>
          <w:lang w:eastAsia="en-AU"/>
        </w:rPr>
        <w:lastRenderedPageBreak/>
        <w:t>learning assessment tool.</w:t>
      </w:r>
      <w:r w:rsidR="00F335DB">
        <w:rPr>
          <w:rFonts w:cs="Calibri Light"/>
          <w:lang w:eastAsia="en-AU"/>
        </w:rPr>
        <w:t xml:space="preserve"> Australia provides core funding to the University of </w:t>
      </w:r>
      <w:r w:rsidR="00691D7B">
        <w:rPr>
          <w:rFonts w:cs="Calibri Light"/>
          <w:lang w:eastAsia="en-AU"/>
        </w:rPr>
        <w:t xml:space="preserve">the </w:t>
      </w:r>
      <w:r w:rsidR="00F335DB">
        <w:rPr>
          <w:rFonts w:cs="Calibri Light"/>
          <w:lang w:eastAsia="en-AU"/>
        </w:rPr>
        <w:t xml:space="preserve">South Pacific, a premier provider </w:t>
      </w:r>
      <w:r w:rsidR="005A4481">
        <w:rPr>
          <w:rFonts w:cs="Calibri Light"/>
          <w:lang w:eastAsia="en-AU"/>
        </w:rPr>
        <w:t xml:space="preserve">of </w:t>
      </w:r>
      <w:r w:rsidR="00691D7B">
        <w:rPr>
          <w:rFonts w:cs="Calibri Light"/>
          <w:lang w:eastAsia="en-AU"/>
        </w:rPr>
        <w:t>t</w:t>
      </w:r>
      <w:r w:rsidR="005A4481">
        <w:rPr>
          <w:rFonts w:cs="Calibri Light"/>
          <w:lang w:eastAsia="en-AU"/>
        </w:rPr>
        <w:t>ertiary education in the region and an international centre for excellence for teaching, research and consulting on all aspects of Pacific life.</w:t>
      </w:r>
    </w:p>
    <w:p w14:paraId="28F713DA" w14:textId="2B0EDF8C" w:rsidR="00395D86" w:rsidRPr="00B2274C" w:rsidRDefault="00395D86" w:rsidP="00F851AA">
      <w:pPr>
        <w:rPr>
          <w:rFonts w:cs="Calibri Light"/>
          <w:lang w:eastAsia="en-AU"/>
        </w:rPr>
      </w:pPr>
      <w:r w:rsidRPr="00B2274C">
        <w:rPr>
          <w:rFonts w:cs="Calibri Light"/>
          <w:lang w:eastAsia="en-AU"/>
        </w:rPr>
        <w:t>The Australia Pacific Training Coalition is Australia</w:t>
      </w:r>
      <w:r w:rsidR="0004484D">
        <w:rPr>
          <w:rFonts w:cs="Calibri Light"/>
          <w:lang w:eastAsia="en-AU"/>
        </w:rPr>
        <w:t>’</w:t>
      </w:r>
      <w:r w:rsidRPr="00B2274C">
        <w:rPr>
          <w:rFonts w:cs="Calibri Light"/>
          <w:lang w:eastAsia="en-AU"/>
        </w:rPr>
        <w:t xml:space="preserve">s largest skills investment in the Pacific. </w:t>
      </w:r>
      <w:r w:rsidR="006E06E8">
        <w:rPr>
          <w:rFonts w:cs="Calibri Light"/>
          <w:lang w:eastAsia="en-AU"/>
        </w:rPr>
        <w:t>The coalition</w:t>
      </w:r>
      <w:r w:rsidR="006E06E8" w:rsidRPr="00B2274C">
        <w:rPr>
          <w:rFonts w:cs="Calibri Light"/>
          <w:lang w:eastAsia="en-AU"/>
        </w:rPr>
        <w:t xml:space="preserve"> </w:t>
      </w:r>
      <w:r w:rsidRPr="00B2274C">
        <w:rPr>
          <w:rFonts w:cs="Calibri Light"/>
          <w:lang w:eastAsia="en-AU"/>
        </w:rPr>
        <w:t xml:space="preserve">is focused on inclusive skills development and training that meets regional labour market needs. </w:t>
      </w:r>
      <w:r w:rsidR="006E06E8">
        <w:rPr>
          <w:rFonts w:cs="Calibri Light"/>
          <w:lang w:eastAsia="en-AU"/>
        </w:rPr>
        <w:t>It</w:t>
      </w:r>
      <w:r w:rsidR="006E06E8" w:rsidRPr="00B2274C">
        <w:rPr>
          <w:rFonts w:cs="Calibri Light"/>
          <w:lang w:eastAsia="en-AU"/>
        </w:rPr>
        <w:t xml:space="preserve"> </w:t>
      </w:r>
      <w:r w:rsidRPr="00B2274C">
        <w:rPr>
          <w:rFonts w:cs="Calibri Light"/>
          <w:lang w:eastAsia="en-AU"/>
        </w:rPr>
        <w:t xml:space="preserve">works in partnership with local and national </w:t>
      </w:r>
      <w:r w:rsidR="00884026">
        <w:rPr>
          <w:rFonts w:cs="Calibri Light"/>
          <w:lang w:eastAsia="en-AU"/>
        </w:rPr>
        <w:t>technical and vocational education and training</w:t>
      </w:r>
      <w:r w:rsidR="00884026" w:rsidRPr="00B2274C">
        <w:rPr>
          <w:rFonts w:cs="Calibri Light"/>
          <w:lang w:eastAsia="en-AU"/>
        </w:rPr>
        <w:t xml:space="preserve"> </w:t>
      </w:r>
      <w:r w:rsidRPr="00B2274C">
        <w:rPr>
          <w:rFonts w:cs="Calibri Light"/>
          <w:lang w:eastAsia="en-AU"/>
        </w:rPr>
        <w:t xml:space="preserve">institutions to deliver Australian qualifications at </w:t>
      </w:r>
      <w:r w:rsidR="00884026">
        <w:rPr>
          <w:rFonts w:cs="Calibri Light"/>
          <w:lang w:eastAsia="en-AU"/>
        </w:rPr>
        <w:t>c</w:t>
      </w:r>
      <w:r w:rsidRPr="00B2274C">
        <w:rPr>
          <w:rFonts w:cs="Calibri Light"/>
          <w:lang w:eastAsia="en-AU"/>
        </w:rPr>
        <w:t xml:space="preserve">ertificate II, III, IV and </w:t>
      </w:r>
      <w:r w:rsidR="00884026">
        <w:rPr>
          <w:rFonts w:cs="Calibri Light"/>
          <w:lang w:eastAsia="en-AU"/>
        </w:rPr>
        <w:t>d</w:t>
      </w:r>
      <w:r w:rsidRPr="00B2274C">
        <w:rPr>
          <w:rFonts w:cs="Calibri Light"/>
          <w:lang w:eastAsia="en-AU"/>
        </w:rPr>
        <w:t>iploma levels</w:t>
      </w:r>
      <w:r w:rsidR="0004484D">
        <w:rPr>
          <w:rFonts w:cs="Calibri Light"/>
          <w:lang w:eastAsia="en-AU"/>
        </w:rPr>
        <w:t>,</w:t>
      </w:r>
      <w:r w:rsidRPr="00B2274C">
        <w:rPr>
          <w:rFonts w:cs="Calibri Light"/>
          <w:lang w:eastAsia="en-AU"/>
        </w:rPr>
        <w:t xml:space="preserve"> as well as skill sets, short courses and micro-credentials. </w:t>
      </w:r>
      <w:r w:rsidR="0019024C">
        <w:rPr>
          <w:rFonts w:cs="Calibri Light"/>
          <w:lang w:eastAsia="en-AU"/>
        </w:rPr>
        <w:t>The</w:t>
      </w:r>
      <w:r w:rsidR="0019024C" w:rsidRPr="00B2274C">
        <w:rPr>
          <w:rFonts w:cs="Calibri Light"/>
          <w:lang w:eastAsia="en-AU"/>
        </w:rPr>
        <w:t xml:space="preserve"> </w:t>
      </w:r>
      <w:r w:rsidRPr="00B2274C">
        <w:rPr>
          <w:rFonts w:cs="Calibri Light"/>
          <w:lang w:eastAsia="en-AU"/>
        </w:rPr>
        <w:t xml:space="preserve">skills and training priorities </w:t>
      </w:r>
      <w:r w:rsidR="0019024C">
        <w:rPr>
          <w:rFonts w:cs="Calibri Light"/>
          <w:lang w:eastAsia="en-AU"/>
        </w:rPr>
        <w:t xml:space="preserve">of Pacific countries </w:t>
      </w:r>
      <w:r w:rsidRPr="00B2274C">
        <w:rPr>
          <w:rFonts w:cs="Calibri Light"/>
          <w:lang w:eastAsia="en-AU"/>
        </w:rPr>
        <w:t xml:space="preserve">will inform the next phase of Australia’s investment in Pacific skills (currently under design). </w:t>
      </w:r>
      <w:r w:rsidR="005A4481">
        <w:rPr>
          <w:rFonts w:cs="Calibri Light"/>
          <w:lang w:eastAsia="en-AU"/>
        </w:rPr>
        <w:t xml:space="preserve">Qualifications will be prioritised </w:t>
      </w:r>
      <w:r w:rsidR="002960C6">
        <w:rPr>
          <w:rFonts w:cs="Calibri Light"/>
          <w:lang w:eastAsia="en-AU"/>
        </w:rPr>
        <w:t xml:space="preserve">to </w:t>
      </w:r>
      <w:r w:rsidR="005A4481">
        <w:rPr>
          <w:rFonts w:cs="Calibri Light"/>
          <w:lang w:eastAsia="en-AU"/>
        </w:rPr>
        <w:t>support country skill needs across industry sectors including health</w:t>
      </w:r>
      <w:r w:rsidR="005046AA">
        <w:rPr>
          <w:rFonts w:cs="Calibri Light"/>
          <w:lang w:eastAsia="en-AU"/>
        </w:rPr>
        <w:t xml:space="preserve"> and community, agriculture, automotive manufacturing, construction and electrical, tourism</w:t>
      </w:r>
      <w:r w:rsidR="0004484D">
        <w:rPr>
          <w:rFonts w:cs="Calibri Light"/>
          <w:lang w:eastAsia="en-AU"/>
        </w:rPr>
        <w:t>,</w:t>
      </w:r>
      <w:r w:rsidR="005046AA">
        <w:rPr>
          <w:rFonts w:cs="Calibri Light"/>
          <w:lang w:eastAsia="en-AU"/>
        </w:rPr>
        <w:t xml:space="preserve"> and hospitality. </w:t>
      </w:r>
      <w:r w:rsidRPr="00B2274C">
        <w:rPr>
          <w:rFonts w:cs="Calibri Light"/>
          <w:lang w:eastAsia="en-AU"/>
        </w:rPr>
        <w:t>The new program will commence in 2025.</w:t>
      </w:r>
    </w:p>
    <w:p w14:paraId="027B741E" w14:textId="15370B9A" w:rsidR="005E2B00" w:rsidRPr="00B2274C" w:rsidRDefault="007A3C3A" w:rsidP="00F851AA">
      <w:pPr>
        <w:rPr>
          <w:rFonts w:cs="Calibri Light"/>
          <w:lang w:eastAsia="en-AU"/>
        </w:rPr>
      </w:pPr>
      <w:r w:rsidRPr="00B2274C">
        <w:rPr>
          <w:rFonts w:cs="Calibri Light"/>
          <w:lang w:eastAsia="en-AU"/>
        </w:rPr>
        <w:t xml:space="preserve">The </w:t>
      </w:r>
      <w:r w:rsidR="0055008F">
        <w:rPr>
          <w:rFonts w:cs="Calibri Light"/>
          <w:lang w:eastAsia="en-AU"/>
        </w:rPr>
        <w:t xml:space="preserve">COVID-19 </w:t>
      </w:r>
      <w:r w:rsidRPr="00B2274C">
        <w:rPr>
          <w:rFonts w:cs="Calibri Light"/>
          <w:lang w:eastAsia="en-AU"/>
        </w:rPr>
        <w:t xml:space="preserve">pandemic’s </w:t>
      </w:r>
      <w:r w:rsidRPr="00F851AA">
        <w:t>impact on health services in our region has</w:t>
      </w:r>
      <w:r w:rsidRPr="00B2274C">
        <w:rPr>
          <w:rFonts w:cs="Calibri Light"/>
          <w:lang w:eastAsia="en-AU"/>
        </w:rPr>
        <w:t xml:space="preserve"> been severe. Vaccination coverage for diseases such as measles and diphtheria has declined</w:t>
      </w:r>
      <w:r w:rsidR="0004484D">
        <w:rPr>
          <w:rFonts w:cs="Calibri Light"/>
          <w:lang w:eastAsia="en-AU"/>
        </w:rPr>
        <w:t>,</w:t>
      </w:r>
      <w:r w:rsidRPr="00B2274C">
        <w:rPr>
          <w:rFonts w:cs="Calibri Light"/>
          <w:lang w:eastAsia="en-AU"/>
        </w:rPr>
        <w:t xml:space="preserve"> and the burden on health systems posed by </w:t>
      </w:r>
      <w:r w:rsidRPr="008E4353">
        <w:rPr>
          <w:rFonts w:cs="Calibri Light"/>
          <w:lang w:eastAsia="en-AU"/>
        </w:rPr>
        <w:t>non</w:t>
      </w:r>
      <w:r w:rsidR="0004484D">
        <w:rPr>
          <w:rFonts w:cs="Calibri Light"/>
          <w:lang w:eastAsia="en-AU"/>
        </w:rPr>
        <w:noBreakHyphen/>
      </w:r>
      <w:r w:rsidRPr="008E4353">
        <w:rPr>
          <w:rFonts w:cs="Calibri Light"/>
          <w:lang w:eastAsia="en-AU"/>
        </w:rPr>
        <w:t>communicable diseases</w:t>
      </w:r>
      <w:r w:rsidRPr="00B2274C">
        <w:rPr>
          <w:rFonts w:cs="Calibri Light"/>
          <w:lang w:eastAsia="en-AU"/>
        </w:rPr>
        <w:t xml:space="preserve"> like </w:t>
      </w:r>
      <w:r w:rsidR="004213C5">
        <w:rPr>
          <w:rFonts w:cs="Calibri Light"/>
          <w:lang w:eastAsia="en-AU"/>
        </w:rPr>
        <w:t xml:space="preserve">cardiovascular </w:t>
      </w:r>
      <w:r w:rsidRPr="00B2274C">
        <w:rPr>
          <w:rFonts w:cs="Calibri Light"/>
          <w:lang w:eastAsia="en-AU"/>
        </w:rPr>
        <w:t>disease is increasing. In response to this shared challenge,</w:t>
      </w:r>
      <w:r w:rsidR="00BF1DF7" w:rsidRPr="00B2274C">
        <w:rPr>
          <w:rFonts w:cs="Calibri Light"/>
          <w:lang w:eastAsia="en-AU"/>
        </w:rPr>
        <w:t xml:space="preserve"> </w:t>
      </w:r>
      <w:r w:rsidR="00B1323F" w:rsidRPr="00B2274C">
        <w:rPr>
          <w:rFonts w:cs="Calibri Light"/>
          <w:lang w:eastAsia="en-AU"/>
        </w:rPr>
        <w:t>Australia launched the P</w:t>
      </w:r>
      <w:r w:rsidR="00986D4E" w:rsidRPr="00B2274C">
        <w:rPr>
          <w:rFonts w:cs="Calibri Light"/>
          <w:lang w:eastAsia="en-AU"/>
        </w:rPr>
        <w:t xml:space="preserve">artnerships for a Healthy </w:t>
      </w:r>
      <w:r w:rsidR="00B20030" w:rsidRPr="00B2274C">
        <w:rPr>
          <w:rFonts w:cs="Calibri Light"/>
          <w:lang w:eastAsia="en-AU"/>
        </w:rPr>
        <w:t>Region</w:t>
      </w:r>
      <w:r w:rsidR="00B20030" w:rsidRPr="008E4353">
        <w:rPr>
          <w:rFonts w:cs="Calibri Light"/>
          <w:lang w:eastAsia="en-AU"/>
        </w:rPr>
        <w:t xml:space="preserve"> </w:t>
      </w:r>
      <w:r w:rsidR="00FE6A2B">
        <w:rPr>
          <w:rFonts w:cs="Calibri Light"/>
          <w:lang w:eastAsia="en-AU"/>
        </w:rPr>
        <w:t>initiative</w:t>
      </w:r>
      <w:r w:rsidR="0004484D">
        <w:rPr>
          <w:rFonts w:cs="Calibri Light"/>
          <w:lang w:eastAsia="en-AU"/>
        </w:rPr>
        <w:t>.</w:t>
      </w:r>
      <w:r w:rsidR="00FE6A2B">
        <w:rPr>
          <w:rFonts w:cs="Calibri Light"/>
          <w:lang w:eastAsia="en-AU"/>
        </w:rPr>
        <w:t xml:space="preserve"> </w:t>
      </w:r>
      <w:r w:rsidR="00756C88">
        <w:rPr>
          <w:rFonts w:cs="Calibri Light"/>
          <w:lang w:eastAsia="en-AU"/>
        </w:rPr>
        <w:t>This initiative</w:t>
      </w:r>
      <w:r w:rsidR="00756C88" w:rsidRPr="00B2274C">
        <w:rPr>
          <w:rFonts w:cs="Calibri Light"/>
          <w:lang w:eastAsia="en-AU"/>
        </w:rPr>
        <w:t xml:space="preserve"> </w:t>
      </w:r>
      <w:r w:rsidR="00986D4E" w:rsidRPr="00B2274C">
        <w:rPr>
          <w:rFonts w:cs="Calibri Light"/>
          <w:lang w:eastAsia="en-AU"/>
        </w:rPr>
        <w:t xml:space="preserve">brings Australian, regional and global health expertise to </w:t>
      </w:r>
      <w:r w:rsidR="00B1323F" w:rsidRPr="00B2274C">
        <w:rPr>
          <w:rFonts w:cs="Calibri Light"/>
          <w:lang w:eastAsia="en-AU"/>
        </w:rPr>
        <w:t xml:space="preserve">the Pacific </w:t>
      </w:r>
      <w:r w:rsidR="00986D4E" w:rsidRPr="00B2274C">
        <w:rPr>
          <w:rFonts w:cs="Calibri Light"/>
          <w:lang w:eastAsia="en-AU"/>
        </w:rPr>
        <w:t xml:space="preserve">to support health systems strengthening, prevention and control of communicable and </w:t>
      </w:r>
      <w:r w:rsidR="00986D4E" w:rsidRPr="008E4353">
        <w:rPr>
          <w:rFonts w:cs="Calibri Light"/>
          <w:lang w:eastAsia="en-AU"/>
        </w:rPr>
        <w:t>non</w:t>
      </w:r>
      <w:r w:rsidR="00756C88">
        <w:rPr>
          <w:rFonts w:cs="Calibri Light"/>
          <w:lang w:eastAsia="en-AU"/>
        </w:rPr>
        <w:noBreakHyphen/>
      </w:r>
      <w:r w:rsidR="00986D4E" w:rsidRPr="008E4353">
        <w:rPr>
          <w:rFonts w:cs="Calibri Light"/>
          <w:lang w:eastAsia="en-AU"/>
        </w:rPr>
        <w:t>communicable diseases</w:t>
      </w:r>
      <w:r w:rsidR="00986D4E" w:rsidRPr="00B2274C">
        <w:rPr>
          <w:rFonts w:cs="Calibri Light"/>
          <w:lang w:eastAsia="en-AU"/>
        </w:rPr>
        <w:t>, and sexual and reproductive health and rights.</w:t>
      </w:r>
      <w:r w:rsidR="005E2B00" w:rsidRPr="00B2274C">
        <w:rPr>
          <w:rFonts w:cs="Calibri Light"/>
          <w:lang w:eastAsia="en-AU"/>
        </w:rPr>
        <w:t xml:space="preserve"> </w:t>
      </w:r>
      <w:r w:rsidR="00250D6F" w:rsidRPr="00B2274C">
        <w:rPr>
          <w:rFonts w:cs="Calibri Light"/>
          <w:lang w:eastAsia="en-AU"/>
        </w:rPr>
        <w:t>Partnerships for a Healthy Region</w:t>
      </w:r>
      <w:r w:rsidR="00250D6F" w:rsidRPr="00B2274C" w:rsidDel="00250D6F">
        <w:rPr>
          <w:rFonts w:cs="Calibri Light"/>
          <w:lang w:eastAsia="en-AU"/>
        </w:rPr>
        <w:t xml:space="preserve"> </w:t>
      </w:r>
      <w:r w:rsidR="005E2B00" w:rsidRPr="00B2274C">
        <w:rPr>
          <w:rFonts w:cs="Calibri Light"/>
          <w:lang w:eastAsia="en-AU"/>
        </w:rPr>
        <w:t>will develop strategic partnerships with leading health institutions that will work across countries to support multiple thematic areas and foster cross-regional linkages</w:t>
      </w:r>
      <w:r w:rsidR="001B1F19" w:rsidRPr="00B2274C">
        <w:rPr>
          <w:rFonts w:cs="Calibri Light"/>
          <w:lang w:eastAsia="en-AU"/>
        </w:rPr>
        <w:t xml:space="preserve">. </w:t>
      </w:r>
      <w:r w:rsidR="00665055" w:rsidRPr="00B2274C">
        <w:rPr>
          <w:rFonts w:cs="Calibri Light"/>
          <w:lang w:eastAsia="en-AU"/>
        </w:rPr>
        <w:t>Th</w:t>
      </w:r>
      <w:r w:rsidR="00665055">
        <w:rPr>
          <w:rFonts w:cs="Calibri Light"/>
          <w:lang w:eastAsia="en-AU"/>
        </w:rPr>
        <w:t>e initiative</w:t>
      </w:r>
      <w:r w:rsidR="00665055" w:rsidRPr="00B2274C">
        <w:rPr>
          <w:rFonts w:cs="Calibri Light"/>
          <w:lang w:eastAsia="en-AU"/>
        </w:rPr>
        <w:t xml:space="preserve"> </w:t>
      </w:r>
      <w:r w:rsidR="00B81B6D" w:rsidRPr="00B2274C">
        <w:rPr>
          <w:rFonts w:cs="Calibri Light"/>
          <w:lang w:eastAsia="en-AU"/>
        </w:rPr>
        <w:t>includes additional resourcing to</w:t>
      </w:r>
      <w:r w:rsidR="00665055">
        <w:rPr>
          <w:rFonts w:cs="Calibri Light"/>
          <w:lang w:eastAsia="en-AU"/>
        </w:rPr>
        <w:t xml:space="preserve"> the</w:t>
      </w:r>
      <w:r w:rsidR="00B81B6D" w:rsidRPr="00B2274C">
        <w:rPr>
          <w:rFonts w:cs="Calibri Light"/>
          <w:lang w:eastAsia="en-AU"/>
        </w:rPr>
        <w:t xml:space="preserve"> SPC to better enable </w:t>
      </w:r>
      <w:r w:rsidR="00665055">
        <w:rPr>
          <w:rFonts w:cs="Calibri Light"/>
          <w:lang w:eastAsia="en-AU"/>
        </w:rPr>
        <w:t>it</w:t>
      </w:r>
      <w:r w:rsidR="00665055" w:rsidRPr="00B2274C">
        <w:rPr>
          <w:rFonts w:cs="Calibri Light"/>
          <w:lang w:eastAsia="en-AU"/>
        </w:rPr>
        <w:t xml:space="preserve"> </w:t>
      </w:r>
      <w:r w:rsidR="00B81B6D" w:rsidRPr="00B2274C">
        <w:rPr>
          <w:rFonts w:cs="Calibri Light"/>
          <w:lang w:eastAsia="en-AU"/>
        </w:rPr>
        <w:t>to detect and respond to disease outbreaks in the Pacific.</w:t>
      </w:r>
    </w:p>
    <w:p w14:paraId="3EC3A2E4" w14:textId="615F75B8" w:rsidR="002F4955" w:rsidRPr="00506835" w:rsidRDefault="002F4955" w:rsidP="00506835">
      <w:pPr>
        <w:pStyle w:val="H2-Heading2"/>
      </w:pPr>
      <w:r w:rsidRPr="00506835">
        <w:lastRenderedPageBreak/>
        <w:t xml:space="preserve">Section 4: Delivering our </w:t>
      </w:r>
      <w:r w:rsidR="00FE6ED6">
        <w:t>p</w:t>
      </w:r>
      <w:r w:rsidRPr="00506835">
        <w:t>artnership</w:t>
      </w:r>
    </w:p>
    <w:p w14:paraId="19880807" w14:textId="47C905B9" w:rsidR="00A06D8F" w:rsidRPr="00B2274C" w:rsidRDefault="78C9332B" w:rsidP="00F851AA">
      <w:pPr>
        <w:rPr>
          <w:lang w:eastAsia="en-AU"/>
        </w:rPr>
      </w:pPr>
      <w:r w:rsidRPr="00B2274C">
        <w:rPr>
          <w:lang w:eastAsia="en-AU"/>
        </w:rPr>
        <w:t>The Pacific Regional Program is a</w:t>
      </w:r>
      <w:r w:rsidR="44DF0140" w:rsidRPr="00B2274C">
        <w:rPr>
          <w:lang w:eastAsia="en-AU"/>
        </w:rPr>
        <w:t xml:space="preserve"> large</w:t>
      </w:r>
      <w:r w:rsidRPr="00B2274C">
        <w:rPr>
          <w:lang w:eastAsia="en-AU"/>
        </w:rPr>
        <w:t xml:space="preserve"> </w:t>
      </w:r>
      <w:r w:rsidR="6FB479E2" w:rsidRPr="00B2274C">
        <w:rPr>
          <w:lang w:eastAsia="en-AU"/>
        </w:rPr>
        <w:t>portfolio</w:t>
      </w:r>
      <w:r w:rsidRPr="00B2274C">
        <w:rPr>
          <w:lang w:eastAsia="en-AU"/>
        </w:rPr>
        <w:t xml:space="preserve"> which, above all, is driven by Pacific needs and priorities. The 2050 Strategy, endorsed by </w:t>
      </w:r>
      <w:r w:rsidR="002A3A33">
        <w:rPr>
          <w:lang w:eastAsia="en-AU"/>
        </w:rPr>
        <w:t>PIF</w:t>
      </w:r>
      <w:r w:rsidR="002A3A33" w:rsidRPr="00B2274C">
        <w:rPr>
          <w:lang w:eastAsia="en-AU"/>
        </w:rPr>
        <w:t xml:space="preserve"> </w:t>
      </w:r>
      <w:r w:rsidR="002A3A33">
        <w:rPr>
          <w:lang w:eastAsia="en-AU"/>
        </w:rPr>
        <w:t>L</w:t>
      </w:r>
      <w:r w:rsidR="002A3A33" w:rsidRPr="00B2274C">
        <w:rPr>
          <w:lang w:eastAsia="en-AU"/>
        </w:rPr>
        <w:t>e</w:t>
      </w:r>
      <w:r w:rsidRPr="00B2274C">
        <w:rPr>
          <w:lang w:eastAsia="en-AU"/>
        </w:rPr>
        <w:t xml:space="preserve">aders, is </w:t>
      </w:r>
      <w:r w:rsidR="21EA09DB" w:rsidRPr="00B2274C">
        <w:rPr>
          <w:lang w:eastAsia="en-AU"/>
        </w:rPr>
        <w:t>a</w:t>
      </w:r>
      <w:r w:rsidR="4D8436E5" w:rsidRPr="00B2274C">
        <w:rPr>
          <w:lang w:eastAsia="en-AU"/>
        </w:rPr>
        <w:t xml:space="preserve"> </w:t>
      </w:r>
      <w:r w:rsidRPr="00B2274C">
        <w:rPr>
          <w:lang w:eastAsia="en-AU"/>
        </w:rPr>
        <w:t xml:space="preserve">key strategic document guiding the direction of the </w:t>
      </w:r>
      <w:r w:rsidR="00F92A7F">
        <w:rPr>
          <w:lang w:eastAsia="en-AU"/>
        </w:rPr>
        <w:t>p</w:t>
      </w:r>
      <w:r w:rsidRPr="00B2274C">
        <w:rPr>
          <w:lang w:eastAsia="en-AU"/>
        </w:rPr>
        <w:t>rogram.</w:t>
      </w:r>
    </w:p>
    <w:p w14:paraId="7855F88C" w14:textId="7F53755A" w:rsidR="00190328" w:rsidRPr="00B2274C" w:rsidRDefault="78C9332B" w:rsidP="00F851AA">
      <w:pPr>
        <w:rPr>
          <w:lang w:eastAsia="en-AU"/>
        </w:rPr>
      </w:pPr>
      <w:r w:rsidRPr="00B2274C">
        <w:rPr>
          <w:lang w:eastAsia="en-AU"/>
        </w:rPr>
        <w:t xml:space="preserve">Australia is committed, both as a member </w:t>
      </w:r>
      <w:r w:rsidR="00F92A7F">
        <w:rPr>
          <w:lang w:eastAsia="en-AU"/>
        </w:rPr>
        <w:t xml:space="preserve">of </w:t>
      </w:r>
      <w:r w:rsidRPr="00B2274C">
        <w:rPr>
          <w:lang w:eastAsia="en-AU"/>
        </w:rPr>
        <w:t>and</w:t>
      </w:r>
      <w:r w:rsidR="00F92A7F">
        <w:rPr>
          <w:lang w:eastAsia="en-AU"/>
        </w:rPr>
        <w:t xml:space="preserve"> a</w:t>
      </w:r>
      <w:r w:rsidRPr="00B2274C">
        <w:rPr>
          <w:lang w:eastAsia="en-AU"/>
        </w:rPr>
        <w:t xml:space="preserve"> core contributor to regional organisations, to achieving the goals, objectives and aspirations of the region and its countries. To achieve this, </w:t>
      </w:r>
      <w:r w:rsidR="25FB16E5" w:rsidRPr="00B2274C">
        <w:rPr>
          <w:lang w:eastAsia="en-AU"/>
        </w:rPr>
        <w:t>Australia</w:t>
      </w:r>
      <w:r w:rsidRPr="00B2274C">
        <w:rPr>
          <w:lang w:eastAsia="en-AU"/>
        </w:rPr>
        <w:t xml:space="preserve"> will maintain and enhance</w:t>
      </w:r>
      <w:r w:rsidR="7D8336A8" w:rsidRPr="00B2274C">
        <w:rPr>
          <w:lang w:eastAsia="en-AU"/>
        </w:rPr>
        <w:t xml:space="preserve"> </w:t>
      </w:r>
      <w:r w:rsidRPr="00B2274C">
        <w:rPr>
          <w:lang w:eastAsia="en-AU"/>
        </w:rPr>
        <w:t xml:space="preserve">ways of working </w:t>
      </w:r>
      <w:r w:rsidR="3A8890FF" w:rsidRPr="00B2274C">
        <w:rPr>
          <w:lang w:eastAsia="en-AU"/>
        </w:rPr>
        <w:t xml:space="preserve">that </w:t>
      </w:r>
      <w:r w:rsidRPr="00B2274C">
        <w:rPr>
          <w:lang w:eastAsia="en-AU"/>
        </w:rPr>
        <w:t>include listening to Pacific partners and being led by them; maintaining open and varied channels of communication and consultation to ensure that Australia truly understands Pacific perspective</w:t>
      </w:r>
      <w:r w:rsidR="21C6B53B" w:rsidRPr="00B2274C">
        <w:rPr>
          <w:lang w:eastAsia="en-AU"/>
        </w:rPr>
        <w:t>s</w:t>
      </w:r>
      <w:r w:rsidRPr="00B2274C">
        <w:rPr>
          <w:lang w:eastAsia="en-AU"/>
        </w:rPr>
        <w:t>; and maintaining high standards of performance and quality in our work.</w:t>
      </w:r>
    </w:p>
    <w:p w14:paraId="08D100F0" w14:textId="2038C769" w:rsidR="002F4955" w:rsidRPr="00287711" w:rsidRDefault="002F4955" w:rsidP="00287711">
      <w:pPr>
        <w:pStyle w:val="H3-Heading3"/>
      </w:pPr>
      <w:r w:rsidRPr="00287711">
        <w:t>Locally led development</w:t>
      </w:r>
    </w:p>
    <w:p w14:paraId="53AD88E4" w14:textId="2998EB55" w:rsidR="00E05312" w:rsidRDefault="008F303B" w:rsidP="00F851AA">
      <w:pPr>
        <w:rPr>
          <w:lang w:eastAsia="en-AU"/>
        </w:rPr>
      </w:pPr>
      <w:r>
        <w:rPr>
          <w:color w:val="222222"/>
          <w:lang w:eastAsia="en-AU"/>
        </w:rPr>
        <w:t xml:space="preserve">Our approach to locally led, inclusive development </w:t>
      </w:r>
      <w:r w:rsidR="00684C83">
        <w:rPr>
          <w:color w:val="222222"/>
          <w:lang w:eastAsia="en-AU"/>
        </w:rPr>
        <w:t xml:space="preserve">will build on our </w:t>
      </w:r>
      <w:r w:rsidR="00684C83" w:rsidRPr="00132D91">
        <w:rPr>
          <w:color w:val="222222"/>
          <w:lang w:eastAsia="en-AU"/>
        </w:rPr>
        <w:t xml:space="preserve">longstanding </w:t>
      </w:r>
      <w:r w:rsidR="00684C83">
        <w:rPr>
          <w:color w:val="222222"/>
          <w:lang w:eastAsia="en-AU"/>
        </w:rPr>
        <w:t xml:space="preserve">partnerships </w:t>
      </w:r>
      <w:r w:rsidR="00684C83" w:rsidRPr="00132D91">
        <w:rPr>
          <w:color w:val="222222"/>
          <w:lang w:eastAsia="en-AU"/>
        </w:rPr>
        <w:t xml:space="preserve">with regional </w:t>
      </w:r>
      <w:r w:rsidR="00684C83" w:rsidRPr="00424FD7">
        <w:rPr>
          <w:lang w:eastAsia="en-AU"/>
        </w:rPr>
        <w:t>organisations</w:t>
      </w:r>
      <w:r w:rsidR="0035523F" w:rsidRPr="00424FD7">
        <w:rPr>
          <w:lang w:eastAsia="en-AU"/>
        </w:rPr>
        <w:t xml:space="preserve">, governments and civil society. </w:t>
      </w:r>
      <w:r w:rsidR="00E05312">
        <w:rPr>
          <w:lang w:eastAsia="en-AU"/>
        </w:rPr>
        <w:t>We will embed locally led approaches in our programs and partnerships. We will support local leadership, solutions and accountability. Practical examples include:</w:t>
      </w:r>
    </w:p>
    <w:p w14:paraId="1B071AEA" w14:textId="377017CA" w:rsidR="006B62A6" w:rsidRDefault="3EF46240" w:rsidP="008219C1">
      <w:pPr>
        <w:pStyle w:val="NormalBullets-L1"/>
      </w:pPr>
      <w:r w:rsidRPr="00424FD7">
        <w:t>continu</w:t>
      </w:r>
      <w:r w:rsidR="00C2522B">
        <w:t>ing</w:t>
      </w:r>
      <w:r w:rsidRPr="00424FD7">
        <w:t xml:space="preserve"> to provide core </w:t>
      </w:r>
      <w:r w:rsidR="118F8C97" w:rsidRPr="00424FD7">
        <w:t xml:space="preserve">and program </w:t>
      </w:r>
      <w:r w:rsidRPr="00424FD7">
        <w:t xml:space="preserve">funding to </w:t>
      </w:r>
      <w:r w:rsidRPr="00B17B76">
        <w:t>regional organisations</w:t>
      </w:r>
      <w:r w:rsidR="005F44F6" w:rsidRPr="00B17B76">
        <w:t xml:space="preserve"> </w:t>
      </w:r>
      <w:r w:rsidR="00B84BC4">
        <w:t xml:space="preserve">and bodies, recognising their </w:t>
      </w:r>
      <w:r w:rsidR="00927D5D">
        <w:t>vital</w:t>
      </w:r>
      <w:r w:rsidR="00B84BC4">
        <w:t xml:space="preserve"> role in coalescing, developing and delivering on the regional priorities of </w:t>
      </w:r>
      <w:proofErr w:type="gramStart"/>
      <w:r w:rsidR="00B84BC4">
        <w:t>Pacific island</w:t>
      </w:r>
      <w:proofErr w:type="gramEnd"/>
      <w:r w:rsidR="00B84BC4">
        <w:t xml:space="preserve"> countries</w:t>
      </w:r>
    </w:p>
    <w:p w14:paraId="58E2F757" w14:textId="6F94838A" w:rsidR="00DE13D9" w:rsidRDefault="00DC4F5F" w:rsidP="008219C1">
      <w:pPr>
        <w:pStyle w:val="NormalBullets-L1"/>
      </w:pPr>
      <w:r>
        <w:t>using</w:t>
      </w:r>
      <w:r w:rsidR="00F11655" w:rsidRPr="00424FD7">
        <w:t xml:space="preserve"> regional architecture and governance arrangement</w:t>
      </w:r>
      <w:r w:rsidR="00927D5D">
        <w:t>s</w:t>
      </w:r>
      <w:r w:rsidR="00966F0D">
        <w:t>,</w:t>
      </w:r>
      <w:r w:rsidR="00927D5D">
        <w:t xml:space="preserve"> such as Pacific</w:t>
      </w:r>
      <w:r w:rsidR="008A742F">
        <w:t xml:space="preserve"> </w:t>
      </w:r>
      <w:r w:rsidR="00927D5D">
        <w:t>led governance boards,</w:t>
      </w:r>
      <w:r w:rsidR="006B62A6">
        <w:t xml:space="preserve"> to </w:t>
      </w:r>
      <w:r w:rsidR="00AD0BB2">
        <w:t>oversee our investments</w:t>
      </w:r>
      <w:r w:rsidR="00F11655" w:rsidRPr="00424FD7">
        <w:t xml:space="preserve">, ensuring local priorities and needs are articulated and that our programs respond </w:t>
      </w:r>
      <w:r w:rsidR="00DE13D9">
        <w:t>effectively</w:t>
      </w:r>
    </w:p>
    <w:p w14:paraId="71D53354" w14:textId="013A99FB" w:rsidR="00807229" w:rsidRDefault="00646F2D" w:rsidP="008219C1">
      <w:pPr>
        <w:pStyle w:val="NormalBullets-L1"/>
      </w:pPr>
      <w:r>
        <w:t>expanding</w:t>
      </w:r>
      <w:r w:rsidR="00B27B35">
        <w:t xml:space="preserve"> our </w:t>
      </w:r>
      <w:r w:rsidR="00B17B76">
        <w:t>u</w:t>
      </w:r>
      <w:r w:rsidR="00DE13D9">
        <w:t>s</w:t>
      </w:r>
      <w:r w:rsidR="00B27B35">
        <w:t>e of</w:t>
      </w:r>
      <w:r w:rsidR="00DE13D9">
        <w:t xml:space="preserve"> local and regional expertise in program consultation and design, operational management, implementation, monitoring and evaluation, technical assistance</w:t>
      </w:r>
      <w:r w:rsidR="00966F0D">
        <w:t>,</w:t>
      </w:r>
      <w:r w:rsidR="00DE13D9">
        <w:t xml:space="preserve"> and advisory services</w:t>
      </w:r>
      <w:r w:rsidR="00F50FA0">
        <w:t xml:space="preserve"> </w:t>
      </w:r>
      <w:r w:rsidR="00966F0D">
        <w:t>–</w:t>
      </w:r>
      <w:r w:rsidR="00F50FA0">
        <w:t>m</w:t>
      </w:r>
      <w:r w:rsidR="00807229" w:rsidRPr="002D23E8">
        <w:t>ajor programs, such as the Pacific Labour Mobility Support Program</w:t>
      </w:r>
      <w:r w:rsidR="00966F0D">
        <w:t>,</w:t>
      </w:r>
      <w:r w:rsidR="00807229" w:rsidRPr="002D23E8">
        <w:t xml:space="preserve"> have developed strategies to </w:t>
      </w:r>
      <w:r w:rsidR="0072581A">
        <w:t>strengthen country</w:t>
      </w:r>
      <w:r w:rsidR="00807229" w:rsidRPr="002D23E8">
        <w:t xml:space="preserve"> direction over the next five years</w:t>
      </w:r>
    </w:p>
    <w:p w14:paraId="5C742E58" w14:textId="4031E5F6" w:rsidR="00B17B76" w:rsidRDefault="00F50FA0" w:rsidP="008219C1">
      <w:pPr>
        <w:pStyle w:val="NormalBullets-L1"/>
      </w:pPr>
      <w:r>
        <w:t>c</w:t>
      </w:r>
      <w:r w:rsidR="00AF615B">
        <w:t>ontinu</w:t>
      </w:r>
      <w:r w:rsidR="00C2522B">
        <w:t xml:space="preserve">ing </w:t>
      </w:r>
      <w:r w:rsidR="00AF615B">
        <w:t xml:space="preserve">to </w:t>
      </w:r>
      <w:r w:rsidR="00B17B76">
        <w:t>support and strengthen local civil society organisations by building their organisational capacity and capability to deliver and implement programs</w:t>
      </w:r>
    </w:p>
    <w:p w14:paraId="46118737" w14:textId="72C05697" w:rsidR="00B17B76" w:rsidRPr="00424FD7" w:rsidRDefault="00B17B76" w:rsidP="008219C1">
      <w:pPr>
        <w:pStyle w:val="NormalBullets-L1"/>
      </w:pPr>
      <w:r>
        <w:t>expanding</w:t>
      </w:r>
      <w:r w:rsidRPr="00424FD7">
        <w:t xml:space="preserve"> </w:t>
      </w:r>
      <w:r w:rsidR="00C2522B">
        <w:t xml:space="preserve">the </w:t>
      </w:r>
      <w:r w:rsidRPr="00424FD7">
        <w:t xml:space="preserve">important role of </w:t>
      </w:r>
      <w:r w:rsidR="0052525C">
        <w:t>c</w:t>
      </w:r>
      <w:r w:rsidRPr="00424FD7">
        <w:t>hurch and faith leaders in</w:t>
      </w:r>
      <w:r>
        <w:t xml:space="preserve"> articulating</w:t>
      </w:r>
      <w:r w:rsidRPr="00424FD7">
        <w:t xml:space="preserve"> </w:t>
      </w:r>
      <w:r w:rsidR="00B71116">
        <w:t>how</w:t>
      </w:r>
      <w:r w:rsidR="00B71116" w:rsidRPr="00424FD7">
        <w:t xml:space="preserve"> </w:t>
      </w:r>
      <w:r w:rsidRPr="00424FD7">
        <w:t>Pacific development objectives</w:t>
      </w:r>
      <w:r w:rsidR="00B71116">
        <w:t xml:space="preserve"> will be achieved </w:t>
      </w:r>
      <w:r w:rsidR="00966F0D">
        <w:t xml:space="preserve">– </w:t>
      </w:r>
      <w:r w:rsidR="00B71116">
        <w:t>t</w:t>
      </w:r>
      <w:r w:rsidRPr="00424FD7">
        <w:t>he Pacific Church Partnership</w:t>
      </w:r>
      <w:r w:rsidR="00B71116">
        <w:t>s</w:t>
      </w:r>
      <w:r w:rsidRPr="00424FD7">
        <w:t xml:space="preserve"> </w:t>
      </w:r>
      <w:r w:rsidR="00B71116">
        <w:t>P</w:t>
      </w:r>
      <w:r w:rsidRPr="00424FD7">
        <w:t>rogram is a key forum for engagement</w:t>
      </w:r>
    </w:p>
    <w:p w14:paraId="49B7B207" w14:textId="5F533343" w:rsidR="00864345" w:rsidRDefault="00C2522B" w:rsidP="008219C1">
      <w:pPr>
        <w:pStyle w:val="NormalBullets-L1"/>
      </w:pPr>
      <w:bookmarkStart w:id="11" w:name="_Hlk170639845"/>
      <w:r>
        <w:t>increasing our</w:t>
      </w:r>
      <w:r w:rsidR="00874D09" w:rsidRPr="00424FD7">
        <w:t xml:space="preserve"> support </w:t>
      </w:r>
      <w:r>
        <w:t xml:space="preserve">of </w:t>
      </w:r>
      <w:r w:rsidR="00874D09" w:rsidRPr="00B17B76">
        <w:t>Pacific governments</w:t>
      </w:r>
      <w:r w:rsidR="00874D09" w:rsidRPr="00424FD7">
        <w:t xml:space="preserve"> through direct financing</w:t>
      </w:r>
      <w:r w:rsidR="00864345">
        <w:t xml:space="preserve"> and use of </w:t>
      </w:r>
      <w:r w:rsidR="00864345" w:rsidRPr="00864345">
        <w:t>national systems</w:t>
      </w:r>
    </w:p>
    <w:p w14:paraId="3479C9FD" w14:textId="35C8ADB0" w:rsidR="002A21C4" w:rsidRPr="002A21C4" w:rsidRDefault="00B17B76" w:rsidP="008219C1">
      <w:pPr>
        <w:pStyle w:val="NormalBullets-L1"/>
      </w:pPr>
      <w:r w:rsidRPr="002A21C4">
        <w:t xml:space="preserve">investing in local and emerging leaders, including through scholarships, </w:t>
      </w:r>
      <w:r w:rsidR="00C2522B">
        <w:t>f</w:t>
      </w:r>
      <w:r w:rsidRPr="002A21C4">
        <w:t>ellowships, professional exchanges and ongoing alumni engagement</w:t>
      </w:r>
    </w:p>
    <w:p w14:paraId="1E0376E7" w14:textId="49AAB1F4" w:rsidR="002D23E8" w:rsidRPr="002A21C4" w:rsidRDefault="002D23E8" w:rsidP="008219C1">
      <w:pPr>
        <w:pStyle w:val="NormalBullets-L1"/>
      </w:pPr>
      <w:r w:rsidRPr="002A21C4">
        <w:t>harnessing government, non-government, academic and local partners’ expertise to deepen knowledge sharing between Australian and regional organisations.</w:t>
      </w:r>
    </w:p>
    <w:bookmarkEnd w:id="11"/>
    <w:p w14:paraId="6EE9A4C3" w14:textId="76ABB970" w:rsidR="002F4955" w:rsidRPr="00287711" w:rsidRDefault="13853522" w:rsidP="00287711">
      <w:pPr>
        <w:pStyle w:val="H3-Heading3"/>
      </w:pPr>
      <w:r w:rsidRPr="00287711">
        <w:t>Consultation</w:t>
      </w:r>
    </w:p>
    <w:p w14:paraId="725B539C" w14:textId="57C6CCED" w:rsidR="008040B7" w:rsidRPr="00B2274C" w:rsidRDefault="26B0DBDB" w:rsidP="006229AE">
      <w:pPr>
        <w:rPr>
          <w:lang w:eastAsia="en-AU"/>
        </w:rPr>
      </w:pPr>
      <w:r w:rsidRPr="00B2274C">
        <w:rPr>
          <w:lang w:eastAsia="en-AU"/>
        </w:rPr>
        <w:t>The Pacific Regional Program will use existing</w:t>
      </w:r>
      <w:r w:rsidR="4449D62A" w:rsidRPr="00B2274C">
        <w:rPr>
          <w:lang w:eastAsia="en-AU"/>
        </w:rPr>
        <w:t xml:space="preserve"> dialogue and</w:t>
      </w:r>
      <w:r w:rsidRPr="00B2274C">
        <w:rPr>
          <w:lang w:eastAsia="en-AU"/>
        </w:rPr>
        <w:t xml:space="preserve"> consultation mechanisms, particularly high-level </w:t>
      </w:r>
      <w:r w:rsidR="6AC73A56" w:rsidRPr="00B2274C">
        <w:rPr>
          <w:lang w:eastAsia="en-AU"/>
        </w:rPr>
        <w:t xml:space="preserve">meetings </w:t>
      </w:r>
      <w:r w:rsidR="00FB4778">
        <w:rPr>
          <w:lang w:eastAsia="en-AU"/>
        </w:rPr>
        <w:t>that</w:t>
      </w:r>
      <w:r w:rsidRPr="00B2274C">
        <w:rPr>
          <w:lang w:eastAsia="en-AU"/>
        </w:rPr>
        <w:t xml:space="preserve"> form part of partnership agreements with regional organisations. We will participate in key development forums and sector-specific meetings (</w:t>
      </w:r>
      <w:r w:rsidR="00F50FA0">
        <w:rPr>
          <w:lang w:eastAsia="en-AU"/>
        </w:rPr>
        <w:t>for example</w:t>
      </w:r>
      <w:r w:rsidRPr="00B2274C">
        <w:rPr>
          <w:lang w:eastAsia="en-AU"/>
        </w:rPr>
        <w:t>, on security, climate change, education</w:t>
      </w:r>
      <w:r w:rsidR="00F50FA0">
        <w:rPr>
          <w:lang w:eastAsia="en-AU"/>
        </w:rPr>
        <w:t xml:space="preserve"> and</w:t>
      </w:r>
      <w:r w:rsidRPr="00B2274C">
        <w:rPr>
          <w:lang w:eastAsia="en-AU"/>
        </w:rPr>
        <w:t xml:space="preserve"> health)</w:t>
      </w:r>
      <w:r w:rsidR="00FB4778">
        <w:rPr>
          <w:lang w:eastAsia="en-AU"/>
        </w:rPr>
        <w:t>,</w:t>
      </w:r>
      <w:r w:rsidRPr="00B2274C">
        <w:rPr>
          <w:lang w:eastAsia="en-AU"/>
        </w:rPr>
        <w:t xml:space="preserve"> </w:t>
      </w:r>
      <w:r w:rsidR="00D54579">
        <w:rPr>
          <w:lang w:eastAsia="en-AU"/>
        </w:rPr>
        <w:t>which provide</w:t>
      </w:r>
      <w:r w:rsidRPr="00B2274C">
        <w:rPr>
          <w:lang w:eastAsia="en-AU"/>
        </w:rPr>
        <w:t xml:space="preserve"> </w:t>
      </w:r>
      <w:r w:rsidR="0FF2903C" w:rsidRPr="00B2274C">
        <w:rPr>
          <w:lang w:eastAsia="en-AU"/>
        </w:rPr>
        <w:t>regular opportunities to listen and respond to</w:t>
      </w:r>
      <w:r w:rsidRPr="00B2274C">
        <w:rPr>
          <w:lang w:eastAsia="en-AU"/>
        </w:rPr>
        <w:t xml:space="preserve"> Pacific priorities. In addition, we will convene stakeholder forum</w:t>
      </w:r>
      <w:r w:rsidR="0FF2903C" w:rsidRPr="00B2274C">
        <w:rPr>
          <w:lang w:eastAsia="en-AU"/>
        </w:rPr>
        <w:t>s</w:t>
      </w:r>
      <w:r w:rsidRPr="00B2274C">
        <w:rPr>
          <w:lang w:eastAsia="en-AU"/>
        </w:rPr>
        <w:t xml:space="preserve"> to specifically discuss implementation</w:t>
      </w:r>
      <w:r w:rsidR="00D54579">
        <w:rPr>
          <w:lang w:eastAsia="en-AU"/>
        </w:rPr>
        <w:t xml:space="preserve"> of the DPP</w:t>
      </w:r>
      <w:r w:rsidRPr="00B2274C">
        <w:rPr>
          <w:lang w:eastAsia="en-AU"/>
        </w:rPr>
        <w:t>, share learning and update</w:t>
      </w:r>
      <w:r w:rsidR="00C33E99">
        <w:rPr>
          <w:lang w:eastAsia="en-AU"/>
        </w:rPr>
        <w:t>s</w:t>
      </w:r>
      <w:r w:rsidRPr="00B2274C">
        <w:rPr>
          <w:lang w:eastAsia="en-AU"/>
        </w:rPr>
        <w:t xml:space="preserve"> on progress</w:t>
      </w:r>
      <w:r w:rsidR="3328CB18" w:rsidRPr="00B2274C">
        <w:rPr>
          <w:lang w:eastAsia="en-AU"/>
        </w:rPr>
        <w:t xml:space="preserve">, and </w:t>
      </w:r>
      <w:r w:rsidR="34E79CF6" w:rsidRPr="00B2274C">
        <w:rPr>
          <w:lang w:eastAsia="en-AU"/>
        </w:rPr>
        <w:t xml:space="preserve">inform </w:t>
      </w:r>
      <w:r w:rsidR="0302BB40" w:rsidRPr="00B2274C">
        <w:rPr>
          <w:lang w:eastAsia="en-AU"/>
        </w:rPr>
        <w:t>reviews of</w:t>
      </w:r>
      <w:r w:rsidR="36CB4309" w:rsidRPr="00B2274C">
        <w:rPr>
          <w:lang w:eastAsia="en-AU"/>
        </w:rPr>
        <w:t xml:space="preserve"> </w:t>
      </w:r>
      <w:r w:rsidR="00D54579">
        <w:rPr>
          <w:lang w:eastAsia="en-AU"/>
        </w:rPr>
        <w:t xml:space="preserve">the </w:t>
      </w:r>
      <w:r w:rsidRPr="00B2274C">
        <w:rPr>
          <w:lang w:eastAsia="en-AU"/>
        </w:rPr>
        <w:t>performance of Australia’s Pacific Regional Program.</w:t>
      </w:r>
    </w:p>
    <w:p w14:paraId="2C2D5E82" w14:textId="6BECA4C2" w:rsidR="002F4955" w:rsidRPr="00287711" w:rsidRDefault="13853522" w:rsidP="00287711">
      <w:pPr>
        <w:pStyle w:val="H3-Heading3"/>
      </w:pPr>
      <w:r w:rsidRPr="00287711">
        <w:lastRenderedPageBreak/>
        <w:t>Evaluation and learning</w:t>
      </w:r>
    </w:p>
    <w:p w14:paraId="2031BA9E" w14:textId="6BE6CDF3" w:rsidR="00BF4479" w:rsidRPr="00B2274C" w:rsidRDefault="781938F1" w:rsidP="006229AE">
      <w:pPr>
        <w:rPr>
          <w:lang w:eastAsia="en-AU"/>
        </w:rPr>
      </w:pPr>
      <w:r w:rsidRPr="00B2274C">
        <w:rPr>
          <w:lang w:eastAsia="en-AU"/>
        </w:rPr>
        <w:t>Evaluations and reviews support our commitments to learning and accountability</w:t>
      </w:r>
      <w:r w:rsidR="00C33E99">
        <w:rPr>
          <w:lang w:eastAsia="en-AU"/>
        </w:rPr>
        <w:t>,</w:t>
      </w:r>
      <w:r w:rsidRPr="00B2274C">
        <w:rPr>
          <w:lang w:eastAsia="en-AU"/>
        </w:rPr>
        <w:t xml:space="preserve"> and generate the evidence needed to support decision-making, including </w:t>
      </w:r>
      <w:r w:rsidR="00944586">
        <w:rPr>
          <w:lang w:eastAsia="en-AU"/>
        </w:rPr>
        <w:t>when</w:t>
      </w:r>
      <w:r w:rsidR="00944586" w:rsidRPr="00B2274C">
        <w:rPr>
          <w:lang w:eastAsia="en-AU"/>
        </w:rPr>
        <w:t xml:space="preserve"> </w:t>
      </w:r>
      <w:r w:rsidRPr="00B2274C">
        <w:rPr>
          <w:lang w:eastAsia="en-AU"/>
        </w:rPr>
        <w:t>we need to adapt our approach</w:t>
      </w:r>
      <w:r w:rsidR="00547BC4">
        <w:rPr>
          <w:lang w:eastAsia="en-AU"/>
        </w:rPr>
        <w:t>,</w:t>
      </w:r>
      <w:r w:rsidRPr="00B2274C">
        <w:rPr>
          <w:lang w:eastAsia="en-AU"/>
        </w:rPr>
        <w:t xml:space="preserve"> and identify further opportunities for sharing relevant data with Pacific </w:t>
      </w:r>
      <w:r w:rsidR="00944586">
        <w:rPr>
          <w:lang w:eastAsia="en-AU"/>
        </w:rPr>
        <w:t>r</w:t>
      </w:r>
      <w:r w:rsidRPr="00B2274C">
        <w:rPr>
          <w:lang w:eastAsia="en-AU"/>
        </w:rPr>
        <w:t xml:space="preserve">egional stakeholders. </w:t>
      </w:r>
    </w:p>
    <w:p w14:paraId="0368C970" w14:textId="5908C83B" w:rsidR="008D091F" w:rsidRPr="00EB7086" w:rsidRDefault="781938F1" w:rsidP="006229AE">
      <w:pPr>
        <w:rPr>
          <w:rFonts w:ascii="Calibri" w:hAnsi="Calibri" w:cs="Calibri"/>
          <w:u w:val="single"/>
        </w:rPr>
      </w:pPr>
      <w:r w:rsidRPr="00B2274C">
        <w:rPr>
          <w:lang w:eastAsia="en-AU"/>
        </w:rPr>
        <w:t xml:space="preserve">We will </w:t>
      </w:r>
      <w:r w:rsidR="00944586" w:rsidRPr="00B2274C">
        <w:rPr>
          <w:lang w:eastAsia="en-AU"/>
        </w:rPr>
        <w:t>evaluat</w:t>
      </w:r>
      <w:r w:rsidR="00944586">
        <w:rPr>
          <w:lang w:eastAsia="en-AU"/>
        </w:rPr>
        <w:t>e</w:t>
      </w:r>
      <w:r w:rsidR="00944586" w:rsidRPr="00B2274C">
        <w:rPr>
          <w:lang w:eastAsia="en-AU"/>
        </w:rPr>
        <w:t xml:space="preserve"> </w:t>
      </w:r>
      <w:r w:rsidRPr="00B2274C">
        <w:rPr>
          <w:lang w:eastAsia="en-AU"/>
        </w:rPr>
        <w:t xml:space="preserve">key investments to promote continuous improvement and ensure our approaches are fit for purpose to achieve effective outcomes. </w:t>
      </w:r>
      <w:r w:rsidR="001D7F47">
        <w:rPr>
          <w:lang w:eastAsia="en-AU"/>
        </w:rPr>
        <w:t xml:space="preserve">We will share </w:t>
      </w:r>
      <w:r w:rsidR="00944586">
        <w:rPr>
          <w:lang w:eastAsia="en-AU"/>
        </w:rPr>
        <w:t xml:space="preserve">what we learn </w:t>
      </w:r>
      <w:r w:rsidR="001D7F47">
        <w:rPr>
          <w:lang w:eastAsia="en-AU"/>
        </w:rPr>
        <w:t xml:space="preserve">across investments and programs. </w:t>
      </w:r>
      <w:r w:rsidRPr="00B2274C">
        <w:rPr>
          <w:lang w:eastAsia="en-AU"/>
        </w:rPr>
        <w:t xml:space="preserve">We will publish </w:t>
      </w:r>
      <w:r w:rsidR="007E12C2">
        <w:rPr>
          <w:lang w:eastAsia="en-AU"/>
        </w:rPr>
        <w:t>at least</w:t>
      </w:r>
      <w:r w:rsidRPr="00B2274C">
        <w:rPr>
          <w:lang w:eastAsia="en-AU"/>
        </w:rPr>
        <w:t xml:space="preserve"> </w:t>
      </w:r>
      <w:r w:rsidR="47C86690" w:rsidRPr="00B2274C">
        <w:rPr>
          <w:lang w:eastAsia="en-AU"/>
        </w:rPr>
        <w:t>six</w:t>
      </w:r>
      <w:r w:rsidRPr="00B2274C">
        <w:rPr>
          <w:lang w:eastAsia="en-AU"/>
        </w:rPr>
        <w:t xml:space="preserve"> evaluations each year over the </w:t>
      </w:r>
      <w:r w:rsidR="007E12C2">
        <w:rPr>
          <w:lang w:eastAsia="en-AU"/>
        </w:rPr>
        <w:t>period covered by the</w:t>
      </w:r>
      <w:r w:rsidRPr="00B2274C">
        <w:rPr>
          <w:lang w:eastAsia="en-AU"/>
        </w:rPr>
        <w:t xml:space="preserve"> DPP, as outlined in Table 2, and leverage these findings to influence the management and design of programs, including those beyond our current portfolio of investments (see Annex 1). Our approach to evaluation and learning will also draw on bilateral, global</w:t>
      </w:r>
      <w:r w:rsidR="00C33E99">
        <w:rPr>
          <w:lang w:eastAsia="en-AU"/>
        </w:rPr>
        <w:t>,</w:t>
      </w:r>
      <w:r w:rsidRPr="00B2274C">
        <w:rPr>
          <w:lang w:eastAsia="en-AU"/>
        </w:rPr>
        <w:t xml:space="preserve"> </w:t>
      </w:r>
      <w:r w:rsidR="00B20030" w:rsidRPr="00B2274C">
        <w:rPr>
          <w:lang w:eastAsia="en-AU"/>
        </w:rPr>
        <w:t xml:space="preserve">sector </w:t>
      </w:r>
      <w:r w:rsidR="00B20030">
        <w:rPr>
          <w:lang w:eastAsia="en-AU"/>
        </w:rPr>
        <w:t>and</w:t>
      </w:r>
      <w:r w:rsidR="006D646B">
        <w:rPr>
          <w:lang w:eastAsia="en-AU"/>
        </w:rPr>
        <w:t xml:space="preserve"> </w:t>
      </w:r>
      <w:r w:rsidRPr="00B2274C">
        <w:rPr>
          <w:lang w:eastAsia="en-AU"/>
        </w:rPr>
        <w:t xml:space="preserve">thematic </w:t>
      </w:r>
      <w:r w:rsidR="006D646B">
        <w:rPr>
          <w:lang w:eastAsia="en-AU"/>
        </w:rPr>
        <w:t xml:space="preserve">evaluations </w:t>
      </w:r>
      <w:r w:rsidRPr="00B2274C">
        <w:rPr>
          <w:lang w:eastAsia="en-AU"/>
        </w:rPr>
        <w:t>for ongoing program learning and continuous</w:t>
      </w:r>
      <w:r w:rsidR="00C33E99">
        <w:rPr>
          <w:lang w:eastAsia="en-AU"/>
        </w:rPr>
        <w:t xml:space="preserve"> improvement</w:t>
      </w:r>
      <w:r w:rsidR="008D091F" w:rsidRPr="003F3091">
        <w:t>.</w:t>
      </w:r>
    </w:p>
    <w:p w14:paraId="5D10E9C0" w14:textId="5C73346B" w:rsidR="00207A48" w:rsidRPr="00207A48" w:rsidRDefault="00207A48" w:rsidP="000418A1">
      <w:pPr>
        <w:pStyle w:val="Tabletitle"/>
      </w:pPr>
      <w:r w:rsidRPr="00523466">
        <w:t xml:space="preserve">Table 2: Consultation, </w:t>
      </w:r>
      <w:r w:rsidR="000418A1">
        <w:t>e</w:t>
      </w:r>
      <w:r w:rsidRPr="00523466">
        <w:t xml:space="preserve">valuation and </w:t>
      </w:r>
      <w:r w:rsidR="000418A1">
        <w:t>l</w:t>
      </w:r>
      <w:r w:rsidRPr="00523466">
        <w:t xml:space="preserve">earning </w:t>
      </w:r>
      <w:r w:rsidR="000418A1">
        <w:t>p</w:t>
      </w:r>
      <w:r w:rsidRPr="00523466">
        <w:t>lan</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sultation, evaluation and learning plan"/>
        <w:tblDescription w:val="The DPP consultation, evaluation and learning plan includes investment-level evaluations."/>
      </w:tblPr>
      <w:tblGrid>
        <w:gridCol w:w="1513"/>
        <w:gridCol w:w="2895"/>
        <w:gridCol w:w="2895"/>
        <w:gridCol w:w="2895"/>
      </w:tblGrid>
      <w:tr w:rsidR="000D628C" w:rsidRPr="00207A48" w14:paraId="01555C74" w14:textId="77777777" w:rsidTr="00547BC4">
        <w:trPr>
          <w:trHeight w:val="1004"/>
          <w:tblHeader/>
        </w:trPr>
        <w:tc>
          <w:tcPr>
            <w:tcW w:w="1513" w:type="dxa"/>
            <w:shd w:val="clear" w:color="auto" w:fill="3A586E"/>
            <w:hideMark/>
          </w:tcPr>
          <w:p w14:paraId="6CE4451C" w14:textId="107EEA93" w:rsidR="00207A48" w:rsidRPr="003649FA" w:rsidRDefault="00207A48" w:rsidP="003649FA">
            <w:pPr>
              <w:pStyle w:val="TableHeading"/>
            </w:pPr>
            <w:r w:rsidRPr="003649FA">
              <w:t>Objective</w:t>
            </w:r>
          </w:p>
        </w:tc>
        <w:tc>
          <w:tcPr>
            <w:tcW w:w="2895" w:type="dxa"/>
            <w:shd w:val="clear" w:color="auto" w:fill="3A586E"/>
            <w:hideMark/>
          </w:tcPr>
          <w:p w14:paraId="0C3C45A0" w14:textId="6FF9C2CB" w:rsidR="00207A48" w:rsidRPr="003649FA" w:rsidRDefault="00207A48" w:rsidP="003649FA">
            <w:pPr>
              <w:pStyle w:val="TableHeading"/>
            </w:pPr>
            <w:r w:rsidRPr="003649FA">
              <w:t>2024–25</w:t>
            </w:r>
          </w:p>
        </w:tc>
        <w:tc>
          <w:tcPr>
            <w:tcW w:w="2895" w:type="dxa"/>
            <w:shd w:val="clear" w:color="auto" w:fill="3A586E"/>
            <w:hideMark/>
          </w:tcPr>
          <w:p w14:paraId="7F47C7BD" w14:textId="5BB2EB31" w:rsidR="00207A48" w:rsidRPr="003649FA" w:rsidRDefault="00207A48" w:rsidP="003649FA">
            <w:pPr>
              <w:pStyle w:val="TableHeading"/>
            </w:pPr>
            <w:r w:rsidRPr="003649FA">
              <w:t>2025–26</w:t>
            </w:r>
          </w:p>
        </w:tc>
        <w:tc>
          <w:tcPr>
            <w:tcW w:w="2895" w:type="dxa"/>
            <w:shd w:val="clear" w:color="auto" w:fill="3A586E"/>
            <w:hideMark/>
          </w:tcPr>
          <w:p w14:paraId="7FC69BD6" w14:textId="79F5A3F8" w:rsidR="00207A48" w:rsidRPr="003649FA" w:rsidRDefault="00207A48" w:rsidP="003649FA">
            <w:pPr>
              <w:pStyle w:val="TableHeading"/>
            </w:pPr>
            <w:r w:rsidRPr="003649FA">
              <w:t>2026–27</w:t>
            </w:r>
          </w:p>
        </w:tc>
      </w:tr>
      <w:tr w:rsidR="000D628C" w:rsidRPr="00207A48" w14:paraId="73180D84" w14:textId="77777777" w:rsidTr="00396F17">
        <w:trPr>
          <w:trHeight w:val="300"/>
        </w:trPr>
        <w:tc>
          <w:tcPr>
            <w:tcW w:w="1513" w:type="dxa"/>
            <w:shd w:val="clear" w:color="auto" w:fill="D6E8D2"/>
            <w:hideMark/>
          </w:tcPr>
          <w:p w14:paraId="3528470B" w14:textId="5FA053E2" w:rsidR="00207A48" w:rsidRDefault="00207A48" w:rsidP="00087A66">
            <w:pPr>
              <w:pStyle w:val="TableBodyCopybold"/>
            </w:pPr>
            <w:r w:rsidRPr="00150C1C">
              <w:t>Objective 1</w:t>
            </w:r>
          </w:p>
          <w:p w14:paraId="42C87D6C" w14:textId="7CB4FFDC" w:rsidR="00D91465" w:rsidRPr="00150C1C" w:rsidRDefault="00D91465" w:rsidP="00EF0B4D">
            <w:pPr>
              <w:pStyle w:val="TableBodyCopy"/>
            </w:pPr>
            <w:r>
              <w:t>A strong and uni</w:t>
            </w:r>
            <w:r w:rsidR="00BF4130">
              <w:t>t</w:t>
            </w:r>
            <w:r>
              <w:t>ed Pacific family</w:t>
            </w:r>
          </w:p>
        </w:tc>
        <w:tc>
          <w:tcPr>
            <w:tcW w:w="2895" w:type="dxa"/>
            <w:shd w:val="clear" w:color="auto" w:fill="D6E8D2"/>
            <w:hideMark/>
          </w:tcPr>
          <w:p w14:paraId="20806351" w14:textId="17759DA6" w:rsidR="00207A48" w:rsidRPr="00150C1C" w:rsidRDefault="00BB5C1C" w:rsidP="00EF0B4D">
            <w:pPr>
              <w:pStyle w:val="TableBodyCopy"/>
            </w:pPr>
            <w:r>
              <w:t>Final</w:t>
            </w:r>
            <w:r w:rsidR="00207A48" w:rsidRPr="00150C1C">
              <w:t xml:space="preserve"> evaluation</w:t>
            </w:r>
            <w:r w:rsidR="00337338">
              <w:t xml:space="preserve"> – </w:t>
            </w:r>
            <w:r w:rsidR="00E24F65" w:rsidRPr="00150C1C">
              <w:t>Fisheries</w:t>
            </w:r>
            <w:r w:rsidR="00207A48" w:rsidRPr="00150C1C">
              <w:t xml:space="preserve"> Development Assistance in the Pacific</w:t>
            </w:r>
          </w:p>
          <w:p w14:paraId="786ED983" w14:textId="298D9027" w:rsidR="00207A48" w:rsidRPr="00150C1C" w:rsidRDefault="00207A48" w:rsidP="00EF0B4D">
            <w:pPr>
              <w:pStyle w:val="TableBodyCopy"/>
            </w:pPr>
            <w:r w:rsidRPr="00150C1C">
              <w:t>Mid-</w:t>
            </w:r>
            <w:r w:rsidR="00AB4532">
              <w:t>t</w:t>
            </w:r>
            <w:r w:rsidRPr="00150C1C">
              <w:t xml:space="preserve">erm </w:t>
            </w:r>
            <w:r w:rsidR="00BF7DDC">
              <w:t>r</w:t>
            </w:r>
            <w:r w:rsidRPr="00150C1C">
              <w:t xml:space="preserve">eview </w:t>
            </w:r>
            <w:r w:rsidR="00337338">
              <w:t>–</w:t>
            </w:r>
            <w:r w:rsidR="00337338" w:rsidRPr="00150C1C">
              <w:t xml:space="preserve"> </w:t>
            </w:r>
            <w:r w:rsidRPr="00150C1C">
              <w:t>Team Up</w:t>
            </w:r>
          </w:p>
          <w:p w14:paraId="4F9B748B" w14:textId="4A18DFA4" w:rsidR="00207A48" w:rsidRPr="00150C1C" w:rsidRDefault="00207A48" w:rsidP="00EF0B4D">
            <w:pPr>
              <w:pStyle w:val="TableBodyCopy"/>
            </w:pPr>
            <w:r w:rsidRPr="00150C1C">
              <w:t xml:space="preserve">Mid-term evaluation </w:t>
            </w:r>
            <w:r w:rsidR="00337338">
              <w:t xml:space="preserve">– </w:t>
            </w:r>
            <w:r w:rsidRPr="00150C1C">
              <w:t>Balance of Power Program</w:t>
            </w:r>
          </w:p>
          <w:p w14:paraId="19D2DF60" w14:textId="3534A62C" w:rsidR="00207A48" w:rsidRPr="00150C1C" w:rsidRDefault="00207A48" w:rsidP="00EF0B4D">
            <w:pPr>
              <w:pStyle w:val="TableBodyCopy"/>
            </w:pPr>
            <w:r w:rsidRPr="00150C1C">
              <w:t>Mid</w:t>
            </w:r>
            <w:r w:rsidR="00BF7DDC">
              <w:t>-t</w:t>
            </w:r>
            <w:r w:rsidRPr="00150C1C">
              <w:t xml:space="preserve">erm </w:t>
            </w:r>
            <w:r w:rsidR="00BF7DDC">
              <w:t>r</w:t>
            </w:r>
            <w:r w:rsidRPr="00150C1C">
              <w:t xml:space="preserve">eview </w:t>
            </w:r>
            <w:r w:rsidR="00337338">
              <w:t>–</w:t>
            </w:r>
            <w:r w:rsidR="00337338" w:rsidRPr="00150C1C">
              <w:t xml:space="preserve"> </w:t>
            </w:r>
            <w:r w:rsidRPr="00150C1C">
              <w:t>Australia</w:t>
            </w:r>
            <w:r w:rsidR="00242B55">
              <w:t>-</w:t>
            </w:r>
            <w:r w:rsidRPr="00150C1C">
              <w:t>Pacific Partnership</w:t>
            </w:r>
            <w:r w:rsidR="00BF7DDC">
              <w:t>s</w:t>
            </w:r>
            <w:r w:rsidRPr="00150C1C">
              <w:t xml:space="preserve"> Platform</w:t>
            </w:r>
          </w:p>
          <w:p w14:paraId="49D02869" w14:textId="50C78BC4" w:rsidR="00207A48" w:rsidRPr="00150C1C" w:rsidRDefault="00207A48" w:rsidP="00EF0B4D">
            <w:pPr>
              <w:pStyle w:val="TableBodyCopy"/>
            </w:pPr>
            <w:r w:rsidRPr="00150C1C">
              <w:t xml:space="preserve">Evaluation </w:t>
            </w:r>
            <w:r w:rsidR="00337338">
              <w:t xml:space="preserve">– </w:t>
            </w:r>
            <w:r w:rsidR="00E24F65" w:rsidRPr="00150C1C">
              <w:t>Lowy</w:t>
            </w:r>
            <w:r w:rsidRPr="00150C1C">
              <w:t xml:space="preserve"> Institute </w:t>
            </w:r>
            <w:r w:rsidR="006801FF">
              <w:t>2024</w:t>
            </w:r>
            <w:r w:rsidR="00337338">
              <w:t>–</w:t>
            </w:r>
            <w:r w:rsidR="006801FF">
              <w:t xml:space="preserve">25 </w:t>
            </w:r>
            <w:r w:rsidRPr="00150C1C">
              <w:t>Pacific Aid Map</w:t>
            </w:r>
          </w:p>
        </w:tc>
        <w:tc>
          <w:tcPr>
            <w:tcW w:w="2895" w:type="dxa"/>
            <w:shd w:val="clear" w:color="auto" w:fill="D6E8D2"/>
            <w:hideMark/>
          </w:tcPr>
          <w:p w14:paraId="2E5F0A90" w14:textId="54C6CE38" w:rsidR="00207A48" w:rsidRPr="00150C1C" w:rsidRDefault="00207A48" w:rsidP="00EF0B4D">
            <w:pPr>
              <w:pStyle w:val="TableBodyCopy"/>
            </w:pPr>
            <w:r w:rsidRPr="00150C1C">
              <w:t xml:space="preserve">Independent evaluation </w:t>
            </w:r>
            <w:r w:rsidR="00337338">
              <w:t>–</w:t>
            </w:r>
            <w:r w:rsidR="00337338" w:rsidRPr="00150C1C">
              <w:t xml:space="preserve"> </w:t>
            </w:r>
            <w:r w:rsidR="0019024C">
              <w:t xml:space="preserve">Pacific Media Assistance Scheme </w:t>
            </w:r>
            <w:r w:rsidRPr="00150C1C">
              <w:t>Phase</w:t>
            </w:r>
            <w:r w:rsidR="00337338">
              <w:t> </w:t>
            </w:r>
            <w:r w:rsidRPr="00150C1C">
              <w:t>4</w:t>
            </w:r>
          </w:p>
        </w:tc>
        <w:tc>
          <w:tcPr>
            <w:tcW w:w="2895" w:type="dxa"/>
            <w:shd w:val="clear" w:color="auto" w:fill="D6E8D2"/>
            <w:hideMark/>
          </w:tcPr>
          <w:p w14:paraId="19F55058" w14:textId="10D576E4" w:rsidR="00207A48" w:rsidRPr="00150C1C" w:rsidRDefault="00207A48" w:rsidP="00EF0B4D">
            <w:pPr>
              <w:pStyle w:val="TableBodyCopy"/>
            </w:pPr>
            <w:r w:rsidRPr="00150C1C">
              <w:t>No formal reviews planned</w:t>
            </w:r>
          </w:p>
        </w:tc>
      </w:tr>
      <w:tr w:rsidR="000D628C" w:rsidRPr="00207A48" w14:paraId="4AC6A20D" w14:textId="77777777" w:rsidTr="00396F17">
        <w:trPr>
          <w:trHeight w:val="300"/>
        </w:trPr>
        <w:tc>
          <w:tcPr>
            <w:tcW w:w="1513" w:type="dxa"/>
            <w:shd w:val="clear" w:color="auto" w:fill="FBEED2"/>
            <w:hideMark/>
          </w:tcPr>
          <w:p w14:paraId="11F78D4C" w14:textId="627D2726" w:rsidR="00207A48" w:rsidRDefault="00207A48" w:rsidP="00087A66">
            <w:pPr>
              <w:pStyle w:val="TableBodyCopybold"/>
            </w:pPr>
            <w:r w:rsidRPr="00150C1C">
              <w:t>Objective 2</w:t>
            </w:r>
          </w:p>
          <w:p w14:paraId="2623CD7C" w14:textId="718EBD4A" w:rsidR="00D91465" w:rsidRPr="00150C1C" w:rsidRDefault="00D91465" w:rsidP="00EF0B4D">
            <w:pPr>
              <w:pStyle w:val="TableBodyCopy"/>
            </w:pPr>
            <w:r>
              <w:t>Regional action on climate change and disasters</w:t>
            </w:r>
          </w:p>
        </w:tc>
        <w:tc>
          <w:tcPr>
            <w:tcW w:w="2895" w:type="dxa"/>
            <w:shd w:val="clear" w:color="auto" w:fill="FBEED2"/>
            <w:hideMark/>
          </w:tcPr>
          <w:p w14:paraId="468ED335" w14:textId="220D56A9" w:rsidR="00207A48" w:rsidRPr="00150C1C" w:rsidRDefault="00207A48" w:rsidP="00EF0B4D">
            <w:pPr>
              <w:pStyle w:val="TableBodyCopy"/>
            </w:pPr>
            <w:r w:rsidRPr="00150C1C">
              <w:t>Mid-</w:t>
            </w:r>
            <w:r w:rsidR="008776D6">
              <w:t>t</w:t>
            </w:r>
            <w:r w:rsidRPr="00150C1C">
              <w:t xml:space="preserve">erm </w:t>
            </w:r>
            <w:r w:rsidR="00706F78">
              <w:t>e</w:t>
            </w:r>
            <w:r w:rsidRPr="00150C1C">
              <w:t xml:space="preserve">valuation </w:t>
            </w:r>
            <w:r w:rsidR="00337338">
              <w:t>–</w:t>
            </w:r>
            <w:r w:rsidR="00337338" w:rsidRPr="00150C1C">
              <w:t xml:space="preserve"> </w:t>
            </w:r>
            <w:r w:rsidRPr="00150C1C">
              <w:t>Pacific Ocean Litter Project</w:t>
            </w:r>
          </w:p>
        </w:tc>
        <w:tc>
          <w:tcPr>
            <w:tcW w:w="2895" w:type="dxa"/>
            <w:shd w:val="clear" w:color="auto" w:fill="FBEED2"/>
            <w:hideMark/>
          </w:tcPr>
          <w:p w14:paraId="704964D4" w14:textId="74C25C3F" w:rsidR="00207A48" w:rsidRPr="00150C1C" w:rsidRDefault="00207A48" w:rsidP="00EF0B4D">
            <w:pPr>
              <w:pStyle w:val="TableBodyCopy"/>
            </w:pPr>
            <w:r w:rsidRPr="00150C1C">
              <w:t>No formal reviews planned</w:t>
            </w:r>
          </w:p>
        </w:tc>
        <w:tc>
          <w:tcPr>
            <w:tcW w:w="2895" w:type="dxa"/>
            <w:shd w:val="clear" w:color="auto" w:fill="FBEED2"/>
            <w:hideMark/>
          </w:tcPr>
          <w:p w14:paraId="4AAE0B48" w14:textId="209B4AF6" w:rsidR="00207A48" w:rsidRPr="00150C1C" w:rsidRDefault="00207A48" w:rsidP="00EF0B4D">
            <w:pPr>
              <w:pStyle w:val="TableBodyCopy"/>
            </w:pPr>
            <w:r w:rsidRPr="00150C1C">
              <w:t>Mid-</w:t>
            </w:r>
            <w:r w:rsidR="005429C4">
              <w:t>t</w:t>
            </w:r>
            <w:r w:rsidRPr="00150C1C">
              <w:t xml:space="preserve">erm </w:t>
            </w:r>
            <w:r w:rsidR="005429C4">
              <w:t>e</w:t>
            </w:r>
            <w:r w:rsidRPr="00150C1C">
              <w:t>valuation</w:t>
            </w:r>
            <w:r w:rsidR="00337338">
              <w:t xml:space="preserve"> – </w:t>
            </w:r>
            <w:r w:rsidR="008D6F0B">
              <w:t>Infrastructure for Resilient Island States</w:t>
            </w:r>
            <w:r w:rsidRPr="00150C1C">
              <w:t xml:space="preserve"> initiative</w:t>
            </w:r>
          </w:p>
          <w:p w14:paraId="11F3A326" w14:textId="5195A6AB" w:rsidR="00207A48" w:rsidRPr="00150C1C" w:rsidRDefault="00207A48" w:rsidP="00EF0B4D">
            <w:pPr>
              <w:pStyle w:val="TableBodyCopy"/>
            </w:pPr>
            <w:r w:rsidRPr="00150C1C">
              <w:t>Mid-</w:t>
            </w:r>
            <w:r w:rsidR="002F0061">
              <w:t>t</w:t>
            </w:r>
            <w:r w:rsidRPr="00150C1C">
              <w:t xml:space="preserve">erm </w:t>
            </w:r>
            <w:r w:rsidR="006801FF">
              <w:t>e</w:t>
            </w:r>
            <w:r w:rsidRPr="00150C1C">
              <w:t xml:space="preserve">valuation </w:t>
            </w:r>
            <w:r w:rsidR="00337338">
              <w:t>–</w:t>
            </w:r>
            <w:r w:rsidR="00337338" w:rsidRPr="00150C1C">
              <w:t xml:space="preserve"> </w:t>
            </w:r>
            <w:r w:rsidRPr="00150C1C">
              <w:t>Pacific Humanitarian Warehousing Program</w:t>
            </w:r>
          </w:p>
        </w:tc>
      </w:tr>
      <w:tr w:rsidR="000D628C" w:rsidRPr="00207A48" w14:paraId="12F9D223" w14:textId="77777777" w:rsidTr="003D0411">
        <w:trPr>
          <w:cantSplit/>
          <w:trHeight w:val="300"/>
        </w:trPr>
        <w:tc>
          <w:tcPr>
            <w:tcW w:w="1513" w:type="dxa"/>
            <w:shd w:val="clear" w:color="auto" w:fill="F0DBD4"/>
            <w:hideMark/>
          </w:tcPr>
          <w:p w14:paraId="5277DE3F" w14:textId="4D35FC81" w:rsidR="00207A48" w:rsidRDefault="00207A48" w:rsidP="00087A66">
            <w:pPr>
              <w:pStyle w:val="TableBodyCopybold"/>
            </w:pPr>
            <w:r w:rsidRPr="00150C1C">
              <w:lastRenderedPageBreak/>
              <w:t>Objective 3</w:t>
            </w:r>
          </w:p>
          <w:p w14:paraId="5A0C42FC" w14:textId="735D9510" w:rsidR="00D91465" w:rsidRPr="00150C1C" w:rsidRDefault="00D91465" w:rsidP="00EF0B4D">
            <w:pPr>
              <w:pStyle w:val="TableBodyCopy"/>
            </w:pPr>
            <w:r>
              <w:t>Sustainable and resilient economic development</w:t>
            </w:r>
          </w:p>
        </w:tc>
        <w:tc>
          <w:tcPr>
            <w:tcW w:w="2895" w:type="dxa"/>
            <w:shd w:val="clear" w:color="auto" w:fill="F0DBD4"/>
            <w:hideMark/>
          </w:tcPr>
          <w:p w14:paraId="2372A89F" w14:textId="61F49A30" w:rsidR="00207A48" w:rsidRPr="00150C1C" w:rsidRDefault="00207A48" w:rsidP="00EF0B4D">
            <w:pPr>
              <w:pStyle w:val="TableBodyCopy"/>
            </w:pPr>
            <w:r w:rsidRPr="00150C1C">
              <w:t xml:space="preserve">Final </w:t>
            </w:r>
            <w:r w:rsidR="002A78AD">
              <w:t>e</w:t>
            </w:r>
            <w:r w:rsidRPr="00150C1C">
              <w:t xml:space="preserve">valuation </w:t>
            </w:r>
            <w:r w:rsidR="00337338">
              <w:t>–</w:t>
            </w:r>
            <w:r w:rsidR="00337338" w:rsidRPr="00150C1C">
              <w:t xml:space="preserve"> </w:t>
            </w:r>
            <w:r w:rsidRPr="00150C1C">
              <w:t xml:space="preserve">Pacific </w:t>
            </w:r>
            <w:r w:rsidR="002F0061">
              <w:t>Horticultural and Agricultural Market</w:t>
            </w:r>
            <w:r w:rsidR="007F7205">
              <w:t xml:space="preserve"> Access </w:t>
            </w:r>
            <w:r w:rsidRPr="00150C1C">
              <w:t>Plus Program Phase</w:t>
            </w:r>
            <w:r w:rsidR="00337338">
              <w:t> </w:t>
            </w:r>
            <w:r w:rsidR="007F7205">
              <w:t>2</w:t>
            </w:r>
          </w:p>
          <w:p w14:paraId="00BBA4E5" w14:textId="7FCC14E0" w:rsidR="00207A48" w:rsidRPr="00150C1C" w:rsidRDefault="00207A48" w:rsidP="00EF0B4D">
            <w:pPr>
              <w:pStyle w:val="TableBodyCopy"/>
            </w:pPr>
            <w:r w:rsidRPr="00150C1C">
              <w:t xml:space="preserve">Review </w:t>
            </w:r>
            <w:r w:rsidR="00337338">
              <w:t xml:space="preserve">– </w:t>
            </w:r>
            <w:r w:rsidR="00E24F65" w:rsidRPr="00150C1C">
              <w:t>Pacific</w:t>
            </w:r>
            <w:r w:rsidR="00963539">
              <w:t xml:space="preserve"> Agreement </w:t>
            </w:r>
            <w:r w:rsidR="00622EA1">
              <w:t>on Closer Economic Relations</w:t>
            </w:r>
            <w:r w:rsidR="00963539" w:rsidRPr="00150C1C">
              <w:t xml:space="preserve"> </w:t>
            </w:r>
            <w:r w:rsidRPr="00150C1C">
              <w:t xml:space="preserve">Plus </w:t>
            </w:r>
            <w:r w:rsidR="006C63C1">
              <w:t>I</w:t>
            </w:r>
            <w:r w:rsidRPr="00150C1C">
              <w:t xml:space="preserve">mplementation </w:t>
            </w:r>
            <w:r w:rsidR="006C63C1">
              <w:t>U</w:t>
            </w:r>
            <w:r w:rsidRPr="00150C1C">
              <w:t>nit</w:t>
            </w:r>
          </w:p>
          <w:p w14:paraId="39B1A375" w14:textId="5349D5BA" w:rsidR="00207A48" w:rsidRPr="00150C1C" w:rsidRDefault="00207A48" w:rsidP="00EF0B4D">
            <w:pPr>
              <w:pStyle w:val="TableBodyCopy"/>
            </w:pPr>
            <w:r w:rsidRPr="00150C1C">
              <w:t>End-of-</w:t>
            </w:r>
            <w:r w:rsidR="00315C81">
              <w:t>p</w:t>
            </w:r>
            <w:r w:rsidRPr="00150C1C">
              <w:t xml:space="preserve">hase </w:t>
            </w:r>
            <w:r w:rsidR="00315C81">
              <w:t>review</w:t>
            </w:r>
            <w:r w:rsidR="00315C81" w:rsidRPr="00150C1C">
              <w:t xml:space="preserve"> </w:t>
            </w:r>
            <w:r w:rsidR="00337338">
              <w:t>–</w:t>
            </w:r>
            <w:r w:rsidR="00315C81">
              <w:t xml:space="preserve"> </w:t>
            </w:r>
            <w:r w:rsidRPr="00150C1C">
              <w:t>Partnerships for Social Protection</w:t>
            </w:r>
          </w:p>
          <w:p w14:paraId="6ED8972B" w14:textId="52992041" w:rsidR="00207A48" w:rsidRPr="00150C1C" w:rsidRDefault="00841898" w:rsidP="00EF0B4D">
            <w:pPr>
              <w:pStyle w:val="TableBodyCopy"/>
            </w:pPr>
            <w:r>
              <w:t>Final</w:t>
            </w:r>
            <w:r w:rsidR="00207A48" w:rsidRPr="00150C1C">
              <w:t xml:space="preserve"> </w:t>
            </w:r>
            <w:r w:rsidR="00315C81">
              <w:t>r</w:t>
            </w:r>
            <w:r w:rsidR="00207A48" w:rsidRPr="00150C1C">
              <w:t xml:space="preserve">eview </w:t>
            </w:r>
            <w:r w:rsidR="00337338">
              <w:t>–</w:t>
            </w:r>
            <w:r w:rsidR="00207A48" w:rsidRPr="00150C1C">
              <w:t xml:space="preserve"> Access to Agricultural Markets for Pacific Products Phase 2</w:t>
            </w:r>
          </w:p>
          <w:p w14:paraId="062C45DC" w14:textId="400FFDA5" w:rsidR="00207A48" w:rsidRPr="00150C1C" w:rsidRDefault="00207A48" w:rsidP="00EF0B4D">
            <w:pPr>
              <w:pStyle w:val="TableBodyCopy"/>
            </w:pPr>
            <w:r w:rsidRPr="00150C1C">
              <w:t xml:space="preserve">Mid-term review </w:t>
            </w:r>
            <w:r w:rsidR="00337338">
              <w:t>–</w:t>
            </w:r>
            <w:r w:rsidR="00337338" w:rsidRPr="00150C1C">
              <w:t xml:space="preserve"> </w:t>
            </w:r>
            <w:r w:rsidRPr="00150C1C">
              <w:t>W</w:t>
            </w:r>
            <w:r w:rsidR="00315C81">
              <w:t xml:space="preserve">orld </w:t>
            </w:r>
            <w:r w:rsidRPr="00150C1C">
              <w:t>B</w:t>
            </w:r>
            <w:r w:rsidR="00315C81">
              <w:t>ank</w:t>
            </w:r>
            <w:r w:rsidR="009146DB">
              <w:t>–</w:t>
            </w:r>
            <w:r w:rsidRPr="00150C1C">
              <w:t xml:space="preserve">Australia </w:t>
            </w:r>
            <w:r w:rsidR="009146DB">
              <w:t>Papua New Guinea</w:t>
            </w:r>
            <w:r w:rsidR="009146DB" w:rsidRPr="00150C1C">
              <w:t xml:space="preserve"> </w:t>
            </w:r>
            <w:r w:rsidRPr="00150C1C">
              <w:t xml:space="preserve">and Pacific Islands </w:t>
            </w:r>
            <w:r w:rsidR="006E3B5F">
              <w:t xml:space="preserve">Umbrella </w:t>
            </w:r>
            <w:r w:rsidR="009146DB">
              <w:t>Facility M</w:t>
            </w:r>
            <w:r w:rsidR="002855F3">
              <w:t>ulti</w:t>
            </w:r>
            <w:r w:rsidR="009146DB">
              <w:t>-D</w:t>
            </w:r>
            <w:r w:rsidR="002855F3">
              <w:t xml:space="preserve">onor </w:t>
            </w:r>
            <w:r w:rsidR="009146DB">
              <w:t>T</w:t>
            </w:r>
            <w:r w:rsidR="00830FE4">
              <w:t xml:space="preserve">rust </w:t>
            </w:r>
            <w:r w:rsidR="009146DB">
              <w:t>F</w:t>
            </w:r>
            <w:r w:rsidR="00830FE4">
              <w:t>und</w:t>
            </w:r>
          </w:p>
          <w:p w14:paraId="6B80B880" w14:textId="5F5A1D25" w:rsidR="00207A48" w:rsidRPr="00150C1C" w:rsidRDefault="00207A48" w:rsidP="00EF0B4D">
            <w:pPr>
              <w:pStyle w:val="TableBodyCopy"/>
            </w:pPr>
            <w:r w:rsidRPr="00150C1C">
              <w:t>Pacific Digital Economy Programme</w:t>
            </w:r>
          </w:p>
          <w:p w14:paraId="5312610D" w14:textId="65D21AAB" w:rsidR="00207A48" w:rsidRPr="00150C1C" w:rsidRDefault="00207A48" w:rsidP="00EF0B4D">
            <w:pPr>
              <w:pStyle w:val="TableBodyCopy"/>
            </w:pPr>
            <w:r w:rsidRPr="00150C1C">
              <w:t xml:space="preserve">Final </w:t>
            </w:r>
            <w:r w:rsidR="008B6DDC">
              <w:t>i</w:t>
            </w:r>
            <w:r w:rsidRPr="00150C1C">
              <w:t xml:space="preserve">ndependent </w:t>
            </w:r>
            <w:r w:rsidR="00BC6D09">
              <w:t>e</w:t>
            </w:r>
            <w:r w:rsidRPr="00150C1C">
              <w:t xml:space="preserve">valuation </w:t>
            </w:r>
            <w:r w:rsidR="00242B55">
              <w:t>–</w:t>
            </w:r>
            <w:r w:rsidR="00242B55" w:rsidRPr="00150C1C">
              <w:t xml:space="preserve"> </w:t>
            </w:r>
            <w:r w:rsidRPr="00150C1C">
              <w:t>Pacific Fiscal Budget Support Package</w:t>
            </w:r>
          </w:p>
          <w:p w14:paraId="2163BB12" w14:textId="4855F2A1" w:rsidR="00D5127F" w:rsidRPr="00150C1C" w:rsidRDefault="008B6DDC" w:rsidP="00EF0B4D">
            <w:pPr>
              <w:pStyle w:val="TableBodyCopy"/>
            </w:pPr>
            <w:r>
              <w:t xml:space="preserve">End-of-program review </w:t>
            </w:r>
            <w:r w:rsidR="00242B55">
              <w:t xml:space="preserve">– </w:t>
            </w:r>
            <w:r w:rsidR="00D5127F" w:rsidRPr="00150C1C">
              <w:t>Pacific Partnership Facility</w:t>
            </w:r>
          </w:p>
          <w:p w14:paraId="4432ED74" w14:textId="097CE974" w:rsidR="00D5127F" w:rsidRPr="00150C1C" w:rsidRDefault="00D5127F" w:rsidP="00EF0B4D">
            <w:pPr>
              <w:pStyle w:val="TableBodyCopy"/>
            </w:pPr>
            <w:r w:rsidRPr="00150C1C">
              <w:t xml:space="preserve">Final </w:t>
            </w:r>
            <w:r w:rsidR="00706F78">
              <w:t>e</w:t>
            </w:r>
            <w:r w:rsidRPr="00150C1C">
              <w:t xml:space="preserve">valuation </w:t>
            </w:r>
            <w:r w:rsidR="00242B55">
              <w:t>–</w:t>
            </w:r>
            <w:r w:rsidR="002B55E3" w:rsidRPr="00150C1C">
              <w:t xml:space="preserve"> </w:t>
            </w:r>
            <w:r w:rsidRPr="00150C1C">
              <w:t xml:space="preserve">International Finance </w:t>
            </w:r>
            <w:r w:rsidR="00E24F65" w:rsidRPr="00150C1C">
              <w:t>Corporation Pacific</w:t>
            </w:r>
            <w:r w:rsidRPr="00150C1C">
              <w:t xml:space="preserve"> Partnership II</w:t>
            </w:r>
          </w:p>
        </w:tc>
        <w:tc>
          <w:tcPr>
            <w:tcW w:w="2895" w:type="dxa"/>
            <w:shd w:val="clear" w:color="auto" w:fill="F0DBD4"/>
            <w:hideMark/>
          </w:tcPr>
          <w:p w14:paraId="03DC3CB8" w14:textId="1814CC61" w:rsidR="00207A48" w:rsidRPr="00150C1C" w:rsidRDefault="00CE5F32" w:rsidP="00EF0B4D">
            <w:pPr>
              <w:pStyle w:val="TableBodyCopy"/>
            </w:pPr>
            <w:r>
              <w:t>No formal reviews planned</w:t>
            </w:r>
          </w:p>
        </w:tc>
        <w:tc>
          <w:tcPr>
            <w:tcW w:w="2895" w:type="dxa"/>
            <w:shd w:val="clear" w:color="auto" w:fill="F0DBD4"/>
            <w:hideMark/>
          </w:tcPr>
          <w:p w14:paraId="33121073" w14:textId="74F3C103" w:rsidR="00207A48" w:rsidRPr="00150C1C" w:rsidRDefault="00207A48" w:rsidP="00EF0B4D">
            <w:pPr>
              <w:pStyle w:val="TableBodyCopy"/>
            </w:pPr>
            <w:r w:rsidRPr="00150C1C">
              <w:t xml:space="preserve">Mid-term evaluation </w:t>
            </w:r>
            <w:r w:rsidR="00242B55">
              <w:t>–</w:t>
            </w:r>
            <w:r w:rsidR="00242B55" w:rsidRPr="00150C1C">
              <w:t xml:space="preserve"> </w:t>
            </w:r>
            <w:r w:rsidRPr="00150C1C">
              <w:t>Pacific Labour Mobility Support Program</w:t>
            </w:r>
          </w:p>
          <w:p w14:paraId="46D921FD" w14:textId="3A3865C2" w:rsidR="00207A48" w:rsidRPr="00150C1C" w:rsidRDefault="00207A48" w:rsidP="00EF0B4D">
            <w:pPr>
              <w:pStyle w:val="TableBodyCopy"/>
            </w:pPr>
            <w:r w:rsidRPr="00150C1C">
              <w:t>Mid-</w:t>
            </w:r>
            <w:r w:rsidR="008247D3">
              <w:t>t</w:t>
            </w:r>
            <w:r w:rsidRPr="00150C1C">
              <w:t xml:space="preserve">erm </w:t>
            </w:r>
            <w:r w:rsidR="002A78AD">
              <w:t>e</w:t>
            </w:r>
            <w:r w:rsidRPr="00150C1C">
              <w:t xml:space="preserve">valuation </w:t>
            </w:r>
            <w:r w:rsidR="00242B55">
              <w:t>–</w:t>
            </w:r>
            <w:r w:rsidR="00242B55" w:rsidRPr="00150C1C">
              <w:t xml:space="preserve"> </w:t>
            </w:r>
            <w:r w:rsidRPr="00150C1C">
              <w:t>P</w:t>
            </w:r>
            <w:r w:rsidR="008247D3">
              <w:t xml:space="preserve">acific Regional Infrastructure </w:t>
            </w:r>
            <w:r w:rsidR="00E24F65">
              <w:t xml:space="preserve">Facility </w:t>
            </w:r>
            <w:r w:rsidR="00E24F65" w:rsidRPr="00150C1C">
              <w:t>Phase</w:t>
            </w:r>
            <w:r w:rsidR="00242B55">
              <w:t> </w:t>
            </w:r>
            <w:r w:rsidR="008247D3">
              <w:t>5</w:t>
            </w:r>
          </w:p>
        </w:tc>
      </w:tr>
      <w:tr w:rsidR="000D628C" w:rsidRPr="00207A48" w14:paraId="6F924329" w14:textId="77777777" w:rsidTr="00250907">
        <w:trPr>
          <w:trHeight w:val="300"/>
        </w:trPr>
        <w:tc>
          <w:tcPr>
            <w:tcW w:w="1513" w:type="dxa"/>
            <w:shd w:val="clear" w:color="auto" w:fill="D9D9D9"/>
            <w:hideMark/>
          </w:tcPr>
          <w:p w14:paraId="52F99402" w14:textId="2CE7BD18" w:rsidR="00207A48" w:rsidRDefault="00207A48" w:rsidP="00087A66">
            <w:pPr>
              <w:pStyle w:val="TableBodyCopybold"/>
            </w:pPr>
            <w:r w:rsidRPr="00150C1C">
              <w:t>Objective 4</w:t>
            </w:r>
          </w:p>
          <w:p w14:paraId="14FF396C" w14:textId="345462AC" w:rsidR="00D91465" w:rsidRPr="00150C1C" w:rsidRDefault="00D91465" w:rsidP="00EF0B4D">
            <w:pPr>
              <w:pStyle w:val="TableBodyCopy"/>
            </w:pPr>
            <w:r>
              <w:t>Wellbeing, inclusion and equity</w:t>
            </w:r>
          </w:p>
        </w:tc>
        <w:tc>
          <w:tcPr>
            <w:tcW w:w="2895" w:type="dxa"/>
            <w:shd w:val="clear" w:color="auto" w:fill="D9D9D9"/>
            <w:hideMark/>
          </w:tcPr>
          <w:p w14:paraId="1E4A9A43" w14:textId="636EA6E5" w:rsidR="00207A48" w:rsidRPr="00150C1C" w:rsidRDefault="00207A48" w:rsidP="00EF0B4D">
            <w:pPr>
              <w:pStyle w:val="TableBodyCopy"/>
            </w:pPr>
            <w:r w:rsidRPr="00150C1C">
              <w:t>Mid-</w:t>
            </w:r>
            <w:r w:rsidR="00E55F1A">
              <w:t>t</w:t>
            </w:r>
            <w:r w:rsidRPr="00150C1C">
              <w:t xml:space="preserve">erm </w:t>
            </w:r>
            <w:r w:rsidR="00E55F1A">
              <w:t>r</w:t>
            </w:r>
            <w:r w:rsidRPr="00150C1C">
              <w:t xml:space="preserve">eview </w:t>
            </w:r>
            <w:r w:rsidR="00242B55">
              <w:t>–</w:t>
            </w:r>
            <w:r w:rsidR="00242B55" w:rsidRPr="00150C1C">
              <w:t xml:space="preserve"> </w:t>
            </w:r>
            <w:r w:rsidRPr="00150C1C">
              <w:t>Pacific Research Program Phase 2</w:t>
            </w:r>
          </w:p>
          <w:p w14:paraId="2F0CAE65" w14:textId="2CC672BC" w:rsidR="00207A48" w:rsidRPr="00150C1C" w:rsidRDefault="00E55F1A" w:rsidP="00EF0B4D">
            <w:pPr>
              <w:pStyle w:val="TableBodyCopy"/>
            </w:pPr>
            <w:r>
              <w:t xml:space="preserve">Mid-term review </w:t>
            </w:r>
            <w:r w:rsidR="00242B55">
              <w:t xml:space="preserve">– </w:t>
            </w:r>
            <w:r w:rsidR="00207A48" w:rsidRPr="00150C1C">
              <w:t>Pacific Women Lead</w:t>
            </w:r>
          </w:p>
          <w:p w14:paraId="148B190F" w14:textId="487A9904" w:rsidR="00207A48" w:rsidRPr="00150C1C" w:rsidRDefault="00207A48" w:rsidP="00EF0B4D">
            <w:pPr>
              <w:pStyle w:val="TableBodyCopy"/>
            </w:pPr>
            <w:r w:rsidRPr="00150C1C">
              <w:t xml:space="preserve">Evaluation </w:t>
            </w:r>
            <w:r w:rsidR="00242B55">
              <w:t>–</w:t>
            </w:r>
            <w:r w:rsidRPr="00150C1C">
              <w:t xml:space="preserve"> Pacific Church Partnership</w:t>
            </w:r>
            <w:r w:rsidR="00082E9D">
              <w:t>s</w:t>
            </w:r>
            <w:r w:rsidRPr="00150C1C">
              <w:t xml:space="preserve"> Program</w:t>
            </w:r>
          </w:p>
          <w:p w14:paraId="374D090D" w14:textId="1169E44F" w:rsidR="00207A48" w:rsidRPr="00150C1C" w:rsidRDefault="00207A48" w:rsidP="00EF0B4D">
            <w:pPr>
              <w:pStyle w:val="TableBodyCopy"/>
            </w:pPr>
            <w:r w:rsidRPr="00150C1C">
              <w:t xml:space="preserve">Evaluation </w:t>
            </w:r>
            <w:r w:rsidR="00242B55">
              <w:t>–</w:t>
            </w:r>
            <w:r w:rsidR="00242B55" w:rsidRPr="00150C1C">
              <w:t xml:space="preserve"> </w:t>
            </w:r>
            <w:r w:rsidR="00ED3F39">
              <w:t xml:space="preserve">Australian Government </w:t>
            </w:r>
            <w:r w:rsidRPr="00150C1C">
              <w:t>D</w:t>
            </w:r>
            <w:r w:rsidR="00ED3F39">
              <w:t xml:space="preserve">epartment of Foreign </w:t>
            </w:r>
            <w:r w:rsidRPr="00150C1C">
              <w:t>A</w:t>
            </w:r>
            <w:r w:rsidR="00ED3F39">
              <w:t xml:space="preserve">ffairs and </w:t>
            </w:r>
            <w:r w:rsidRPr="00150C1C">
              <w:t>T</w:t>
            </w:r>
            <w:r w:rsidR="00ED3F39">
              <w:t>rade</w:t>
            </w:r>
            <w:r w:rsidRPr="00150C1C">
              <w:t xml:space="preserve">-funded regional programs with </w:t>
            </w:r>
            <w:r w:rsidR="00ED3F39">
              <w:t>t</w:t>
            </w:r>
            <w:r w:rsidRPr="00150C1C">
              <w:t>he Pacific Community Public Health Division 2019</w:t>
            </w:r>
            <w:r w:rsidR="00242B55">
              <w:t>–</w:t>
            </w:r>
            <w:r w:rsidRPr="00150C1C">
              <w:t>20</w:t>
            </w:r>
          </w:p>
        </w:tc>
        <w:tc>
          <w:tcPr>
            <w:tcW w:w="2895" w:type="dxa"/>
            <w:shd w:val="clear" w:color="auto" w:fill="D9D9D9"/>
            <w:hideMark/>
          </w:tcPr>
          <w:p w14:paraId="2160FED5" w14:textId="26685F13" w:rsidR="00207A48" w:rsidRPr="00150C1C" w:rsidRDefault="00207A48" w:rsidP="00EF0B4D">
            <w:pPr>
              <w:pStyle w:val="TableBodyCopy"/>
            </w:pPr>
            <w:r w:rsidRPr="00150C1C">
              <w:t xml:space="preserve">Independent </w:t>
            </w:r>
            <w:r w:rsidR="00706F78">
              <w:t>e</w:t>
            </w:r>
            <w:r w:rsidRPr="00150C1C">
              <w:t xml:space="preserve">valuation </w:t>
            </w:r>
            <w:r w:rsidR="00242B55">
              <w:t>–</w:t>
            </w:r>
            <w:r w:rsidRPr="00150C1C">
              <w:t xml:space="preserve"> Educational Quality and Assessment Programme</w:t>
            </w:r>
          </w:p>
          <w:p w14:paraId="211CF351" w14:textId="5B2DADE4" w:rsidR="00207A48" w:rsidRPr="00150C1C" w:rsidRDefault="00207A48" w:rsidP="00EF0B4D">
            <w:pPr>
              <w:pStyle w:val="TableBodyCopy"/>
            </w:pPr>
            <w:r w:rsidRPr="00150C1C">
              <w:t xml:space="preserve">Mid-term review </w:t>
            </w:r>
            <w:r w:rsidR="00242B55">
              <w:t>–</w:t>
            </w:r>
            <w:r w:rsidR="00242B55" w:rsidRPr="00150C1C">
              <w:t xml:space="preserve"> </w:t>
            </w:r>
            <w:r w:rsidRPr="00150C1C">
              <w:t>Phase</w:t>
            </w:r>
            <w:r w:rsidR="00242B55">
              <w:t> </w:t>
            </w:r>
            <w:r w:rsidRPr="00150C1C">
              <w:t xml:space="preserve">2 Pacific Specialised Clinical Services </w:t>
            </w:r>
            <w:r w:rsidR="00CF01DF">
              <w:t>and</w:t>
            </w:r>
            <w:r w:rsidR="00CF01DF" w:rsidRPr="00150C1C">
              <w:t xml:space="preserve"> </w:t>
            </w:r>
            <w:r w:rsidRPr="00150C1C">
              <w:t>Health Workforce Improvement Program</w:t>
            </w:r>
          </w:p>
        </w:tc>
        <w:tc>
          <w:tcPr>
            <w:tcW w:w="2895" w:type="dxa"/>
            <w:shd w:val="clear" w:color="auto" w:fill="D9D9D9"/>
            <w:hideMark/>
          </w:tcPr>
          <w:p w14:paraId="53F4C0B8" w14:textId="0274FCEB" w:rsidR="00207A48" w:rsidRPr="00150C1C" w:rsidRDefault="00207A48" w:rsidP="00EF0B4D">
            <w:pPr>
              <w:pStyle w:val="TableBodyCopy"/>
            </w:pPr>
            <w:r w:rsidRPr="00150C1C">
              <w:t>No formal reviews planned</w:t>
            </w:r>
          </w:p>
        </w:tc>
      </w:tr>
    </w:tbl>
    <w:p w14:paraId="26962795" w14:textId="1ED654E6" w:rsidR="00207A48" w:rsidRDefault="00207A48" w:rsidP="00C464EB">
      <w:pPr>
        <w:spacing w:before="0" w:after="0" w:line="240" w:lineRule="auto"/>
        <w:textAlignment w:val="baseline"/>
      </w:pPr>
    </w:p>
    <w:p w14:paraId="7C8BA4EC" w14:textId="7FE8F2FC" w:rsidR="00C65616" w:rsidRPr="00F54F79" w:rsidRDefault="00C65616" w:rsidP="00F54F79">
      <w:pPr>
        <w:spacing w:after="0" w:line="240" w:lineRule="auto"/>
        <w:textAlignment w:val="baseline"/>
        <w:rPr>
          <w:rFonts w:cs="Calibri Light"/>
          <w:color w:val="313E48" w:themeColor="text2"/>
          <w:lang w:eastAsia="en-AU"/>
        </w:rPr>
        <w:sectPr w:rsidR="00C65616" w:rsidRPr="00F54F79" w:rsidSect="00E912EB">
          <w:headerReference w:type="first" r:id="rId11"/>
          <w:footerReference w:type="first" r:id="rId12"/>
          <w:endnotePr>
            <w:numFmt w:val="decimal"/>
          </w:endnotePr>
          <w:pgSz w:w="11906" w:h="16838" w:code="9"/>
          <w:pgMar w:top="1418" w:right="851" w:bottom="1418" w:left="851" w:header="340" w:footer="533" w:gutter="0"/>
          <w:cols w:space="708"/>
          <w:noEndnote/>
          <w:titlePg/>
          <w:docGrid w:linePitch="360"/>
        </w:sectPr>
      </w:pPr>
    </w:p>
    <w:p w14:paraId="06C66238" w14:textId="5E31B27E" w:rsidR="0083216E" w:rsidRPr="00287711" w:rsidRDefault="0083216E" w:rsidP="00287711">
      <w:pPr>
        <w:pStyle w:val="H3-Heading3"/>
      </w:pPr>
      <w:r w:rsidRPr="00287711">
        <w:lastRenderedPageBreak/>
        <w:t xml:space="preserve">Performance and </w:t>
      </w:r>
      <w:r w:rsidR="00287711">
        <w:t>r</w:t>
      </w:r>
      <w:r w:rsidRPr="00287711">
        <w:t>esults</w:t>
      </w:r>
    </w:p>
    <w:p w14:paraId="537691DB" w14:textId="5BD50B98" w:rsidR="0083216E" w:rsidRPr="0083216E" w:rsidRDefault="0083216E" w:rsidP="0058063A">
      <w:pPr>
        <w:rPr>
          <w:lang w:eastAsia="en-AU"/>
        </w:rPr>
      </w:pPr>
      <w:r w:rsidRPr="008F40B4">
        <w:rPr>
          <w:lang w:eastAsia="en-AU"/>
        </w:rPr>
        <w:t>The Performance Assessment Framework (PAF) at Table 3 provides a selection of indicators and expected results for the first three years of the DPP. The PAF will be updated periodically</w:t>
      </w:r>
      <w:r w:rsidR="00966283">
        <w:rPr>
          <w:lang w:eastAsia="en-AU"/>
        </w:rPr>
        <w:t>,</w:t>
      </w:r>
      <w:r w:rsidRPr="008F40B4">
        <w:rPr>
          <w:lang w:eastAsia="en-AU"/>
        </w:rPr>
        <w:t xml:space="preserve"> including at the mid</w:t>
      </w:r>
      <w:r w:rsidR="009345E4">
        <w:rPr>
          <w:lang w:eastAsia="en-AU"/>
        </w:rPr>
        <w:t>-</w:t>
      </w:r>
      <w:r w:rsidRPr="008F40B4">
        <w:rPr>
          <w:lang w:eastAsia="en-AU"/>
        </w:rPr>
        <w:t>cycle review point</w:t>
      </w:r>
      <w:r w:rsidR="0078437D">
        <w:rPr>
          <w:lang w:eastAsia="en-AU"/>
        </w:rPr>
        <w:t>,</w:t>
      </w:r>
      <w:r w:rsidRPr="008F40B4">
        <w:rPr>
          <w:lang w:eastAsia="en-AU"/>
        </w:rPr>
        <w:t xml:space="preserve"> at which time indicators and results for the second half of the DPP will be identified.</w:t>
      </w:r>
    </w:p>
    <w:p w14:paraId="7F749830" w14:textId="5CC7D316" w:rsidR="007A6F36" w:rsidRDefault="001724B1" w:rsidP="00CD0CB1">
      <w:pPr>
        <w:pStyle w:val="Tabletitle"/>
        <w:rPr>
          <w:rFonts w:cs="Calibri Light"/>
          <w:sz w:val="38"/>
          <w:szCs w:val="38"/>
          <w:lang w:val="en-US"/>
        </w:rPr>
      </w:pPr>
      <w:r w:rsidRPr="2456706A">
        <w:t>Table 3: Performance Assessment Framework</w:t>
      </w:r>
    </w:p>
    <w:p w14:paraId="6578AB58" w14:textId="07BB9E2A" w:rsidR="000175A1" w:rsidRPr="007A6F36" w:rsidRDefault="000175A1" w:rsidP="00335D60">
      <w:pPr>
        <w:pStyle w:val="PAFobjectivehead"/>
        <w:rPr>
          <w:rFonts w:eastAsia="Times New Roman" w:cs="Calibri Light"/>
          <w:sz w:val="38"/>
          <w:szCs w:val="38"/>
          <w:lang w:val="en-US"/>
        </w:rPr>
      </w:pPr>
      <w:r w:rsidRPr="00690DDF">
        <w:t>Objective 1:</w:t>
      </w:r>
      <w:r w:rsidR="00523997" w:rsidRPr="00690DDF">
        <w:t xml:space="preserve"> </w:t>
      </w:r>
      <w:r w:rsidR="00823086">
        <w:t>A strong and uni</w:t>
      </w:r>
      <w:r w:rsidR="00BF4130">
        <w:t>t</w:t>
      </w:r>
      <w:r w:rsidR="00823086">
        <w:t>ed Pacific family</w:t>
      </w:r>
    </w:p>
    <w:tbl>
      <w:tblPr>
        <w:tblStyle w:val="DFATPaddock"/>
        <w:tblW w:w="5000" w:type="pct"/>
        <w:tblLook w:val="04A0" w:firstRow="1" w:lastRow="0" w:firstColumn="1" w:lastColumn="0" w:noHBand="0" w:noVBand="1"/>
        <w:tblCaption w:val="Performance Assessment Framework for Objective 1"/>
        <w:tblDescription w:val="Expected results for Objective 1 for the first 3 years of the DPP and against the Sustainable Development Goals&#10;"/>
      </w:tblPr>
      <w:tblGrid>
        <w:gridCol w:w="2451"/>
        <w:gridCol w:w="2368"/>
        <w:gridCol w:w="2450"/>
        <w:gridCol w:w="2450"/>
        <w:gridCol w:w="2450"/>
        <w:gridCol w:w="2249"/>
      </w:tblGrid>
      <w:tr w:rsidR="00841E8E" w:rsidRPr="00504CC6" w14:paraId="0AD4A614" w14:textId="77777777" w:rsidTr="003D0411">
        <w:trPr>
          <w:cnfStyle w:val="100000000000" w:firstRow="1" w:lastRow="0" w:firstColumn="0" w:lastColumn="0" w:oddVBand="0" w:evenVBand="0" w:oddHBand="0" w:evenHBand="0" w:firstRowFirstColumn="0" w:firstRowLastColumn="0" w:lastRowFirstColumn="0" w:lastRowLastColumn="0"/>
          <w:trHeight w:val="1054"/>
        </w:trPr>
        <w:tc>
          <w:tcPr>
            <w:tcW w:w="0" w:type="pct"/>
          </w:tcPr>
          <w:p w14:paraId="67D65DC1" w14:textId="59115902" w:rsidR="00FD3F8C" w:rsidRPr="003B3AFB" w:rsidRDefault="00FD3F8C" w:rsidP="003B3AFB">
            <w:pPr>
              <w:pStyle w:val="TableHeading"/>
            </w:pPr>
            <w:bookmarkStart w:id="12" w:name="_Hlk173855053"/>
            <w:bookmarkStart w:id="13" w:name="_Hlk130205496"/>
            <w:r w:rsidRPr="003B3AFB">
              <w:t>Outcome</w:t>
            </w:r>
          </w:p>
        </w:tc>
        <w:tc>
          <w:tcPr>
            <w:tcW w:w="0" w:type="pct"/>
            <w:hideMark/>
          </w:tcPr>
          <w:p w14:paraId="25D7A7C1" w14:textId="77777777" w:rsidR="00FD3F8C" w:rsidRPr="003B3AFB" w:rsidRDefault="00FD3F8C" w:rsidP="003B3AFB">
            <w:pPr>
              <w:pStyle w:val="TableHeading"/>
            </w:pPr>
            <w:r w:rsidRPr="003B3AFB">
              <w:t>Indicator</w:t>
            </w:r>
          </w:p>
        </w:tc>
        <w:tc>
          <w:tcPr>
            <w:tcW w:w="0" w:type="pct"/>
            <w:hideMark/>
          </w:tcPr>
          <w:p w14:paraId="31B4D843" w14:textId="20BFECC2" w:rsidR="00FD3F8C" w:rsidRPr="003B3AFB" w:rsidRDefault="00FD3F8C" w:rsidP="003B3AFB">
            <w:pPr>
              <w:pStyle w:val="TableHeading"/>
            </w:pPr>
            <w:r w:rsidRPr="003B3AFB">
              <w:t xml:space="preserve">Expected </w:t>
            </w:r>
            <w:r w:rsidR="00A71D72">
              <w:t>r</w:t>
            </w:r>
            <w:r w:rsidRPr="003B3AFB">
              <w:t>esults</w:t>
            </w:r>
            <w:r w:rsidR="00B762C3">
              <w:br/>
            </w:r>
            <w:r w:rsidRPr="003B3AFB">
              <w:t>2024</w:t>
            </w:r>
            <w:r w:rsidR="00A71D72">
              <w:t>–</w:t>
            </w:r>
            <w:r w:rsidRPr="003B3AFB">
              <w:t>25</w:t>
            </w:r>
          </w:p>
        </w:tc>
        <w:tc>
          <w:tcPr>
            <w:tcW w:w="0" w:type="pct"/>
            <w:hideMark/>
          </w:tcPr>
          <w:p w14:paraId="0A4AA70B" w14:textId="0C2A232E" w:rsidR="00FD3F8C" w:rsidRPr="003B3AFB" w:rsidRDefault="00FD3F8C" w:rsidP="003B3AFB">
            <w:pPr>
              <w:pStyle w:val="TableHeading"/>
            </w:pPr>
            <w:r w:rsidRPr="003B3AFB">
              <w:t xml:space="preserve">Expected </w:t>
            </w:r>
            <w:r w:rsidR="00A71D72">
              <w:t>r</w:t>
            </w:r>
            <w:r w:rsidRPr="003B3AFB">
              <w:t>esults</w:t>
            </w:r>
            <w:r w:rsidR="00B762C3">
              <w:br/>
            </w:r>
            <w:r w:rsidRPr="003B3AFB">
              <w:t>2025</w:t>
            </w:r>
            <w:r w:rsidR="00A71D72">
              <w:t>–</w:t>
            </w:r>
            <w:r w:rsidRPr="003B3AFB">
              <w:t>26</w:t>
            </w:r>
          </w:p>
        </w:tc>
        <w:tc>
          <w:tcPr>
            <w:tcW w:w="0" w:type="pct"/>
            <w:hideMark/>
          </w:tcPr>
          <w:p w14:paraId="5A9EC831" w14:textId="342B753B" w:rsidR="00FD3F8C" w:rsidRPr="003B3AFB" w:rsidRDefault="00FD3F8C" w:rsidP="003B3AFB">
            <w:pPr>
              <w:pStyle w:val="TableHeading"/>
            </w:pPr>
            <w:r w:rsidRPr="003B3AFB">
              <w:t xml:space="preserve">Expected </w:t>
            </w:r>
            <w:r w:rsidR="00A71D72">
              <w:t>r</w:t>
            </w:r>
            <w:r w:rsidRPr="003B3AFB">
              <w:t>esults</w:t>
            </w:r>
            <w:r w:rsidR="00B762C3">
              <w:br/>
            </w:r>
            <w:r w:rsidRPr="003B3AFB">
              <w:t>2026</w:t>
            </w:r>
            <w:r w:rsidR="00A71D72">
              <w:t>–</w:t>
            </w:r>
            <w:r w:rsidRPr="003B3AFB">
              <w:t>27</w:t>
            </w:r>
          </w:p>
        </w:tc>
        <w:tc>
          <w:tcPr>
            <w:tcW w:w="0" w:type="pct"/>
            <w:hideMark/>
          </w:tcPr>
          <w:p w14:paraId="1872E555" w14:textId="023D1E32" w:rsidR="00FD3F8C" w:rsidRPr="003B3AFB" w:rsidRDefault="00A71D72" w:rsidP="003B3AFB">
            <w:pPr>
              <w:pStyle w:val="TableHeading"/>
            </w:pPr>
            <w:r>
              <w:t>Sustainable Development Goals (SDGs)</w:t>
            </w:r>
          </w:p>
        </w:tc>
      </w:tr>
      <w:tr w:rsidR="00F96675" w:rsidRPr="00504CC6" w14:paraId="02678A1A" w14:textId="77777777" w:rsidTr="003D0411">
        <w:trPr>
          <w:trHeight w:val="430"/>
        </w:trPr>
        <w:tc>
          <w:tcPr>
            <w:tcW w:w="0" w:type="pct"/>
          </w:tcPr>
          <w:p w14:paraId="0321FEFF" w14:textId="7DBC1BC2" w:rsidR="00F96675" w:rsidRPr="00307C00" w:rsidRDefault="00F96675" w:rsidP="00F96675">
            <w:pPr>
              <w:pStyle w:val="TableBodyCopybold"/>
            </w:pPr>
            <w:r w:rsidRPr="00307C00">
              <w:t>Outcome 1.1</w:t>
            </w:r>
          </w:p>
          <w:p w14:paraId="6F77D79C" w14:textId="6B81B9EC" w:rsidR="00F96675" w:rsidRPr="00307C00" w:rsidRDefault="007D065A" w:rsidP="00F96675">
            <w:pPr>
              <w:pStyle w:val="TableBodyCopy"/>
            </w:pPr>
            <w:r>
              <w:t xml:space="preserve">Effective institutional partnerships: </w:t>
            </w:r>
            <w:r w:rsidRPr="00307C00">
              <w:t xml:space="preserve">Enhanced implementation of the </w:t>
            </w:r>
            <w:r w:rsidRPr="003D0411">
              <w:t>2050 Strategy for the Blue Pacific Continent</w:t>
            </w:r>
          </w:p>
        </w:tc>
        <w:tc>
          <w:tcPr>
            <w:tcW w:w="0" w:type="pct"/>
          </w:tcPr>
          <w:p w14:paraId="63976279" w14:textId="22ECDA71" w:rsidR="00F96675" w:rsidRDefault="00F96675" w:rsidP="00F96675">
            <w:pPr>
              <w:pStyle w:val="TableBodyCopy"/>
            </w:pPr>
            <w:r>
              <w:t xml:space="preserve">1.1.1 </w:t>
            </w:r>
            <w:r w:rsidRPr="00307C00">
              <w:t>Pacific</w:t>
            </w:r>
            <w:r w:rsidR="00547BC4">
              <w:t xml:space="preserve"> </w:t>
            </w:r>
            <w:r w:rsidRPr="00307C00">
              <w:t>led approaches to regional policy and priorities</w:t>
            </w:r>
          </w:p>
        </w:tc>
        <w:tc>
          <w:tcPr>
            <w:tcW w:w="0" w:type="pct"/>
          </w:tcPr>
          <w:p w14:paraId="6E729A71" w14:textId="5C9B8E8E" w:rsidR="00F96675" w:rsidRPr="00307C00" w:rsidRDefault="00832651" w:rsidP="00F96675">
            <w:pPr>
              <w:pStyle w:val="TableBodyCopy"/>
            </w:pPr>
            <w:r>
              <w:t>Pacific Islands Forum (</w:t>
            </w:r>
            <w:r w:rsidR="00F96675" w:rsidRPr="00307C00">
              <w:t>PIF</w:t>
            </w:r>
            <w:r>
              <w:t>)</w:t>
            </w:r>
            <w:r w:rsidR="00F96675" w:rsidRPr="00307C00">
              <w:t xml:space="preserve"> members support the implementation of regional policies that deliver on the collective political interests of the </w:t>
            </w:r>
            <w:r>
              <w:t>PIF</w:t>
            </w:r>
          </w:p>
          <w:p w14:paraId="3D9BD650" w14:textId="43AF6F26" w:rsidR="00F96675" w:rsidRPr="00307C00" w:rsidRDefault="00F96675" w:rsidP="00F96675">
            <w:pPr>
              <w:pStyle w:val="TableBodyCopy"/>
            </w:pPr>
            <w:r w:rsidRPr="00307C00">
              <w:t>PIF members coordinate a prioritised regional policy agenda through the various ministerial</w:t>
            </w:r>
            <w:r w:rsidR="009B0CC4">
              <w:t>-</w:t>
            </w:r>
            <w:r w:rsidRPr="00307C00">
              <w:t xml:space="preserve"> and senior official</w:t>
            </w:r>
            <w:r w:rsidR="009B0CC4">
              <w:t>-</w:t>
            </w:r>
            <w:r w:rsidRPr="00307C00">
              <w:t>level meetings, leading into the PIF Leaders Meeting</w:t>
            </w:r>
          </w:p>
          <w:p w14:paraId="1E799F3E" w14:textId="3C47DFFE" w:rsidR="00F96675" w:rsidRPr="00307C00" w:rsidRDefault="00F96675" w:rsidP="00F96675">
            <w:pPr>
              <w:pStyle w:val="TableBodyCopy"/>
            </w:pPr>
            <w:r w:rsidRPr="00307C00">
              <w:t xml:space="preserve">PIF members value the diverse cultural values </w:t>
            </w:r>
            <w:r w:rsidR="00394DFF">
              <w:t xml:space="preserve">and </w:t>
            </w:r>
            <w:r w:rsidRPr="00307C00">
              <w:t xml:space="preserve">traditional knowledge of the Blue Pacific </w:t>
            </w:r>
            <w:r w:rsidR="00394DFF">
              <w:t>C</w:t>
            </w:r>
            <w:r w:rsidRPr="00307C00">
              <w:t>ontinent</w:t>
            </w:r>
          </w:p>
          <w:p w14:paraId="41A99DE3" w14:textId="2C68EF49" w:rsidR="00F96675" w:rsidRPr="00307C00" w:rsidRDefault="00F96675" w:rsidP="00F96675">
            <w:pPr>
              <w:pStyle w:val="TableBodyCopy"/>
            </w:pPr>
            <w:r w:rsidRPr="00307C00">
              <w:t>Suva Agreement reforms are implemented</w:t>
            </w:r>
          </w:p>
        </w:tc>
        <w:tc>
          <w:tcPr>
            <w:tcW w:w="0" w:type="pct"/>
          </w:tcPr>
          <w:p w14:paraId="13871629" w14:textId="08BA92C1" w:rsidR="00F96675" w:rsidRPr="00307C00" w:rsidRDefault="00F96675" w:rsidP="00F96675">
            <w:pPr>
              <w:pStyle w:val="TableBodyCopy"/>
            </w:pPr>
            <w:r w:rsidRPr="00307C00">
              <w:t xml:space="preserve">PIF members support the implementation of regional policies that deliver on the collective political interests of the </w:t>
            </w:r>
            <w:r w:rsidR="00394DFF">
              <w:t>PIF</w:t>
            </w:r>
          </w:p>
          <w:p w14:paraId="4069D818" w14:textId="50B09F75" w:rsidR="00F96675" w:rsidRPr="00307C00" w:rsidRDefault="00F96675" w:rsidP="00F96675">
            <w:pPr>
              <w:pStyle w:val="TableBodyCopy"/>
            </w:pPr>
            <w:r w:rsidRPr="00307C00">
              <w:t>PIF members coordinate a prioritised regional policy agenda through the various ministerial</w:t>
            </w:r>
            <w:r w:rsidR="009B0CC4">
              <w:t>-</w:t>
            </w:r>
            <w:r w:rsidRPr="00307C00">
              <w:t xml:space="preserve"> and senior official</w:t>
            </w:r>
            <w:r w:rsidR="009B0CC4">
              <w:t>-</w:t>
            </w:r>
            <w:r w:rsidRPr="00307C00">
              <w:t>level meetings, leading into the PIF Leaders Meeting</w:t>
            </w:r>
          </w:p>
          <w:p w14:paraId="3793E936" w14:textId="22E2207A" w:rsidR="00F96675" w:rsidRPr="00307C00" w:rsidRDefault="00F96675" w:rsidP="00F96675">
            <w:pPr>
              <w:pStyle w:val="TableBodyCopy"/>
            </w:pPr>
            <w:r w:rsidRPr="00307C00">
              <w:t xml:space="preserve">PIF members value the diverse cultural values </w:t>
            </w:r>
            <w:r w:rsidR="00CD69D9">
              <w:t xml:space="preserve">and </w:t>
            </w:r>
            <w:r w:rsidRPr="00307C00">
              <w:t xml:space="preserve">traditional knowledge of the Blue Pacific </w:t>
            </w:r>
            <w:r w:rsidR="00385D99">
              <w:t>C</w:t>
            </w:r>
            <w:r w:rsidRPr="00307C00">
              <w:t>ontinent</w:t>
            </w:r>
          </w:p>
          <w:p w14:paraId="231AF6D1" w14:textId="2DB29110" w:rsidR="00F96675" w:rsidRPr="00307C00" w:rsidRDefault="00F96675" w:rsidP="00F96675">
            <w:pPr>
              <w:pStyle w:val="TableBodyCopy"/>
            </w:pPr>
            <w:r w:rsidRPr="00307C00">
              <w:t xml:space="preserve">All </w:t>
            </w:r>
            <w:r w:rsidR="00385D99">
              <w:t>PIF</w:t>
            </w:r>
            <w:r w:rsidR="00385D99" w:rsidRPr="00307C00">
              <w:t xml:space="preserve"> </w:t>
            </w:r>
            <w:r w:rsidRPr="00307C00">
              <w:t>members begin contributing to the ongoing implementation of the Suva Agreement</w:t>
            </w:r>
          </w:p>
        </w:tc>
        <w:tc>
          <w:tcPr>
            <w:tcW w:w="0" w:type="pct"/>
          </w:tcPr>
          <w:p w14:paraId="37E0D81F" w14:textId="3673DDF7" w:rsidR="00F96675" w:rsidRPr="00307C00" w:rsidRDefault="00F96675" w:rsidP="00F96675">
            <w:pPr>
              <w:pStyle w:val="TableBodyCopy"/>
            </w:pPr>
            <w:r w:rsidRPr="00307C00">
              <w:t xml:space="preserve">PIF members support the implementation of regional policies that deliver on the collective political interests of the </w:t>
            </w:r>
            <w:r w:rsidR="00385D99">
              <w:t>PIF</w:t>
            </w:r>
          </w:p>
          <w:p w14:paraId="47CFE4BE" w14:textId="58049B0C" w:rsidR="00F96675" w:rsidRPr="00307C00" w:rsidRDefault="00F96675" w:rsidP="00F96675">
            <w:pPr>
              <w:pStyle w:val="TableBodyCopy"/>
            </w:pPr>
            <w:r w:rsidRPr="00307C00">
              <w:t>PIF members coordinate a prioritised regional policy agenda through the various ministerial</w:t>
            </w:r>
            <w:r w:rsidR="009B0CC4">
              <w:t>-</w:t>
            </w:r>
            <w:r w:rsidRPr="00307C00">
              <w:t xml:space="preserve"> and senior official</w:t>
            </w:r>
            <w:r w:rsidR="009B0CC4">
              <w:t>-</w:t>
            </w:r>
            <w:r w:rsidRPr="00307C00">
              <w:t>level meetings, leading into the PIF Leaders Meeting</w:t>
            </w:r>
          </w:p>
          <w:p w14:paraId="0D8731CE" w14:textId="43BCF413" w:rsidR="00F96675" w:rsidRPr="00307C00" w:rsidRDefault="00F96675" w:rsidP="00F96675">
            <w:pPr>
              <w:pStyle w:val="TableBodyCopy"/>
            </w:pPr>
            <w:r w:rsidRPr="00307C00">
              <w:t xml:space="preserve">PIF members value the diverse cultural values </w:t>
            </w:r>
            <w:r w:rsidR="00385D99">
              <w:t xml:space="preserve">and </w:t>
            </w:r>
            <w:r w:rsidRPr="00307C00">
              <w:t xml:space="preserve">traditional knowledge of the Blue Pacific </w:t>
            </w:r>
            <w:r w:rsidR="00385D99">
              <w:t>C</w:t>
            </w:r>
            <w:r w:rsidRPr="00307C00">
              <w:t>ontinent</w:t>
            </w:r>
          </w:p>
          <w:p w14:paraId="5C7B723C" w14:textId="1240946E" w:rsidR="00F96675" w:rsidRPr="00307C00" w:rsidRDefault="00F96675" w:rsidP="00F96675">
            <w:pPr>
              <w:pStyle w:val="TableBodyCopy"/>
            </w:pPr>
            <w:r w:rsidRPr="00307C00">
              <w:t xml:space="preserve">All </w:t>
            </w:r>
            <w:r w:rsidR="00385D99">
              <w:t>PIF</w:t>
            </w:r>
            <w:r w:rsidR="00385D99" w:rsidRPr="00307C00">
              <w:t xml:space="preserve"> </w:t>
            </w:r>
            <w:r w:rsidRPr="00307C00">
              <w:t>members contribute to the ongoing implementation of the Suva Agreement</w:t>
            </w:r>
          </w:p>
        </w:tc>
        <w:tc>
          <w:tcPr>
            <w:tcW w:w="0" w:type="pct"/>
          </w:tcPr>
          <w:p w14:paraId="06DA5E7D" w14:textId="48D9BDD6" w:rsidR="00F96675" w:rsidRPr="00307C00" w:rsidRDefault="00F96675" w:rsidP="00F96675">
            <w:pPr>
              <w:pStyle w:val="TableBodyCopy"/>
            </w:pPr>
            <w:r w:rsidRPr="00307C00">
              <w:t>SDG16</w:t>
            </w:r>
            <w:r w:rsidR="0093637F">
              <w:t>:</w:t>
            </w:r>
            <w:r w:rsidRPr="00307C00">
              <w:t xml:space="preserve"> Peace, justice and strong institutions</w:t>
            </w:r>
          </w:p>
        </w:tc>
      </w:tr>
      <w:tr w:rsidR="00F96675" w:rsidRPr="00504CC6" w14:paraId="56EC7275" w14:textId="77777777" w:rsidTr="003D0411">
        <w:trPr>
          <w:cantSplit/>
          <w:trHeight w:val="430"/>
        </w:trPr>
        <w:tc>
          <w:tcPr>
            <w:tcW w:w="0" w:type="pct"/>
          </w:tcPr>
          <w:p w14:paraId="2EAAECFA" w14:textId="667E7636" w:rsidR="00F96675" w:rsidRPr="00307C00" w:rsidRDefault="00F96675" w:rsidP="00F96675">
            <w:pPr>
              <w:pStyle w:val="TableBodyCopybold"/>
            </w:pPr>
            <w:r w:rsidRPr="00307C00">
              <w:lastRenderedPageBreak/>
              <w:t>Outcome 1.1</w:t>
            </w:r>
          </w:p>
        </w:tc>
        <w:tc>
          <w:tcPr>
            <w:tcW w:w="0" w:type="pct"/>
          </w:tcPr>
          <w:p w14:paraId="6E52071D" w14:textId="75A9F63B" w:rsidR="00F96675" w:rsidRDefault="00F96675" w:rsidP="00F96675">
            <w:pPr>
              <w:pStyle w:val="TableBodyCopy"/>
            </w:pPr>
            <w:r>
              <w:t xml:space="preserve">1.1.2 </w:t>
            </w:r>
            <w:r w:rsidRPr="00307C00">
              <w:t>Regional architecture is a coherent mechanism for implementing the 2050 Strategy</w:t>
            </w:r>
          </w:p>
        </w:tc>
        <w:tc>
          <w:tcPr>
            <w:tcW w:w="0" w:type="pct"/>
          </w:tcPr>
          <w:p w14:paraId="06BAA100" w14:textId="43E269B8" w:rsidR="00F96675" w:rsidRPr="00B2341E" w:rsidRDefault="00F96675" w:rsidP="00F96675">
            <w:pPr>
              <w:pStyle w:val="TableBodyCopy"/>
            </w:pPr>
            <w:r w:rsidRPr="00B2341E">
              <w:t>The Council of Regional Organisations of the Pacific regularly considers the role of regional architecture in implementing the 2050 Strategy, including to align with PIF Leaders’ priorities on regionalism and political leadership</w:t>
            </w:r>
          </w:p>
          <w:p w14:paraId="40BF26F6" w14:textId="3AAF75F3" w:rsidR="00F96675" w:rsidRPr="00B2341E" w:rsidRDefault="00F96675" w:rsidP="00F96675">
            <w:pPr>
              <w:pStyle w:val="TableBodyCopy"/>
            </w:pPr>
            <w:r w:rsidRPr="00B2341E">
              <w:t>Forum Dialogue Partners engage through the existing regional architecture, and in accordance with the Blue Pacific Principles</w:t>
            </w:r>
          </w:p>
          <w:p w14:paraId="3F15E6DE" w14:textId="77777777" w:rsidR="00976CD1" w:rsidRPr="00B2341E" w:rsidRDefault="00F96675" w:rsidP="00F96675">
            <w:pPr>
              <w:pStyle w:val="TableBodyCopy"/>
            </w:pPr>
            <w:r w:rsidRPr="00B2341E">
              <w:t>The regional architecture supports PIF Leaders’</w:t>
            </w:r>
            <w:r w:rsidR="00976CD1" w:rsidRPr="00B2341E">
              <w:t>:</w:t>
            </w:r>
          </w:p>
          <w:p w14:paraId="00467A6C" w14:textId="220A1B26" w:rsidR="00F96675" w:rsidRPr="00B2341E" w:rsidRDefault="009B0CC4" w:rsidP="00547BC4">
            <w:pPr>
              <w:pStyle w:val="Tablebullet"/>
            </w:pPr>
            <w:r>
              <w:t>c</w:t>
            </w:r>
            <w:r w:rsidR="00F96675" w:rsidRPr="00B2341E">
              <w:t>limate, disaster and oceans priorities as thematic areas under the 2050 Strategy</w:t>
            </w:r>
          </w:p>
          <w:p w14:paraId="2AD3268D" w14:textId="0054E353" w:rsidR="00F96675" w:rsidRPr="00B2341E" w:rsidRDefault="009B0CC4" w:rsidP="00547BC4">
            <w:pPr>
              <w:pStyle w:val="Tablebullet"/>
            </w:pPr>
            <w:r>
              <w:t>s</w:t>
            </w:r>
            <w:r w:rsidR="00F96675" w:rsidRPr="00B2341E">
              <w:t>ocial policy priorities, including gender equality, disability, social inclusion and culture</w:t>
            </w:r>
          </w:p>
          <w:p w14:paraId="017AB43D" w14:textId="53A1966E" w:rsidR="00F96675" w:rsidRPr="00B2341E" w:rsidRDefault="009B0CC4" w:rsidP="00547BC4">
            <w:pPr>
              <w:pStyle w:val="Tablebullet"/>
            </w:pPr>
            <w:r>
              <w:t>e</w:t>
            </w:r>
            <w:r w:rsidR="00F96675" w:rsidRPr="00B2341E">
              <w:t>conomic, trade and technology priorities</w:t>
            </w:r>
          </w:p>
          <w:p w14:paraId="5BE7CAA3" w14:textId="58779678" w:rsidR="00F96675" w:rsidRPr="00B2341E" w:rsidRDefault="009B0CC4" w:rsidP="00547BC4">
            <w:pPr>
              <w:pStyle w:val="Tablebullet"/>
            </w:pPr>
            <w:r>
              <w:t>p</w:t>
            </w:r>
            <w:r w:rsidR="00F96675" w:rsidRPr="00B2341E">
              <w:t>eace and security priorities</w:t>
            </w:r>
          </w:p>
        </w:tc>
        <w:tc>
          <w:tcPr>
            <w:tcW w:w="0" w:type="pct"/>
          </w:tcPr>
          <w:p w14:paraId="3A4E2401" w14:textId="21DEC307" w:rsidR="00F96675" w:rsidRPr="00B2341E" w:rsidRDefault="00F96675" w:rsidP="00F96675">
            <w:pPr>
              <w:pStyle w:val="TableBodyCopy"/>
            </w:pPr>
            <w:r w:rsidRPr="00B2341E">
              <w:t>The Council of Regional Organisations of the Pacific regularly considers the role of regional architecture in implementing the 2050 Strategy, including to align with PIF Leaders’ priorities on regionalism and political leadership</w:t>
            </w:r>
          </w:p>
          <w:p w14:paraId="62C80703" w14:textId="3184A086" w:rsidR="00F96675" w:rsidRPr="00B2341E" w:rsidRDefault="00F96675" w:rsidP="00F96675">
            <w:pPr>
              <w:pStyle w:val="TableBodyCopy"/>
            </w:pPr>
            <w:r w:rsidRPr="00B2341E">
              <w:t>Forum Dialogue Partners engage through the existing regional architecture, and in accordance with the Blue Pacific Principles</w:t>
            </w:r>
          </w:p>
          <w:p w14:paraId="2495DEF9" w14:textId="77777777" w:rsidR="00BE4D19" w:rsidRPr="00B2341E" w:rsidRDefault="00F96675" w:rsidP="00F96675">
            <w:pPr>
              <w:pStyle w:val="TableBodyCopy"/>
            </w:pPr>
            <w:r w:rsidRPr="00B2341E">
              <w:t>The regional architecture supports PIF Leaders’</w:t>
            </w:r>
            <w:r w:rsidR="00BE4D19" w:rsidRPr="00B2341E">
              <w:t>:</w:t>
            </w:r>
          </w:p>
          <w:p w14:paraId="2EC1F753" w14:textId="5F49B8DC" w:rsidR="00F96675" w:rsidRPr="00B2341E" w:rsidRDefault="009B0CC4" w:rsidP="00547BC4">
            <w:pPr>
              <w:pStyle w:val="Tablebullet"/>
            </w:pPr>
            <w:r>
              <w:t>c</w:t>
            </w:r>
            <w:r w:rsidR="00F96675" w:rsidRPr="00B2341E">
              <w:t>limate, disaster and oceans priorities as thematic areas under the 2050 Strategy</w:t>
            </w:r>
          </w:p>
          <w:p w14:paraId="0B8828DB" w14:textId="4F128984" w:rsidR="00BA7A2A" w:rsidRPr="00B2341E" w:rsidRDefault="009B0CC4" w:rsidP="00547BC4">
            <w:pPr>
              <w:pStyle w:val="Tablebullet"/>
            </w:pPr>
            <w:r>
              <w:t>s</w:t>
            </w:r>
            <w:r w:rsidR="00BA7A2A" w:rsidRPr="00B2341E">
              <w:t>ocial policy priorities, including gender equality, disability, social inclusion and culture</w:t>
            </w:r>
          </w:p>
          <w:p w14:paraId="66431CED" w14:textId="1532716F" w:rsidR="00F96675" w:rsidRPr="00B2341E" w:rsidRDefault="009B0CC4" w:rsidP="00547BC4">
            <w:pPr>
              <w:pStyle w:val="Tablebullet"/>
            </w:pPr>
            <w:r>
              <w:t>e</w:t>
            </w:r>
            <w:r w:rsidR="00F96675" w:rsidRPr="00B2341E">
              <w:t>conomic, trade and technology priorities</w:t>
            </w:r>
          </w:p>
          <w:p w14:paraId="6655A6A7" w14:textId="4B36790E" w:rsidR="00F96675" w:rsidRPr="00B2341E" w:rsidRDefault="009B0CC4" w:rsidP="00547BC4">
            <w:pPr>
              <w:pStyle w:val="Tablebullet"/>
            </w:pPr>
            <w:r>
              <w:t>p</w:t>
            </w:r>
            <w:r w:rsidR="001A62B3" w:rsidRPr="00B2341E">
              <w:t>eace</w:t>
            </w:r>
            <w:r w:rsidR="00F96675" w:rsidRPr="00B2341E">
              <w:t xml:space="preserve"> and security priorities</w:t>
            </w:r>
          </w:p>
        </w:tc>
        <w:tc>
          <w:tcPr>
            <w:tcW w:w="0" w:type="pct"/>
          </w:tcPr>
          <w:p w14:paraId="6876D99C" w14:textId="79EC9D3C" w:rsidR="00F96675" w:rsidRPr="00B2341E" w:rsidRDefault="00F96675" w:rsidP="00F96675">
            <w:pPr>
              <w:pStyle w:val="TableBodyCopy"/>
            </w:pPr>
            <w:r w:rsidRPr="00B2341E">
              <w:t>The Council of Regional Organisations of the Pacific regularly considers the role of regional architecture in implementing the 2050 Strategy, including to align with PIF Leaders’ priorities on regionalism and political leadership</w:t>
            </w:r>
          </w:p>
          <w:p w14:paraId="32872624" w14:textId="0BF0E7E6" w:rsidR="00F96675" w:rsidRPr="00B2341E" w:rsidRDefault="00F96675" w:rsidP="00F96675">
            <w:pPr>
              <w:pStyle w:val="TableBodyCopy"/>
            </w:pPr>
            <w:r w:rsidRPr="00B2341E">
              <w:t>Forum Dialogue Partners engage through the existing regional architecture, and in accordance with the Blue Pacific Principles</w:t>
            </w:r>
          </w:p>
          <w:p w14:paraId="13780E97" w14:textId="77777777" w:rsidR="004751F4" w:rsidRPr="00B2341E" w:rsidRDefault="004751F4" w:rsidP="004751F4">
            <w:pPr>
              <w:pStyle w:val="TableBodyCopy"/>
            </w:pPr>
            <w:r w:rsidRPr="00B2341E">
              <w:t>The regional architecture supports PIF Leaders’:</w:t>
            </w:r>
          </w:p>
          <w:p w14:paraId="7FD48048" w14:textId="6FE1D44C" w:rsidR="004751F4" w:rsidRPr="00B2341E" w:rsidRDefault="009B0CC4" w:rsidP="00547BC4">
            <w:pPr>
              <w:pStyle w:val="Tablebullet"/>
            </w:pPr>
            <w:r>
              <w:t>c</w:t>
            </w:r>
            <w:r w:rsidR="004751F4" w:rsidRPr="00B2341E">
              <w:t>limate, disaster and oceans priorities as thematic areas under the 2050 Strategy</w:t>
            </w:r>
          </w:p>
          <w:p w14:paraId="164A4AA9" w14:textId="30C91F02" w:rsidR="004751F4" w:rsidRPr="00B2341E" w:rsidRDefault="009B0CC4" w:rsidP="00547BC4">
            <w:pPr>
              <w:pStyle w:val="Tablebullet"/>
            </w:pPr>
            <w:r>
              <w:t>s</w:t>
            </w:r>
            <w:r w:rsidR="004751F4" w:rsidRPr="00B2341E">
              <w:t>ocial policy priorities, including gender equality, disability, social inclusion and culture</w:t>
            </w:r>
          </w:p>
          <w:p w14:paraId="3B1EFCA7" w14:textId="66EA8361" w:rsidR="004751F4" w:rsidRPr="00B2341E" w:rsidRDefault="009B0CC4" w:rsidP="00547BC4">
            <w:pPr>
              <w:pStyle w:val="Tablebullet"/>
            </w:pPr>
            <w:r>
              <w:t>e</w:t>
            </w:r>
            <w:r w:rsidR="004751F4" w:rsidRPr="00B2341E">
              <w:t>conomic, trade and technology priorities</w:t>
            </w:r>
          </w:p>
          <w:p w14:paraId="7EE753E5" w14:textId="427E51C6" w:rsidR="00F96675" w:rsidRPr="00B2341E" w:rsidRDefault="009B0CC4" w:rsidP="00547BC4">
            <w:pPr>
              <w:pStyle w:val="Tablebullet"/>
            </w:pPr>
            <w:r>
              <w:t>p</w:t>
            </w:r>
            <w:r w:rsidR="004751F4" w:rsidRPr="00B2341E">
              <w:t>eace and security priorities</w:t>
            </w:r>
          </w:p>
        </w:tc>
        <w:tc>
          <w:tcPr>
            <w:tcW w:w="0" w:type="pct"/>
          </w:tcPr>
          <w:p w14:paraId="0B8A625E" w14:textId="583B3A18" w:rsidR="00F96675" w:rsidRPr="00307C00" w:rsidRDefault="00F96675" w:rsidP="00F96675">
            <w:pPr>
              <w:pStyle w:val="TableBodyCopy"/>
            </w:pPr>
            <w:r w:rsidRPr="00307C00">
              <w:t>SDG16</w:t>
            </w:r>
          </w:p>
        </w:tc>
      </w:tr>
      <w:tr w:rsidR="00A155D0" w:rsidRPr="00504CC6" w14:paraId="3ECE9FF9" w14:textId="77777777" w:rsidTr="003D0411">
        <w:tc>
          <w:tcPr>
            <w:tcW w:w="0" w:type="pct"/>
          </w:tcPr>
          <w:p w14:paraId="66032F9B" w14:textId="02888C59" w:rsidR="00D96B5B" w:rsidRPr="00A155D0" w:rsidRDefault="00D96B5B" w:rsidP="00D96B5B">
            <w:pPr>
              <w:pStyle w:val="TableBodyCopybold"/>
            </w:pPr>
            <w:r w:rsidRPr="00A155D0">
              <w:lastRenderedPageBreak/>
              <w:t>Outcome 1.2</w:t>
            </w:r>
          </w:p>
          <w:p w14:paraId="07A25617" w14:textId="628AA1EB" w:rsidR="00A155D0" w:rsidRPr="00307C00" w:rsidRDefault="00A76737" w:rsidP="00D96B5B">
            <w:pPr>
              <w:pStyle w:val="TableBodyCopy"/>
            </w:pPr>
            <w:r>
              <w:t xml:space="preserve">Regional linkages in </w:t>
            </w:r>
            <w:r w:rsidR="00D2717D" w:rsidRPr="00A155D0">
              <w:t>spor</w:t>
            </w:r>
            <w:r w:rsidR="007C7A15">
              <w:t>t</w:t>
            </w:r>
            <w:r w:rsidR="00D2717D">
              <w:t>s</w:t>
            </w:r>
            <w:r w:rsidR="00D96B5B" w:rsidRPr="00A155D0">
              <w:t>, cultur</w:t>
            </w:r>
            <w:r w:rsidR="00D2717D">
              <w:t>e</w:t>
            </w:r>
            <w:r w:rsidR="00D96B5B" w:rsidRPr="00A155D0">
              <w:t>, faith and media</w:t>
            </w:r>
            <w:r w:rsidR="002B57EB">
              <w:t xml:space="preserve">: </w:t>
            </w:r>
            <w:r w:rsidR="00D96B5B" w:rsidRPr="00A155D0">
              <w:t>Strong sporting, cultural, faith and media linkages</w:t>
            </w:r>
            <w:r w:rsidR="00227E71">
              <w:t xml:space="preserve"> to</w:t>
            </w:r>
            <w:r w:rsidR="00D96B5B" w:rsidRPr="00A155D0">
              <w:t xml:space="preserve"> promote a shared sense of identity between Australia and the Pacific</w:t>
            </w:r>
          </w:p>
        </w:tc>
        <w:tc>
          <w:tcPr>
            <w:tcW w:w="0" w:type="pct"/>
          </w:tcPr>
          <w:p w14:paraId="79CD6F71" w14:textId="29A24F23" w:rsidR="00A155D0" w:rsidRDefault="00D96B5B" w:rsidP="00A155D0">
            <w:pPr>
              <w:pStyle w:val="TableBodyCopy"/>
            </w:pPr>
            <w:r>
              <w:t xml:space="preserve">1.2.1 </w:t>
            </w:r>
            <w:r w:rsidR="00A155D0" w:rsidRPr="00A155D0">
              <w:t>Number of Pacific athletes, coaches, referees and sports stakeholders funded by Australia who participate in or support Pacific participation in high</w:t>
            </w:r>
            <w:r w:rsidR="00274503">
              <w:t>-</w:t>
            </w:r>
            <w:r w:rsidR="00A155D0" w:rsidRPr="00A155D0">
              <w:t>level competitions</w:t>
            </w:r>
          </w:p>
        </w:tc>
        <w:tc>
          <w:tcPr>
            <w:tcW w:w="0" w:type="pct"/>
          </w:tcPr>
          <w:p w14:paraId="59394001" w14:textId="6C739DB5" w:rsidR="00A155D0" w:rsidRPr="00307C00" w:rsidRDefault="00A155D0" w:rsidP="00A155D0">
            <w:pPr>
              <w:pStyle w:val="TableBodyCopy"/>
            </w:pPr>
            <w:r w:rsidRPr="00A155D0">
              <w:t>750</w:t>
            </w:r>
          </w:p>
        </w:tc>
        <w:tc>
          <w:tcPr>
            <w:tcW w:w="0" w:type="pct"/>
          </w:tcPr>
          <w:p w14:paraId="04594D3E" w14:textId="2A7616FA" w:rsidR="00A155D0" w:rsidRPr="00307C00" w:rsidRDefault="00A155D0" w:rsidP="00A155D0">
            <w:pPr>
              <w:pStyle w:val="TableBodyCopy"/>
            </w:pPr>
            <w:r w:rsidRPr="00A155D0">
              <w:t>850</w:t>
            </w:r>
          </w:p>
        </w:tc>
        <w:tc>
          <w:tcPr>
            <w:tcW w:w="0" w:type="pct"/>
          </w:tcPr>
          <w:p w14:paraId="70F5060F" w14:textId="23148C30" w:rsidR="00A155D0" w:rsidRPr="00307C00" w:rsidRDefault="00A155D0" w:rsidP="00A155D0">
            <w:pPr>
              <w:pStyle w:val="TableBodyCopy"/>
            </w:pPr>
            <w:r w:rsidRPr="00A155D0">
              <w:t>1</w:t>
            </w:r>
            <w:r w:rsidR="00911144">
              <w:t>,</w:t>
            </w:r>
            <w:r w:rsidRPr="00A155D0">
              <w:t>000</w:t>
            </w:r>
          </w:p>
        </w:tc>
        <w:tc>
          <w:tcPr>
            <w:tcW w:w="0" w:type="pct"/>
          </w:tcPr>
          <w:p w14:paraId="5EA23059" w14:textId="39B3DEF2" w:rsidR="00A155D0" w:rsidRPr="00A155D0" w:rsidRDefault="00A155D0" w:rsidP="00A155D0">
            <w:pPr>
              <w:pStyle w:val="TableBodyCopy"/>
            </w:pPr>
            <w:r w:rsidRPr="00A155D0">
              <w:t>SDG3</w:t>
            </w:r>
            <w:r w:rsidR="00911144">
              <w:t>:</w:t>
            </w:r>
            <w:r w:rsidRPr="00A155D0">
              <w:t xml:space="preserve"> Good </w:t>
            </w:r>
            <w:r w:rsidR="008A472F">
              <w:t>h</w:t>
            </w:r>
            <w:r w:rsidRPr="00A155D0">
              <w:t xml:space="preserve">ealth and </w:t>
            </w:r>
            <w:r w:rsidR="007E0C0B">
              <w:t>w</w:t>
            </w:r>
            <w:r w:rsidRPr="00A155D0">
              <w:t>ell</w:t>
            </w:r>
            <w:r w:rsidR="00C67CFD">
              <w:t>b</w:t>
            </w:r>
            <w:r w:rsidRPr="00A155D0">
              <w:t>eing</w:t>
            </w:r>
          </w:p>
          <w:p w14:paraId="02F652AE" w14:textId="730F1040" w:rsidR="00A155D0" w:rsidRPr="00307C00" w:rsidRDefault="00A155D0" w:rsidP="00A155D0">
            <w:pPr>
              <w:pStyle w:val="TableBodyCopy"/>
            </w:pPr>
            <w:r w:rsidRPr="00A155D0">
              <w:t>SDG5</w:t>
            </w:r>
            <w:r w:rsidR="00911144">
              <w:t>:</w:t>
            </w:r>
            <w:r w:rsidRPr="00A155D0">
              <w:t xml:space="preserve"> Gender </w:t>
            </w:r>
            <w:r w:rsidR="00911144">
              <w:t>e</w:t>
            </w:r>
            <w:r w:rsidRPr="00A155D0">
              <w:t>quality</w:t>
            </w:r>
          </w:p>
        </w:tc>
      </w:tr>
      <w:tr w:rsidR="00A155D0" w:rsidRPr="00504CC6" w14:paraId="35380B0E" w14:textId="77777777" w:rsidTr="003D0411">
        <w:trPr>
          <w:trHeight w:val="430"/>
        </w:trPr>
        <w:tc>
          <w:tcPr>
            <w:tcW w:w="0" w:type="pct"/>
          </w:tcPr>
          <w:p w14:paraId="0997D7C1" w14:textId="74940203" w:rsidR="00A155D0" w:rsidRPr="00307C00" w:rsidRDefault="00A155D0" w:rsidP="00A155D0">
            <w:pPr>
              <w:pStyle w:val="TableBodyCopybold"/>
            </w:pPr>
            <w:r w:rsidRPr="00A155D0">
              <w:t>Outcome 1.2</w:t>
            </w:r>
          </w:p>
        </w:tc>
        <w:tc>
          <w:tcPr>
            <w:tcW w:w="0" w:type="pct"/>
          </w:tcPr>
          <w:p w14:paraId="213CBD97" w14:textId="54A7F766" w:rsidR="00A155D0" w:rsidRDefault="00D96B5B" w:rsidP="00A155D0">
            <w:pPr>
              <w:pStyle w:val="TableBodyCopy"/>
            </w:pPr>
            <w:r>
              <w:t xml:space="preserve">1.2.2 </w:t>
            </w:r>
            <w:r w:rsidR="00A155D0" w:rsidRPr="00A155D0">
              <w:t>Increase in followers and reach o</w:t>
            </w:r>
            <w:r w:rsidR="00500C48">
              <w:t>f</w:t>
            </w:r>
            <w:r w:rsidR="00A155D0" w:rsidRPr="00A155D0">
              <w:t xml:space="preserve"> PacificAus Sports Facebook page</w:t>
            </w:r>
          </w:p>
        </w:tc>
        <w:tc>
          <w:tcPr>
            <w:tcW w:w="0" w:type="pct"/>
          </w:tcPr>
          <w:p w14:paraId="251BE9A5" w14:textId="6A3C4C2D" w:rsidR="00A155D0" w:rsidRPr="00A155D0" w:rsidRDefault="00A155D0" w:rsidP="00A155D0">
            <w:pPr>
              <w:pStyle w:val="TableBodyCopy"/>
            </w:pPr>
            <w:r w:rsidRPr="00A155D0">
              <w:t>Followers: 4</w:t>
            </w:r>
            <w:r w:rsidR="00F30073">
              <w:t>,</w:t>
            </w:r>
            <w:r w:rsidRPr="00A155D0">
              <w:t>000 (2</w:t>
            </w:r>
            <w:r w:rsidR="00F30073">
              <w:t>,</w:t>
            </w:r>
            <w:r w:rsidRPr="00A155D0">
              <w:t>700 in 2023</w:t>
            </w:r>
            <w:r w:rsidR="009B0CC4">
              <w:t>–</w:t>
            </w:r>
            <w:r w:rsidRPr="00A155D0">
              <w:t>24)</w:t>
            </w:r>
          </w:p>
          <w:p w14:paraId="3241FF5B" w14:textId="3FA9F5C4" w:rsidR="00A155D0" w:rsidRPr="00307C00" w:rsidRDefault="00A155D0" w:rsidP="00A155D0">
            <w:pPr>
              <w:pStyle w:val="TableBodyCopy"/>
            </w:pPr>
            <w:r w:rsidRPr="00A155D0">
              <w:t>Reach: 2</w:t>
            </w:r>
            <w:r w:rsidR="007C7A15">
              <w:t xml:space="preserve"> </w:t>
            </w:r>
            <w:r w:rsidRPr="00A155D0">
              <w:t>million (1.2</w:t>
            </w:r>
            <w:r w:rsidR="00467E87">
              <w:t> </w:t>
            </w:r>
            <w:r w:rsidRPr="00A155D0">
              <w:t>m</w:t>
            </w:r>
            <w:r w:rsidR="00467E87">
              <w:t>illion</w:t>
            </w:r>
            <w:r w:rsidRPr="00A155D0">
              <w:t xml:space="preserve"> </w:t>
            </w:r>
            <w:r w:rsidR="00F30073">
              <w:t xml:space="preserve">in </w:t>
            </w:r>
            <w:r w:rsidRPr="00A155D0">
              <w:t>2023</w:t>
            </w:r>
            <w:r w:rsidR="009B0CC4">
              <w:t>–</w:t>
            </w:r>
            <w:r w:rsidRPr="00A155D0">
              <w:t xml:space="preserve">24) </w:t>
            </w:r>
          </w:p>
        </w:tc>
        <w:tc>
          <w:tcPr>
            <w:tcW w:w="0" w:type="pct"/>
          </w:tcPr>
          <w:p w14:paraId="2027C71E" w14:textId="56005694" w:rsidR="00A155D0" w:rsidRPr="00A155D0" w:rsidRDefault="00A155D0" w:rsidP="00A155D0">
            <w:pPr>
              <w:pStyle w:val="TableBodyCopy"/>
            </w:pPr>
            <w:r w:rsidRPr="00A155D0">
              <w:t>Followers: 5</w:t>
            </w:r>
            <w:r w:rsidR="00F30073">
              <w:t>,</w:t>
            </w:r>
            <w:r w:rsidRPr="00A155D0">
              <w:t>000</w:t>
            </w:r>
          </w:p>
          <w:p w14:paraId="28EE1410" w14:textId="0B60D0AB" w:rsidR="00A155D0" w:rsidRPr="00307C00" w:rsidRDefault="00A155D0" w:rsidP="00A155D0">
            <w:pPr>
              <w:pStyle w:val="TableBodyCopy"/>
            </w:pPr>
            <w:r w:rsidRPr="00A155D0">
              <w:t xml:space="preserve">Reach: 2.5 million </w:t>
            </w:r>
          </w:p>
        </w:tc>
        <w:tc>
          <w:tcPr>
            <w:tcW w:w="0" w:type="pct"/>
          </w:tcPr>
          <w:p w14:paraId="13B60002" w14:textId="568369D4" w:rsidR="00A155D0" w:rsidRPr="00A155D0" w:rsidRDefault="00A155D0" w:rsidP="00A155D0">
            <w:pPr>
              <w:pStyle w:val="TableBodyCopy"/>
            </w:pPr>
            <w:r w:rsidRPr="00A155D0">
              <w:t>Followers: 6</w:t>
            </w:r>
            <w:r w:rsidR="00F30073">
              <w:t>,</w:t>
            </w:r>
            <w:r w:rsidRPr="00A155D0">
              <w:t>000</w:t>
            </w:r>
          </w:p>
          <w:p w14:paraId="508460A9" w14:textId="4059FD3D" w:rsidR="00A155D0" w:rsidRPr="00307C00" w:rsidRDefault="00A155D0" w:rsidP="00A155D0">
            <w:pPr>
              <w:pStyle w:val="TableBodyCopy"/>
            </w:pPr>
            <w:r w:rsidRPr="00A155D0">
              <w:t>Reach: 3</w:t>
            </w:r>
            <w:r w:rsidR="007C7A15">
              <w:t xml:space="preserve"> </w:t>
            </w:r>
            <w:r w:rsidRPr="00A155D0">
              <w:t xml:space="preserve">million </w:t>
            </w:r>
          </w:p>
        </w:tc>
        <w:tc>
          <w:tcPr>
            <w:tcW w:w="0" w:type="pct"/>
          </w:tcPr>
          <w:p w14:paraId="017D0BBD" w14:textId="4EEBAD05" w:rsidR="00A155D0" w:rsidRPr="00307C00" w:rsidRDefault="00A155D0" w:rsidP="00A155D0">
            <w:pPr>
              <w:pStyle w:val="TableBodyCopy"/>
            </w:pPr>
            <w:r w:rsidRPr="00A155D0">
              <w:t>SDG17</w:t>
            </w:r>
            <w:r w:rsidR="00E57CB1">
              <w:t>:</w:t>
            </w:r>
            <w:r w:rsidRPr="00A155D0">
              <w:t xml:space="preserve"> Partnerships for the goals</w:t>
            </w:r>
          </w:p>
        </w:tc>
      </w:tr>
      <w:tr w:rsidR="0001324F" w:rsidRPr="00504CC6" w14:paraId="452A5027" w14:textId="77777777" w:rsidTr="003D0411">
        <w:trPr>
          <w:trHeight w:val="430"/>
        </w:trPr>
        <w:tc>
          <w:tcPr>
            <w:tcW w:w="0" w:type="pct"/>
          </w:tcPr>
          <w:p w14:paraId="529C3481" w14:textId="475938D6" w:rsidR="0001324F" w:rsidRPr="00307C00" w:rsidRDefault="0001324F" w:rsidP="0001324F">
            <w:pPr>
              <w:pStyle w:val="TableBodyCopybold"/>
            </w:pPr>
            <w:r w:rsidRPr="00A155D0">
              <w:t>Outcome 1.2</w:t>
            </w:r>
          </w:p>
        </w:tc>
        <w:tc>
          <w:tcPr>
            <w:tcW w:w="0" w:type="pct"/>
          </w:tcPr>
          <w:p w14:paraId="4D97097C" w14:textId="6DF84AA3" w:rsidR="0001324F" w:rsidRDefault="00D96B5B" w:rsidP="0001324F">
            <w:pPr>
              <w:pStyle w:val="TableBodyCopy"/>
            </w:pPr>
            <w:r>
              <w:t xml:space="preserve">1.2.3 </w:t>
            </w:r>
            <w:r w:rsidR="0001324F" w:rsidRPr="00A155D0">
              <w:t>Increasing opportunities for dialogue between faith-based organisations</w:t>
            </w:r>
            <w:r w:rsidR="00C75F44">
              <w:t>,</w:t>
            </w:r>
            <w:r w:rsidR="003F32E4">
              <w:t xml:space="preserve"> </w:t>
            </w:r>
            <w:r w:rsidR="0001324F" w:rsidRPr="00A155D0">
              <w:t xml:space="preserve">regional organisations and </w:t>
            </w:r>
            <w:r w:rsidR="003F32E4">
              <w:t xml:space="preserve">the </w:t>
            </w:r>
            <w:r w:rsidR="00B2341E">
              <w:t>Australian</w:t>
            </w:r>
            <w:r w:rsidR="003F32E4">
              <w:t xml:space="preserve"> Government </w:t>
            </w:r>
            <w:r w:rsidR="0001324F" w:rsidRPr="00A155D0">
              <w:t>D</w:t>
            </w:r>
            <w:r w:rsidR="003F32E4">
              <w:t xml:space="preserve">epartment of </w:t>
            </w:r>
            <w:r w:rsidR="0001324F" w:rsidRPr="00A155D0">
              <w:t>F</w:t>
            </w:r>
            <w:r w:rsidR="003F32E4">
              <w:t xml:space="preserve">oreign </w:t>
            </w:r>
            <w:r w:rsidR="0001324F" w:rsidRPr="00A155D0">
              <w:t>A</w:t>
            </w:r>
            <w:r w:rsidR="003F32E4">
              <w:t xml:space="preserve">ffairs and </w:t>
            </w:r>
            <w:r w:rsidR="0001324F" w:rsidRPr="00A155D0">
              <w:t>T</w:t>
            </w:r>
            <w:r w:rsidR="003F32E4">
              <w:t>rade</w:t>
            </w:r>
          </w:p>
        </w:tc>
        <w:tc>
          <w:tcPr>
            <w:tcW w:w="0" w:type="pct"/>
          </w:tcPr>
          <w:p w14:paraId="3653C4F8" w14:textId="2E1FF876" w:rsidR="0001324F" w:rsidRPr="00307C00" w:rsidRDefault="00154DCF" w:rsidP="0001324F">
            <w:pPr>
              <w:pStyle w:val="TableBodyCopy"/>
            </w:pPr>
            <w:r>
              <w:t>2</w:t>
            </w:r>
            <w:r w:rsidR="00E24F65">
              <w:t xml:space="preserve"> </w:t>
            </w:r>
            <w:r w:rsidR="0001324F" w:rsidRPr="00A155D0">
              <w:t xml:space="preserve">Pacific Church Partnership Advisory Network </w:t>
            </w:r>
            <w:r w:rsidR="008A1FFB">
              <w:t>m</w:t>
            </w:r>
            <w:r w:rsidR="0001324F" w:rsidRPr="00A155D0">
              <w:t>eetings</w:t>
            </w:r>
          </w:p>
        </w:tc>
        <w:tc>
          <w:tcPr>
            <w:tcW w:w="0" w:type="pct"/>
          </w:tcPr>
          <w:p w14:paraId="46B83FA6" w14:textId="470CC08C" w:rsidR="0001324F" w:rsidRPr="00307C00" w:rsidRDefault="0001324F" w:rsidP="0001324F">
            <w:pPr>
              <w:pStyle w:val="TableBodyCopy"/>
            </w:pPr>
            <w:r w:rsidRPr="00A155D0">
              <w:t>New Pacific Church Partnership</w:t>
            </w:r>
            <w:r w:rsidR="00342A20">
              <w:t>s Program</w:t>
            </w:r>
            <w:r w:rsidRPr="00A155D0">
              <w:t xml:space="preserve"> </w:t>
            </w:r>
            <w:r w:rsidR="009B0CC4">
              <w:t>d</w:t>
            </w:r>
            <w:r w:rsidRPr="00A155D0">
              <w:t>esign</w:t>
            </w:r>
          </w:p>
        </w:tc>
        <w:tc>
          <w:tcPr>
            <w:tcW w:w="0" w:type="pct"/>
          </w:tcPr>
          <w:p w14:paraId="256EB02D" w14:textId="4CE22DCC" w:rsidR="0001324F" w:rsidRPr="00307C00" w:rsidRDefault="0001324F" w:rsidP="0001324F">
            <w:pPr>
              <w:pStyle w:val="TableBodyCopy"/>
            </w:pPr>
            <w:r w:rsidRPr="00A155D0">
              <w:t>Pacific</w:t>
            </w:r>
            <w:r w:rsidR="00547BC4">
              <w:t xml:space="preserve"> </w:t>
            </w:r>
            <w:r w:rsidRPr="00A155D0">
              <w:t>led evidence of effective projects</w:t>
            </w:r>
          </w:p>
        </w:tc>
        <w:tc>
          <w:tcPr>
            <w:tcW w:w="0" w:type="pct"/>
          </w:tcPr>
          <w:p w14:paraId="22698544" w14:textId="495AE4FC" w:rsidR="0001324F" w:rsidRPr="00307C00" w:rsidRDefault="00AC1BC1" w:rsidP="0001324F">
            <w:pPr>
              <w:pStyle w:val="TableBodyCopy"/>
            </w:pPr>
            <w:r>
              <w:t>SDG</w:t>
            </w:r>
            <w:r w:rsidR="0001324F" w:rsidRPr="00A155D0">
              <w:t>17</w:t>
            </w:r>
          </w:p>
        </w:tc>
      </w:tr>
      <w:tr w:rsidR="0001324F" w:rsidRPr="00504CC6" w14:paraId="423C458E" w14:textId="77777777" w:rsidTr="003D0411">
        <w:trPr>
          <w:trHeight w:val="430"/>
        </w:trPr>
        <w:tc>
          <w:tcPr>
            <w:tcW w:w="0" w:type="pct"/>
          </w:tcPr>
          <w:p w14:paraId="4E272170" w14:textId="54C23D9F" w:rsidR="0001324F" w:rsidRPr="00A155D0" w:rsidRDefault="0001324F" w:rsidP="0001324F">
            <w:pPr>
              <w:pStyle w:val="TableBodyCopybold"/>
            </w:pPr>
            <w:r w:rsidRPr="00A155D0">
              <w:t>Outcome 1.2</w:t>
            </w:r>
          </w:p>
        </w:tc>
        <w:tc>
          <w:tcPr>
            <w:tcW w:w="0" w:type="pct"/>
          </w:tcPr>
          <w:p w14:paraId="4E3AAE49" w14:textId="7286AB86" w:rsidR="0001324F" w:rsidRDefault="00D96B5B" w:rsidP="0001324F">
            <w:pPr>
              <w:pStyle w:val="TableBodyCopy"/>
            </w:pPr>
            <w:r>
              <w:t xml:space="preserve">1.2.4 </w:t>
            </w:r>
            <w:r w:rsidR="0001324F" w:rsidRPr="00A155D0">
              <w:t>Pacific media organisations have strengthened their professional and technical ability to deliver content to audiences in the region with Australian support</w:t>
            </w:r>
          </w:p>
        </w:tc>
        <w:tc>
          <w:tcPr>
            <w:tcW w:w="0" w:type="pct"/>
          </w:tcPr>
          <w:p w14:paraId="3C3D163D" w14:textId="5CE3075E" w:rsidR="0001324F" w:rsidRPr="00307C00" w:rsidRDefault="0001324F" w:rsidP="0001324F">
            <w:pPr>
              <w:pStyle w:val="TableBodyCopy"/>
            </w:pPr>
            <w:r w:rsidRPr="00A155D0">
              <w:t>Evidence (case study or other) showing how Pacific media organisations have been supported through the provision of relevant capacity building, content and/or equipment to ensure ongoing public access to trusted and relevant information</w:t>
            </w:r>
          </w:p>
        </w:tc>
        <w:tc>
          <w:tcPr>
            <w:tcW w:w="0" w:type="pct"/>
          </w:tcPr>
          <w:p w14:paraId="0E8AF555" w14:textId="0C9E852E" w:rsidR="0001324F" w:rsidRPr="00307C00" w:rsidRDefault="0001324F" w:rsidP="0001324F">
            <w:pPr>
              <w:pStyle w:val="TableBodyCopy"/>
            </w:pPr>
            <w:r w:rsidRPr="00A155D0">
              <w:t>Evidence (case study or other) showing how Pacific media organisations have been supported through the provision of relevant capacity building, content and/or equipment to ensure ongoing public access to trusted and relevant information</w:t>
            </w:r>
          </w:p>
        </w:tc>
        <w:tc>
          <w:tcPr>
            <w:tcW w:w="0" w:type="pct"/>
          </w:tcPr>
          <w:p w14:paraId="03F28930" w14:textId="336F30F6" w:rsidR="0001324F" w:rsidRPr="00307C00" w:rsidRDefault="0001324F" w:rsidP="0001324F">
            <w:pPr>
              <w:pStyle w:val="TableBodyCopy"/>
            </w:pPr>
            <w:r w:rsidRPr="00A155D0">
              <w:t>Evidence (case study or other) showing how Pacific media organisations have been supported through the provision of relevant capacity building, content and/or equipment to ensure ongoing public access to trusted and relevant information</w:t>
            </w:r>
          </w:p>
        </w:tc>
        <w:tc>
          <w:tcPr>
            <w:tcW w:w="0" w:type="pct"/>
          </w:tcPr>
          <w:p w14:paraId="0A85989C" w14:textId="7C6055F4" w:rsidR="0001324F" w:rsidRPr="00D61186" w:rsidRDefault="0001324F" w:rsidP="0001324F">
            <w:pPr>
              <w:pStyle w:val="TableBodyCopy"/>
            </w:pPr>
            <w:r w:rsidRPr="00A155D0">
              <w:t>SDG16</w:t>
            </w:r>
          </w:p>
        </w:tc>
      </w:tr>
      <w:tr w:rsidR="00F10D4F" w:rsidRPr="00504CC6" w14:paraId="601DD55B" w14:textId="77777777" w:rsidTr="003D0411">
        <w:trPr>
          <w:trHeight w:val="430"/>
        </w:trPr>
        <w:tc>
          <w:tcPr>
            <w:tcW w:w="0" w:type="pct"/>
          </w:tcPr>
          <w:p w14:paraId="6863C8F1" w14:textId="77777777" w:rsidR="00F10D4F" w:rsidRPr="00307DA0" w:rsidRDefault="00F10D4F" w:rsidP="00F10D4F">
            <w:pPr>
              <w:pStyle w:val="TableBodyCopybold"/>
            </w:pPr>
            <w:r w:rsidRPr="00326970">
              <w:lastRenderedPageBreak/>
              <w:t>Outcome 1.3</w:t>
            </w:r>
          </w:p>
          <w:p w14:paraId="2A79B6B5" w14:textId="2155BE19" w:rsidR="00F10D4F" w:rsidRPr="00A155D0" w:rsidRDefault="00B71791" w:rsidP="00F10D4F">
            <w:pPr>
              <w:pStyle w:val="TableBodyCopy"/>
            </w:pPr>
            <w:r>
              <w:t>Strengthened</w:t>
            </w:r>
            <w:r w:rsidR="00F20FCF">
              <w:t xml:space="preserve"> peace and security: </w:t>
            </w:r>
            <w:r w:rsidR="00F10D4F" w:rsidRPr="00307DA0">
              <w:t>Strong regional architecture for peace and security in the region</w:t>
            </w:r>
          </w:p>
        </w:tc>
        <w:tc>
          <w:tcPr>
            <w:tcW w:w="0" w:type="pct"/>
          </w:tcPr>
          <w:p w14:paraId="1A631A4B" w14:textId="56AE5CF9" w:rsidR="00F10D4F" w:rsidRDefault="00F10D4F" w:rsidP="00F10D4F">
            <w:pPr>
              <w:pStyle w:val="TableBodyCopy"/>
            </w:pPr>
            <w:r>
              <w:rPr>
                <w:rFonts w:eastAsia="Times New Roman"/>
              </w:rPr>
              <w:t xml:space="preserve">1.3.1 </w:t>
            </w:r>
            <w:r w:rsidRPr="00326970">
              <w:rPr>
                <w:rFonts w:eastAsia="Times New Roman"/>
              </w:rPr>
              <w:t>Regional architecture has the capacity to respond to emerging challenges, including non</w:t>
            </w:r>
            <w:r w:rsidR="00A457BA">
              <w:rPr>
                <w:rFonts w:eastAsia="Times New Roman"/>
              </w:rPr>
              <w:noBreakHyphen/>
            </w:r>
            <w:r w:rsidRPr="00326970">
              <w:rPr>
                <w:rFonts w:eastAsia="Times New Roman"/>
              </w:rPr>
              <w:t>traditional security threats</w:t>
            </w:r>
          </w:p>
        </w:tc>
        <w:tc>
          <w:tcPr>
            <w:tcW w:w="0" w:type="pct"/>
          </w:tcPr>
          <w:p w14:paraId="21663ADC" w14:textId="6B62FD8F" w:rsidR="00F10D4F" w:rsidRPr="00AD7B9D" w:rsidRDefault="00F10D4F" w:rsidP="00F10D4F">
            <w:pPr>
              <w:pStyle w:val="TableBodyCopy"/>
            </w:pPr>
            <w:r w:rsidRPr="00AD7B9D">
              <w:t xml:space="preserve">Demonstrated improvement in </w:t>
            </w:r>
            <w:proofErr w:type="gramStart"/>
            <w:r w:rsidRPr="00AD7B9D">
              <w:t>Pacific island</w:t>
            </w:r>
            <w:proofErr w:type="gramEnd"/>
            <w:r w:rsidRPr="00AD7B9D">
              <w:t xml:space="preserve"> countries</w:t>
            </w:r>
            <w:r w:rsidR="00D20980">
              <w:t>’</w:t>
            </w:r>
            <w:r w:rsidRPr="00AD7B9D">
              <w:t xml:space="preserve"> resilience to key security challenges</w:t>
            </w:r>
          </w:p>
          <w:p w14:paraId="66F46F3C" w14:textId="5EBE75B7" w:rsidR="00F10D4F" w:rsidRPr="00A155D0" w:rsidRDefault="00F10D4F" w:rsidP="00F10D4F">
            <w:pPr>
              <w:pStyle w:val="TableBodyCopy"/>
            </w:pPr>
            <w:r w:rsidRPr="00AD7B9D">
              <w:t xml:space="preserve">Demonstrated improvement in </w:t>
            </w:r>
            <w:proofErr w:type="gramStart"/>
            <w:r w:rsidRPr="00AD7B9D">
              <w:t>Pacific island</w:t>
            </w:r>
            <w:proofErr w:type="gramEnd"/>
            <w:r w:rsidRPr="00AD7B9D">
              <w:t xml:space="preserve"> countries</w:t>
            </w:r>
            <w:r>
              <w:t>’</w:t>
            </w:r>
            <w:r w:rsidRPr="00AD7B9D">
              <w:t xml:space="preserve"> ability to protect and manage marine resources</w:t>
            </w:r>
          </w:p>
        </w:tc>
        <w:tc>
          <w:tcPr>
            <w:tcW w:w="0" w:type="pct"/>
          </w:tcPr>
          <w:p w14:paraId="3C1C0D5B" w14:textId="1287971C" w:rsidR="00F10D4F" w:rsidRPr="00AD7B9D" w:rsidRDefault="00F10D4F" w:rsidP="00F10D4F">
            <w:pPr>
              <w:pStyle w:val="TableBodyCopy"/>
            </w:pPr>
            <w:r w:rsidRPr="00AD7B9D">
              <w:t xml:space="preserve">Continued improvement in </w:t>
            </w:r>
            <w:proofErr w:type="gramStart"/>
            <w:r w:rsidRPr="00AD7B9D">
              <w:t>Pacific island</w:t>
            </w:r>
            <w:proofErr w:type="gramEnd"/>
            <w:r w:rsidRPr="00AD7B9D">
              <w:t xml:space="preserve"> countries</w:t>
            </w:r>
            <w:r>
              <w:t>’</w:t>
            </w:r>
            <w:r w:rsidRPr="00AD7B9D">
              <w:t xml:space="preserve"> resilience to key security challenges</w:t>
            </w:r>
          </w:p>
          <w:p w14:paraId="4A5C2F48" w14:textId="176DDF1A" w:rsidR="00F10D4F" w:rsidRPr="00A155D0" w:rsidRDefault="00F10D4F" w:rsidP="00F10D4F">
            <w:pPr>
              <w:pStyle w:val="TableBodyCopy"/>
            </w:pPr>
            <w:r w:rsidRPr="00AD7B9D">
              <w:t xml:space="preserve">Continued improvement in </w:t>
            </w:r>
            <w:proofErr w:type="gramStart"/>
            <w:r w:rsidRPr="00AD7B9D">
              <w:t>Pacific island</w:t>
            </w:r>
            <w:proofErr w:type="gramEnd"/>
            <w:r w:rsidRPr="00AD7B9D">
              <w:t xml:space="preserve"> countries</w:t>
            </w:r>
            <w:r>
              <w:t>’</w:t>
            </w:r>
            <w:r w:rsidRPr="00AD7B9D">
              <w:t xml:space="preserve"> ability to protect and manage marine resources</w:t>
            </w:r>
          </w:p>
        </w:tc>
        <w:tc>
          <w:tcPr>
            <w:tcW w:w="0" w:type="pct"/>
          </w:tcPr>
          <w:p w14:paraId="7968D1AB" w14:textId="7ED8D175" w:rsidR="00F10D4F" w:rsidRPr="00AD7B9D" w:rsidRDefault="00F10D4F" w:rsidP="00F10D4F">
            <w:pPr>
              <w:pStyle w:val="TableBodyCopy"/>
            </w:pPr>
            <w:r w:rsidRPr="00AD7B9D">
              <w:t xml:space="preserve">Continued improvement in </w:t>
            </w:r>
            <w:proofErr w:type="gramStart"/>
            <w:r w:rsidRPr="00AD7B9D">
              <w:t>Pacific island</w:t>
            </w:r>
            <w:proofErr w:type="gramEnd"/>
            <w:r w:rsidRPr="00AD7B9D">
              <w:t xml:space="preserve"> countries</w:t>
            </w:r>
            <w:r w:rsidR="00D20980">
              <w:t>’</w:t>
            </w:r>
            <w:r w:rsidRPr="00AD7B9D">
              <w:t xml:space="preserve"> resilience to key security challenges</w:t>
            </w:r>
          </w:p>
          <w:p w14:paraId="4D8EB8DE" w14:textId="2B026C1E" w:rsidR="00F10D4F" w:rsidRPr="00A155D0" w:rsidRDefault="00F10D4F" w:rsidP="00F10D4F">
            <w:pPr>
              <w:pStyle w:val="TableBodyCopy"/>
            </w:pPr>
            <w:r w:rsidRPr="00AD7B9D">
              <w:t xml:space="preserve">Continued improvement in </w:t>
            </w:r>
            <w:proofErr w:type="gramStart"/>
            <w:r w:rsidR="00C66B7D">
              <w:t xml:space="preserve">Pacific </w:t>
            </w:r>
            <w:r w:rsidR="002B6644">
              <w:t>i</w:t>
            </w:r>
            <w:r w:rsidR="00C66B7D">
              <w:t>sland</w:t>
            </w:r>
            <w:proofErr w:type="gramEnd"/>
            <w:r w:rsidR="00C66B7D">
              <w:t xml:space="preserve"> countries’</w:t>
            </w:r>
            <w:r w:rsidRPr="00AD7B9D">
              <w:t xml:space="preserve"> ability to protect and manage marine resources</w:t>
            </w:r>
          </w:p>
        </w:tc>
        <w:tc>
          <w:tcPr>
            <w:tcW w:w="0" w:type="pct"/>
          </w:tcPr>
          <w:p w14:paraId="70D5C1FC" w14:textId="40695B8F" w:rsidR="00410BAE" w:rsidRDefault="00F10D4F" w:rsidP="00F10D4F">
            <w:pPr>
              <w:pStyle w:val="TableBodyCopy"/>
            </w:pPr>
            <w:r w:rsidRPr="00AD7B9D">
              <w:t>SDG13</w:t>
            </w:r>
            <w:r w:rsidR="004D538C">
              <w:t>:</w:t>
            </w:r>
            <w:r w:rsidRPr="00AD7B9D">
              <w:t xml:space="preserve"> Climate action</w:t>
            </w:r>
            <w:r w:rsidR="00597A95">
              <w:t xml:space="preserve"> </w:t>
            </w:r>
          </w:p>
          <w:p w14:paraId="67B66758" w14:textId="24EA4316" w:rsidR="00410BAE" w:rsidRDefault="00F10D4F" w:rsidP="00F10D4F">
            <w:pPr>
              <w:pStyle w:val="TableBodyCopy"/>
            </w:pPr>
            <w:r w:rsidRPr="00AD7B9D">
              <w:t>SDG14</w:t>
            </w:r>
            <w:r w:rsidR="004D538C">
              <w:t>:</w:t>
            </w:r>
            <w:r w:rsidRPr="00AD7B9D">
              <w:t xml:space="preserve"> Life below water</w:t>
            </w:r>
            <w:r w:rsidR="00597A95">
              <w:t xml:space="preserve"> </w:t>
            </w:r>
          </w:p>
          <w:p w14:paraId="77570313" w14:textId="537FC506" w:rsidR="00F10D4F" w:rsidRPr="00A155D0" w:rsidRDefault="00F10D4F" w:rsidP="00F10D4F">
            <w:pPr>
              <w:pStyle w:val="TableBodyCopy"/>
            </w:pPr>
            <w:r w:rsidRPr="00AD7B9D">
              <w:t>SDG16</w:t>
            </w:r>
          </w:p>
        </w:tc>
      </w:tr>
      <w:tr w:rsidR="00F10D4F" w:rsidRPr="00504CC6" w14:paraId="553FE5AC" w14:textId="77777777" w:rsidTr="003D0411">
        <w:trPr>
          <w:trHeight w:val="430"/>
        </w:trPr>
        <w:tc>
          <w:tcPr>
            <w:tcW w:w="0" w:type="pct"/>
          </w:tcPr>
          <w:p w14:paraId="0A5AE37A" w14:textId="23911479" w:rsidR="00F10D4F" w:rsidRPr="00A155D0" w:rsidRDefault="00F10D4F" w:rsidP="00F10D4F">
            <w:pPr>
              <w:pStyle w:val="TableBodyCopybold"/>
            </w:pPr>
            <w:r w:rsidRPr="00326970">
              <w:t>Outcome 1.3</w:t>
            </w:r>
          </w:p>
        </w:tc>
        <w:tc>
          <w:tcPr>
            <w:tcW w:w="0" w:type="pct"/>
          </w:tcPr>
          <w:p w14:paraId="5BD57D5C" w14:textId="4BA49517" w:rsidR="00F10D4F" w:rsidRDefault="00F10D4F" w:rsidP="00F10D4F">
            <w:pPr>
              <w:pStyle w:val="TableBodyCopy"/>
            </w:pPr>
            <w:r>
              <w:rPr>
                <w:rFonts w:eastAsia="Times New Roman"/>
              </w:rPr>
              <w:t xml:space="preserve">1.3.2 </w:t>
            </w:r>
            <w:proofErr w:type="gramStart"/>
            <w:r w:rsidRPr="00326970">
              <w:rPr>
                <w:rFonts w:eastAsia="Times New Roman"/>
              </w:rPr>
              <w:t>P</w:t>
            </w:r>
            <w:r>
              <w:rPr>
                <w:rFonts w:eastAsia="Times New Roman"/>
              </w:rPr>
              <w:t>a</w:t>
            </w:r>
            <w:r w:rsidRPr="00576490">
              <w:rPr>
                <w:rFonts w:eastAsia="Times New Roman"/>
              </w:rPr>
              <w:t>cific island</w:t>
            </w:r>
            <w:proofErr w:type="gramEnd"/>
            <w:r w:rsidRPr="00576490">
              <w:rPr>
                <w:rFonts w:eastAsia="Times New Roman"/>
              </w:rPr>
              <w:t xml:space="preserve"> countries</w:t>
            </w:r>
            <w:r>
              <w:rPr>
                <w:rFonts w:eastAsia="Times New Roman"/>
              </w:rPr>
              <w:t xml:space="preserve"> </w:t>
            </w:r>
            <w:r w:rsidRPr="00326970">
              <w:rPr>
                <w:rFonts w:eastAsia="Times New Roman"/>
              </w:rPr>
              <w:t>have national security strategies which contribute</w:t>
            </w:r>
            <w:r>
              <w:rPr>
                <w:rFonts w:eastAsia="Times New Roman"/>
              </w:rPr>
              <w:t xml:space="preserve"> </w:t>
            </w:r>
            <w:r w:rsidRPr="00326970">
              <w:rPr>
                <w:rFonts w:eastAsia="Times New Roman"/>
              </w:rPr>
              <w:t>to regional peace and security</w:t>
            </w:r>
          </w:p>
        </w:tc>
        <w:tc>
          <w:tcPr>
            <w:tcW w:w="0" w:type="pct"/>
          </w:tcPr>
          <w:p w14:paraId="28371B8C" w14:textId="099834C3" w:rsidR="00F10D4F" w:rsidRPr="00B2341E" w:rsidRDefault="00D31A9A" w:rsidP="00F10D4F">
            <w:pPr>
              <w:pStyle w:val="TableBodyCopy"/>
            </w:pPr>
            <w:r w:rsidRPr="00B2341E">
              <w:t>Number</w:t>
            </w:r>
            <w:r w:rsidR="00F10D4F" w:rsidRPr="00B2341E">
              <w:t xml:space="preserve"> of </w:t>
            </w:r>
            <w:proofErr w:type="gramStart"/>
            <w:r w:rsidR="00F10D4F" w:rsidRPr="00B2341E">
              <w:t>Pacific island</w:t>
            </w:r>
            <w:proofErr w:type="gramEnd"/>
            <w:r w:rsidR="00F10D4F" w:rsidRPr="00B2341E">
              <w:t xml:space="preserve"> countries with national security strategies (cumulative)</w:t>
            </w:r>
          </w:p>
        </w:tc>
        <w:tc>
          <w:tcPr>
            <w:tcW w:w="0" w:type="pct"/>
          </w:tcPr>
          <w:p w14:paraId="65289DA1" w14:textId="5DF8EE54" w:rsidR="00F10D4F" w:rsidRPr="00B2341E" w:rsidRDefault="00D31A9A" w:rsidP="00F10D4F">
            <w:pPr>
              <w:pStyle w:val="TableBodyCopy"/>
            </w:pPr>
            <w:r w:rsidRPr="00B2341E">
              <w:t>Number</w:t>
            </w:r>
            <w:r w:rsidR="00F10D4F" w:rsidRPr="00B2341E">
              <w:t xml:space="preserve"> of </w:t>
            </w:r>
            <w:proofErr w:type="gramStart"/>
            <w:r w:rsidR="00F10D4F" w:rsidRPr="00B2341E">
              <w:t>Pacific island</w:t>
            </w:r>
            <w:proofErr w:type="gramEnd"/>
            <w:r w:rsidR="00F10D4F" w:rsidRPr="00B2341E">
              <w:t xml:space="preserve"> countries with national security strategies (cumulative)</w:t>
            </w:r>
          </w:p>
        </w:tc>
        <w:tc>
          <w:tcPr>
            <w:tcW w:w="0" w:type="pct"/>
          </w:tcPr>
          <w:p w14:paraId="6234062C" w14:textId="03A8A3FA" w:rsidR="00F10D4F" w:rsidRPr="00B2341E" w:rsidRDefault="00D31A9A" w:rsidP="00F10D4F">
            <w:pPr>
              <w:pStyle w:val="TableBodyCopy"/>
            </w:pPr>
            <w:r w:rsidRPr="00B2341E">
              <w:t>Number</w:t>
            </w:r>
            <w:r w:rsidR="00F10D4F" w:rsidRPr="00B2341E">
              <w:t xml:space="preserve"> of </w:t>
            </w:r>
            <w:proofErr w:type="gramStart"/>
            <w:r w:rsidR="00F10D4F" w:rsidRPr="00B2341E">
              <w:t>Pacific island</w:t>
            </w:r>
            <w:proofErr w:type="gramEnd"/>
            <w:r w:rsidR="00F10D4F" w:rsidRPr="00B2341E">
              <w:t xml:space="preserve"> countries with national security strategies (cumulative)</w:t>
            </w:r>
          </w:p>
        </w:tc>
        <w:tc>
          <w:tcPr>
            <w:tcW w:w="0" w:type="pct"/>
          </w:tcPr>
          <w:p w14:paraId="00DDBA47" w14:textId="1A494A6C" w:rsidR="00F10D4F" w:rsidRPr="00A155D0" w:rsidRDefault="00F10D4F" w:rsidP="00F10D4F">
            <w:pPr>
              <w:pStyle w:val="TableBodyCopy"/>
            </w:pPr>
            <w:r w:rsidRPr="00AD7B9D">
              <w:t>SDG16</w:t>
            </w:r>
          </w:p>
        </w:tc>
      </w:tr>
      <w:bookmarkEnd w:id="12"/>
    </w:tbl>
    <w:p w14:paraId="4AF781E7" w14:textId="77777777" w:rsidR="00841E8E" w:rsidRDefault="00841E8E">
      <w:pPr>
        <w:spacing w:before="0" w:after="0" w:line="240" w:lineRule="auto"/>
      </w:pPr>
      <w:r>
        <w:br w:type="page"/>
      </w:r>
    </w:p>
    <w:bookmarkEnd w:id="13"/>
    <w:p w14:paraId="57A312B5" w14:textId="03F8724B" w:rsidR="009A37A5" w:rsidRDefault="009A37A5" w:rsidP="00335D60">
      <w:pPr>
        <w:pStyle w:val="PAFobjectivehead"/>
      </w:pPr>
      <w:r w:rsidRPr="00A62055">
        <w:lastRenderedPageBreak/>
        <w:t xml:space="preserve">Objective </w:t>
      </w:r>
      <w:r w:rsidR="006564C7" w:rsidRPr="00A62055">
        <w:t>2</w:t>
      </w:r>
      <w:r w:rsidRPr="00A62055">
        <w:t>:</w:t>
      </w:r>
      <w:r w:rsidR="00523997" w:rsidRPr="00A62055">
        <w:t xml:space="preserve"> </w:t>
      </w:r>
      <w:r w:rsidR="00D507C7" w:rsidRPr="00740046">
        <w:t>Regional action on climate change and disasters</w:t>
      </w:r>
    </w:p>
    <w:tbl>
      <w:tblPr>
        <w:tblStyle w:val="DFATWattle"/>
        <w:tblW w:w="5000" w:type="pct"/>
        <w:tblLook w:val="04A0" w:firstRow="1" w:lastRow="0" w:firstColumn="1" w:lastColumn="0" w:noHBand="0" w:noVBand="1"/>
        <w:tblCaption w:val="Performance Assessment Framework for Objective 2"/>
        <w:tblDescription w:val="Expected results for Objective 2 for the first 3 years of the DPP and against the Sustainable Development Goals"/>
      </w:tblPr>
      <w:tblGrid>
        <w:gridCol w:w="2525"/>
        <w:gridCol w:w="2473"/>
        <w:gridCol w:w="2337"/>
        <w:gridCol w:w="2336"/>
        <w:gridCol w:w="2336"/>
        <w:gridCol w:w="2411"/>
      </w:tblGrid>
      <w:tr w:rsidR="00274406" w:rsidRPr="00366F13" w14:paraId="43842EB6" w14:textId="77777777" w:rsidTr="00547BC4">
        <w:trPr>
          <w:cnfStyle w:val="100000000000" w:firstRow="1" w:lastRow="0" w:firstColumn="0" w:lastColumn="0" w:oddVBand="0" w:evenVBand="0" w:oddHBand="0" w:evenHBand="0" w:firstRowFirstColumn="0" w:firstRowLastColumn="0" w:lastRowFirstColumn="0" w:lastRowLastColumn="0"/>
          <w:trHeight w:val="583"/>
        </w:trPr>
        <w:tc>
          <w:tcPr>
            <w:tcW w:w="0" w:type="pct"/>
          </w:tcPr>
          <w:p w14:paraId="5EDB272A" w14:textId="77777777" w:rsidR="00274406" w:rsidRPr="00C87FDA" w:rsidRDefault="00274406" w:rsidP="00C87FDA">
            <w:pPr>
              <w:pStyle w:val="TableHeading"/>
            </w:pPr>
            <w:r w:rsidRPr="00C87FDA">
              <w:t>Outcome</w:t>
            </w:r>
          </w:p>
        </w:tc>
        <w:tc>
          <w:tcPr>
            <w:tcW w:w="0" w:type="pct"/>
            <w:hideMark/>
          </w:tcPr>
          <w:p w14:paraId="187A61B5" w14:textId="77777777" w:rsidR="00274406" w:rsidRPr="00C87FDA" w:rsidRDefault="00274406" w:rsidP="00C87FDA">
            <w:pPr>
              <w:pStyle w:val="TableHeading"/>
            </w:pPr>
            <w:r w:rsidRPr="00C87FDA">
              <w:t>Indicator</w:t>
            </w:r>
          </w:p>
        </w:tc>
        <w:tc>
          <w:tcPr>
            <w:tcW w:w="0" w:type="pct"/>
            <w:hideMark/>
          </w:tcPr>
          <w:p w14:paraId="554A19CF" w14:textId="7D78B25E" w:rsidR="00274406" w:rsidRPr="00C87FDA" w:rsidRDefault="00274406" w:rsidP="00C87FDA">
            <w:pPr>
              <w:pStyle w:val="TableHeading"/>
            </w:pPr>
            <w:r w:rsidRPr="00C87FDA">
              <w:t xml:space="preserve">Expected </w:t>
            </w:r>
            <w:r w:rsidR="00B762C3" w:rsidRPr="00C87FDA">
              <w:t>r</w:t>
            </w:r>
            <w:r w:rsidRPr="00C87FDA">
              <w:t>esults</w:t>
            </w:r>
            <w:r w:rsidR="00B762C3" w:rsidRPr="00C87FDA">
              <w:br/>
            </w:r>
            <w:r w:rsidRPr="00C87FDA">
              <w:t>2024</w:t>
            </w:r>
            <w:r w:rsidR="00B762C3" w:rsidRPr="00C87FDA">
              <w:t>–</w:t>
            </w:r>
            <w:r w:rsidRPr="00C87FDA">
              <w:t>25</w:t>
            </w:r>
          </w:p>
        </w:tc>
        <w:tc>
          <w:tcPr>
            <w:tcW w:w="0" w:type="pct"/>
            <w:hideMark/>
          </w:tcPr>
          <w:p w14:paraId="4FAF75D2" w14:textId="1A5FB6D6" w:rsidR="00274406" w:rsidRPr="00C87FDA" w:rsidRDefault="00274406" w:rsidP="00C87FDA">
            <w:pPr>
              <w:pStyle w:val="TableHeading"/>
            </w:pPr>
            <w:r w:rsidRPr="00C87FDA">
              <w:t xml:space="preserve">Expected </w:t>
            </w:r>
            <w:r w:rsidR="00B762C3" w:rsidRPr="00C87FDA">
              <w:t>r</w:t>
            </w:r>
            <w:r w:rsidRPr="00C87FDA">
              <w:t>esults</w:t>
            </w:r>
            <w:r w:rsidR="00B762C3" w:rsidRPr="00C87FDA">
              <w:br/>
            </w:r>
            <w:r w:rsidRPr="00C87FDA">
              <w:t>2025</w:t>
            </w:r>
            <w:r w:rsidR="00B762C3" w:rsidRPr="00C87FDA">
              <w:t>–</w:t>
            </w:r>
            <w:r w:rsidRPr="00C87FDA">
              <w:t>26</w:t>
            </w:r>
          </w:p>
        </w:tc>
        <w:tc>
          <w:tcPr>
            <w:tcW w:w="0" w:type="pct"/>
            <w:hideMark/>
          </w:tcPr>
          <w:p w14:paraId="75E28EFB" w14:textId="47A4839B" w:rsidR="00274406" w:rsidRPr="00C87FDA" w:rsidRDefault="00274406" w:rsidP="00C87FDA">
            <w:pPr>
              <w:pStyle w:val="TableHeading"/>
            </w:pPr>
            <w:r w:rsidRPr="00C87FDA">
              <w:t xml:space="preserve">Expected </w:t>
            </w:r>
            <w:r w:rsidR="00B762C3" w:rsidRPr="00C87FDA">
              <w:t>r</w:t>
            </w:r>
            <w:r w:rsidRPr="00C87FDA">
              <w:t>esults</w:t>
            </w:r>
            <w:r w:rsidR="00B762C3" w:rsidRPr="00C87FDA">
              <w:br/>
            </w:r>
            <w:r w:rsidRPr="00C87FDA">
              <w:t>2026</w:t>
            </w:r>
            <w:r w:rsidR="00B762C3" w:rsidRPr="00C87FDA">
              <w:t>–</w:t>
            </w:r>
            <w:r w:rsidRPr="00C87FDA">
              <w:t>27</w:t>
            </w:r>
          </w:p>
        </w:tc>
        <w:tc>
          <w:tcPr>
            <w:tcW w:w="0" w:type="pct"/>
            <w:hideMark/>
          </w:tcPr>
          <w:p w14:paraId="0F943364" w14:textId="0D59B651" w:rsidR="00274406" w:rsidRPr="00C87FDA" w:rsidRDefault="004D3EEC" w:rsidP="00C87FDA">
            <w:pPr>
              <w:pStyle w:val="TableHeading"/>
            </w:pPr>
            <w:r w:rsidRPr="00C87FDA">
              <w:t>Sustainable Development Goals (SDGs)</w:t>
            </w:r>
          </w:p>
        </w:tc>
      </w:tr>
      <w:tr w:rsidR="0013322B" w:rsidRPr="00AD7B9D" w14:paraId="294ACCAA" w14:textId="77777777" w:rsidTr="00547BC4">
        <w:trPr>
          <w:trHeight w:val="564"/>
        </w:trPr>
        <w:tc>
          <w:tcPr>
            <w:tcW w:w="0" w:type="pct"/>
          </w:tcPr>
          <w:p w14:paraId="332EFCA2" w14:textId="07774D23" w:rsidR="0013322B" w:rsidRPr="007A6F36" w:rsidRDefault="0013322B" w:rsidP="0013322B">
            <w:pPr>
              <w:pStyle w:val="TableBodyCopybold"/>
            </w:pPr>
            <w:r w:rsidRPr="007A6F36">
              <w:t>Outcome 2.1</w:t>
            </w:r>
          </w:p>
          <w:p w14:paraId="2A4408B5" w14:textId="571E81BB" w:rsidR="0013322B" w:rsidRPr="007A6F36" w:rsidRDefault="000D01D0" w:rsidP="0013322B">
            <w:pPr>
              <w:pStyle w:val="TableBodyCopy"/>
            </w:pPr>
            <w:r>
              <w:t xml:space="preserve">Climate programming: </w:t>
            </w:r>
            <w:r w:rsidR="0013322B" w:rsidRPr="007A6F36">
              <w:t>Quality climate programming developed through a process of deep collaboration</w:t>
            </w:r>
            <w:r>
              <w:t>, analysis</w:t>
            </w:r>
            <w:r w:rsidR="0013322B" w:rsidRPr="007A6F36">
              <w:t xml:space="preserve"> and responsiveness to nationally determined needs</w:t>
            </w:r>
          </w:p>
        </w:tc>
        <w:tc>
          <w:tcPr>
            <w:tcW w:w="0" w:type="pct"/>
          </w:tcPr>
          <w:p w14:paraId="0F0EC99F" w14:textId="0CF4C895" w:rsidR="0013322B" w:rsidRPr="00C61996" w:rsidRDefault="00C61996" w:rsidP="00C61996">
            <w:pPr>
              <w:pStyle w:val="TableBodyCopy"/>
            </w:pPr>
            <w:r>
              <w:t xml:space="preserve">2.1.1 </w:t>
            </w:r>
            <w:r w:rsidR="0013322B" w:rsidRPr="00C61996">
              <w:t>Number and value of regional investments in the Pacific that are improving climate change adaptation (Tier 2)</w:t>
            </w:r>
            <w:r w:rsidR="00EA468E">
              <w:t>, including evidence of improvements</w:t>
            </w:r>
          </w:p>
        </w:tc>
        <w:tc>
          <w:tcPr>
            <w:tcW w:w="0" w:type="pct"/>
          </w:tcPr>
          <w:p w14:paraId="5E9445B4" w14:textId="6A524F5E" w:rsidR="0013322B" w:rsidRPr="00B2341E" w:rsidRDefault="00D31A9A" w:rsidP="00C61996">
            <w:pPr>
              <w:pStyle w:val="TableBodyCopy"/>
            </w:pPr>
            <w:r w:rsidRPr="00B2341E">
              <w:t>Number</w:t>
            </w:r>
            <w:r w:rsidR="0013322B" w:rsidRPr="00B2341E">
              <w:t xml:space="preserve"> of investments </w:t>
            </w:r>
          </w:p>
          <w:p w14:paraId="45597F46" w14:textId="12C017DE" w:rsidR="0013322B" w:rsidRPr="00B2341E" w:rsidRDefault="00B01BA3" w:rsidP="00C61996">
            <w:pPr>
              <w:pStyle w:val="TableBodyCopy"/>
            </w:pPr>
            <w:r w:rsidRPr="00B2341E">
              <w:t>Value (</w:t>
            </w:r>
            <w:r w:rsidR="0013322B" w:rsidRPr="00B2341E">
              <w:t>$</w:t>
            </w:r>
            <w:r w:rsidRPr="00B2341E">
              <w:t>)</w:t>
            </w:r>
            <w:r w:rsidR="0013322B" w:rsidRPr="00B2341E">
              <w:t xml:space="preserve"> of investments</w:t>
            </w:r>
          </w:p>
        </w:tc>
        <w:tc>
          <w:tcPr>
            <w:tcW w:w="0" w:type="pct"/>
          </w:tcPr>
          <w:p w14:paraId="15E1611E" w14:textId="63F381E9" w:rsidR="0013322B" w:rsidRPr="00B2341E" w:rsidRDefault="00D31A9A" w:rsidP="00C61996">
            <w:pPr>
              <w:pStyle w:val="TableBodyCopy"/>
            </w:pPr>
            <w:r w:rsidRPr="00B2341E">
              <w:t>Number</w:t>
            </w:r>
            <w:r w:rsidR="0013322B" w:rsidRPr="00B2341E">
              <w:t xml:space="preserve"> of investments </w:t>
            </w:r>
          </w:p>
          <w:p w14:paraId="15748835" w14:textId="64ACF1D2" w:rsidR="0013322B" w:rsidRPr="00B2341E" w:rsidRDefault="00B01BA3" w:rsidP="00C61996">
            <w:pPr>
              <w:pStyle w:val="TableBodyCopy"/>
            </w:pPr>
            <w:r w:rsidRPr="00B2341E">
              <w:t>Value (</w:t>
            </w:r>
            <w:r w:rsidR="00EC12D6" w:rsidRPr="00B2341E">
              <w:t>$)</w:t>
            </w:r>
            <w:r w:rsidR="00EC12D6" w:rsidRPr="005D50D9">
              <w:t xml:space="preserve"> </w:t>
            </w:r>
            <w:r w:rsidR="0013322B" w:rsidRPr="00B2341E">
              <w:t>of investments</w:t>
            </w:r>
          </w:p>
        </w:tc>
        <w:tc>
          <w:tcPr>
            <w:tcW w:w="0" w:type="pct"/>
          </w:tcPr>
          <w:p w14:paraId="712FF256" w14:textId="2CA05751" w:rsidR="0013322B" w:rsidRPr="00B2341E" w:rsidRDefault="00D31A9A" w:rsidP="00C61996">
            <w:pPr>
              <w:pStyle w:val="TableBodyCopy"/>
            </w:pPr>
            <w:r w:rsidRPr="00B2341E">
              <w:t>Number</w:t>
            </w:r>
            <w:r w:rsidR="0013322B" w:rsidRPr="00B2341E">
              <w:t xml:space="preserve"> of investments </w:t>
            </w:r>
          </w:p>
          <w:p w14:paraId="329A22AF" w14:textId="7DD89A4C" w:rsidR="0013322B" w:rsidRPr="00B2341E" w:rsidRDefault="00B01BA3" w:rsidP="00C61996">
            <w:pPr>
              <w:pStyle w:val="TableBodyCopy"/>
            </w:pPr>
            <w:r w:rsidRPr="00B2341E">
              <w:t>Value (</w:t>
            </w:r>
            <w:r w:rsidR="00EC12D6" w:rsidRPr="00B2341E">
              <w:t>$)</w:t>
            </w:r>
            <w:r w:rsidR="00EC12D6" w:rsidRPr="005D50D9">
              <w:t xml:space="preserve"> </w:t>
            </w:r>
            <w:r w:rsidR="0013322B" w:rsidRPr="00B2341E">
              <w:t>of investments</w:t>
            </w:r>
          </w:p>
        </w:tc>
        <w:tc>
          <w:tcPr>
            <w:tcW w:w="0" w:type="pct"/>
          </w:tcPr>
          <w:p w14:paraId="5E316DB6" w14:textId="3EC7FA42" w:rsidR="0013322B" w:rsidRPr="00C61996" w:rsidRDefault="0013322B" w:rsidP="00C61996">
            <w:pPr>
              <w:pStyle w:val="TableBodyCopy"/>
            </w:pPr>
            <w:r w:rsidRPr="00C61996">
              <w:t>SDG13</w:t>
            </w:r>
            <w:r w:rsidR="00CF5457">
              <w:t>: Climate action</w:t>
            </w:r>
          </w:p>
        </w:tc>
      </w:tr>
      <w:tr w:rsidR="0013322B" w:rsidRPr="00AD7B9D" w14:paraId="337A1DDA" w14:textId="77777777" w:rsidTr="00547BC4">
        <w:trPr>
          <w:trHeight w:val="564"/>
        </w:trPr>
        <w:tc>
          <w:tcPr>
            <w:tcW w:w="0" w:type="pct"/>
          </w:tcPr>
          <w:p w14:paraId="17312D1F" w14:textId="04CB9CD5" w:rsidR="0013322B" w:rsidRPr="007A6F36" w:rsidRDefault="0013322B" w:rsidP="0013322B">
            <w:pPr>
              <w:pStyle w:val="TableBodyCopybold"/>
            </w:pPr>
            <w:r w:rsidRPr="007A6F36">
              <w:t>Outcome 2.1</w:t>
            </w:r>
          </w:p>
        </w:tc>
        <w:tc>
          <w:tcPr>
            <w:tcW w:w="0" w:type="pct"/>
          </w:tcPr>
          <w:p w14:paraId="549CC452" w14:textId="1F72F36D" w:rsidR="0013322B" w:rsidRPr="00C61996" w:rsidRDefault="00C61996" w:rsidP="00C61996">
            <w:pPr>
              <w:pStyle w:val="TableBodyCopy"/>
            </w:pPr>
            <w:r>
              <w:t xml:space="preserve">2.1.2 </w:t>
            </w:r>
            <w:r w:rsidR="0013322B" w:rsidRPr="00C61996">
              <w:t>Number and value of regional investments in the Pacific that support climate mitigation</w:t>
            </w:r>
            <w:r w:rsidR="00CA29D7">
              <w:t xml:space="preserve"> activities in Tier 2</w:t>
            </w:r>
          </w:p>
        </w:tc>
        <w:tc>
          <w:tcPr>
            <w:tcW w:w="0" w:type="pct"/>
          </w:tcPr>
          <w:p w14:paraId="3C47BFB7" w14:textId="57F21695" w:rsidR="0013322B" w:rsidRPr="00B2341E" w:rsidRDefault="00D31A9A" w:rsidP="00C61996">
            <w:pPr>
              <w:pStyle w:val="TableBodyCopy"/>
            </w:pPr>
            <w:r w:rsidRPr="00B2341E">
              <w:t>Number</w:t>
            </w:r>
            <w:r w:rsidR="0013322B" w:rsidRPr="00B2341E">
              <w:t xml:space="preserve"> of investments </w:t>
            </w:r>
          </w:p>
          <w:p w14:paraId="1D245143" w14:textId="1965CCDF" w:rsidR="0013322B" w:rsidRPr="00B2341E" w:rsidRDefault="00C665B7" w:rsidP="00C61996">
            <w:pPr>
              <w:pStyle w:val="TableBodyCopy"/>
            </w:pPr>
            <w:r w:rsidRPr="00B2341E">
              <w:t>Value (</w:t>
            </w:r>
            <w:r w:rsidR="0013322B" w:rsidRPr="00B2341E">
              <w:t>$</w:t>
            </w:r>
            <w:r w:rsidRPr="00B2341E">
              <w:t>)</w:t>
            </w:r>
            <w:r w:rsidR="0013322B" w:rsidRPr="00B2341E">
              <w:t xml:space="preserve"> of investments</w:t>
            </w:r>
          </w:p>
        </w:tc>
        <w:tc>
          <w:tcPr>
            <w:tcW w:w="0" w:type="pct"/>
          </w:tcPr>
          <w:p w14:paraId="3F0F30A1" w14:textId="6C9D30D8" w:rsidR="0013322B" w:rsidRPr="00B2341E" w:rsidRDefault="00D31A9A" w:rsidP="00C61996">
            <w:pPr>
              <w:pStyle w:val="TableBodyCopy"/>
            </w:pPr>
            <w:r w:rsidRPr="00B2341E">
              <w:t>Number</w:t>
            </w:r>
            <w:r w:rsidR="0013322B" w:rsidRPr="00B2341E">
              <w:t xml:space="preserve"> of investments</w:t>
            </w:r>
          </w:p>
          <w:p w14:paraId="154E3828" w14:textId="43297C7E" w:rsidR="0013322B" w:rsidRPr="00B2341E" w:rsidRDefault="00C665B7" w:rsidP="00C61996">
            <w:pPr>
              <w:pStyle w:val="TableBodyCopy"/>
            </w:pPr>
            <w:r w:rsidRPr="00B2341E">
              <w:t>Value (</w:t>
            </w:r>
            <w:r w:rsidR="0013322B" w:rsidRPr="00B2341E">
              <w:t>$</w:t>
            </w:r>
            <w:r w:rsidRPr="00B2341E">
              <w:t>)</w:t>
            </w:r>
            <w:r w:rsidR="0013322B" w:rsidRPr="00B2341E">
              <w:t xml:space="preserve"> of investments</w:t>
            </w:r>
          </w:p>
        </w:tc>
        <w:tc>
          <w:tcPr>
            <w:tcW w:w="0" w:type="pct"/>
          </w:tcPr>
          <w:p w14:paraId="7AA570DA" w14:textId="0841083D" w:rsidR="0013322B" w:rsidRPr="00B2341E" w:rsidRDefault="00D31A9A" w:rsidP="00C61996">
            <w:pPr>
              <w:pStyle w:val="TableBodyCopy"/>
            </w:pPr>
            <w:r w:rsidRPr="00B2341E">
              <w:t>Number</w:t>
            </w:r>
            <w:r w:rsidR="0013322B" w:rsidRPr="00B2341E">
              <w:t xml:space="preserve"> of investments </w:t>
            </w:r>
          </w:p>
          <w:p w14:paraId="74CD0E93" w14:textId="75F621E4" w:rsidR="0013322B" w:rsidRPr="00B2341E" w:rsidRDefault="00C665B7" w:rsidP="00C61996">
            <w:pPr>
              <w:pStyle w:val="TableBodyCopy"/>
            </w:pPr>
            <w:r w:rsidRPr="00B2341E">
              <w:t>Value (</w:t>
            </w:r>
            <w:r w:rsidR="0013322B" w:rsidRPr="00B2341E">
              <w:t>$</w:t>
            </w:r>
            <w:r w:rsidRPr="00B2341E">
              <w:t>)</w:t>
            </w:r>
            <w:r w:rsidR="0013322B" w:rsidRPr="00B2341E">
              <w:t xml:space="preserve"> of investments</w:t>
            </w:r>
          </w:p>
        </w:tc>
        <w:tc>
          <w:tcPr>
            <w:tcW w:w="0" w:type="pct"/>
          </w:tcPr>
          <w:p w14:paraId="79B51882" w14:textId="52A263D4" w:rsidR="0013322B" w:rsidRPr="00C61996" w:rsidRDefault="0013322B" w:rsidP="00C61996">
            <w:pPr>
              <w:pStyle w:val="TableBodyCopy"/>
            </w:pPr>
            <w:r w:rsidRPr="00C61996">
              <w:t>SDG13</w:t>
            </w:r>
          </w:p>
        </w:tc>
      </w:tr>
      <w:tr w:rsidR="000958BB" w:rsidRPr="00AD7B9D" w14:paraId="207A9E2B" w14:textId="77777777" w:rsidTr="00547BC4">
        <w:trPr>
          <w:trHeight w:val="564"/>
        </w:trPr>
        <w:tc>
          <w:tcPr>
            <w:tcW w:w="0" w:type="pct"/>
          </w:tcPr>
          <w:p w14:paraId="3E8123EF" w14:textId="629D7713" w:rsidR="000958BB" w:rsidRPr="007A6F36" w:rsidRDefault="000958BB" w:rsidP="000958BB">
            <w:pPr>
              <w:pStyle w:val="TableBodyCopybold"/>
            </w:pPr>
            <w:r w:rsidRPr="00326970">
              <w:t>Outcome 2.2</w:t>
            </w:r>
          </w:p>
          <w:p w14:paraId="43460565" w14:textId="6DC726DB" w:rsidR="000958BB" w:rsidRPr="007A6F36" w:rsidRDefault="001726BC" w:rsidP="000958BB">
            <w:pPr>
              <w:pStyle w:val="TableBodyCopy"/>
            </w:pPr>
            <w:r>
              <w:t xml:space="preserve">Climate finance access: </w:t>
            </w:r>
            <w:r w:rsidR="000958BB" w:rsidRPr="007A6F36">
              <w:t xml:space="preserve">The region has access to targeted climate finance to meet the needs of </w:t>
            </w:r>
            <w:proofErr w:type="gramStart"/>
            <w:r w:rsidR="000958BB" w:rsidRPr="007A6F36">
              <w:t>Pacific island</w:t>
            </w:r>
            <w:proofErr w:type="gramEnd"/>
            <w:r w:rsidR="000958BB" w:rsidRPr="007A6F36">
              <w:t xml:space="preserve"> countries</w:t>
            </w:r>
          </w:p>
        </w:tc>
        <w:tc>
          <w:tcPr>
            <w:tcW w:w="0" w:type="pct"/>
          </w:tcPr>
          <w:p w14:paraId="7049BCAB" w14:textId="3D951507" w:rsidR="000958BB" w:rsidRDefault="000958BB" w:rsidP="000958BB">
            <w:pPr>
              <w:pStyle w:val="TableBodyCopy"/>
            </w:pPr>
            <w:r>
              <w:t xml:space="preserve">2.2.1 </w:t>
            </w:r>
            <w:r w:rsidRPr="00326970">
              <w:t xml:space="preserve">Demonstrated progress in accessing climate finance (including from </w:t>
            </w:r>
            <w:r w:rsidR="001726BC">
              <w:t>Australian Government Department of Foreign Affairs and Trade</w:t>
            </w:r>
            <w:r w:rsidR="001726BC" w:rsidRPr="00326970">
              <w:t xml:space="preserve"> </w:t>
            </w:r>
            <w:r w:rsidRPr="00326970">
              <w:t>sources) and/or number of project proposals submitted or approved</w:t>
            </w:r>
          </w:p>
        </w:tc>
        <w:tc>
          <w:tcPr>
            <w:tcW w:w="0" w:type="pct"/>
          </w:tcPr>
          <w:p w14:paraId="7594DFBB" w14:textId="79A4634C" w:rsidR="00A86C41" w:rsidRPr="00B2341E" w:rsidRDefault="00D31A9A" w:rsidP="000958BB">
            <w:pPr>
              <w:pStyle w:val="TableBodyCopy"/>
            </w:pPr>
            <w:r w:rsidRPr="00B2341E">
              <w:t>Number of</w:t>
            </w:r>
            <w:r w:rsidR="000958BB" w:rsidRPr="00B2341E">
              <w:t xml:space="preserve"> project proposals submitted</w:t>
            </w:r>
          </w:p>
          <w:p w14:paraId="27A90066" w14:textId="17F16222" w:rsidR="00A86C41" w:rsidRPr="00B2341E" w:rsidRDefault="00D31A9A" w:rsidP="000958BB">
            <w:pPr>
              <w:pStyle w:val="TableBodyCopy"/>
            </w:pPr>
            <w:r w:rsidRPr="00B2341E">
              <w:t>Number of</w:t>
            </w:r>
            <w:r w:rsidR="00D60F34">
              <w:t xml:space="preserve"> </w:t>
            </w:r>
            <w:r w:rsidR="000958BB" w:rsidRPr="00B2341E">
              <w:t>project proposals approved</w:t>
            </w:r>
          </w:p>
          <w:p w14:paraId="57D7E92D" w14:textId="224E7B69" w:rsidR="000958BB" w:rsidRPr="00B2341E" w:rsidRDefault="00A86C41" w:rsidP="000958BB">
            <w:pPr>
              <w:pStyle w:val="TableBodyCopy"/>
            </w:pPr>
            <w:r w:rsidRPr="00B2341E">
              <w:t>Value (</w:t>
            </w:r>
            <w:r w:rsidR="000958BB" w:rsidRPr="00B2341E">
              <w:t>$</w:t>
            </w:r>
            <w:r w:rsidRPr="00B2341E">
              <w:t>)</w:t>
            </w:r>
            <w:r w:rsidR="006C502D">
              <w:t xml:space="preserve"> </w:t>
            </w:r>
            <w:r w:rsidR="000958BB" w:rsidRPr="00B2341E">
              <w:t>of climate finance accessed</w:t>
            </w:r>
          </w:p>
        </w:tc>
        <w:tc>
          <w:tcPr>
            <w:tcW w:w="0" w:type="pct"/>
          </w:tcPr>
          <w:p w14:paraId="05BC44DD" w14:textId="32824708" w:rsidR="00A86C41" w:rsidRPr="00B2341E" w:rsidRDefault="00D31A9A" w:rsidP="000958BB">
            <w:pPr>
              <w:pStyle w:val="TableBodyCopy"/>
            </w:pPr>
            <w:r w:rsidRPr="00B2341E">
              <w:t>Number of</w:t>
            </w:r>
            <w:r w:rsidR="000958BB" w:rsidRPr="00B2341E">
              <w:t xml:space="preserve"> project proposals submitted</w:t>
            </w:r>
          </w:p>
          <w:p w14:paraId="022543AA" w14:textId="07374A15" w:rsidR="00A86C41" w:rsidRPr="00B2341E" w:rsidRDefault="00D31A9A" w:rsidP="000958BB">
            <w:pPr>
              <w:pStyle w:val="TableBodyCopy"/>
            </w:pPr>
            <w:r w:rsidRPr="00B2341E">
              <w:t>Number of</w:t>
            </w:r>
            <w:r w:rsidR="006C502D">
              <w:t xml:space="preserve"> </w:t>
            </w:r>
            <w:r w:rsidR="000958BB" w:rsidRPr="00B2341E">
              <w:t>project proposals approved</w:t>
            </w:r>
          </w:p>
          <w:p w14:paraId="11194356" w14:textId="6F21C691" w:rsidR="000958BB" w:rsidRPr="00B2341E" w:rsidRDefault="00A86C41" w:rsidP="000958BB">
            <w:pPr>
              <w:pStyle w:val="TableBodyCopy"/>
            </w:pPr>
            <w:r w:rsidRPr="00B2341E">
              <w:t>Value (</w:t>
            </w:r>
            <w:r w:rsidR="000958BB" w:rsidRPr="00B2341E">
              <w:t>$</w:t>
            </w:r>
            <w:r w:rsidRPr="00B2341E">
              <w:t>)</w:t>
            </w:r>
            <w:r w:rsidR="006C502D">
              <w:t xml:space="preserve"> </w:t>
            </w:r>
            <w:r w:rsidR="000958BB" w:rsidRPr="00B2341E">
              <w:t>of climate finance accessed</w:t>
            </w:r>
          </w:p>
        </w:tc>
        <w:tc>
          <w:tcPr>
            <w:tcW w:w="0" w:type="pct"/>
          </w:tcPr>
          <w:p w14:paraId="49A80EA7" w14:textId="41469FA3" w:rsidR="00A86C41" w:rsidRPr="00B2341E" w:rsidRDefault="00D31A9A" w:rsidP="000958BB">
            <w:pPr>
              <w:pStyle w:val="TableBodyCopy"/>
            </w:pPr>
            <w:r w:rsidRPr="00B2341E">
              <w:t>Number of</w:t>
            </w:r>
            <w:r w:rsidR="000958BB" w:rsidRPr="00B2341E">
              <w:t xml:space="preserve"> project proposals submitted</w:t>
            </w:r>
          </w:p>
          <w:p w14:paraId="71CD3AFD" w14:textId="4FE2CA18" w:rsidR="00A86C41" w:rsidRPr="00B2341E" w:rsidRDefault="00D31A9A" w:rsidP="000958BB">
            <w:pPr>
              <w:pStyle w:val="TableBodyCopy"/>
            </w:pPr>
            <w:r w:rsidRPr="00B2341E">
              <w:t>Number of</w:t>
            </w:r>
            <w:r w:rsidR="006C502D">
              <w:t xml:space="preserve"> </w:t>
            </w:r>
            <w:r w:rsidR="000958BB" w:rsidRPr="00B2341E">
              <w:t>project proposals approved</w:t>
            </w:r>
          </w:p>
          <w:p w14:paraId="1138E182" w14:textId="69353CE6" w:rsidR="000958BB" w:rsidRPr="00B2341E" w:rsidRDefault="00A86C41" w:rsidP="000958BB">
            <w:pPr>
              <w:pStyle w:val="TableBodyCopy"/>
            </w:pPr>
            <w:r w:rsidRPr="00B2341E">
              <w:t>Value (</w:t>
            </w:r>
            <w:r w:rsidR="000958BB" w:rsidRPr="00B2341E">
              <w:t>$</w:t>
            </w:r>
            <w:r w:rsidRPr="00B2341E">
              <w:t>)</w:t>
            </w:r>
            <w:r w:rsidR="006C502D">
              <w:t xml:space="preserve"> </w:t>
            </w:r>
            <w:r w:rsidR="000958BB" w:rsidRPr="00B2341E">
              <w:t>of climate finance accessed</w:t>
            </w:r>
          </w:p>
        </w:tc>
        <w:tc>
          <w:tcPr>
            <w:tcW w:w="0" w:type="pct"/>
          </w:tcPr>
          <w:p w14:paraId="4E2FF298" w14:textId="6F7EAA94" w:rsidR="000958BB" w:rsidRPr="00C61996" w:rsidRDefault="000958BB" w:rsidP="000958BB">
            <w:pPr>
              <w:pStyle w:val="TableBodyCopy"/>
            </w:pPr>
            <w:r w:rsidRPr="00AD7B9D">
              <w:t>SDG13</w:t>
            </w:r>
          </w:p>
        </w:tc>
      </w:tr>
      <w:tr w:rsidR="000958BB" w:rsidRPr="00AD7B9D" w14:paraId="0D58A001" w14:textId="77777777" w:rsidTr="00547BC4">
        <w:trPr>
          <w:cantSplit/>
          <w:trHeight w:val="564"/>
        </w:trPr>
        <w:tc>
          <w:tcPr>
            <w:tcW w:w="0" w:type="pct"/>
          </w:tcPr>
          <w:p w14:paraId="490613DB" w14:textId="693D143C" w:rsidR="000958BB" w:rsidRPr="007A6F36" w:rsidRDefault="000958BB" w:rsidP="000958BB">
            <w:pPr>
              <w:pStyle w:val="TableBodyCopybold"/>
            </w:pPr>
            <w:r w:rsidRPr="00326970">
              <w:lastRenderedPageBreak/>
              <w:t>Outcome 2.3</w:t>
            </w:r>
          </w:p>
          <w:p w14:paraId="7651FAD4" w14:textId="46C704AB" w:rsidR="000958BB" w:rsidRPr="00326970" w:rsidRDefault="003A6826" w:rsidP="000958BB">
            <w:pPr>
              <w:pStyle w:val="TableBodyCopy"/>
            </w:pPr>
            <w:r>
              <w:t xml:space="preserve">Climate mitigation and disaster readiness: </w:t>
            </w:r>
            <w:r w:rsidR="000958BB" w:rsidRPr="007A6F36">
              <w:t xml:space="preserve">Pacific </w:t>
            </w:r>
            <w:r w:rsidR="006C504D">
              <w:t xml:space="preserve">governments and </w:t>
            </w:r>
            <w:r w:rsidR="000958BB" w:rsidRPr="007A6F36">
              <w:t>communities have greater capacity and readiness to deal with the impact of climate change and disasters</w:t>
            </w:r>
          </w:p>
        </w:tc>
        <w:tc>
          <w:tcPr>
            <w:tcW w:w="0" w:type="pct"/>
          </w:tcPr>
          <w:p w14:paraId="42108B61" w14:textId="6D3CD953" w:rsidR="000958BB" w:rsidRDefault="007F0400" w:rsidP="000958BB">
            <w:pPr>
              <w:pStyle w:val="TableBodyCopy"/>
            </w:pPr>
            <w:r>
              <w:t xml:space="preserve">2.3.1 </w:t>
            </w:r>
            <w:r w:rsidR="000958BB" w:rsidRPr="00132D91">
              <w:t>Number of people for whom Australia’s investments have improved adaptation to climate change and resilience to disasters (Tier</w:t>
            </w:r>
            <w:r w:rsidR="006C502D">
              <w:t> </w:t>
            </w:r>
            <w:r w:rsidR="000958BB" w:rsidRPr="00132D91">
              <w:t>2)</w:t>
            </w:r>
          </w:p>
        </w:tc>
        <w:tc>
          <w:tcPr>
            <w:tcW w:w="0" w:type="pct"/>
          </w:tcPr>
          <w:p w14:paraId="3EE2E689" w14:textId="4AAF3606" w:rsidR="000958BB" w:rsidRPr="00B2341E" w:rsidRDefault="00D31A9A" w:rsidP="000958BB">
            <w:pPr>
              <w:pStyle w:val="TableBodyCopy"/>
            </w:pPr>
            <w:r w:rsidRPr="00B2341E">
              <w:t>Number</w:t>
            </w:r>
            <w:r w:rsidR="000958BB" w:rsidRPr="00B2341E">
              <w:t xml:space="preserve"> of people </w:t>
            </w:r>
          </w:p>
          <w:p w14:paraId="0FBFE587" w14:textId="44014A69" w:rsidR="000958BB" w:rsidRPr="00B2341E" w:rsidRDefault="000958BB" w:rsidP="000958BB">
            <w:pPr>
              <w:pStyle w:val="TableBodyCopy"/>
            </w:pPr>
            <w:r w:rsidRPr="00B2341E">
              <w:t>At least 1 example</w:t>
            </w:r>
          </w:p>
        </w:tc>
        <w:tc>
          <w:tcPr>
            <w:tcW w:w="0" w:type="pct"/>
          </w:tcPr>
          <w:p w14:paraId="68CD0346" w14:textId="3EB8594C" w:rsidR="000958BB" w:rsidRPr="00B2341E" w:rsidRDefault="00D31A9A" w:rsidP="000958BB">
            <w:pPr>
              <w:pStyle w:val="TableBodyCopy"/>
            </w:pPr>
            <w:r w:rsidRPr="00B2341E">
              <w:t>Number</w:t>
            </w:r>
            <w:r w:rsidR="000958BB" w:rsidRPr="00B2341E">
              <w:t xml:space="preserve"> of people </w:t>
            </w:r>
          </w:p>
          <w:p w14:paraId="4FD524FD" w14:textId="00908912" w:rsidR="000958BB" w:rsidRPr="00B2341E" w:rsidRDefault="000958BB" w:rsidP="000958BB">
            <w:pPr>
              <w:pStyle w:val="TableBodyCopy"/>
            </w:pPr>
            <w:r w:rsidRPr="00B2341E">
              <w:t>At least 1 example</w:t>
            </w:r>
          </w:p>
        </w:tc>
        <w:tc>
          <w:tcPr>
            <w:tcW w:w="0" w:type="pct"/>
          </w:tcPr>
          <w:p w14:paraId="4C36CCE4" w14:textId="158ED797" w:rsidR="000958BB" w:rsidRPr="00B2341E" w:rsidRDefault="00EC12D6" w:rsidP="000958BB">
            <w:pPr>
              <w:pStyle w:val="TableBodyCopy"/>
            </w:pPr>
            <w:r>
              <w:t xml:space="preserve">Number </w:t>
            </w:r>
            <w:r w:rsidR="000958BB" w:rsidRPr="00B2341E">
              <w:t xml:space="preserve">of people </w:t>
            </w:r>
          </w:p>
          <w:p w14:paraId="3EF8D98C" w14:textId="17921CCF" w:rsidR="000958BB" w:rsidRPr="00B2341E" w:rsidRDefault="000958BB" w:rsidP="000958BB">
            <w:pPr>
              <w:pStyle w:val="TableBodyCopy"/>
            </w:pPr>
            <w:r w:rsidRPr="00B2341E">
              <w:t>At least 1 example</w:t>
            </w:r>
          </w:p>
        </w:tc>
        <w:tc>
          <w:tcPr>
            <w:tcW w:w="0" w:type="pct"/>
          </w:tcPr>
          <w:p w14:paraId="6BBEAF51" w14:textId="264E030F" w:rsidR="000958BB" w:rsidRPr="00AD7B9D" w:rsidRDefault="000958BB" w:rsidP="000958BB">
            <w:pPr>
              <w:pStyle w:val="TableBodyCopy"/>
            </w:pPr>
            <w:r w:rsidRPr="00AD7B9D">
              <w:t>SDG13</w:t>
            </w:r>
          </w:p>
        </w:tc>
      </w:tr>
      <w:tr w:rsidR="000958BB" w:rsidRPr="00AD7B9D" w14:paraId="5D2FEBCE" w14:textId="77777777" w:rsidTr="00547BC4">
        <w:trPr>
          <w:trHeight w:val="564"/>
        </w:trPr>
        <w:tc>
          <w:tcPr>
            <w:tcW w:w="0" w:type="pct"/>
          </w:tcPr>
          <w:p w14:paraId="40D36A08" w14:textId="686C6FE9" w:rsidR="000958BB" w:rsidRPr="00326970" w:rsidRDefault="000958BB" w:rsidP="000958BB">
            <w:pPr>
              <w:pStyle w:val="TableBodyCopybold"/>
            </w:pPr>
            <w:r w:rsidRPr="00326970">
              <w:t>Outcome 2.3</w:t>
            </w:r>
          </w:p>
        </w:tc>
        <w:tc>
          <w:tcPr>
            <w:tcW w:w="0" w:type="pct"/>
          </w:tcPr>
          <w:p w14:paraId="09978528" w14:textId="147F7FB6" w:rsidR="000958BB" w:rsidRDefault="007F0400" w:rsidP="000958BB">
            <w:pPr>
              <w:pStyle w:val="TableBodyCopy"/>
            </w:pPr>
            <w:r>
              <w:rPr>
                <w:lang w:eastAsia="en-AU"/>
              </w:rPr>
              <w:t xml:space="preserve">2.3.2 </w:t>
            </w:r>
            <w:r w:rsidR="000958BB" w:rsidRPr="00E94D30">
              <w:rPr>
                <w:lang w:eastAsia="en-AU"/>
              </w:rPr>
              <w:t>Number and value of investments that are improving climate and disaster resilience</w:t>
            </w:r>
            <w:r w:rsidR="007A2433">
              <w:rPr>
                <w:lang w:eastAsia="en-AU"/>
              </w:rPr>
              <w:t xml:space="preserve"> of infrastructure</w:t>
            </w:r>
            <w:r w:rsidR="00A118A6">
              <w:rPr>
                <w:lang w:eastAsia="en-AU"/>
              </w:rPr>
              <w:t>, including evidence of improvements</w:t>
            </w:r>
          </w:p>
        </w:tc>
        <w:tc>
          <w:tcPr>
            <w:tcW w:w="0" w:type="pct"/>
          </w:tcPr>
          <w:p w14:paraId="378538FA" w14:textId="78033E78" w:rsidR="002B6D9D" w:rsidRDefault="00E470B5" w:rsidP="000958BB">
            <w:pPr>
              <w:pStyle w:val="TableBodyCopy"/>
            </w:pPr>
            <w:r>
              <w:t>Number of investments</w:t>
            </w:r>
            <w:r w:rsidR="002B6D9D">
              <w:t xml:space="preserve">: </w:t>
            </w:r>
            <w:r w:rsidR="000958BB" w:rsidRPr="00E94D30">
              <w:t>2</w:t>
            </w:r>
            <w:r w:rsidR="000958BB">
              <w:t xml:space="preserve"> </w:t>
            </w:r>
          </w:p>
          <w:p w14:paraId="14DC179D" w14:textId="7A5313D3" w:rsidR="000958BB" w:rsidRPr="00326970" w:rsidRDefault="002B6D9D" w:rsidP="000958BB">
            <w:pPr>
              <w:pStyle w:val="TableBodyCopy"/>
            </w:pPr>
            <w:r>
              <w:t xml:space="preserve">Value of investments: </w:t>
            </w:r>
            <w:r w:rsidR="000958BB" w:rsidRPr="00E94D30">
              <w:t>$17</w:t>
            </w:r>
            <w:r w:rsidR="006C502D">
              <w:t> </w:t>
            </w:r>
            <w:r w:rsidR="000958BB" w:rsidRPr="00E94D30">
              <w:t>mil</w:t>
            </w:r>
            <w:r w:rsidR="00D940FC">
              <w:t>lion</w:t>
            </w:r>
          </w:p>
        </w:tc>
        <w:tc>
          <w:tcPr>
            <w:tcW w:w="0" w:type="pct"/>
          </w:tcPr>
          <w:p w14:paraId="6C17B682" w14:textId="77777777" w:rsidR="00D940FC" w:rsidRDefault="00D940FC" w:rsidP="00D940FC">
            <w:pPr>
              <w:pStyle w:val="TableBodyCopy"/>
            </w:pPr>
            <w:r>
              <w:t xml:space="preserve">Number of investments: </w:t>
            </w:r>
            <w:r w:rsidRPr="00E94D30">
              <w:t>2</w:t>
            </w:r>
            <w:r>
              <w:t xml:space="preserve"> </w:t>
            </w:r>
          </w:p>
          <w:p w14:paraId="5A82B1D5" w14:textId="73BB67E5" w:rsidR="000958BB" w:rsidRPr="00326970" w:rsidRDefault="00D940FC" w:rsidP="00D940FC">
            <w:pPr>
              <w:pStyle w:val="TableBodyCopy"/>
            </w:pPr>
            <w:r>
              <w:t xml:space="preserve">Value of investments: </w:t>
            </w:r>
            <w:r w:rsidRPr="00E94D30">
              <w:t>$17</w:t>
            </w:r>
            <w:r w:rsidR="006C502D">
              <w:t> </w:t>
            </w:r>
            <w:r w:rsidRPr="00E94D30">
              <w:t>mil</w:t>
            </w:r>
            <w:r>
              <w:t>lion</w:t>
            </w:r>
          </w:p>
        </w:tc>
        <w:tc>
          <w:tcPr>
            <w:tcW w:w="0" w:type="pct"/>
          </w:tcPr>
          <w:p w14:paraId="0C9F909D" w14:textId="77777777" w:rsidR="00D940FC" w:rsidRDefault="00D940FC" w:rsidP="00D940FC">
            <w:pPr>
              <w:pStyle w:val="TableBodyCopy"/>
            </w:pPr>
            <w:r>
              <w:t xml:space="preserve">Number of investments: </w:t>
            </w:r>
            <w:r w:rsidRPr="00E94D30">
              <w:t>2</w:t>
            </w:r>
            <w:r>
              <w:t xml:space="preserve"> </w:t>
            </w:r>
          </w:p>
          <w:p w14:paraId="62ED2360" w14:textId="229E66FA" w:rsidR="000958BB" w:rsidRPr="00326970" w:rsidRDefault="00D940FC" w:rsidP="00D940FC">
            <w:pPr>
              <w:pStyle w:val="TableBodyCopy"/>
            </w:pPr>
            <w:r>
              <w:t xml:space="preserve">Value of investments: </w:t>
            </w:r>
            <w:r w:rsidRPr="00E94D30">
              <w:t>$17</w:t>
            </w:r>
            <w:r w:rsidR="006C502D">
              <w:t> </w:t>
            </w:r>
            <w:r w:rsidRPr="00E94D30">
              <w:t>mil</w:t>
            </w:r>
            <w:r>
              <w:t>lion</w:t>
            </w:r>
          </w:p>
        </w:tc>
        <w:tc>
          <w:tcPr>
            <w:tcW w:w="0" w:type="pct"/>
          </w:tcPr>
          <w:p w14:paraId="3E730266" w14:textId="53745B04" w:rsidR="000958BB" w:rsidRPr="00AD7B9D" w:rsidRDefault="000958BB" w:rsidP="000958BB">
            <w:pPr>
              <w:pStyle w:val="TableBodyCopy"/>
            </w:pPr>
            <w:r w:rsidRPr="00AD7B9D">
              <w:t xml:space="preserve">SDG9: </w:t>
            </w:r>
            <w:r w:rsidR="006C28B6">
              <w:t>Industry, innovation and infr</w:t>
            </w:r>
            <w:r w:rsidR="00982DF1">
              <w:t xml:space="preserve">astructure </w:t>
            </w:r>
          </w:p>
        </w:tc>
      </w:tr>
    </w:tbl>
    <w:p w14:paraId="6186BBAE" w14:textId="77777777" w:rsidR="00841E8E" w:rsidRDefault="00841E8E">
      <w:pPr>
        <w:spacing w:before="0" w:after="0" w:line="240" w:lineRule="auto"/>
        <w:rPr>
          <w:b/>
          <w:bCs/>
          <w:lang w:eastAsia="en-AU"/>
        </w:rPr>
      </w:pPr>
      <w:r>
        <w:br w:type="page"/>
      </w:r>
    </w:p>
    <w:p w14:paraId="3DEB7206" w14:textId="7200E9DF" w:rsidR="009148F3" w:rsidRDefault="009148F3" w:rsidP="00335D60">
      <w:pPr>
        <w:pStyle w:val="PAFobjectivehead"/>
      </w:pPr>
      <w:r w:rsidRPr="00A62055">
        <w:lastRenderedPageBreak/>
        <w:t>Objective 3:</w:t>
      </w:r>
      <w:r w:rsidR="00523997" w:rsidRPr="00A62055">
        <w:t xml:space="preserve"> </w:t>
      </w:r>
      <w:r w:rsidR="002A318D" w:rsidRPr="00740046">
        <w:t>Sustainable and resilient economic development</w:t>
      </w:r>
    </w:p>
    <w:tbl>
      <w:tblPr>
        <w:tblStyle w:val="DFATOchre"/>
        <w:tblW w:w="5000" w:type="pct"/>
        <w:tblLook w:val="04A0" w:firstRow="1" w:lastRow="0" w:firstColumn="1" w:lastColumn="0" w:noHBand="0" w:noVBand="1"/>
        <w:tblCaption w:val="Performance Assessment Framework for Objective 3"/>
        <w:tblDescription w:val="Expected results for Objective 3 for the first 3 years of the DPP and against the Sustainable Development Goals&#10;"/>
      </w:tblPr>
      <w:tblGrid>
        <w:gridCol w:w="2403"/>
        <w:gridCol w:w="2403"/>
        <w:gridCol w:w="2403"/>
        <w:gridCol w:w="2403"/>
        <w:gridCol w:w="2403"/>
        <w:gridCol w:w="2403"/>
      </w:tblGrid>
      <w:tr w:rsidR="00C672AD" w:rsidRPr="00D750DD" w14:paraId="238B0EB9" w14:textId="77777777" w:rsidTr="005B2132">
        <w:trPr>
          <w:cnfStyle w:val="100000000000" w:firstRow="1" w:lastRow="0" w:firstColumn="0" w:lastColumn="0" w:oddVBand="0" w:evenVBand="0" w:oddHBand="0" w:evenHBand="0" w:firstRowFirstColumn="0" w:firstRowLastColumn="0" w:lastRowFirstColumn="0" w:lastRowLastColumn="0"/>
        </w:trPr>
        <w:tc>
          <w:tcPr>
            <w:tcW w:w="833" w:type="pct"/>
          </w:tcPr>
          <w:p w14:paraId="272192F3" w14:textId="0E179293" w:rsidR="007F3FBC" w:rsidRPr="00F172DD" w:rsidRDefault="00EF7102" w:rsidP="00F172DD">
            <w:pPr>
              <w:pStyle w:val="TableHeading"/>
            </w:pPr>
            <w:bookmarkStart w:id="14" w:name="_Hlk173856732"/>
            <w:r w:rsidRPr="00F172DD">
              <w:t>Outcome</w:t>
            </w:r>
          </w:p>
        </w:tc>
        <w:tc>
          <w:tcPr>
            <w:tcW w:w="833" w:type="pct"/>
            <w:hideMark/>
          </w:tcPr>
          <w:p w14:paraId="4E0F462C" w14:textId="77777777" w:rsidR="007F3FBC" w:rsidRPr="00F172DD" w:rsidRDefault="007F3FBC" w:rsidP="00F172DD">
            <w:pPr>
              <w:pStyle w:val="TableHeading"/>
            </w:pPr>
            <w:r w:rsidRPr="00F172DD">
              <w:t>Indicator</w:t>
            </w:r>
          </w:p>
        </w:tc>
        <w:tc>
          <w:tcPr>
            <w:tcW w:w="833" w:type="pct"/>
            <w:hideMark/>
          </w:tcPr>
          <w:p w14:paraId="21BF3005" w14:textId="1591DBB0" w:rsidR="007F3FBC" w:rsidRPr="00F172DD" w:rsidRDefault="007F3FBC" w:rsidP="00F172DD">
            <w:pPr>
              <w:pStyle w:val="TableHeading"/>
            </w:pPr>
            <w:r w:rsidRPr="00F172DD">
              <w:t xml:space="preserve">Expected </w:t>
            </w:r>
            <w:r w:rsidR="004D3EEC" w:rsidRPr="00F172DD">
              <w:t>r</w:t>
            </w:r>
            <w:r w:rsidRPr="00F172DD">
              <w:t>esults</w:t>
            </w:r>
            <w:r w:rsidR="004D3EEC" w:rsidRPr="00F172DD">
              <w:br/>
            </w:r>
            <w:r w:rsidRPr="00F172DD">
              <w:t>2024</w:t>
            </w:r>
            <w:r w:rsidR="004D3EEC" w:rsidRPr="00F172DD">
              <w:t>–</w:t>
            </w:r>
            <w:r w:rsidRPr="00F172DD">
              <w:t>25</w:t>
            </w:r>
          </w:p>
        </w:tc>
        <w:tc>
          <w:tcPr>
            <w:tcW w:w="833" w:type="pct"/>
            <w:hideMark/>
          </w:tcPr>
          <w:p w14:paraId="6767FA13" w14:textId="003B92E5" w:rsidR="007F3FBC" w:rsidRPr="00F172DD" w:rsidRDefault="007F3FBC" w:rsidP="00F172DD">
            <w:pPr>
              <w:pStyle w:val="TableHeading"/>
            </w:pPr>
            <w:r w:rsidRPr="00F172DD">
              <w:t xml:space="preserve">Expected </w:t>
            </w:r>
            <w:r w:rsidR="004D3EEC" w:rsidRPr="00F172DD">
              <w:t>r</w:t>
            </w:r>
            <w:r w:rsidRPr="00F172DD">
              <w:t>esults</w:t>
            </w:r>
            <w:r w:rsidR="004D3EEC" w:rsidRPr="00F172DD">
              <w:br/>
            </w:r>
            <w:r w:rsidRPr="00F172DD">
              <w:t>2025</w:t>
            </w:r>
            <w:r w:rsidR="004D3EEC" w:rsidRPr="00F172DD">
              <w:t>–</w:t>
            </w:r>
            <w:r w:rsidRPr="00F172DD">
              <w:t>26</w:t>
            </w:r>
          </w:p>
        </w:tc>
        <w:tc>
          <w:tcPr>
            <w:tcW w:w="833" w:type="pct"/>
            <w:hideMark/>
          </w:tcPr>
          <w:p w14:paraId="41C878CE" w14:textId="1083EB5E" w:rsidR="007F3FBC" w:rsidRPr="00F172DD" w:rsidRDefault="007F3FBC" w:rsidP="00F172DD">
            <w:pPr>
              <w:pStyle w:val="TableHeading"/>
            </w:pPr>
            <w:r w:rsidRPr="00F172DD">
              <w:t xml:space="preserve">Expected </w:t>
            </w:r>
            <w:r w:rsidR="004D3EEC" w:rsidRPr="00F172DD">
              <w:t>r</w:t>
            </w:r>
            <w:r w:rsidRPr="00F172DD">
              <w:t>esults</w:t>
            </w:r>
            <w:r w:rsidR="004D3EEC" w:rsidRPr="00F172DD">
              <w:br/>
            </w:r>
            <w:r w:rsidRPr="00F172DD">
              <w:t>2026</w:t>
            </w:r>
            <w:r w:rsidR="004D3EEC" w:rsidRPr="00F172DD">
              <w:t>–</w:t>
            </w:r>
            <w:r w:rsidRPr="00F172DD">
              <w:t>27</w:t>
            </w:r>
          </w:p>
        </w:tc>
        <w:tc>
          <w:tcPr>
            <w:tcW w:w="833" w:type="pct"/>
            <w:hideMark/>
          </w:tcPr>
          <w:p w14:paraId="42CF3E05" w14:textId="2FE92DC0" w:rsidR="007F3FBC" w:rsidRPr="00F172DD" w:rsidRDefault="00FB5B16" w:rsidP="00F172DD">
            <w:pPr>
              <w:pStyle w:val="TableHeading"/>
            </w:pPr>
            <w:r w:rsidRPr="00F172DD">
              <w:t>Sustainable Development Goals (SDGs)</w:t>
            </w:r>
          </w:p>
        </w:tc>
      </w:tr>
      <w:tr w:rsidR="00B75563" w:rsidRPr="00D750DD" w14:paraId="0EA317EF" w14:textId="77777777" w:rsidTr="005B2132">
        <w:tc>
          <w:tcPr>
            <w:tcW w:w="833" w:type="pct"/>
          </w:tcPr>
          <w:p w14:paraId="49283DB9" w14:textId="1F8CDEF7" w:rsidR="00B75563" w:rsidRPr="00EB60D8" w:rsidRDefault="00B75563" w:rsidP="00F2658D">
            <w:pPr>
              <w:pStyle w:val="TableBodyCopybold"/>
            </w:pPr>
            <w:r w:rsidRPr="00EB60D8">
              <w:t>Outcome 3.1</w:t>
            </w:r>
          </w:p>
          <w:p w14:paraId="51224588" w14:textId="02546263" w:rsidR="00B75563" w:rsidRDefault="003F19C6" w:rsidP="00B75563">
            <w:pPr>
              <w:pStyle w:val="TableBodyCopy"/>
            </w:pPr>
            <w:r>
              <w:t xml:space="preserve">Infrastructure for growth: </w:t>
            </w:r>
            <w:r w:rsidR="00B75563" w:rsidRPr="00451CB9">
              <w:t xml:space="preserve">Quality, economically and socially </w:t>
            </w:r>
            <w:r w:rsidR="00B75563">
              <w:t xml:space="preserve">transformative </w:t>
            </w:r>
            <w:r w:rsidR="00B75563" w:rsidRPr="00451CB9">
              <w:t>infrastructure which is climate resilient, socially inclusive and promotes local leadership and engagement</w:t>
            </w:r>
          </w:p>
        </w:tc>
        <w:tc>
          <w:tcPr>
            <w:tcW w:w="833" w:type="pct"/>
          </w:tcPr>
          <w:p w14:paraId="2AD24FC5" w14:textId="24E78301" w:rsidR="00B75563" w:rsidRPr="00EF7102" w:rsidRDefault="00F2658D" w:rsidP="00B75563">
            <w:pPr>
              <w:pStyle w:val="TableBodyCopy"/>
            </w:pPr>
            <w:r>
              <w:rPr>
                <w:color w:val="000000" w:themeColor="text1"/>
              </w:rPr>
              <w:t xml:space="preserve">3.1.1 </w:t>
            </w:r>
            <w:r w:rsidR="00B75563" w:rsidRPr="00523466">
              <w:rPr>
                <w:color w:val="000000" w:themeColor="text1"/>
              </w:rPr>
              <w:t>Number of infrastructure projects supported that meet G20 Principles for Quality Infrastructure Investments or similar internationally agreed standards such as the Pacific Quality Infrastructure Principles (Tier 2)</w:t>
            </w:r>
          </w:p>
        </w:tc>
        <w:tc>
          <w:tcPr>
            <w:tcW w:w="833" w:type="pct"/>
          </w:tcPr>
          <w:p w14:paraId="614AF87B" w14:textId="62A22A80" w:rsidR="00B75563" w:rsidRPr="00EF7102" w:rsidRDefault="00B75563" w:rsidP="00B75563">
            <w:pPr>
              <w:pStyle w:val="TableBodyCopy"/>
            </w:pPr>
            <w:r w:rsidRPr="00523466">
              <w:rPr>
                <w:color w:val="000000" w:themeColor="text1"/>
              </w:rPr>
              <w:t>22</w:t>
            </w:r>
          </w:p>
        </w:tc>
        <w:tc>
          <w:tcPr>
            <w:tcW w:w="833" w:type="pct"/>
          </w:tcPr>
          <w:p w14:paraId="142B5E34" w14:textId="173A3261" w:rsidR="00B75563" w:rsidRPr="00EF7102" w:rsidRDefault="00B75563" w:rsidP="00B75563">
            <w:pPr>
              <w:pStyle w:val="TableBodyCopy"/>
            </w:pPr>
            <w:r w:rsidRPr="00523466">
              <w:rPr>
                <w:color w:val="000000" w:themeColor="text1"/>
              </w:rPr>
              <w:t>23</w:t>
            </w:r>
          </w:p>
        </w:tc>
        <w:tc>
          <w:tcPr>
            <w:tcW w:w="833" w:type="pct"/>
          </w:tcPr>
          <w:p w14:paraId="5EC9AA5C" w14:textId="6566B8A8" w:rsidR="00B75563" w:rsidRPr="00EF7102" w:rsidRDefault="00B75563" w:rsidP="00B75563">
            <w:pPr>
              <w:pStyle w:val="TableBodyCopy"/>
            </w:pPr>
            <w:r w:rsidRPr="00523466">
              <w:rPr>
                <w:color w:val="000000" w:themeColor="text1"/>
              </w:rPr>
              <w:t>24</w:t>
            </w:r>
          </w:p>
        </w:tc>
        <w:tc>
          <w:tcPr>
            <w:tcW w:w="833" w:type="pct"/>
          </w:tcPr>
          <w:p w14:paraId="79997179" w14:textId="459D948D" w:rsidR="00B75563" w:rsidRPr="00EF7102" w:rsidDel="00FB5B16" w:rsidRDefault="00B75563" w:rsidP="00B75563">
            <w:pPr>
              <w:pStyle w:val="TableBodyCopy"/>
            </w:pPr>
            <w:r w:rsidRPr="00523466">
              <w:rPr>
                <w:color w:val="000000" w:themeColor="text1"/>
              </w:rPr>
              <w:t xml:space="preserve">SDG9: </w:t>
            </w:r>
            <w:r w:rsidR="006C28B6">
              <w:rPr>
                <w:color w:val="000000" w:themeColor="text1"/>
              </w:rPr>
              <w:t>Industry, innovation and infrastructure</w:t>
            </w:r>
          </w:p>
        </w:tc>
      </w:tr>
      <w:tr w:rsidR="00B75563" w:rsidRPr="00D750DD" w14:paraId="15037AC5" w14:textId="77777777" w:rsidTr="005B2132">
        <w:tc>
          <w:tcPr>
            <w:tcW w:w="833" w:type="pct"/>
          </w:tcPr>
          <w:p w14:paraId="49B98F60" w14:textId="4EE51DA3" w:rsidR="00B75563" w:rsidRDefault="00F2658D" w:rsidP="00F2658D">
            <w:pPr>
              <w:pStyle w:val="TableBodyCopybold"/>
            </w:pPr>
            <w:r w:rsidRPr="00EB60D8">
              <w:t>Outcome 3.1</w:t>
            </w:r>
          </w:p>
        </w:tc>
        <w:tc>
          <w:tcPr>
            <w:tcW w:w="833" w:type="pct"/>
          </w:tcPr>
          <w:p w14:paraId="6EBE42D1" w14:textId="7BE37EBF" w:rsidR="00B75563" w:rsidRPr="00EF7102" w:rsidRDefault="00F2658D" w:rsidP="00B75563">
            <w:pPr>
              <w:pStyle w:val="TableBodyCopy"/>
            </w:pPr>
            <w:r>
              <w:rPr>
                <w:color w:val="000000" w:themeColor="text1"/>
              </w:rPr>
              <w:t xml:space="preserve">3.1.2 </w:t>
            </w:r>
            <w:r w:rsidR="00B75563" w:rsidRPr="00523466">
              <w:rPr>
                <w:color w:val="000000" w:themeColor="text1"/>
              </w:rPr>
              <w:t>Number of local people accessing jobs created by new infrastructure projects, disaggregated by gender where possible (Tier 2)</w:t>
            </w:r>
          </w:p>
        </w:tc>
        <w:tc>
          <w:tcPr>
            <w:tcW w:w="833" w:type="pct"/>
          </w:tcPr>
          <w:p w14:paraId="1416502D" w14:textId="3999B69D" w:rsidR="00B75563" w:rsidRPr="00EF7102" w:rsidRDefault="00B75563" w:rsidP="00B75563">
            <w:pPr>
              <w:pStyle w:val="TableBodyCopy"/>
            </w:pPr>
            <w:r w:rsidRPr="00523466">
              <w:rPr>
                <w:color w:val="000000" w:themeColor="text1"/>
              </w:rPr>
              <w:t>160</w:t>
            </w:r>
          </w:p>
        </w:tc>
        <w:tc>
          <w:tcPr>
            <w:tcW w:w="833" w:type="pct"/>
          </w:tcPr>
          <w:p w14:paraId="370E98C1" w14:textId="68C3E59B" w:rsidR="00B75563" w:rsidRPr="00EF7102" w:rsidRDefault="00B75563" w:rsidP="00B75563">
            <w:pPr>
              <w:pStyle w:val="TableBodyCopy"/>
            </w:pPr>
            <w:r w:rsidRPr="00523466">
              <w:rPr>
                <w:color w:val="000000" w:themeColor="text1"/>
              </w:rPr>
              <w:t>160</w:t>
            </w:r>
          </w:p>
        </w:tc>
        <w:tc>
          <w:tcPr>
            <w:tcW w:w="833" w:type="pct"/>
          </w:tcPr>
          <w:p w14:paraId="4606E5C0" w14:textId="6A9DC55E" w:rsidR="00B75563" w:rsidRPr="00EF7102" w:rsidRDefault="00B75563" w:rsidP="00B75563">
            <w:pPr>
              <w:pStyle w:val="TableBodyCopy"/>
            </w:pPr>
            <w:r w:rsidRPr="00523466">
              <w:rPr>
                <w:color w:val="000000" w:themeColor="text1"/>
              </w:rPr>
              <w:t>160</w:t>
            </w:r>
          </w:p>
        </w:tc>
        <w:tc>
          <w:tcPr>
            <w:tcW w:w="833" w:type="pct"/>
          </w:tcPr>
          <w:p w14:paraId="11A8D516" w14:textId="4958BCE3" w:rsidR="00B75563" w:rsidRPr="00EF7102" w:rsidDel="00FB5B16" w:rsidRDefault="00B75563" w:rsidP="00B75563">
            <w:pPr>
              <w:pStyle w:val="TableBodyCopy"/>
            </w:pPr>
            <w:r w:rsidRPr="00523466">
              <w:rPr>
                <w:color w:val="000000" w:themeColor="text1"/>
              </w:rPr>
              <w:t>SDG8</w:t>
            </w:r>
            <w:r w:rsidR="00A97148">
              <w:rPr>
                <w:color w:val="000000" w:themeColor="text1"/>
              </w:rPr>
              <w:t>:</w:t>
            </w:r>
            <w:r w:rsidRPr="00523466">
              <w:rPr>
                <w:color w:val="000000" w:themeColor="text1"/>
              </w:rPr>
              <w:t xml:space="preserve"> Decent work and economic growth</w:t>
            </w:r>
          </w:p>
        </w:tc>
      </w:tr>
      <w:tr w:rsidR="00B75563" w:rsidRPr="00D750DD" w14:paraId="000F89F9" w14:textId="77777777" w:rsidTr="005B2132">
        <w:tc>
          <w:tcPr>
            <w:tcW w:w="833" w:type="pct"/>
          </w:tcPr>
          <w:p w14:paraId="0ACB5C1F" w14:textId="445C4B66" w:rsidR="00B75563" w:rsidRDefault="00F2658D" w:rsidP="00F2658D">
            <w:pPr>
              <w:pStyle w:val="TableBodyCopybold"/>
            </w:pPr>
            <w:r w:rsidRPr="00EB60D8">
              <w:t>Outcome 3.1</w:t>
            </w:r>
          </w:p>
        </w:tc>
        <w:tc>
          <w:tcPr>
            <w:tcW w:w="833" w:type="pct"/>
          </w:tcPr>
          <w:p w14:paraId="3699C410" w14:textId="618253D4" w:rsidR="00B75563" w:rsidRPr="00EF7102" w:rsidRDefault="00F2658D" w:rsidP="00B75563">
            <w:pPr>
              <w:pStyle w:val="TableBodyCopy"/>
            </w:pPr>
            <w:r>
              <w:rPr>
                <w:color w:val="000000" w:themeColor="text1"/>
              </w:rPr>
              <w:t xml:space="preserve">3.1.3 </w:t>
            </w:r>
            <w:r w:rsidR="00B75563" w:rsidRPr="00523466">
              <w:rPr>
                <w:color w:val="000000" w:themeColor="text1"/>
              </w:rPr>
              <w:t>Examples of improved policies and regulations in the infrastructure sector</w:t>
            </w:r>
            <w:r w:rsidR="00A97148">
              <w:rPr>
                <w:color w:val="000000" w:themeColor="text1"/>
              </w:rPr>
              <w:t xml:space="preserve">, disaggregated </w:t>
            </w:r>
            <w:r w:rsidR="00B75563" w:rsidRPr="00523466">
              <w:rPr>
                <w:color w:val="000000" w:themeColor="text1"/>
              </w:rPr>
              <w:t>by country and type of improvement</w:t>
            </w:r>
            <w:r w:rsidR="0030455B">
              <w:rPr>
                <w:color w:val="000000" w:themeColor="text1"/>
              </w:rPr>
              <w:t xml:space="preserve"> (Tier 2)</w:t>
            </w:r>
          </w:p>
        </w:tc>
        <w:tc>
          <w:tcPr>
            <w:tcW w:w="833" w:type="pct"/>
          </w:tcPr>
          <w:p w14:paraId="4403797F" w14:textId="504AA4A8" w:rsidR="00B75563" w:rsidRPr="00EF7102" w:rsidRDefault="00B75563" w:rsidP="00B75563">
            <w:pPr>
              <w:pStyle w:val="TableBodyCopy"/>
            </w:pPr>
            <w:r w:rsidRPr="00523466">
              <w:rPr>
                <w:color w:val="000000" w:themeColor="text1"/>
              </w:rPr>
              <w:t>1</w:t>
            </w:r>
            <w:r w:rsidR="006C502D">
              <w:rPr>
                <w:color w:val="000000" w:themeColor="text1"/>
              </w:rPr>
              <w:t>–</w:t>
            </w:r>
            <w:r w:rsidRPr="00523466">
              <w:rPr>
                <w:color w:val="000000" w:themeColor="text1"/>
              </w:rPr>
              <w:t>2 examples, by country and type of improvement</w:t>
            </w:r>
          </w:p>
        </w:tc>
        <w:tc>
          <w:tcPr>
            <w:tcW w:w="833" w:type="pct"/>
          </w:tcPr>
          <w:p w14:paraId="5458D540" w14:textId="5AD1846A" w:rsidR="00B75563" w:rsidRPr="00B2341E" w:rsidRDefault="00B75563" w:rsidP="00B75563">
            <w:pPr>
              <w:pStyle w:val="TableBodyCopy"/>
            </w:pPr>
            <w:r w:rsidRPr="00B2341E">
              <w:rPr>
                <w:color w:val="000000" w:themeColor="text1"/>
              </w:rPr>
              <w:t>1</w:t>
            </w:r>
            <w:r w:rsidR="006C502D">
              <w:rPr>
                <w:color w:val="000000" w:themeColor="text1"/>
              </w:rPr>
              <w:t>–</w:t>
            </w:r>
            <w:r w:rsidRPr="00B2341E">
              <w:rPr>
                <w:color w:val="000000" w:themeColor="text1"/>
              </w:rPr>
              <w:t>2 examples, by country and type of improvement</w:t>
            </w:r>
          </w:p>
        </w:tc>
        <w:tc>
          <w:tcPr>
            <w:tcW w:w="833" w:type="pct"/>
          </w:tcPr>
          <w:p w14:paraId="6EF9E977" w14:textId="59102F72" w:rsidR="00B75563" w:rsidRPr="00B2341E" w:rsidRDefault="00B75563" w:rsidP="00B75563">
            <w:pPr>
              <w:pStyle w:val="TableBodyCopy"/>
            </w:pPr>
            <w:r w:rsidRPr="00B2341E">
              <w:rPr>
                <w:color w:val="000000" w:themeColor="text1"/>
              </w:rPr>
              <w:t>1</w:t>
            </w:r>
            <w:r w:rsidR="006C502D">
              <w:rPr>
                <w:color w:val="000000" w:themeColor="text1"/>
              </w:rPr>
              <w:t>–</w:t>
            </w:r>
            <w:r w:rsidRPr="00B2341E">
              <w:rPr>
                <w:color w:val="000000" w:themeColor="text1"/>
              </w:rPr>
              <w:t>2 examples, by country and type of improvement</w:t>
            </w:r>
          </w:p>
        </w:tc>
        <w:tc>
          <w:tcPr>
            <w:tcW w:w="833" w:type="pct"/>
          </w:tcPr>
          <w:p w14:paraId="047E65AE" w14:textId="22F0FAEC" w:rsidR="00B75563" w:rsidRPr="00EF7102" w:rsidDel="00FB5B16" w:rsidRDefault="00B75563" w:rsidP="00B75563">
            <w:pPr>
              <w:pStyle w:val="TableBodyCopy"/>
            </w:pPr>
            <w:r w:rsidRPr="00523466">
              <w:rPr>
                <w:color w:val="000000" w:themeColor="text1"/>
              </w:rPr>
              <w:t>SDG9</w:t>
            </w:r>
          </w:p>
        </w:tc>
      </w:tr>
      <w:tr w:rsidR="00D718F7" w:rsidRPr="00D750DD" w14:paraId="2DD78A9D" w14:textId="77777777" w:rsidTr="005B2132">
        <w:tc>
          <w:tcPr>
            <w:tcW w:w="833" w:type="pct"/>
          </w:tcPr>
          <w:p w14:paraId="1358AA65" w14:textId="5A989A5E" w:rsidR="00D718F7" w:rsidRPr="00EB60D8" w:rsidRDefault="00D718F7" w:rsidP="00D718F7">
            <w:pPr>
              <w:pStyle w:val="TableBodyCopybold"/>
            </w:pPr>
            <w:r w:rsidRPr="00EB60D8">
              <w:t>Outcome 3.2</w:t>
            </w:r>
          </w:p>
          <w:p w14:paraId="50FD2AFB" w14:textId="0AFE65CB" w:rsidR="00D718F7" w:rsidRPr="00EB60D8" w:rsidRDefault="0030455B" w:rsidP="00D718F7">
            <w:pPr>
              <w:pStyle w:val="TableBodyCopy"/>
            </w:pPr>
            <w:r>
              <w:t xml:space="preserve">Economic and fiscal stability: </w:t>
            </w:r>
            <w:r w:rsidR="00D718F7" w:rsidRPr="00451CB9">
              <w:t xml:space="preserve">Economic reform and fiscal resilience in the Pacific </w:t>
            </w:r>
            <w:r w:rsidR="00F67DA3">
              <w:t>that supports</w:t>
            </w:r>
            <w:r w:rsidR="00F67DA3" w:rsidRPr="00451CB9">
              <w:t xml:space="preserve"> </w:t>
            </w:r>
            <w:r w:rsidR="00D718F7" w:rsidRPr="00451CB9">
              <w:t>inclusive economic development</w:t>
            </w:r>
          </w:p>
        </w:tc>
        <w:tc>
          <w:tcPr>
            <w:tcW w:w="833" w:type="pct"/>
          </w:tcPr>
          <w:p w14:paraId="1B66B4FB" w14:textId="3573FC8B" w:rsidR="00D718F7" w:rsidRDefault="00D718F7" w:rsidP="00D718F7">
            <w:pPr>
              <w:pStyle w:val="TableBodyCopy"/>
              <w:rPr>
                <w:color w:val="000000" w:themeColor="text1"/>
              </w:rPr>
            </w:pPr>
            <w:r>
              <w:rPr>
                <w:color w:val="000000" w:themeColor="text1"/>
              </w:rPr>
              <w:t xml:space="preserve">3.2.1 </w:t>
            </w:r>
            <w:r w:rsidRPr="00523466">
              <w:rPr>
                <w:color w:val="000000" w:themeColor="text1"/>
              </w:rPr>
              <w:t>Pacific countries maintain public expenditures on health care, public education and social protection</w:t>
            </w:r>
          </w:p>
        </w:tc>
        <w:tc>
          <w:tcPr>
            <w:tcW w:w="833" w:type="pct"/>
          </w:tcPr>
          <w:p w14:paraId="4E39B3D6" w14:textId="5C77EFEC" w:rsidR="00D718F7" w:rsidRPr="00523466" w:rsidRDefault="00D718F7" w:rsidP="00D718F7">
            <w:pPr>
              <w:pStyle w:val="TableBodyCopy"/>
              <w:rPr>
                <w:color w:val="000000" w:themeColor="text1"/>
              </w:rPr>
            </w:pPr>
            <w:r w:rsidRPr="00523466">
              <w:rPr>
                <w:color w:val="000000" w:themeColor="text1"/>
              </w:rPr>
              <w:t>Outturns of national budgets demonstrate maintained expenditures on social expenditures</w:t>
            </w:r>
          </w:p>
        </w:tc>
        <w:tc>
          <w:tcPr>
            <w:tcW w:w="833" w:type="pct"/>
          </w:tcPr>
          <w:p w14:paraId="16B4EA7E" w14:textId="003C28A0" w:rsidR="00D718F7" w:rsidRPr="00523466" w:rsidRDefault="00D718F7" w:rsidP="00D718F7">
            <w:pPr>
              <w:pStyle w:val="TableBodyCopy"/>
              <w:rPr>
                <w:color w:val="000000" w:themeColor="text1"/>
              </w:rPr>
            </w:pPr>
            <w:r w:rsidRPr="00523466">
              <w:rPr>
                <w:color w:val="000000" w:themeColor="text1"/>
              </w:rPr>
              <w:t>Outturns of national budgets demonstrate maintained expenditures on social expenditures</w:t>
            </w:r>
          </w:p>
        </w:tc>
        <w:tc>
          <w:tcPr>
            <w:tcW w:w="833" w:type="pct"/>
          </w:tcPr>
          <w:p w14:paraId="35949DC5" w14:textId="1EEF2738" w:rsidR="00D718F7" w:rsidRPr="00523466" w:rsidRDefault="00D718F7" w:rsidP="00D718F7">
            <w:pPr>
              <w:pStyle w:val="TableBodyCopy"/>
              <w:rPr>
                <w:color w:val="000000" w:themeColor="text1"/>
              </w:rPr>
            </w:pPr>
            <w:r w:rsidRPr="00523466">
              <w:rPr>
                <w:color w:val="000000" w:themeColor="text1"/>
              </w:rPr>
              <w:t>Outturns of national budgets demonstrate maintained expenditures on social expenditures</w:t>
            </w:r>
          </w:p>
        </w:tc>
        <w:tc>
          <w:tcPr>
            <w:tcW w:w="833" w:type="pct"/>
          </w:tcPr>
          <w:p w14:paraId="217558AC" w14:textId="07119B14" w:rsidR="00D718F7" w:rsidRPr="00523466" w:rsidRDefault="00D718F7" w:rsidP="00D718F7">
            <w:pPr>
              <w:pStyle w:val="TableBodyCopy"/>
              <w:rPr>
                <w:color w:val="000000" w:themeColor="text1"/>
              </w:rPr>
            </w:pPr>
            <w:r w:rsidRPr="00523466">
              <w:rPr>
                <w:color w:val="000000" w:themeColor="text1"/>
              </w:rPr>
              <w:t>SDG8</w:t>
            </w:r>
          </w:p>
        </w:tc>
      </w:tr>
      <w:tr w:rsidR="00D718F7" w:rsidRPr="00D750DD" w14:paraId="12DB2E8D" w14:textId="77777777" w:rsidTr="005B2132">
        <w:tc>
          <w:tcPr>
            <w:tcW w:w="833" w:type="pct"/>
          </w:tcPr>
          <w:p w14:paraId="6015ABEE" w14:textId="4D712D27" w:rsidR="00D718F7" w:rsidRPr="00EB60D8" w:rsidRDefault="00D718F7" w:rsidP="00D718F7">
            <w:pPr>
              <w:pStyle w:val="TableBodyCopybold"/>
            </w:pPr>
            <w:r w:rsidRPr="00EB60D8">
              <w:lastRenderedPageBreak/>
              <w:t>Outcome 3.2</w:t>
            </w:r>
          </w:p>
        </w:tc>
        <w:tc>
          <w:tcPr>
            <w:tcW w:w="833" w:type="pct"/>
          </w:tcPr>
          <w:p w14:paraId="3A71BA61" w14:textId="3DAC3384" w:rsidR="00D718F7" w:rsidRDefault="00D718F7" w:rsidP="00D718F7">
            <w:pPr>
              <w:pStyle w:val="TableBodyCopy"/>
              <w:rPr>
                <w:color w:val="000000" w:themeColor="text1"/>
              </w:rPr>
            </w:pPr>
            <w:r>
              <w:rPr>
                <w:color w:val="000000" w:themeColor="text1"/>
              </w:rPr>
              <w:t xml:space="preserve">3.2.2 </w:t>
            </w:r>
            <w:r w:rsidR="00F67DA3">
              <w:rPr>
                <w:color w:val="000000" w:themeColor="text1"/>
              </w:rPr>
              <w:t>Nu</w:t>
            </w:r>
            <w:r w:rsidR="00E826D3">
              <w:rPr>
                <w:color w:val="000000" w:themeColor="text1"/>
              </w:rPr>
              <w:t xml:space="preserve">mber of </w:t>
            </w:r>
            <w:proofErr w:type="gramStart"/>
            <w:r w:rsidRPr="00523466">
              <w:rPr>
                <w:color w:val="000000" w:themeColor="text1"/>
              </w:rPr>
              <w:t xml:space="preserve">Pacific </w:t>
            </w:r>
            <w:r w:rsidR="00F67DA3">
              <w:rPr>
                <w:color w:val="000000" w:themeColor="text1"/>
              </w:rPr>
              <w:t>i</w:t>
            </w:r>
            <w:r w:rsidRPr="00523466">
              <w:rPr>
                <w:color w:val="000000" w:themeColor="text1"/>
              </w:rPr>
              <w:t>sland</w:t>
            </w:r>
            <w:proofErr w:type="gramEnd"/>
            <w:r w:rsidRPr="00523466">
              <w:rPr>
                <w:color w:val="000000" w:themeColor="text1"/>
              </w:rPr>
              <w:t xml:space="preserve"> countries working in partnership with Australia to strengthen their government-led social protection systems (cumulative)</w:t>
            </w:r>
          </w:p>
        </w:tc>
        <w:tc>
          <w:tcPr>
            <w:tcW w:w="833" w:type="pct"/>
          </w:tcPr>
          <w:p w14:paraId="3807EAD0" w14:textId="45A34D30" w:rsidR="00D718F7" w:rsidRPr="00523466" w:rsidRDefault="00D718F7" w:rsidP="00D718F7">
            <w:pPr>
              <w:pStyle w:val="TableBodyCopy"/>
              <w:rPr>
                <w:color w:val="000000" w:themeColor="text1"/>
              </w:rPr>
            </w:pPr>
            <w:r w:rsidRPr="00523466">
              <w:rPr>
                <w:color w:val="000000" w:themeColor="text1"/>
              </w:rPr>
              <w:t xml:space="preserve">3 </w:t>
            </w:r>
          </w:p>
        </w:tc>
        <w:tc>
          <w:tcPr>
            <w:tcW w:w="833" w:type="pct"/>
          </w:tcPr>
          <w:p w14:paraId="22C803A8" w14:textId="24D5088D" w:rsidR="00D718F7" w:rsidRPr="00523466" w:rsidRDefault="00D718F7" w:rsidP="00D718F7">
            <w:pPr>
              <w:pStyle w:val="TableBodyCopy"/>
              <w:rPr>
                <w:color w:val="000000" w:themeColor="text1"/>
              </w:rPr>
            </w:pPr>
            <w:r w:rsidRPr="00523466">
              <w:rPr>
                <w:color w:val="000000" w:themeColor="text1"/>
              </w:rPr>
              <w:t xml:space="preserve">4 </w:t>
            </w:r>
          </w:p>
        </w:tc>
        <w:tc>
          <w:tcPr>
            <w:tcW w:w="833" w:type="pct"/>
          </w:tcPr>
          <w:p w14:paraId="6E41128E" w14:textId="1BB5C219" w:rsidR="00D718F7" w:rsidRPr="00523466" w:rsidRDefault="00D718F7" w:rsidP="00D718F7">
            <w:pPr>
              <w:pStyle w:val="TableBodyCopy"/>
              <w:rPr>
                <w:color w:val="000000" w:themeColor="text1"/>
              </w:rPr>
            </w:pPr>
            <w:r w:rsidRPr="00523466">
              <w:rPr>
                <w:color w:val="000000" w:themeColor="text1"/>
              </w:rPr>
              <w:t xml:space="preserve">5 </w:t>
            </w:r>
          </w:p>
        </w:tc>
        <w:tc>
          <w:tcPr>
            <w:tcW w:w="833" w:type="pct"/>
          </w:tcPr>
          <w:p w14:paraId="5171B936" w14:textId="726A8A1D" w:rsidR="00D718F7" w:rsidRPr="00523466" w:rsidRDefault="00D718F7" w:rsidP="00D718F7">
            <w:pPr>
              <w:pStyle w:val="TableBodyCopy"/>
              <w:rPr>
                <w:color w:val="000000" w:themeColor="text1"/>
              </w:rPr>
            </w:pPr>
            <w:r w:rsidRPr="00523466">
              <w:rPr>
                <w:color w:val="000000" w:themeColor="text1"/>
              </w:rPr>
              <w:t>SDG1</w:t>
            </w:r>
            <w:r w:rsidR="00C95209">
              <w:rPr>
                <w:color w:val="000000" w:themeColor="text1"/>
              </w:rPr>
              <w:t>:</w:t>
            </w:r>
            <w:r w:rsidR="006722A3">
              <w:rPr>
                <w:color w:val="000000" w:themeColor="text1"/>
              </w:rPr>
              <w:t xml:space="preserve"> No poverty</w:t>
            </w:r>
          </w:p>
        </w:tc>
      </w:tr>
      <w:tr w:rsidR="00D718F7" w:rsidRPr="00D750DD" w14:paraId="61C10B71" w14:textId="77777777" w:rsidTr="005B2132">
        <w:tc>
          <w:tcPr>
            <w:tcW w:w="833" w:type="pct"/>
          </w:tcPr>
          <w:p w14:paraId="242F054D" w14:textId="7E7B313D" w:rsidR="00D718F7" w:rsidRPr="00EB60D8" w:rsidRDefault="00D718F7" w:rsidP="00D718F7">
            <w:pPr>
              <w:pStyle w:val="TableBodyCopybold"/>
            </w:pPr>
            <w:r w:rsidRPr="00EB60D8">
              <w:t>Outcome 3.2</w:t>
            </w:r>
          </w:p>
        </w:tc>
        <w:tc>
          <w:tcPr>
            <w:tcW w:w="833" w:type="pct"/>
          </w:tcPr>
          <w:p w14:paraId="3AEB28E6" w14:textId="1BBBF3F9" w:rsidR="00D718F7" w:rsidRDefault="00D718F7" w:rsidP="00D718F7">
            <w:pPr>
              <w:pStyle w:val="TableBodyCopy"/>
              <w:rPr>
                <w:color w:val="000000" w:themeColor="text1"/>
              </w:rPr>
            </w:pPr>
            <w:r>
              <w:rPr>
                <w:color w:val="000000" w:themeColor="text1"/>
              </w:rPr>
              <w:t xml:space="preserve">3.2.3 </w:t>
            </w:r>
            <w:r w:rsidRPr="00523466">
              <w:rPr>
                <w:color w:val="000000" w:themeColor="text1"/>
              </w:rPr>
              <w:t>Significant economic and public financial management reforms achieved with support from Australia and/or other development partners</w:t>
            </w:r>
          </w:p>
        </w:tc>
        <w:tc>
          <w:tcPr>
            <w:tcW w:w="833" w:type="pct"/>
          </w:tcPr>
          <w:p w14:paraId="6A8CD5CB" w14:textId="3CBA3DEE" w:rsidR="00D718F7" w:rsidRPr="00523466" w:rsidRDefault="00D718F7" w:rsidP="00D718F7">
            <w:pPr>
              <w:pStyle w:val="TableBodyCopy"/>
              <w:rPr>
                <w:color w:val="000000" w:themeColor="text1"/>
              </w:rPr>
            </w:pPr>
            <w:r w:rsidRPr="00523466">
              <w:rPr>
                <w:color w:val="000000" w:themeColor="text1"/>
              </w:rPr>
              <w:t xml:space="preserve">Significant economic and/or </w:t>
            </w:r>
            <w:r w:rsidR="000E370A">
              <w:rPr>
                <w:color w:val="000000" w:themeColor="text1"/>
              </w:rPr>
              <w:t>public financial management</w:t>
            </w:r>
            <w:r w:rsidR="000E370A" w:rsidRPr="00523466">
              <w:rPr>
                <w:color w:val="000000" w:themeColor="text1"/>
              </w:rPr>
              <w:t xml:space="preserve"> </w:t>
            </w:r>
            <w:r w:rsidRPr="00523466">
              <w:rPr>
                <w:color w:val="000000" w:themeColor="text1"/>
              </w:rPr>
              <w:t>reforms achieved by country and type</w:t>
            </w:r>
            <w:r w:rsidR="000E370A">
              <w:rPr>
                <w:color w:val="000000" w:themeColor="text1"/>
              </w:rPr>
              <w:t xml:space="preserve"> of reform</w:t>
            </w:r>
            <w:r w:rsidRPr="00523466">
              <w:rPr>
                <w:color w:val="000000" w:themeColor="text1"/>
              </w:rPr>
              <w:t xml:space="preserve"> (budget preparation and execution, revenue management, </w:t>
            </w:r>
            <w:r w:rsidR="000E370A">
              <w:rPr>
                <w:color w:val="000000" w:themeColor="text1"/>
              </w:rPr>
              <w:t>state-owned enter</w:t>
            </w:r>
            <w:r w:rsidR="00B041F8">
              <w:rPr>
                <w:color w:val="000000" w:themeColor="text1"/>
              </w:rPr>
              <w:t>prise</w:t>
            </w:r>
            <w:r w:rsidR="000E370A" w:rsidRPr="00523466">
              <w:rPr>
                <w:color w:val="000000" w:themeColor="text1"/>
              </w:rPr>
              <w:t xml:space="preserve"> </w:t>
            </w:r>
            <w:r w:rsidRPr="00523466">
              <w:rPr>
                <w:color w:val="000000" w:themeColor="text1"/>
              </w:rPr>
              <w:t xml:space="preserve">management, </w:t>
            </w:r>
            <w:r w:rsidR="00B041F8">
              <w:rPr>
                <w:color w:val="000000" w:themeColor="text1"/>
              </w:rPr>
              <w:t>anti-money laundering and counterterrorism financing</w:t>
            </w:r>
            <w:r w:rsidRPr="00523466">
              <w:rPr>
                <w:color w:val="000000" w:themeColor="text1"/>
              </w:rPr>
              <w:t xml:space="preserve"> compliance, or other important aspects of </w:t>
            </w:r>
            <w:r w:rsidR="00B041F8">
              <w:rPr>
                <w:color w:val="000000" w:themeColor="text1"/>
              </w:rPr>
              <w:t>public financial management</w:t>
            </w:r>
            <w:r w:rsidR="00B60CAB">
              <w:rPr>
                <w:color w:val="000000" w:themeColor="text1"/>
              </w:rPr>
              <w:t>)</w:t>
            </w:r>
          </w:p>
        </w:tc>
        <w:tc>
          <w:tcPr>
            <w:tcW w:w="833" w:type="pct"/>
          </w:tcPr>
          <w:p w14:paraId="37F2CF92" w14:textId="4FE6A3B5" w:rsidR="00D718F7" w:rsidRPr="00523466" w:rsidRDefault="00D718F7" w:rsidP="00D718F7">
            <w:pPr>
              <w:pStyle w:val="TableBodyCopy"/>
              <w:rPr>
                <w:color w:val="000000" w:themeColor="text1"/>
              </w:rPr>
            </w:pPr>
            <w:r w:rsidRPr="00523466">
              <w:rPr>
                <w:color w:val="000000" w:themeColor="text1"/>
              </w:rPr>
              <w:t xml:space="preserve">Significant economic and/or </w:t>
            </w:r>
            <w:r w:rsidR="00B60CAB">
              <w:rPr>
                <w:color w:val="000000" w:themeColor="text1"/>
              </w:rPr>
              <w:t>public financial management</w:t>
            </w:r>
            <w:r w:rsidR="00B60CAB" w:rsidRPr="00523466">
              <w:rPr>
                <w:color w:val="000000" w:themeColor="text1"/>
              </w:rPr>
              <w:t xml:space="preserve"> </w:t>
            </w:r>
            <w:r w:rsidRPr="00523466">
              <w:rPr>
                <w:color w:val="000000" w:themeColor="text1"/>
              </w:rPr>
              <w:t xml:space="preserve">reforms achieved by country and type </w:t>
            </w:r>
            <w:r w:rsidR="00B60CAB">
              <w:rPr>
                <w:color w:val="000000" w:themeColor="text1"/>
              </w:rPr>
              <w:t>of reform</w:t>
            </w:r>
            <w:r w:rsidR="00B60CAB" w:rsidRPr="00523466">
              <w:rPr>
                <w:color w:val="000000" w:themeColor="text1"/>
              </w:rPr>
              <w:t xml:space="preserve"> </w:t>
            </w:r>
            <w:r w:rsidRPr="00523466">
              <w:rPr>
                <w:color w:val="000000" w:themeColor="text1"/>
              </w:rPr>
              <w:t xml:space="preserve">(budget preparation and execution, revenue management, </w:t>
            </w:r>
            <w:r w:rsidR="00B60CAB">
              <w:rPr>
                <w:color w:val="000000" w:themeColor="text1"/>
              </w:rPr>
              <w:t>state-owned enterprise</w:t>
            </w:r>
            <w:r w:rsidR="00B60CAB" w:rsidRPr="00523466">
              <w:rPr>
                <w:color w:val="000000" w:themeColor="text1"/>
              </w:rPr>
              <w:t xml:space="preserve"> </w:t>
            </w:r>
            <w:r w:rsidRPr="00523466">
              <w:rPr>
                <w:color w:val="000000" w:themeColor="text1"/>
              </w:rPr>
              <w:t xml:space="preserve">management, </w:t>
            </w:r>
            <w:r w:rsidR="00133558">
              <w:rPr>
                <w:color w:val="000000" w:themeColor="text1"/>
              </w:rPr>
              <w:t>anti-money laundering and counterterrorism financing</w:t>
            </w:r>
            <w:r w:rsidR="00133558" w:rsidRPr="00523466">
              <w:rPr>
                <w:color w:val="000000" w:themeColor="text1"/>
              </w:rPr>
              <w:t xml:space="preserve"> </w:t>
            </w:r>
            <w:r w:rsidRPr="00523466">
              <w:rPr>
                <w:color w:val="000000" w:themeColor="text1"/>
              </w:rPr>
              <w:t xml:space="preserve">compliance, or other important aspects of </w:t>
            </w:r>
            <w:r w:rsidR="00B60CAB">
              <w:rPr>
                <w:color w:val="000000" w:themeColor="text1"/>
              </w:rPr>
              <w:t>public financial management</w:t>
            </w:r>
            <w:r w:rsidR="00DC7D43">
              <w:rPr>
                <w:color w:val="000000" w:themeColor="text1"/>
              </w:rPr>
              <w:t>)</w:t>
            </w:r>
          </w:p>
        </w:tc>
        <w:tc>
          <w:tcPr>
            <w:tcW w:w="833" w:type="pct"/>
          </w:tcPr>
          <w:p w14:paraId="7911F36B" w14:textId="5E234532" w:rsidR="00D718F7" w:rsidRPr="00523466" w:rsidRDefault="00D718F7" w:rsidP="00D718F7">
            <w:pPr>
              <w:pStyle w:val="TableBodyCopy"/>
              <w:rPr>
                <w:color w:val="000000" w:themeColor="text1"/>
              </w:rPr>
            </w:pPr>
            <w:r w:rsidRPr="00523466">
              <w:rPr>
                <w:color w:val="000000" w:themeColor="text1"/>
              </w:rPr>
              <w:t xml:space="preserve">Significant economic and/or </w:t>
            </w:r>
            <w:r w:rsidR="00B60CAB">
              <w:rPr>
                <w:color w:val="000000" w:themeColor="text1"/>
              </w:rPr>
              <w:t>public financial management</w:t>
            </w:r>
            <w:r w:rsidR="00B60CAB" w:rsidRPr="00523466">
              <w:rPr>
                <w:color w:val="000000" w:themeColor="text1"/>
              </w:rPr>
              <w:t xml:space="preserve"> </w:t>
            </w:r>
            <w:r w:rsidRPr="00523466">
              <w:rPr>
                <w:color w:val="000000" w:themeColor="text1"/>
              </w:rPr>
              <w:t xml:space="preserve">reforms achieved by country and type </w:t>
            </w:r>
            <w:r w:rsidR="00B60CAB">
              <w:rPr>
                <w:color w:val="000000" w:themeColor="text1"/>
              </w:rPr>
              <w:t>of reform</w:t>
            </w:r>
            <w:r w:rsidR="00B60CAB" w:rsidRPr="00523466">
              <w:rPr>
                <w:color w:val="000000" w:themeColor="text1"/>
              </w:rPr>
              <w:t xml:space="preserve"> </w:t>
            </w:r>
            <w:r w:rsidRPr="00523466">
              <w:rPr>
                <w:color w:val="000000" w:themeColor="text1"/>
              </w:rPr>
              <w:t xml:space="preserve">(budget preparation and execution, revenue management, </w:t>
            </w:r>
            <w:r w:rsidR="00B60CAB">
              <w:rPr>
                <w:color w:val="000000" w:themeColor="text1"/>
              </w:rPr>
              <w:t>state-owned enterprise</w:t>
            </w:r>
            <w:r w:rsidR="00B60CAB" w:rsidRPr="00523466">
              <w:rPr>
                <w:color w:val="000000" w:themeColor="text1"/>
              </w:rPr>
              <w:t xml:space="preserve"> </w:t>
            </w:r>
            <w:r w:rsidRPr="00523466">
              <w:rPr>
                <w:color w:val="000000" w:themeColor="text1"/>
              </w:rPr>
              <w:t xml:space="preserve">management, </w:t>
            </w:r>
            <w:r w:rsidR="00B60CAB">
              <w:rPr>
                <w:color w:val="000000" w:themeColor="text1"/>
              </w:rPr>
              <w:t>anti-money laundering and counterterrorism financing</w:t>
            </w:r>
            <w:r w:rsidR="00B60CAB" w:rsidRPr="00523466">
              <w:rPr>
                <w:color w:val="000000" w:themeColor="text1"/>
              </w:rPr>
              <w:t xml:space="preserve"> </w:t>
            </w:r>
            <w:r w:rsidRPr="00523466">
              <w:rPr>
                <w:color w:val="000000" w:themeColor="text1"/>
              </w:rPr>
              <w:t xml:space="preserve">compliance, or other important aspects of </w:t>
            </w:r>
            <w:r w:rsidR="00B60CAB">
              <w:rPr>
                <w:color w:val="000000" w:themeColor="text1"/>
              </w:rPr>
              <w:t>public financial management</w:t>
            </w:r>
            <w:r w:rsidR="00DC7D43">
              <w:rPr>
                <w:color w:val="000000" w:themeColor="text1"/>
              </w:rPr>
              <w:t>)</w:t>
            </w:r>
          </w:p>
        </w:tc>
        <w:tc>
          <w:tcPr>
            <w:tcW w:w="833" w:type="pct"/>
          </w:tcPr>
          <w:p w14:paraId="40B458D7" w14:textId="499261AA" w:rsidR="00D718F7" w:rsidRPr="00523466" w:rsidRDefault="00D718F7" w:rsidP="00D718F7">
            <w:pPr>
              <w:pStyle w:val="TableBodyCopy"/>
              <w:rPr>
                <w:color w:val="000000" w:themeColor="text1"/>
              </w:rPr>
            </w:pPr>
            <w:r w:rsidRPr="00523466">
              <w:rPr>
                <w:color w:val="000000" w:themeColor="text1"/>
              </w:rPr>
              <w:t>SDG8</w:t>
            </w:r>
          </w:p>
        </w:tc>
      </w:tr>
      <w:tr w:rsidR="00D718F7" w:rsidRPr="00D750DD" w14:paraId="205FB6E2" w14:textId="77777777" w:rsidTr="005B2132">
        <w:tc>
          <w:tcPr>
            <w:tcW w:w="833" w:type="pct"/>
          </w:tcPr>
          <w:p w14:paraId="01B592DA" w14:textId="77777777" w:rsidR="00D718F7" w:rsidRPr="00F74F1A" w:rsidRDefault="00D718F7" w:rsidP="00D718F7">
            <w:pPr>
              <w:pStyle w:val="TableBodyCopybold"/>
            </w:pPr>
            <w:r w:rsidRPr="00F74F1A">
              <w:t>Outcome 3.3</w:t>
            </w:r>
          </w:p>
          <w:p w14:paraId="7DE34649" w14:textId="360DB708" w:rsidR="00D718F7" w:rsidRPr="00EB60D8" w:rsidRDefault="00F325EE" w:rsidP="00D718F7">
            <w:pPr>
              <w:pStyle w:val="TableBodyCopy"/>
            </w:pPr>
            <w:r>
              <w:t xml:space="preserve">Labour </w:t>
            </w:r>
            <w:r w:rsidR="00F969C0">
              <w:t>m</w:t>
            </w:r>
            <w:r>
              <w:t xml:space="preserve">obility: </w:t>
            </w:r>
            <w:r w:rsidR="00D718F7" w:rsidRPr="00F74F1A">
              <w:t>Opportunities for Pacific peoples, including women and girls, to benefit from employment in Australia</w:t>
            </w:r>
          </w:p>
        </w:tc>
        <w:tc>
          <w:tcPr>
            <w:tcW w:w="833" w:type="pct"/>
          </w:tcPr>
          <w:p w14:paraId="130C5A87" w14:textId="2069E817" w:rsidR="00D718F7" w:rsidRDefault="00D718F7" w:rsidP="00D718F7">
            <w:pPr>
              <w:pStyle w:val="TableBodyCopy"/>
              <w:rPr>
                <w:color w:val="000000" w:themeColor="text1"/>
              </w:rPr>
            </w:pPr>
            <w:r>
              <w:rPr>
                <w:color w:val="000000" w:themeColor="text1"/>
              </w:rPr>
              <w:t xml:space="preserve">3.3.1 </w:t>
            </w:r>
            <w:r w:rsidRPr="00523466">
              <w:rPr>
                <w:color w:val="000000" w:themeColor="text1"/>
              </w:rPr>
              <w:t>Improved enabling environment for labour mobility participation and expansion</w:t>
            </w:r>
          </w:p>
        </w:tc>
        <w:tc>
          <w:tcPr>
            <w:tcW w:w="833" w:type="pct"/>
          </w:tcPr>
          <w:p w14:paraId="5BF9B832" w14:textId="279F4A07" w:rsidR="00D718F7" w:rsidRPr="00523466" w:rsidRDefault="00D718F7" w:rsidP="00D718F7">
            <w:pPr>
              <w:pStyle w:val="TableBodyCopy"/>
              <w:rPr>
                <w:color w:val="000000" w:themeColor="text1"/>
              </w:rPr>
            </w:pPr>
            <w:r w:rsidRPr="00523466">
              <w:rPr>
                <w:color w:val="000000" w:themeColor="text1"/>
              </w:rPr>
              <w:t xml:space="preserve">Establish baseline of </w:t>
            </w:r>
            <w:r w:rsidR="00F969C0">
              <w:rPr>
                <w:color w:val="000000" w:themeColor="text1"/>
              </w:rPr>
              <w:t>Pacific Australia Labour Mobility (</w:t>
            </w:r>
            <w:r w:rsidRPr="00523466">
              <w:rPr>
                <w:color w:val="000000" w:themeColor="text1"/>
              </w:rPr>
              <w:t>PALM</w:t>
            </w:r>
            <w:r w:rsidR="00F969C0">
              <w:rPr>
                <w:color w:val="000000" w:themeColor="text1"/>
              </w:rPr>
              <w:t>) scheme</w:t>
            </w:r>
            <w:r w:rsidRPr="00523466">
              <w:rPr>
                <w:color w:val="000000" w:themeColor="text1"/>
              </w:rPr>
              <w:t xml:space="preserve"> worker, remittance, country and sector data</w:t>
            </w:r>
          </w:p>
        </w:tc>
        <w:tc>
          <w:tcPr>
            <w:tcW w:w="833" w:type="pct"/>
          </w:tcPr>
          <w:p w14:paraId="591FC3A9" w14:textId="124132B0" w:rsidR="00D718F7" w:rsidRDefault="00D718F7" w:rsidP="00D718F7">
            <w:pPr>
              <w:pStyle w:val="TableBodyCopy"/>
            </w:pPr>
            <w:r w:rsidRPr="00523466">
              <w:rPr>
                <w:color w:val="000000" w:themeColor="text1"/>
              </w:rPr>
              <w:t>Increased number of PALM</w:t>
            </w:r>
            <w:r w:rsidR="00F969C0">
              <w:rPr>
                <w:color w:val="000000" w:themeColor="text1"/>
              </w:rPr>
              <w:t xml:space="preserve"> scheme</w:t>
            </w:r>
            <w:r w:rsidRPr="00523466">
              <w:rPr>
                <w:color w:val="000000" w:themeColor="text1"/>
              </w:rPr>
              <w:t xml:space="preserve"> workers in Australia compared </w:t>
            </w:r>
            <w:r w:rsidR="00F969C0">
              <w:rPr>
                <w:color w:val="000000" w:themeColor="text1"/>
              </w:rPr>
              <w:t>with</w:t>
            </w:r>
            <w:r w:rsidR="00F969C0" w:rsidRPr="00523466">
              <w:rPr>
                <w:color w:val="000000" w:themeColor="text1"/>
              </w:rPr>
              <w:t xml:space="preserve"> </w:t>
            </w:r>
            <w:r w:rsidRPr="00523466">
              <w:rPr>
                <w:color w:val="000000" w:themeColor="text1"/>
              </w:rPr>
              <w:t>previous year</w:t>
            </w:r>
          </w:p>
          <w:p w14:paraId="32A21338" w14:textId="34742E6F" w:rsidR="00D718F7" w:rsidRPr="00BC108D" w:rsidRDefault="00D718F7" w:rsidP="00D718F7">
            <w:pPr>
              <w:pStyle w:val="TableBodyCopy"/>
              <w:rPr>
                <w:color w:val="1F4E79"/>
              </w:rPr>
            </w:pPr>
            <w:r w:rsidRPr="00523466">
              <w:rPr>
                <w:color w:val="000000" w:themeColor="text1"/>
              </w:rPr>
              <w:t xml:space="preserve">Increase </w:t>
            </w:r>
            <w:r w:rsidR="00E477FC">
              <w:rPr>
                <w:color w:val="000000" w:themeColor="text1"/>
              </w:rPr>
              <w:t>in</w:t>
            </w:r>
            <w:r w:rsidRPr="00523466">
              <w:rPr>
                <w:color w:val="000000" w:themeColor="text1"/>
              </w:rPr>
              <w:t xml:space="preserve"> PALM </w:t>
            </w:r>
            <w:r w:rsidR="00E477FC">
              <w:rPr>
                <w:color w:val="000000" w:themeColor="text1"/>
              </w:rPr>
              <w:t xml:space="preserve">scheme </w:t>
            </w:r>
            <w:r w:rsidRPr="00523466">
              <w:rPr>
                <w:color w:val="000000" w:themeColor="text1"/>
              </w:rPr>
              <w:t xml:space="preserve">worker remittances compared </w:t>
            </w:r>
            <w:r w:rsidR="00E477FC">
              <w:rPr>
                <w:color w:val="000000" w:themeColor="text1"/>
              </w:rPr>
              <w:t>with</w:t>
            </w:r>
            <w:r w:rsidR="00E477FC" w:rsidRPr="00523466">
              <w:rPr>
                <w:color w:val="000000" w:themeColor="text1"/>
              </w:rPr>
              <w:t xml:space="preserve"> </w:t>
            </w:r>
            <w:r w:rsidRPr="00523466">
              <w:rPr>
                <w:color w:val="000000" w:themeColor="text1"/>
              </w:rPr>
              <w:t>previous year</w:t>
            </w:r>
          </w:p>
          <w:p w14:paraId="161C3720" w14:textId="18FB0381" w:rsidR="00D718F7" w:rsidRPr="00523466" w:rsidRDefault="00D718F7" w:rsidP="00D718F7">
            <w:pPr>
              <w:pStyle w:val="TableBodyCopy"/>
              <w:rPr>
                <w:color w:val="000000" w:themeColor="text1"/>
              </w:rPr>
            </w:pPr>
            <w:r w:rsidRPr="00523466">
              <w:rPr>
                <w:color w:val="000000" w:themeColor="text1"/>
              </w:rPr>
              <w:t xml:space="preserve">Increased female participation in PALM </w:t>
            </w:r>
            <w:r w:rsidR="00E477FC">
              <w:rPr>
                <w:color w:val="000000" w:themeColor="text1"/>
              </w:rPr>
              <w:t xml:space="preserve">scheme </w:t>
            </w:r>
            <w:r w:rsidRPr="00523466">
              <w:rPr>
                <w:color w:val="000000" w:themeColor="text1"/>
              </w:rPr>
              <w:t>(cumulative)</w:t>
            </w:r>
          </w:p>
        </w:tc>
        <w:tc>
          <w:tcPr>
            <w:tcW w:w="833" w:type="pct"/>
          </w:tcPr>
          <w:p w14:paraId="2FF0E61E" w14:textId="6A423458" w:rsidR="00D718F7" w:rsidRDefault="00D718F7" w:rsidP="00D718F7">
            <w:pPr>
              <w:pStyle w:val="TableBodyCopy"/>
            </w:pPr>
            <w:r w:rsidRPr="00523466">
              <w:rPr>
                <w:color w:val="000000" w:themeColor="text1"/>
              </w:rPr>
              <w:t>Increased number of PALM</w:t>
            </w:r>
            <w:r w:rsidR="00E477FC">
              <w:rPr>
                <w:color w:val="000000" w:themeColor="text1"/>
              </w:rPr>
              <w:t xml:space="preserve"> scheme</w:t>
            </w:r>
            <w:r w:rsidRPr="00523466">
              <w:rPr>
                <w:color w:val="000000" w:themeColor="text1"/>
              </w:rPr>
              <w:t xml:space="preserve"> workers in Australia compared </w:t>
            </w:r>
            <w:r w:rsidR="00E477FC">
              <w:rPr>
                <w:color w:val="000000" w:themeColor="text1"/>
              </w:rPr>
              <w:t>with</w:t>
            </w:r>
            <w:r w:rsidR="00E477FC" w:rsidRPr="00523466">
              <w:rPr>
                <w:color w:val="000000" w:themeColor="text1"/>
              </w:rPr>
              <w:t xml:space="preserve"> </w:t>
            </w:r>
            <w:r w:rsidRPr="00523466">
              <w:rPr>
                <w:color w:val="000000" w:themeColor="text1"/>
              </w:rPr>
              <w:t>previous year</w:t>
            </w:r>
          </w:p>
          <w:p w14:paraId="47B8D953" w14:textId="0618ED2C" w:rsidR="00D718F7" w:rsidRDefault="00D718F7" w:rsidP="00D718F7">
            <w:pPr>
              <w:pStyle w:val="TableBodyCopy"/>
            </w:pPr>
            <w:r w:rsidRPr="00523466">
              <w:rPr>
                <w:color w:val="000000" w:themeColor="text1"/>
              </w:rPr>
              <w:t xml:space="preserve">Increase </w:t>
            </w:r>
            <w:r w:rsidR="00E477FC">
              <w:rPr>
                <w:color w:val="000000" w:themeColor="text1"/>
              </w:rPr>
              <w:t>in</w:t>
            </w:r>
            <w:r w:rsidR="00E477FC" w:rsidRPr="00523466">
              <w:rPr>
                <w:color w:val="000000" w:themeColor="text1"/>
              </w:rPr>
              <w:t xml:space="preserve"> </w:t>
            </w:r>
            <w:r w:rsidRPr="00523466">
              <w:rPr>
                <w:color w:val="000000" w:themeColor="text1"/>
              </w:rPr>
              <w:t>PALM</w:t>
            </w:r>
            <w:r w:rsidR="00E477FC">
              <w:rPr>
                <w:color w:val="000000" w:themeColor="text1"/>
              </w:rPr>
              <w:t xml:space="preserve"> s</w:t>
            </w:r>
            <w:r w:rsidR="00331E55">
              <w:rPr>
                <w:color w:val="000000" w:themeColor="text1"/>
              </w:rPr>
              <w:t>c</w:t>
            </w:r>
            <w:r w:rsidR="00E477FC">
              <w:rPr>
                <w:color w:val="000000" w:themeColor="text1"/>
              </w:rPr>
              <w:t>heme</w:t>
            </w:r>
            <w:r w:rsidRPr="00523466">
              <w:rPr>
                <w:color w:val="000000" w:themeColor="text1"/>
              </w:rPr>
              <w:t xml:space="preserve"> worker remittances compared </w:t>
            </w:r>
            <w:r w:rsidR="00ED04CE">
              <w:rPr>
                <w:color w:val="000000" w:themeColor="text1"/>
              </w:rPr>
              <w:t>with</w:t>
            </w:r>
            <w:r w:rsidR="00ED04CE" w:rsidRPr="00523466">
              <w:rPr>
                <w:color w:val="000000" w:themeColor="text1"/>
              </w:rPr>
              <w:t xml:space="preserve"> </w:t>
            </w:r>
            <w:r w:rsidRPr="00523466">
              <w:rPr>
                <w:color w:val="000000" w:themeColor="text1"/>
              </w:rPr>
              <w:t>previous year</w:t>
            </w:r>
          </w:p>
          <w:p w14:paraId="537B7BC0" w14:textId="6FFD9C7F" w:rsidR="00D718F7" w:rsidRPr="00523466" w:rsidRDefault="00D718F7" w:rsidP="00D718F7">
            <w:pPr>
              <w:pStyle w:val="TableBodyCopy"/>
              <w:rPr>
                <w:color w:val="000000" w:themeColor="text1"/>
              </w:rPr>
            </w:pPr>
            <w:r w:rsidRPr="00523466">
              <w:rPr>
                <w:color w:val="000000" w:themeColor="text1"/>
              </w:rPr>
              <w:t xml:space="preserve">Increased female participation in PALM </w:t>
            </w:r>
            <w:r w:rsidR="00E477FC">
              <w:rPr>
                <w:color w:val="000000" w:themeColor="text1"/>
              </w:rPr>
              <w:t xml:space="preserve">scheme </w:t>
            </w:r>
            <w:r w:rsidRPr="00523466">
              <w:rPr>
                <w:color w:val="000000" w:themeColor="text1"/>
              </w:rPr>
              <w:t>(cumulative)</w:t>
            </w:r>
          </w:p>
        </w:tc>
        <w:tc>
          <w:tcPr>
            <w:tcW w:w="833" w:type="pct"/>
          </w:tcPr>
          <w:p w14:paraId="43474646" w14:textId="242F483A" w:rsidR="00D718F7" w:rsidRPr="00523466" w:rsidRDefault="00C95209" w:rsidP="00D718F7">
            <w:pPr>
              <w:pStyle w:val="TableBodyCopy"/>
              <w:rPr>
                <w:color w:val="000000" w:themeColor="text1"/>
              </w:rPr>
            </w:pPr>
            <w:r>
              <w:rPr>
                <w:color w:val="000000" w:themeColor="text1"/>
              </w:rPr>
              <w:t>SDG</w:t>
            </w:r>
            <w:r w:rsidR="00D718F7" w:rsidRPr="00523466">
              <w:rPr>
                <w:color w:val="000000" w:themeColor="text1"/>
              </w:rPr>
              <w:t>8</w:t>
            </w:r>
          </w:p>
        </w:tc>
      </w:tr>
      <w:tr w:rsidR="00847ED6" w:rsidRPr="00D750DD" w14:paraId="3FA799CB" w14:textId="77777777" w:rsidTr="005B2132">
        <w:tc>
          <w:tcPr>
            <w:tcW w:w="833" w:type="pct"/>
          </w:tcPr>
          <w:p w14:paraId="4A07554C" w14:textId="77777777" w:rsidR="00847ED6" w:rsidRPr="00451CB9" w:rsidRDefault="00847ED6" w:rsidP="00847ED6">
            <w:pPr>
              <w:pStyle w:val="TableBodyCopybold"/>
            </w:pPr>
            <w:r w:rsidRPr="00451CB9">
              <w:lastRenderedPageBreak/>
              <w:t>Outcome 3.</w:t>
            </w:r>
            <w:r>
              <w:t>4</w:t>
            </w:r>
          </w:p>
          <w:p w14:paraId="2FC5B81E" w14:textId="10D0D68B" w:rsidR="00847ED6" w:rsidRPr="00EB60D8" w:rsidRDefault="001A7327" w:rsidP="00847ED6">
            <w:pPr>
              <w:pStyle w:val="TableBodyCopy"/>
            </w:pPr>
            <w:r>
              <w:t xml:space="preserve">Market access and trade: </w:t>
            </w:r>
            <w:r w:rsidR="00847ED6" w:rsidRPr="00451CB9">
              <w:t>Enhanced connectivity of people, services and goods</w:t>
            </w:r>
          </w:p>
        </w:tc>
        <w:tc>
          <w:tcPr>
            <w:tcW w:w="833" w:type="pct"/>
          </w:tcPr>
          <w:p w14:paraId="4F3533E2" w14:textId="2D892044" w:rsidR="00847ED6" w:rsidRDefault="00847ED6" w:rsidP="00847ED6">
            <w:pPr>
              <w:pStyle w:val="TableBodyCopy"/>
              <w:rPr>
                <w:color w:val="000000" w:themeColor="text1"/>
              </w:rPr>
            </w:pPr>
            <w:r>
              <w:rPr>
                <w:rFonts w:eastAsia="Times New Roman"/>
              </w:rPr>
              <w:t xml:space="preserve">3.4.1 </w:t>
            </w:r>
            <w:r w:rsidRPr="00D235AE">
              <w:rPr>
                <w:rFonts w:eastAsia="Times New Roman"/>
              </w:rPr>
              <w:t xml:space="preserve">Delivery of sustainable and inclusive trade, investment and economic growth initiatives for </w:t>
            </w:r>
            <w:proofErr w:type="gramStart"/>
            <w:r w:rsidRPr="00D235AE">
              <w:rPr>
                <w:rFonts w:eastAsia="Times New Roman"/>
              </w:rPr>
              <w:t>P</w:t>
            </w:r>
            <w:r w:rsidR="001A7327">
              <w:rPr>
                <w:rFonts w:eastAsia="Times New Roman"/>
              </w:rPr>
              <w:t>acific island</w:t>
            </w:r>
            <w:proofErr w:type="gramEnd"/>
            <w:r w:rsidR="002A36C7">
              <w:rPr>
                <w:rFonts w:eastAsia="Times New Roman"/>
              </w:rPr>
              <w:t xml:space="preserve"> countrie</w:t>
            </w:r>
            <w:r w:rsidRPr="00D235AE">
              <w:rPr>
                <w:rFonts w:eastAsia="Times New Roman"/>
              </w:rPr>
              <w:t>s</w:t>
            </w:r>
          </w:p>
        </w:tc>
        <w:tc>
          <w:tcPr>
            <w:tcW w:w="833" w:type="pct"/>
          </w:tcPr>
          <w:p w14:paraId="47144EE6" w14:textId="00A79BEF" w:rsidR="00847ED6" w:rsidRPr="00523466" w:rsidRDefault="00847ED6" w:rsidP="00847ED6">
            <w:pPr>
              <w:pStyle w:val="TableBodyCopy"/>
              <w:rPr>
                <w:color w:val="000000" w:themeColor="text1"/>
              </w:rPr>
            </w:pPr>
            <w:r w:rsidRPr="00AD7B9D">
              <w:t xml:space="preserve">Continued and tailored training and technical assistance for trade officials from </w:t>
            </w:r>
            <w:proofErr w:type="gramStart"/>
            <w:r w:rsidR="002A36C7" w:rsidRPr="00D235AE">
              <w:rPr>
                <w:rFonts w:eastAsia="Times New Roman"/>
              </w:rPr>
              <w:t>P</w:t>
            </w:r>
            <w:r w:rsidR="002A36C7">
              <w:rPr>
                <w:rFonts w:eastAsia="Times New Roman"/>
              </w:rPr>
              <w:t>acific island</w:t>
            </w:r>
            <w:proofErr w:type="gramEnd"/>
            <w:r w:rsidR="002A36C7">
              <w:rPr>
                <w:rFonts w:eastAsia="Times New Roman"/>
              </w:rPr>
              <w:t xml:space="preserve"> countrie</w:t>
            </w:r>
            <w:r w:rsidR="002A36C7" w:rsidRPr="00D235AE">
              <w:rPr>
                <w:rFonts w:eastAsia="Times New Roman"/>
              </w:rPr>
              <w:t>s</w:t>
            </w:r>
            <w:r w:rsidR="002A36C7" w:rsidRPr="00AD7B9D" w:rsidDel="002A36C7">
              <w:t xml:space="preserve"> </w:t>
            </w:r>
            <w:r w:rsidRPr="00AD7B9D">
              <w:t>to support export opportunities</w:t>
            </w:r>
          </w:p>
        </w:tc>
        <w:tc>
          <w:tcPr>
            <w:tcW w:w="833" w:type="pct"/>
          </w:tcPr>
          <w:p w14:paraId="7123B9AC" w14:textId="3915E163" w:rsidR="00847ED6" w:rsidRPr="00523466" w:rsidRDefault="00847ED6" w:rsidP="00847ED6">
            <w:pPr>
              <w:pStyle w:val="TableBodyCopy"/>
              <w:rPr>
                <w:color w:val="000000" w:themeColor="text1"/>
              </w:rPr>
            </w:pPr>
            <w:r w:rsidRPr="00AD7B9D">
              <w:t xml:space="preserve">Continued and tailored training and technical assistance for trade officials from </w:t>
            </w:r>
            <w:proofErr w:type="gramStart"/>
            <w:r w:rsidR="002A36C7" w:rsidRPr="00D235AE">
              <w:rPr>
                <w:rFonts w:eastAsia="Times New Roman"/>
              </w:rPr>
              <w:t>P</w:t>
            </w:r>
            <w:r w:rsidR="002A36C7">
              <w:rPr>
                <w:rFonts w:eastAsia="Times New Roman"/>
              </w:rPr>
              <w:t>acific island</w:t>
            </w:r>
            <w:proofErr w:type="gramEnd"/>
            <w:r w:rsidR="002A36C7">
              <w:rPr>
                <w:rFonts w:eastAsia="Times New Roman"/>
              </w:rPr>
              <w:t xml:space="preserve"> countrie</w:t>
            </w:r>
            <w:r w:rsidR="002A36C7" w:rsidRPr="00D235AE">
              <w:rPr>
                <w:rFonts w:eastAsia="Times New Roman"/>
              </w:rPr>
              <w:t>s</w:t>
            </w:r>
            <w:r w:rsidR="002A36C7" w:rsidRPr="00AD7B9D" w:rsidDel="002A36C7">
              <w:t xml:space="preserve"> </w:t>
            </w:r>
            <w:r w:rsidRPr="00AD7B9D">
              <w:t>to support export opportunities</w:t>
            </w:r>
          </w:p>
        </w:tc>
        <w:tc>
          <w:tcPr>
            <w:tcW w:w="833" w:type="pct"/>
          </w:tcPr>
          <w:p w14:paraId="0296FFD0" w14:textId="17746A56" w:rsidR="00847ED6" w:rsidRPr="00523466" w:rsidRDefault="00847ED6" w:rsidP="00847ED6">
            <w:pPr>
              <w:pStyle w:val="TableBodyCopy"/>
              <w:rPr>
                <w:color w:val="000000" w:themeColor="text1"/>
              </w:rPr>
            </w:pPr>
            <w:r w:rsidRPr="00AD7B9D">
              <w:t xml:space="preserve">Continued and tailored training and technical assistance for trade officials from </w:t>
            </w:r>
            <w:proofErr w:type="gramStart"/>
            <w:r w:rsidR="002A36C7" w:rsidRPr="00D235AE">
              <w:rPr>
                <w:rFonts w:eastAsia="Times New Roman"/>
              </w:rPr>
              <w:t>P</w:t>
            </w:r>
            <w:r w:rsidR="002A36C7">
              <w:rPr>
                <w:rFonts w:eastAsia="Times New Roman"/>
              </w:rPr>
              <w:t>acific island</w:t>
            </w:r>
            <w:proofErr w:type="gramEnd"/>
            <w:r w:rsidR="002A36C7">
              <w:rPr>
                <w:rFonts w:eastAsia="Times New Roman"/>
              </w:rPr>
              <w:t xml:space="preserve"> countrie</w:t>
            </w:r>
            <w:r w:rsidR="002A36C7" w:rsidRPr="00D235AE">
              <w:rPr>
                <w:rFonts w:eastAsia="Times New Roman"/>
              </w:rPr>
              <w:t>s</w:t>
            </w:r>
            <w:r w:rsidR="002A36C7" w:rsidRPr="00AD7B9D" w:rsidDel="002A36C7">
              <w:t xml:space="preserve"> </w:t>
            </w:r>
            <w:r w:rsidRPr="00AD7B9D">
              <w:t>to support export opportunities</w:t>
            </w:r>
          </w:p>
        </w:tc>
        <w:tc>
          <w:tcPr>
            <w:tcW w:w="833" w:type="pct"/>
          </w:tcPr>
          <w:p w14:paraId="75E079A5" w14:textId="277F1157" w:rsidR="00847ED6" w:rsidRPr="00523466" w:rsidRDefault="00C95209" w:rsidP="00847ED6">
            <w:pPr>
              <w:pStyle w:val="TableBodyCopy"/>
              <w:rPr>
                <w:color w:val="000000" w:themeColor="text1"/>
              </w:rPr>
            </w:pPr>
            <w:r>
              <w:t>SDG</w:t>
            </w:r>
            <w:r w:rsidR="00847ED6" w:rsidRPr="00AD7B9D">
              <w:t>8</w:t>
            </w:r>
          </w:p>
        </w:tc>
      </w:tr>
      <w:tr w:rsidR="00847ED6" w:rsidRPr="00D750DD" w14:paraId="504AB3DB" w14:textId="77777777" w:rsidTr="005B2132">
        <w:tc>
          <w:tcPr>
            <w:tcW w:w="833" w:type="pct"/>
          </w:tcPr>
          <w:p w14:paraId="4B96ABC5" w14:textId="126639C7" w:rsidR="00847ED6" w:rsidRPr="00EB60D8" w:rsidRDefault="00847ED6" w:rsidP="00847ED6">
            <w:pPr>
              <w:pStyle w:val="TableBodyCopybold"/>
            </w:pPr>
            <w:r w:rsidRPr="00451CB9">
              <w:t>Outcome 3.</w:t>
            </w:r>
            <w:r>
              <w:t>4</w:t>
            </w:r>
          </w:p>
        </w:tc>
        <w:tc>
          <w:tcPr>
            <w:tcW w:w="833" w:type="pct"/>
          </w:tcPr>
          <w:p w14:paraId="6E487AA8" w14:textId="08DF0CD5" w:rsidR="00847ED6" w:rsidRDefault="003D0660" w:rsidP="00847ED6">
            <w:pPr>
              <w:pStyle w:val="TableBodyCopy"/>
              <w:rPr>
                <w:color w:val="000000" w:themeColor="text1"/>
              </w:rPr>
            </w:pPr>
            <w:r>
              <w:rPr>
                <w:rFonts w:eastAsia="Times New Roman"/>
              </w:rPr>
              <w:t xml:space="preserve">3.4.2 </w:t>
            </w:r>
            <w:r w:rsidR="00847ED6" w:rsidRPr="00326970">
              <w:rPr>
                <w:rFonts w:eastAsia="Times New Roman"/>
              </w:rPr>
              <w:t xml:space="preserve">Improved enabling environment for doing business in the Pacific and improved market access of </w:t>
            </w:r>
            <w:proofErr w:type="gramStart"/>
            <w:r w:rsidR="00847ED6">
              <w:rPr>
                <w:color w:val="222222"/>
              </w:rPr>
              <w:t>Pacific island</w:t>
            </w:r>
            <w:proofErr w:type="gramEnd"/>
            <w:r w:rsidR="00847ED6">
              <w:rPr>
                <w:color w:val="222222"/>
              </w:rPr>
              <w:t xml:space="preserve"> countries</w:t>
            </w:r>
          </w:p>
        </w:tc>
        <w:tc>
          <w:tcPr>
            <w:tcW w:w="833" w:type="pct"/>
          </w:tcPr>
          <w:p w14:paraId="0AF5C1A9" w14:textId="12A058E9" w:rsidR="00847ED6" w:rsidRPr="00AD7B9D" w:rsidRDefault="00847ED6" w:rsidP="00847ED6">
            <w:pPr>
              <w:pStyle w:val="TableBodyCopy"/>
            </w:pPr>
            <w:r w:rsidRPr="00AD7B9D">
              <w:t>Enhanced systems for coordinating regulatory requirements</w:t>
            </w:r>
          </w:p>
          <w:p w14:paraId="6D9673EB" w14:textId="117D3E35" w:rsidR="00847ED6" w:rsidRPr="00523466" w:rsidRDefault="00847ED6" w:rsidP="00847ED6">
            <w:pPr>
              <w:pStyle w:val="TableBodyCopy"/>
              <w:rPr>
                <w:color w:val="000000" w:themeColor="text1"/>
              </w:rPr>
            </w:pPr>
            <w:r w:rsidRPr="00AD7B9D">
              <w:t xml:space="preserve">Continued and regular engagement with </w:t>
            </w:r>
            <w:proofErr w:type="gramStart"/>
            <w:r w:rsidR="002A36C7" w:rsidRPr="00D235AE">
              <w:rPr>
                <w:rFonts w:eastAsia="Times New Roman"/>
              </w:rPr>
              <w:t>P</w:t>
            </w:r>
            <w:r w:rsidR="002A36C7">
              <w:rPr>
                <w:rFonts w:eastAsia="Times New Roman"/>
              </w:rPr>
              <w:t>acific island</w:t>
            </w:r>
            <w:proofErr w:type="gramEnd"/>
            <w:r w:rsidR="002A36C7">
              <w:rPr>
                <w:rFonts w:eastAsia="Times New Roman"/>
              </w:rPr>
              <w:t xml:space="preserve"> countrie</w:t>
            </w:r>
            <w:r w:rsidR="002A36C7" w:rsidRPr="00D235AE">
              <w:rPr>
                <w:rFonts w:eastAsia="Times New Roman"/>
              </w:rPr>
              <w:t>s</w:t>
            </w:r>
            <w:r w:rsidR="002A36C7" w:rsidRPr="00AD7B9D" w:rsidDel="002A36C7">
              <w:t xml:space="preserve"> </w:t>
            </w:r>
            <w:r w:rsidRPr="00AD7B9D">
              <w:t>to understand</w:t>
            </w:r>
            <w:r w:rsidR="002A36C7">
              <w:t xml:space="preserve"> and</w:t>
            </w:r>
            <w:r w:rsidRPr="00AD7B9D">
              <w:t xml:space="preserve"> address any barriers to trade</w:t>
            </w:r>
          </w:p>
        </w:tc>
        <w:tc>
          <w:tcPr>
            <w:tcW w:w="833" w:type="pct"/>
          </w:tcPr>
          <w:p w14:paraId="2603774E" w14:textId="2C7FAA34" w:rsidR="00847ED6" w:rsidRPr="00AD7B9D" w:rsidRDefault="00847ED6" w:rsidP="00847ED6">
            <w:pPr>
              <w:pStyle w:val="TableBodyCopy"/>
            </w:pPr>
            <w:r w:rsidRPr="00AD7B9D">
              <w:t>Enhanced systems for coordinating regulatory requirements</w:t>
            </w:r>
          </w:p>
          <w:p w14:paraId="3FE9E5FF" w14:textId="0CC830BA" w:rsidR="00847ED6" w:rsidRPr="00523466" w:rsidRDefault="00847ED6" w:rsidP="00847ED6">
            <w:pPr>
              <w:pStyle w:val="TableBodyCopy"/>
              <w:rPr>
                <w:color w:val="000000" w:themeColor="text1"/>
              </w:rPr>
            </w:pPr>
            <w:r w:rsidRPr="00AD7B9D">
              <w:t xml:space="preserve">Continued and regular engagement with </w:t>
            </w:r>
            <w:proofErr w:type="gramStart"/>
            <w:r w:rsidR="002A36C7" w:rsidRPr="00D235AE">
              <w:rPr>
                <w:rFonts w:eastAsia="Times New Roman"/>
              </w:rPr>
              <w:t>P</w:t>
            </w:r>
            <w:r w:rsidR="002A36C7">
              <w:rPr>
                <w:rFonts w:eastAsia="Times New Roman"/>
              </w:rPr>
              <w:t>acific island</w:t>
            </w:r>
            <w:proofErr w:type="gramEnd"/>
            <w:r w:rsidR="002A36C7">
              <w:rPr>
                <w:rFonts w:eastAsia="Times New Roman"/>
              </w:rPr>
              <w:t xml:space="preserve"> countrie</w:t>
            </w:r>
            <w:r w:rsidR="002A36C7" w:rsidRPr="00D235AE">
              <w:rPr>
                <w:rFonts w:eastAsia="Times New Roman"/>
              </w:rPr>
              <w:t>s</w:t>
            </w:r>
            <w:r w:rsidR="002A36C7" w:rsidRPr="00AD7B9D" w:rsidDel="002A36C7">
              <w:t xml:space="preserve"> </w:t>
            </w:r>
            <w:r w:rsidRPr="00AD7B9D">
              <w:t xml:space="preserve">to understand </w:t>
            </w:r>
            <w:r w:rsidR="002A36C7">
              <w:t xml:space="preserve">and </w:t>
            </w:r>
            <w:r w:rsidRPr="00AD7B9D">
              <w:t>address any barriers to trade</w:t>
            </w:r>
          </w:p>
        </w:tc>
        <w:tc>
          <w:tcPr>
            <w:tcW w:w="833" w:type="pct"/>
          </w:tcPr>
          <w:p w14:paraId="48076147" w14:textId="38B15246" w:rsidR="00847ED6" w:rsidRPr="00AD7B9D" w:rsidRDefault="00847ED6" w:rsidP="00847ED6">
            <w:pPr>
              <w:pStyle w:val="TableBodyCopy"/>
            </w:pPr>
            <w:r w:rsidRPr="00AD7B9D">
              <w:t>Enhanced systems for coordinating regulatory requirements</w:t>
            </w:r>
          </w:p>
          <w:p w14:paraId="0B294992" w14:textId="77020F42" w:rsidR="00847ED6" w:rsidRPr="00523466" w:rsidRDefault="00847ED6" w:rsidP="00847ED6">
            <w:pPr>
              <w:pStyle w:val="TableBodyCopy"/>
              <w:rPr>
                <w:color w:val="000000" w:themeColor="text1"/>
              </w:rPr>
            </w:pPr>
            <w:r w:rsidRPr="00AD7B9D">
              <w:t xml:space="preserve">Continued and regular engagement with </w:t>
            </w:r>
            <w:proofErr w:type="gramStart"/>
            <w:r w:rsidR="002A36C7" w:rsidRPr="00D235AE">
              <w:rPr>
                <w:rFonts w:eastAsia="Times New Roman"/>
              </w:rPr>
              <w:t>P</w:t>
            </w:r>
            <w:r w:rsidR="002A36C7">
              <w:rPr>
                <w:rFonts w:eastAsia="Times New Roman"/>
              </w:rPr>
              <w:t>acific island</w:t>
            </w:r>
            <w:proofErr w:type="gramEnd"/>
            <w:r w:rsidR="002A36C7">
              <w:rPr>
                <w:rFonts w:eastAsia="Times New Roman"/>
              </w:rPr>
              <w:t xml:space="preserve"> countrie</w:t>
            </w:r>
            <w:r w:rsidR="002A36C7" w:rsidRPr="00D235AE">
              <w:rPr>
                <w:rFonts w:eastAsia="Times New Roman"/>
              </w:rPr>
              <w:t>s</w:t>
            </w:r>
            <w:r w:rsidR="002A36C7" w:rsidRPr="00AD7B9D" w:rsidDel="002A36C7">
              <w:t xml:space="preserve"> </w:t>
            </w:r>
            <w:r w:rsidRPr="00AD7B9D">
              <w:t xml:space="preserve">to understand </w:t>
            </w:r>
            <w:r w:rsidR="002A36C7">
              <w:t xml:space="preserve">and </w:t>
            </w:r>
            <w:r w:rsidRPr="00AD7B9D">
              <w:t>address any barriers to trade</w:t>
            </w:r>
          </w:p>
        </w:tc>
        <w:tc>
          <w:tcPr>
            <w:tcW w:w="833" w:type="pct"/>
          </w:tcPr>
          <w:p w14:paraId="49F82906" w14:textId="1B6A181C" w:rsidR="00847ED6" w:rsidRPr="00847ED6" w:rsidRDefault="00C95209" w:rsidP="00847ED6">
            <w:pPr>
              <w:pStyle w:val="TableBodyCopy"/>
            </w:pPr>
            <w:r>
              <w:t>SDG</w:t>
            </w:r>
            <w:r w:rsidR="00847ED6" w:rsidRPr="00AD7B9D">
              <w:t>8</w:t>
            </w:r>
          </w:p>
        </w:tc>
      </w:tr>
      <w:tr w:rsidR="00847ED6" w:rsidRPr="00D750DD" w14:paraId="7175696E" w14:textId="77777777" w:rsidTr="005B2132">
        <w:tc>
          <w:tcPr>
            <w:tcW w:w="833" w:type="pct"/>
          </w:tcPr>
          <w:p w14:paraId="150632D2" w14:textId="57DDD8E1" w:rsidR="00847ED6" w:rsidRPr="00EB60D8" w:rsidRDefault="00847ED6" w:rsidP="00847ED6">
            <w:pPr>
              <w:pStyle w:val="TableBodyCopybold"/>
            </w:pPr>
            <w:r w:rsidRPr="00451CB9">
              <w:t>Outcome 3.</w:t>
            </w:r>
            <w:r>
              <w:t>4</w:t>
            </w:r>
          </w:p>
        </w:tc>
        <w:tc>
          <w:tcPr>
            <w:tcW w:w="833" w:type="pct"/>
          </w:tcPr>
          <w:p w14:paraId="29D85DB5" w14:textId="05AE28EA" w:rsidR="00847ED6" w:rsidRDefault="00F11DC8" w:rsidP="00847ED6">
            <w:pPr>
              <w:pStyle w:val="TableBodyCopy"/>
              <w:rPr>
                <w:color w:val="000000" w:themeColor="text1"/>
              </w:rPr>
            </w:pPr>
            <w:r>
              <w:rPr>
                <w:rFonts w:eastAsia="Times New Roman"/>
              </w:rPr>
              <w:t xml:space="preserve">3.4.3 </w:t>
            </w:r>
            <w:r w:rsidR="00847ED6" w:rsidRPr="00D235AE">
              <w:rPr>
                <w:rFonts w:eastAsia="Times New Roman"/>
              </w:rPr>
              <w:t>Improved enabling environment for aviation in the Pacific</w:t>
            </w:r>
          </w:p>
        </w:tc>
        <w:tc>
          <w:tcPr>
            <w:tcW w:w="833" w:type="pct"/>
          </w:tcPr>
          <w:p w14:paraId="1FA21267" w14:textId="0D2F5FC1" w:rsidR="00847ED6" w:rsidRPr="00B2341E" w:rsidRDefault="00D31A9A" w:rsidP="00847ED6">
            <w:pPr>
              <w:pStyle w:val="TableBodyCopy"/>
            </w:pPr>
            <w:r w:rsidRPr="00B2341E">
              <w:t>Number</w:t>
            </w:r>
            <w:r w:rsidR="00847ED6" w:rsidRPr="00B2341E">
              <w:t xml:space="preserve"> of improvements to safety and quality systems by country and type of improvement</w:t>
            </w:r>
            <w:r w:rsidR="006C502D">
              <w:t xml:space="preserve"> </w:t>
            </w:r>
            <w:r w:rsidR="000765CA" w:rsidRPr="00B2341E">
              <w:t>(</w:t>
            </w:r>
            <w:r w:rsidR="00847ED6" w:rsidRPr="00B2341E">
              <w:t>cumulative</w:t>
            </w:r>
            <w:r w:rsidR="000765CA" w:rsidRPr="00B2341E">
              <w:t>)</w:t>
            </w:r>
          </w:p>
          <w:p w14:paraId="6C8FC42A" w14:textId="5E6537DD" w:rsidR="00847ED6" w:rsidRPr="00B2341E" w:rsidRDefault="00D31A9A" w:rsidP="00847ED6">
            <w:pPr>
              <w:pStyle w:val="TableBodyCopy"/>
              <w:rPr>
                <w:color w:val="000000" w:themeColor="text1"/>
              </w:rPr>
            </w:pPr>
            <w:r w:rsidRPr="00B2341E">
              <w:t>Percentage</w:t>
            </w:r>
            <w:r w:rsidR="00847ED6" w:rsidRPr="00B2341E">
              <w:t xml:space="preserve"> female participation in aviation safety and quality initiatives (cumulative)</w:t>
            </w:r>
          </w:p>
        </w:tc>
        <w:tc>
          <w:tcPr>
            <w:tcW w:w="833" w:type="pct"/>
          </w:tcPr>
          <w:p w14:paraId="530CF612" w14:textId="63161654" w:rsidR="00847ED6" w:rsidRPr="00B2341E" w:rsidRDefault="00D31A9A" w:rsidP="00847ED6">
            <w:pPr>
              <w:pStyle w:val="TableBodyCopy"/>
            </w:pPr>
            <w:r w:rsidRPr="00B2341E">
              <w:t>Number</w:t>
            </w:r>
            <w:r w:rsidR="00847ED6" w:rsidRPr="00B2341E">
              <w:t xml:space="preserve"> of improvements to safety and quality systems by country and type of improvement </w:t>
            </w:r>
            <w:r w:rsidR="000765CA" w:rsidRPr="00B2341E">
              <w:t>(</w:t>
            </w:r>
            <w:r w:rsidR="00847ED6" w:rsidRPr="00B2341E">
              <w:t>cumulative</w:t>
            </w:r>
            <w:r w:rsidR="000765CA" w:rsidRPr="00B2341E">
              <w:t>)</w:t>
            </w:r>
          </w:p>
          <w:p w14:paraId="6265702C" w14:textId="62BC64D5" w:rsidR="00847ED6" w:rsidRPr="00B2341E" w:rsidRDefault="00D31A9A" w:rsidP="00847ED6">
            <w:pPr>
              <w:pStyle w:val="TableBodyCopy"/>
              <w:rPr>
                <w:color w:val="000000" w:themeColor="text1"/>
              </w:rPr>
            </w:pPr>
            <w:r w:rsidRPr="00B2341E">
              <w:t>Percentage</w:t>
            </w:r>
            <w:r w:rsidR="00847ED6" w:rsidRPr="00B2341E">
              <w:t xml:space="preserve"> female participation in aviation safety and quality initiatives (cumulative)</w:t>
            </w:r>
          </w:p>
        </w:tc>
        <w:tc>
          <w:tcPr>
            <w:tcW w:w="833" w:type="pct"/>
          </w:tcPr>
          <w:p w14:paraId="247244F3" w14:textId="32E6ABCE" w:rsidR="00847ED6" w:rsidRPr="00B2341E" w:rsidRDefault="00D31A9A" w:rsidP="00847ED6">
            <w:pPr>
              <w:pStyle w:val="TableBodyCopy"/>
            </w:pPr>
            <w:r w:rsidRPr="00B2341E">
              <w:t>Number</w:t>
            </w:r>
            <w:r w:rsidR="00847ED6" w:rsidRPr="00B2341E">
              <w:t xml:space="preserve"> of improvements to safety and quality systems by country and type of improvement </w:t>
            </w:r>
            <w:r w:rsidR="000765CA" w:rsidRPr="00B2341E">
              <w:t>(</w:t>
            </w:r>
            <w:r w:rsidR="00847ED6" w:rsidRPr="00B2341E">
              <w:t>cumulative</w:t>
            </w:r>
            <w:r w:rsidR="000765CA" w:rsidRPr="00B2341E">
              <w:t>)</w:t>
            </w:r>
          </w:p>
          <w:p w14:paraId="688D3DFF" w14:textId="05799A80" w:rsidR="00847ED6" w:rsidRPr="00B2341E" w:rsidRDefault="00D31A9A" w:rsidP="00847ED6">
            <w:pPr>
              <w:pStyle w:val="TableBodyCopy"/>
              <w:rPr>
                <w:color w:val="000000" w:themeColor="text1"/>
              </w:rPr>
            </w:pPr>
            <w:r w:rsidRPr="00B2341E">
              <w:t>Percentage</w:t>
            </w:r>
            <w:r w:rsidR="00847ED6" w:rsidRPr="00B2341E">
              <w:t xml:space="preserve"> female participation in aviation safety and quality initiatives (cumulative)</w:t>
            </w:r>
          </w:p>
        </w:tc>
        <w:tc>
          <w:tcPr>
            <w:tcW w:w="833" w:type="pct"/>
          </w:tcPr>
          <w:p w14:paraId="0D903CB3" w14:textId="074540EE" w:rsidR="00847ED6" w:rsidRPr="00523466" w:rsidRDefault="00C95209" w:rsidP="00847ED6">
            <w:pPr>
              <w:pStyle w:val="TableBodyCopy"/>
              <w:rPr>
                <w:color w:val="000000" w:themeColor="text1"/>
              </w:rPr>
            </w:pPr>
            <w:r>
              <w:t>SDG</w:t>
            </w:r>
            <w:r w:rsidR="00847ED6" w:rsidRPr="00AD7B9D">
              <w:t>8</w:t>
            </w:r>
          </w:p>
        </w:tc>
      </w:tr>
      <w:bookmarkEnd w:id="14"/>
    </w:tbl>
    <w:p w14:paraId="0B0748C7" w14:textId="34679EC7" w:rsidR="00841E8E" w:rsidRDefault="00841E8E" w:rsidP="00335D60">
      <w:pPr>
        <w:pStyle w:val="PAFobjectivehead"/>
      </w:pPr>
      <w:r>
        <w:br w:type="page"/>
      </w:r>
    </w:p>
    <w:p w14:paraId="5EB41BFE" w14:textId="3A160AD1" w:rsidR="00A6102F" w:rsidRPr="00A6102F" w:rsidRDefault="00A6102F" w:rsidP="00335D60">
      <w:pPr>
        <w:pStyle w:val="PAFobjectivehead"/>
      </w:pPr>
      <w:r w:rsidRPr="54EFF7E9">
        <w:lastRenderedPageBreak/>
        <w:t xml:space="preserve">Objective 4: </w:t>
      </w:r>
      <w:r w:rsidR="008E5998">
        <w:t>Wellbeing, inclusion and equity</w:t>
      </w:r>
    </w:p>
    <w:tbl>
      <w:tblPr>
        <w:tblStyle w:val="DFATBluegum"/>
        <w:tblW w:w="5000" w:type="pct"/>
        <w:tblLayout w:type="fixed"/>
        <w:tblLook w:val="04A0" w:firstRow="1" w:lastRow="0" w:firstColumn="1" w:lastColumn="0" w:noHBand="0" w:noVBand="1"/>
        <w:tblCaption w:val="Performance Assessment Framework for Objective 4"/>
        <w:tblDescription w:val="Expected results for Objective 4 for the first 3 years of the DPP and against the Sustainable Development Goals"/>
      </w:tblPr>
      <w:tblGrid>
        <w:gridCol w:w="2403"/>
        <w:gridCol w:w="2403"/>
        <w:gridCol w:w="2403"/>
        <w:gridCol w:w="2403"/>
        <w:gridCol w:w="2403"/>
        <w:gridCol w:w="2403"/>
      </w:tblGrid>
      <w:tr w:rsidR="0070230F" w:rsidRPr="00D750DD" w14:paraId="2CC5F9C6" w14:textId="77777777" w:rsidTr="00547BC4">
        <w:trPr>
          <w:cnfStyle w:val="100000000000" w:firstRow="1" w:lastRow="0" w:firstColumn="0" w:lastColumn="0" w:oddVBand="0" w:evenVBand="0" w:oddHBand="0" w:evenHBand="0" w:firstRowFirstColumn="0" w:firstRowLastColumn="0" w:lastRowFirstColumn="0" w:lastRowLastColumn="0"/>
          <w:trHeight w:val="583"/>
        </w:trPr>
        <w:tc>
          <w:tcPr>
            <w:tcW w:w="0" w:type="pct"/>
          </w:tcPr>
          <w:p w14:paraId="3FD5E355" w14:textId="5C875C89" w:rsidR="0070230F" w:rsidRPr="00F172DD" w:rsidRDefault="00712DC2" w:rsidP="00F172DD">
            <w:pPr>
              <w:pStyle w:val="TableHeading"/>
            </w:pPr>
            <w:r w:rsidRPr="00F172DD">
              <w:t>Outcome</w:t>
            </w:r>
          </w:p>
        </w:tc>
        <w:tc>
          <w:tcPr>
            <w:tcW w:w="0" w:type="pct"/>
            <w:hideMark/>
          </w:tcPr>
          <w:p w14:paraId="0B7F0CBF" w14:textId="77777777" w:rsidR="0070230F" w:rsidRPr="00F172DD" w:rsidRDefault="0070230F" w:rsidP="00F172DD">
            <w:pPr>
              <w:pStyle w:val="TableHeading"/>
            </w:pPr>
            <w:r w:rsidRPr="00F172DD">
              <w:t>Indicator</w:t>
            </w:r>
          </w:p>
        </w:tc>
        <w:tc>
          <w:tcPr>
            <w:tcW w:w="0" w:type="pct"/>
            <w:hideMark/>
          </w:tcPr>
          <w:p w14:paraId="646BC9C3" w14:textId="1A1B23AC" w:rsidR="0070230F" w:rsidRPr="00F172DD" w:rsidRDefault="0070230F" w:rsidP="00F172DD">
            <w:pPr>
              <w:pStyle w:val="TableHeading"/>
            </w:pPr>
            <w:r w:rsidRPr="00F172DD">
              <w:t xml:space="preserve">Expected </w:t>
            </w:r>
            <w:r w:rsidR="00FB5B16" w:rsidRPr="00F172DD">
              <w:t>r</w:t>
            </w:r>
            <w:r w:rsidRPr="00F172DD">
              <w:t>esults</w:t>
            </w:r>
            <w:r w:rsidR="00FA28F4" w:rsidRPr="00F172DD">
              <w:br/>
            </w:r>
            <w:r w:rsidRPr="00F172DD">
              <w:t>2024</w:t>
            </w:r>
            <w:r w:rsidR="00FA28F4" w:rsidRPr="00F172DD">
              <w:t>–</w:t>
            </w:r>
            <w:r w:rsidRPr="00F172DD">
              <w:t>25</w:t>
            </w:r>
          </w:p>
        </w:tc>
        <w:tc>
          <w:tcPr>
            <w:tcW w:w="0" w:type="pct"/>
            <w:hideMark/>
          </w:tcPr>
          <w:p w14:paraId="1E689A1F" w14:textId="72394962" w:rsidR="0070230F" w:rsidRPr="00F172DD" w:rsidRDefault="0070230F" w:rsidP="00F172DD">
            <w:pPr>
              <w:pStyle w:val="TableHeading"/>
            </w:pPr>
            <w:r w:rsidRPr="00F172DD">
              <w:t xml:space="preserve">Expected </w:t>
            </w:r>
            <w:r w:rsidR="00FB5B16" w:rsidRPr="00F172DD">
              <w:t>r</w:t>
            </w:r>
            <w:r w:rsidRPr="00F172DD">
              <w:t>esults</w:t>
            </w:r>
            <w:r w:rsidR="00FA28F4" w:rsidRPr="00F172DD">
              <w:br/>
            </w:r>
            <w:r w:rsidRPr="00F172DD">
              <w:t>2025</w:t>
            </w:r>
            <w:r w:rsidR="00FA28F4" w:rsidRPr="00F172DD">
              <w:t>–</w:t>
            </w:r>
            <w:r w:rsidRPr="00F172DD">
              <w:t>26</w:t>
            </w:r>
          </w:p>
        </w:tc>
        <w:tc>
          <w:tcPr>
            <w:tcW w:w="0" w:type="pct"/>
            <w:hideMark/>
          </w:tcPr>
          <w:p w14:paraId="06EB1D36" w14:textId="3C67763A" w:rsidR="0070230F" w:rsidRPr="00F172DD" w:rsidRDefault="0070230F" w:rsidP="00F172DD">
            <w:pPr>
              <w:pStyle w:val="TableHeading"/>
            </w:pPr>
            <w:r w:rsidRPr="00F172DD">
              <w:t xml:space="preserve">Expected </w:t>
            </w:r>
            <w:r w:rsidR="00FB5B16" w:rsidRPr="00F172DD">
              <w:t>r</w:t>
            </w:r>
            <w:r w:rsidRPr="00F172DD">
              <w:t>esults</w:t>
            </w:r>
            <w:r w:rsidR="00FA28F4" w:rsidRPr="00F172DD">
              <w:br/>
            </w:r>
            <w:r w:rsidRPr="00F172DD">
              <w:t>2026</w:t>
            </w:r>
            <w:r w:rsidR="00FA28F4" w:rsidRPr="00F172DD">
              <w:t>–</w:t>
            </w:r>
            <w:r w:rsidRPr="00F172DD">
              <w:t>27</w:t>
            </w:r>
          </w:p>
        </w:tc>
        <w:tc>
          <w:tcPr>
            <w:tcW w:w="0" w:type="pct"/>
            <w:hideMark/>
          </w:tcPr>
          <w:p w14:paraId="04CC4D81" w14:textId="682F6682" w:rsidR="0070230F" w:rsidRPr="00F172DD" w:rsidRDefault="00FB5B16" w:rsidP="00F172DD">
            <w:pPr>
              <w:pStyle w:val="TableHeading"/>
            </w:pPr>
            <w:r w:rsidRPr="00F172DD">
              <w:t>Sustainable Development Goals (SDGs)</w:t>
            </w:r>
          </w:p>
        </w:tc>
      </w:tr>
      <w:tr w:rsidR="008A0978" w:rsidRPr="00D750DD" w14:paraId="64B4201A" w14:textId="77777777" w:rsidTr="00547BC4">
        <w:trPr>
          <w:trHeight w:val="583"/>
        </w:trPr>
        <w:tc>
          <w:tcPr>
            <w:tcW w:w="0" w:type="pct"/>
            <w:shd w:val="clear" w:color="auto" w:fill="D9D9D9"/>
          </w:tcPr>
          <w:p w14:paraId="20544B5D" w14:textId="7D7C8874" w:rsidR="008A0978" w:rsidRPr="008A0978" w:rsidRDefault="008A0978" w:rsidP="008A0978">
            <w:pPr>
              <w:pStyle w:val="TableBodyCopybold"/>
            </w:pPr>
            <w:bookmarkStart w:id="15" w:name="_Hlk169508353"/>
            <w:r w:rsidRPr="008A0978">
              <w:t>Outcome 4.1</w:t>
            </w:r>
          </w:p>
          <w:p w14:paraId="7FB7AA61" w14:textId="50B9661D" w:rsidR="008A0978" w:rsidRPr="00F172DD" w:rsidRDefault="009F2AD2" w:rsidP="008A0978">
            <w:pPr>
              <w:pStyle w:val="TableBodyCopy"/>
            </w:pPr>
            <w:r>
              <w:t xml:space="preserve">Gender equality, disability and social inclusion (GEDSI): </w:t>
            </w:r>
            <w:r w:rsidR="00F76E51">
              <w:t>L</w:t>
            </w:r>
            <w:r w:rsidR="008A0978" w:rsidRPr="008A0978">
              <w:t>ocal leadership to promote gender equality and disability equity</w:t>
            </w:r>
          </w:p>
        </w:tc>
        <w:tc>
          <w:tcPr>
            <w:tcW w:w="0" w:type="pct"/>
            <w:shd w:val="clear" w:color="auto" w:fill="D9D9D9"/>
          </w:tcPr>
          <w:p w14:paraId="44104825" w14:textId="2D8BB451" w:rsidR="008A0978" w:rsidRPr="00F172DD" w:rsidRDefault="0027502F" w:rsidP="008A0978">
            <w:pPr>
              <w:pStyle w:val="TableBodyCopy"/>
            </w:pPr>
            <w:r>
              <w:t xml:space="preserve">4.1.1 </w:t>
            </w:r>
            <w:r w:rsidR="008A0978" w:rsidRPr="008A0978">
              <w:t>Australia and Pacific collaboration to implement regional GEDSI commitments</w:t>
            </w:r>
          </w:p>
        </w:tc>
        <w:tc>
          <w:tcPr>
            <w:tcW w:w="0" w:type="pct"/>
            <w:shd w:val="clear" w:color="auto" w:fill="D9D9D9"/>
          </w:tcPr>
          <w:p w14:paraId="3FAC857D" w14:textId="639149BC" w:rsidR="008A0978" w:rsidRPr="00F172DD" w:rsidRDefault="008A0978" w:rsidP="008A0978">
            <w:pPr>
              <w:pStyle w:val="TableBodyCopy"/>
            </w:pPr>
            <w:r w:rsidRPr="008A0978">
              <w:t>Regional collaboration on GEDSI commitments</w:t>
            </w:r>
          </w:p>
        </w:tc>
        <w:tc>
          <w:tcPr>
            <w:tcW w:w="0" w:type="pct"/>
            <w:shd w:val="clear" w:color="auto" w:fill="D9D9D9"/>
          </w:tcPr>
          <w:p w14:paraId="5889E247" w14:textId="579070FC" w:rsidR="008A0978" w:rsidRPr="00F172DD" w:rsidRDefault="008A0978" w:rsidP="008A0978">
            <w:pPr>
              <w:pStyle w:val="TableBodyCopy"/>
            </w:pPr>
            <w:r w:rsidRPr="008A0978">
              <w:t>Pacific</w:t>
            </w:r>
            <w:r w:rsidR="00547BC4">
              <w:t xml:space="preserve"> </w:t>
            </w:r>
            <w:r w:rsidRPr="008A0978">
              <w:t>led evidence of transformational projects</w:t>
            </w:r>
          </w:p>
        </w:tc>
        <w:tc>
          <w:tcPr>
            <w:tcW w:w="0" w:type="pct"/>
            <w:shd w:val="clear" w:color="auto" w:fill="D9D9D9"/>
          </w:tcPr>
          <w:p w14:paraId="3CBA9DC7" w14:textId="57C6A7FB" w:rsidR="008A0978" w:rsidRPr="00F172DD" w:rsidRDefault="008A0978" w:rsidP="008A0978">
            <w:pPr>
              <w:pStyle w:val="TableBodyCopy"/>
            </w:pPr>
            <w:r w:rsidRPr="008A0978">
              <w:t>High-level, robust engagement and cooperation on GEDSI, together with transformational projects</w:t>
            </w:r>
          </w:p>
        </w:tc>
        <w:tc>
          <w:tcPr>
            <w:tcW w:w="0" w:type="pct"/>
            <w:shd w:val="clear" w:color="auto" w:fill="D9D9D9"/>
          </w:tcPr>
          <w:p w14:paraId="5E43A8EB" w14:textId="741E941C" w:rsidR="008A0978" w:rsidRPr="00F172DD" w:rsidDel="00FB5B16" w:rsidRDefault="008A0978" w:rsidP="008A0978">
            <w:pPr>
              <w:pStyle w:val="TableBodyCopy"/>
            </w:pPr>
            <w:r w:rsidRPr="008A0978">
              <w:t>SDG5</w:t>
            </w:r>
            <w:r w:rsidR="009F2AD2">
              <w:t>: Gender equality</w:t>
            </w:r>
            <w:r w:rsidRPr="008A0978">
              <w:t xml:space="preserve"> </w:t>
            </w:r>
          </w:p>
        </w:tc>
      </w:tr>
      <w:bookmarkEnd w:id="15"/>
      <w:tr w:rsidR="00983119" w:rsidRPr="00D750DD" w14:paraId="03FE5ECC" w14:textId="77777777" w:rsidTr="00547BC4">
        <w:trPr>
          <w:trHeight w:val="583"/>
        </w:trPr>
        <w:tc>
          <w:tcPr>
            <w:tcW w:w="0" w:type="pct"/>
            <w:shd w:val="clear" w:color="auto" w:fill="D9D9D9"/>
          </w:tcPr>
          <w:p w14:paraId="0F36E27C" w14:textId="77777777" w:rsidR="00983119" w:rsidRPr="00326970" w:rsidRDefault="00983119" w:rsidP="00983119">
            <w:pPr>
              <w:pStyle w:val="TableBodyCopybold"/>
            </w:pPr>
            <w:r w:rsidRPr="00326970">
              <w:t>Outcome 4.2</w:t>
            </w:r>
          </w:p>
          <w:p w14:paraId="099D5112" w14:textId="66804DAF" w:rsidR="00983119" w:rsidRPr="008A0978" w:rsidRDefault="009F2AD2" w:rsidP="00983119">
            <w:pPr>
              <w:pStyle w:val="TableBodyCopy"/>
            </w:pPr>
            <w:r>
              <w:t xml:space="preserve">Education for all: </w:t>
            </w:r>
            <w:r w:rsidR="00983119" w:rsidRPr="00326970">
              <w:t>Expanded education and employment pathways and opportunities for Pacific students throughout the region</w:t>
            </w:r>
          </w:p>
        </w:tc>
        <w:tc>
          <w:tcPr>
            <w:tcW w:w="0" w:type="pct"/>
            <w:shd w:val="clear" w:color="auto" w:fill="D9D9D9"/>
          </w:tcPr>
          <w:p w14:paraId="733BC97F" w14:textId="4A01F759" w:rsidR="00983119" w:rsidRDefault="008526E6" w:rsidP="00983119">
            <w:pPr>
              <w:pStyle w:val="TableBodyCopy"/>
            </w:pPr>
            <w:r>
              <w:rPr>
                <w:rFonts w:eastAsia="Times New Roman"/>
              </w:rPr>
              <w:t>4.2.1</w:t>
            </w:r>
            <w:r w:rsidR="009F2AD2">
              <w:rPr>
                <w:rFonts w:eastAsia="Times New Roman"/>
              </w:rPr>
              <w:t xml:space="preserve"> Australia and</w:t>
            </w:r>
            <w:r>
              <w:rPr>
                <w:rFonts w:eastAsia="Times New Roman"/>
              </w:rPr>
              <w:t xml:space="preserve"> </w:t>
            </w:r>
            <w:r w:rsidR="00983119" w:rsidRPr="00326970">
              <w:rPr>
                <w:rFonts w:eastAsia="Times New Roman"/>
              </w:rPr>
              <w:t>Pacific collaborate on skills development to sustainably address regional labour market needs</w:t>
            </w:r>
          </w:p>
        </w:tc>
        <w:tc>
          <w:tcPr>
            <w:tcW w:w="0" w:type="pct"/>
            <w:shd w:val="clear" w:color="auto" w:fill="D9D9D9"/>
          </w:tcPr>
          <w:p w14:paraId="57AE028C" w14:textId="487AE9E6" w:rsidR="00983119" w:rsidRPr="00B2341E" w:rsidRDefault="00983119" w:rsidP="00983119">
            <w:pPr>
              <w:pStyle w:val="TableBodyCopy"/>
            </w:pPr>
            <w:r w:rsidRPr="00B2341E">
              <w:rPr>
                <w:color w:val="000000"/>
              </w:rPr>
              <w:t xml:space="preserve">Finalise design of new Pacific </w:t>
            </w:r>
            <w:r w:rsidR="009F2AD2" w:rsidRPr="00B2341E">
              <w:rPr>
                <w:color w:val="000000"/>
              </w:rPr>
              <w:t>s</w:t>
            </w:r>
            <w:r w:rsidRPr="00B2341E">
              <w:rPr>
                <w:color w:val="000000"/>
              </w:rPr>
              <w:t>kills investment</w:t>
            </w:r>
          </w:p>
        </w:tc>
        <w:tc>
          <w:tcPr>
            <w:tcW w:w="0" w:type="pct"/>
            <w:shd w:val="clear" w:color="auto" w:fill="D9D9D9"/>
          </w:tcPr>
          <w:p w14:paraId="49A4A6FA" w14:textId="2B91A2BB" w:rsidR="00983119" w:rsidRPr="00B2341E" w:rsidRDefault="00983119" w:rsidP="00983119">
            <w:pPr>
              <w:pStyle w:val="TableBodyCopy"/>
            </w:pPr>
            <w:r w:rsidRPr="00B2341E">
              <w:rPr>
                <w:color w:val="000000"/>
              </w:rPr>
              <w:t>Formalise new Pacific skills partnerships</w:t>
            </w:r>
          </w:p>
        </w:tc>
        <w:tc>
          <w:tcPr>
            <w:tcW w:w="0" w:type="pct"/>
            <w:shd w:val="clear" w:color="auto" w:fill="D9D9D9"/>
          </w:tcPr>
          <w:p w14:paraId="4CA690CC" w14:textId="0B3BF599" w:rsidR="00983119" w:rsidRPr="00B2341E" w:rsidRDefault="00B94EA5" w:rsidP="00983119">
            <w:pPr>
              <w:pStyle w:val="TableBodyCopy"/>
            </w:pPr>
            <w:r>
              <w:rPr>
                <w:color w:val="000000"/>
              </w:rPr>
              <w:t xml:space="preserve">Number </w:t>
            </w:r>
            <w:r w:rsidR="00983119" w:rsidRPr="00B2341E">
              <w:rPr>
                <w:color w:val="000000"/>
              </w:rPr>
              <w:t>and type of Australian responses to Pacific skills demands and priorities</w:t>
            </w:r>
          </w:p>
        </w:tc>
        <w:tc>
          <w:tcPr>
            <w:tcW w:w="0" w:type="pct"/>
            <w:shd w:val="clear" w:color="auto" w:fill="D9D9D9"/>
          </w:tcPr>
          <w:p w14:paraId="2D0DC2FE" w14:textId="35C70E5D" w:rsidR="00983119" w:rsidRPr="00F172DD" w:rsidDel="00FB5B16" w:rsidRDefault="00983119" w:rsidP="00983119">
            <w:pPr>
              <w:pStyle w:val="TableBodyCopy"/>
            </w:pPr>
            <w:r w:rsidRPr="00AD7B9D">
              <w:rPr>
                <w:color w:val="000000"/>
              </w:rPr>
              <w:t>SDG4</w:t>
            </w:r>
            <w:r w:rsidR="009F2AD2">
              <w:rPr>
                <w:color w:val="000000"/>
              </w:rPr>
              <w:t>: Quality education</w:t>
            </w:r>
          </w:p>
        </w:tc>
      </w:tr>
      <w:tr w:rsidR="00983119" w:rsidRPr="00D750DD" w14:paraId="40C60955" w14:textId="77777777" w:rsidTr="00547BC4">
        <w:trPr>
          <w:trHeight w:val="583"/>
        </w:trPr>
        <w:tc>
          <w:tcPr>
            <w:tcW w:w="0" w:type="pct"/>
            <w:shd w:val="clear" w:color="auto" w:fill="D9D9D9"/>
          </w:tcPr>
          <w:p w14:paraId="5EFEA376" w14:textId="46FBB2AF" w:rsidR="00983119" w:rsidRPr="008A0978" w:rsidRDefault="00983119" w:rsidP="00983119">
            <w:pPr>
              <w:pStyle w:val="TableBodyCopybold"/>
            </w:pPr>
            <w:r w:rsidRPr="00326970">
              <w:t>Outcome 4.2</w:t>
            </w:r>
          </w:p>
        </w:tc>
        <w:tc>
          <w:tcPr>
            <w:tcW w:w="0" w:type="pct"/>
            <w:shd w:val="clear" w:color="auto" w:fill="D9D9D9"/>
          </w:tcPr>
          <w:p w14:paraId="69D1D7FB" w14:textId="6130A013" w:rsidR="00983119" w:rsidRDefault="008526E6" w:rsidP="00983119">
            <w:pPr>
              <w:pStyle w:val="TableBodyCopy"/>
            </w:pPr>
            <w:r>
              <w:rPr>
                <w:rFonts w:eastAsia="Times New Roman"/>
              </w:rPr>
              <w:t xml:space="preserve">4.2.2 </w:t>
            </w:r>
            <w:r w:rsidR="00983119" w:rsidRPr="00326970">
              <w:rPr>
                <w:rFonts w:eastAsia="Times New Roman"/>
              </w:rPr>
              <w:t xml:space="preserve">Australia has increased and deepened education and training linkages with </w:t>
            </w:r>
            <w:proofErr w:type="gramStart"/>
            <w:r w:rsidR="00983119" w:rsidRPr="00326970">
              <w:rPr>
                <w:rFonts w:eastAsia="Times New Roman"/>
              </w:rPr>
              <w:t>Pacific island</w:t>
            </w:r>
            <w:proofErr w:type="gramEnd"/>
            <w:r w:rsidR="00983119" w:rsidRPr="00326970">
              <w:rPr>
                <w:rFonts w:eastAsia="Times New Roman"/>
              </w:rPr>
              <w:t xml:space="preserve"> countries</w:t>
            </w:r>
          </w:p>
        </w:tc>
        <w:tc>
          <w:tcPr>
            <w:tcW w:w="0" w:type="pct"/>
            <w:shd w:val="clear" w:color="auto" w:fill="D9D9D9"/>
          </w:tcPr>
          <w:p w14:paraId="3257AA86" w14:textId="155D3EF6" w:rsidR="00983119" w:rsidRPr="00B2341E" w:rsidRDefault="00983119" w:rsidP="00983119">
            <w:pPr>
              <w:pStyle w:val="TableBodyCopy"/>
              <w:rPr>
                <w:color w:val="000000"/>
              </w:rPr>
            </w:pPr>
            <w:r w:rsidRPr="00B2341E">
              <w:rPr>
                <w:color w:val="000000"/>
              </w:rPr>
              <w:t>Roundtable hosted with Australian national education architecture (schools and tertiary</w:t>
            </w:r>
            <w:r w:rsidR="004D7981" w:rsidRPr="00B2341E">
              <w:rPr>
                <w:color w:val="000000"/>
              </w:rPr>
              <w:t xml:space="preserve"> institutions</w:t>
            </w:r>
            <w:r w:rsidRPr="00B2341E">
              <w:rPr>
                <w:color w:val="000000"/>
              </w:rPr>
              <w:t>)</w:t>
            </w:r>
          </w:p>
        </w:tc>
        <w:tc>
          <w:tcPr>
            <w:tcW w:w="0" w:type="pct"/>
            <w:shd w:val="clear" w:color="auto" w:fill="D9D9D9"/>
          </w:tcPr>
          <w:p w14:paraId="6835B78F" w14:textId="2087BA62" w:rsidR="00983119" w:rsidRPr="00B2341E" w:rsidRDefault="002E3171" w:rsidP="00983119">
            <w:pPr>
              <w:pStyle w:val="TableBodyCopy"/>
            </w:pPr>
            <w:r w:rsidRPr="00B2341E">
              <w:rPr>
                <w:color w:val="000000"/>
              </w:rPr>
              <w:t>Number of</w:t>
            </w:r>
            <w:r w:rsidR="00605031">
              <w:rPr>
                <w:color w:val="000000"/>
              </w:rPr>
              <w:t xml:space="preserve"> </w:t>
            </w:r>
            <w:r w:rsidR="00983119" w:rsidRPr="00B2341E">
              <w:rPr>
                <w:color w:val="000000"/>
              </w:rPr>
              <w:t xml:space="preserve">additional education and training linkages between Australia and </w:t>
            </w:r>
            <w:proofErr w:type="gramStart"/>
            <w:r w:rsidR="00983119" w:rsidRPr="00B2341E">
              <w:rPr>
                <w:color w:val="000000"/>
              </w:rPr>
              <w:t>Pacific island</w:t>
            </w:r>
            <w:proofErr w:type="gramEnd"/>
            <w:r w:rsidR="00983119" w:rsidRPr="00B2341E">
              <w:rPr>
                <w:color w:val="000000"/>
              </w:rPr>
              <w:t xml:space="preserve"> countries</w:t>
            </w:r>
            <w:r w:rsidR="00FF1DDF" w:rsidRPr="00B2341E">
              <w:rPr>
                <w:color w:val="000000"/>
              </w:rPr>
              <w:t xml:space="preserve"> established and operational</w:t>
            </w:r>
          </w:p>
        </w:tc>
        <w:tc>
          <w:tcPr>
            <w:tcW w:w="0" w:type="pct"/>
            <w:shd w:val="clear" w:color="auto" w:fill="D9D9D9"/>
          </w:tcPr>
          <w:p w14:paraId="6FCFE3D4" w14:textId="2CA46DB4" w:rsidR="00983119" w:rsidRPr="00B2341E" w:rsidRDefault="002E3171" w:rsidP="00983119">
            <w:pPr>
              <w:pStyle w:val="TableBodyCopy"/>
            </w:pPr>
            <w:r w:rsidRPr="00B2341E">
              <w:rPr>
                <w:color w:val="000000"/>
              </w:rPr>
              <w:t>Number of</w:t>
            </w:r>
            <w:r w:rsidR="00983119" w:rsidRPr="00B2341E">
              <w:rPr>
                <w:color w:val="000000"/>
              </w:rPr>
              <w:t xml:space="preserve"> specific examples of enhanced engagement between first </w:t>
            </w:r>
            <w:r w:rsidR="00FF1DDF" w:rsidRPr="00B2341E">
              <w:rPr>
                <w:color w:val="000000"/>
              </w:rPr>
              <w:t xml:space="preserve">Indigenous </w:t>
            </w:r>
            <w:r w:rsidR="00983119" w:rsidRPr="00B2341E">
              <w:rPr>
                <w:color w:val="000000"/>
              </w:rPr>
              <w:t>educators from the Pacific and Australia</w:t>
            </w:r>
          </w:p>
        </w:tc>
        <w:tc>
          <w:tcPr>
            <w:tcW w:w="0" w:type="pct"/>
            <w:shd w:val="clear" w:color="auto" w:fill="D9D9D9"/>
          </w:tcPr>
          <w:p w14:paraId="15643806" w14:textId="58B9130C" w:rsidR="00983119" w:rsidRPr="00F172DD" w:rsidDel="00FB5B16" w:rsidRDefault="00983119" w:rsidP="00983119">
            <w:pPr>
              <w:pStyle w:val="TableBodyCopy"/>
            </w:pPr>
            <w:r w:rsidRPr="00AD7B9D">
              <w:rPr>
                <w:color w:val="000000"/>
              </w:rPr>
              <w:t>SDG4</w:t>
            </w:r>
          </w:p>
        </w:tc>
      </w:tr>
      <w:tr w:rsidR="00983119" w:rsidRPr="00D750DD" w14:paraId="27680265" w14:textId="77777777" w:rsidTr="00547BC4">
        <w:trPr>
          <w:cantSplit/>
          <w:trHeight w:val="583"/>
        </w:trPr>
        <w:tc>
          <w:tcPr>
            <w:tcW w:w="0" w:type="pct"/>
            <w:shd w:val="clear" w:color="auto" w:fill="D9D9D9"/>
          </w:tcPr>
          <w:p w14:paraId="01F59B79" w14:textId="3A86E224" w:rsidR="00983119" w:rsidRPr="008A0978" w:rsidRDefault="00983119" w:rsidP="00983119">
            <w:pPr>
              <w:pStyle w:val="TableBodyCopybold"/>
            </w:pPr>
            <w:r w:rsidRPr="00326970">
              <w:lastRenderedPageBreak/>
              <w:t>Outcome 4.2</w:t>
            </w:r>
          </w:p>
        </w:tc>
        <w:tc>
          <w:tcPr>
            <w:tcW w:w="0" w:type="pct"/>
            <w:shd w:val="clear" w:color="auto" w:fill="D9D9D9"/>
          </w:tcPr>
          <w:p w14:paraId="465A19B8" w14:textId="0D6925F8" w:rsidR="00983119" w:rsidRDefault="008526E6" w:rsidP="00983119">
            <w:pPr>
              <w:pStyle w:val="TableBodyCopy"/>
            </w:pPr>
            <w:r>
              <w:rPr>
                <w:rFonts w:eastAsia="Times New Roman"/>
              </w:rPr>
              <w:t xml:space="preserve">4.2.3 </w:t>
            </w:r>
            <w:r w:rsidR="00AC4C58">
              <w:rPr>
                <w:rFonts w:eastAsia="Times New Roman"/>
              </w:rPr>
              <w:t>Australian Government Department of Foreign Affairs and Trade</w:t>
            </w:r>
            <w:r w:rsidR="00AC4C58" w:rsidRPr="00576490">
              <w:rPr>
                <w:rFonts w:eastAsia="Times New Roman"/>
              </w:rPr>
              <w:t xml:space="preserve"> </w:t>
            </w:r>
            <w:r w:rsidR="00983119" w:rsidRPr="00576490">
              <w:rPr>
                <w:rFonts w:eastAsia="Times New Roman"/>
              </w:rPr>
              <w:t>GEDSI investments support Australia’s education and skills partners to provide services and products that equally address the needs, priorities and interests of boys</w:t>
            </w:r>
            <w:r w:rsidR="00AC4C58">
              <w:rPr>
                <w:rFonts w:eastAsia="Times New Roman"/>
              </w:rPr>
              <w:t>,</w:t>
            </w:r>
            <w:r w:rsidR="00DC5CFF">
              <w:rPr>
                <w:rFonts w:eastAsia="Times New Roman"/>
              </w:rPr>
              <w:t xml:space="preserve"> </w:t>
            </w:r>
            <w:r w:rsidR="00983119" w:rsidRPr="00576490">
              <w:rPr>
                <w:rFonts w:eastAsia="Times New Roman"/>
              </w:rPr>
              <w:t>girls, men and women (</w:t>
            </w:r>
            <w:r w:rsidR="00DC5CFF">
              <w:rPr>
                <w:rFonts w:eastAsia="Times New Roman"/>
              </w:rPr>
              <w:t>note</w:t>
            </w:r>
            <w:r w:rsidR="00983119" w:rsidRPr="00576490">
              <w:rPr>
                <w:rFonts w:eastAsia="Times New Roman"/>
              </w:rPr>
              <w:t>:</w:t>
            </w:r>
            <w:r w:rsidR="00DC5CFF">
              <w:rPr>
                <w:rFonts w:eastAsia="Times New Roman"/>
              </w:rPr>
              <w:t xml:space="preserve"> this</w:t>
            </w:r>
            <w:r w:rsidR="00983119" w:rsidRPr="00576490">
              <w:rPr>
                <w:rFonts w:eastAsia="Times New Roman"/>
              </w:rPr>
              <w:t xml:space="preserve"> links to work underway with </w:t>
            </w:r>
            <w:r w:rsidR="00DC5CFF">
              <w:rPr>
                <w:rFonts w:eastAsia="Times New Roman"/>
              </w:rPr>
              <w:t>the University of the South Pacific</w:t>
            </w:r>
            <w:r w:rsidR="00983119" w:rsidRPr="00576490">
              <w:rPr>
                <w:rFonts w:eastAsia="Times New Roman"/>
              </w:rPr>
              <w:t xml:space="preserve">, </w:t>
            </w:r>
            <w:r w:rsidR="00DC5CFF">
              <w:rPr>
                <w:rFonts w:eastAsia="Times New Roman"/>
              </w:rPr>
              <w:t xml:space="preserve">the </w:t>
            </w:r>
            <w:r w:rsidR="009516E1">
              <w:rPr>
                <w:rFonts w:eastAsia="Times New Roman"/>
              </w:rPr>
              <w:t>Education Quality</w:t>
            </w:r>
            <w:r w:rsidR="00DC5CFF">
              <w:rPr>
                <w:rFonts w:eastAsia="Times New Roman"/>
              </w:rPr>
              <w:t xml:space="preserve"> and </w:t>
            </w:r>
            <w:r w:rsidR="00AE2080">
              <w:rPr>
                <w:rFonts w:eastAsia="Times New Roman"/>
              </w:rPr>
              <w:t xml:space="preserve">Assessment </w:t>
            </w:r>
            <w:r w:rsidR="00AE2080" w:rsidRPr="00576490">
              <w:rPr>
                <w:rFonts w:eastAsia="Times New Roman"/>
              </w:rPr>
              <w:t>Programme</w:t>
            </w:r>
            <w:r w:rsidR="006C502D">
              <w:rPr>
                <w:rFonts w:eastAsia="Times New Roman"/>
              </w:rPr>
              <w:t>,</w:t>
            </w:r>
            <w:r w:rsidR="00734C8C">
              <w:rPr>
                <w:rFonts w:eastAsia="Times New Roman"/>
              </w:rPr>
              <w:t xml:space="preserve"> </w:t>
            </w:r>
            <w:r w:rsidR="00B915AA">
              <w:rPr>
                <w:rFonts w:eastAsia="Times New Roman"/>
              </w:rPr>
              <w:t>the</w:t>
            </w:r>
            <w:r w:rsidR="00734C8C">
              <w:rPr>
                <w:rFonts w:eastAsia="Times New Roman"/>
              </w:rPr>
              <w:t xml:space="preserve"> Australian Pacific Training Coalition and the </w:t>
            </w:r>
            <w:r w:rsidR="00983119" w:rsidRPr="00576490">
              <w:rPr>
                <w:rFonts w:eastAsia="Times New Roman"/>
              </w:rPr>
              <w:t>new skills investment)</w:t>
            </w:r>
          </w:p>
        </w:tc>
        <w:tc>
          <w:tcPr>
            <w:tcW w:w="0" w:type="pct"/>
            <w:shd w:val="clear" w:color="auto" w:fill="D9D9D9"/>
          </w:tcPr>
          <w:p w14:paraId="76482CED" w14:textId="503A96DC" w:rsidR="00983119" w:rsidRPr="00B2341E" w:rsidRDefault="002E3171" w:rsidP="00983119">
            <w:pPr>
              <w:pStyle w:val="TableBodyCopy"/>
              <w:rPr>
                <w:color w:val="000000"/>
              </w:rPr>
            </w:pPr>
            <w:r w:rsidRPr="00B2341E">
              <w:rPr>
                <w:color w:val="000000"/>
              </w:rPr>
              <w:t>Number</w:t>
            </w:r>
            <w:r w:rsidR="00983119" w:rsidRPr="00B2341E">
              <w:rPr>
                <w:color w:val="000000"/>
              </w:rPr>
              <w:t xml:space="preserve"> of education and skills partners </w:t>
            </w:r>
            <w:r w:rsidR="006C502D">
              <w:rPr>
                <w:color w:val="000000"/>
              </w:rPr>
              <w:t xml:space="preserve">that </w:t>
            </w:r>
            <w:r w:rsidR="00983119" w:rsidRPr="00B2341E">
              <w:rPr>
                <w:color w:val="000000"/>
              </w:rPr>
              <w:t xml:space="preserve">undertake analysis to inform the development </w:t>
            </w:r>
            <w:r w:rsidR="00734C8C" w:rsidRPr="00B2341E">
              <w:rPr>
                <w:color w:val="000000"/>
              </w:rPr>
              <w:t>g</w:t>
            </w:r>
            <w:r w:rsidR="00983119" w:rsidRPr="00B2341E">
              <w:rPr>
                <w:color w:val="000000"/>
              </w:rPr>
              <w:t xml:space="preserve">ender </w:t>
            </w:r>
            <w:r w:rsidR="00734C8C" w:rsidRPr="00B2341E">
              <w:rPr>
                <w:color w:val="000000"/>
              </w:rPr>
              <w:t>e</w:t>
            </w:r>
            <w:r w:rsidR="00983119" w:rsidRPr="00B2341E">
              <w:rPr>
                <w:color w:val="000000"/>
              </w:rPr>
              <w:t xml:space="preserve">quality </w:t>
            </w:r>
            <w:r w:rsidR="00510786" w:rsidRPr="00B2341E">
              <w:rPr>
                <w:color w:val="000000"/>
              </w:rPr>
              <w:t>s</w:t>
            </w:r>
            <w:r w:rsidR="00983119" w:rsidRPr="00B2341E">
              <w:rPr>
                <w:color w:val="000000"/>
              </w:rPr>
              <w:t>trategies or finalise and start to implement these strategies</w:t>
            </w:r>
          </w:p>
          <w:p w14:paraId="09997A7F" w14:textId="24A821AE" w:rsidR="00983119" w:rsidRPr="00B2341E" w:rsidRDefault="009312C3" w:rsidP="00983119">
            <w:pPr>
              <w:pStyle w:val="TableBodyCopy"/>
            </w:pPr>
            <w:r w:rsidRPr="00B2341E">
              <w:rPr>
                <w:color w:val="000000"/>
              </w:rPr>
              <w:t>Number</w:t>
            </w:r>
            <w:r w:rsidR="00983119" w:rsidRPr="00B2341E">
              <w:rPr>
                <w:color w:val="000000"/>
              </w:rPr>
              <w:t xml:space="preserve"> of education and skills partners </w:t>
            </w:r>
            <w:r w:rsidR="00734C8C" w:rsidRPr="00B2341E">
              <w:rPr>
                <w:color w:val="000000"/>
              </w:rPr>
              <w:t xml:space="preserve">that </w:t>
            </w:r>
            <w:r w:rsidR="00983119" w:rsidRPr="00B2341E">
              <w:rPr>
                <w:color w:val="000000"/>
              </w:rPr>
              <w:t xml:space="preserve">undertake analysis to inform </w:t>
            </w:r>
            <w:r w:rsidR="00645597" w:rsidRPr="00B2341E">
              <w:rPr>
                <w:color w:val="000000"/>
              </w:rPr>
              <w:t>the development of d</w:t>
            </w:r>
            <w:r w:rsidR="00983119" w:rsidRPr="00B2341E">
              <w:rPr>
                <w:color w:val="000000"/>
              </w:rPr>
              <w:t xml:space="preserve">isability and </w:t>
            </w:r>
            <w:r w:rsidR="00DC4E49" w:rsidRPr="00B2341E">
              <w:rPr>
                <w:color w:val="000000"/>
              </w:rPr>
              <w:t>s</w:t>
            </w:r>
            <w:r w:rsidR="00983119" w:rsidRPr="00B2341E">
              <w:rPr>
                <w:color w:val="000000"/>
              </w:rPr>
              <w:t xml:space="preserve">ocial </w:t>
            </w:r>
            <w:r w:rsidR="00DC4E49" w:rsidRPr="00B2341E">
              <w:rPr>
                <w:color w:val="000000"/>
              </w:rPr>
              <w:t>i</w:t>
            </w:r>
            <w:r w:rsidR="00983119" w:rsidRPr="00B2341E">
              <w:rPr>
                <w:color w:val="000000"/>
              </w:rPr>
              <w:t xml:space="preserve">nclusion </w:t>
            </w:r>
            <w:r w:rsidR="00DC4E49" w:rsidRPr="00B2341E">
              <w:rPr>
                <w:color w:val="000000"/>
              </w:rPr>
              <w:t>s</w:t>
            </w:r>
            <w:r w:rsidR="00983119" w:rsidRPr="00B2341E">
              <w:rPr>
                <w:color w:val="000000"/>
              </w:rPr>
              <w:t>trategies</w:t>
            </w:r>
          </w:p>
        </w:tc>
        <w:tc>
          <w:tcPr>
            <w:tcW w:w="0" w:type="pct"/>
            <w:shd w:val="clear" w:color="auto" w:fill="D9D9D9"/>
          </w:tcPr>
          <w:p w14:paraId="11609D6F" w14:textId="70E39090" w:rsidR="00983119" w:rsidRPr="00B2341E" w:rsidRDefault="002E3171" w:rsidP="00983119">
            <w:pPr>
              <w:pStyle w:val="TableBodyCopy"/>
              <w:rPr>
                <w:color w:val="000000"/>
              </w:rPr>
            </w:pPr>
            <w:r w:rsidRPr="00B2341E">
              <w:rPr>
                <w:color w:val="000000"/>
              </w:rPr>
              <w:t>Number</w:t>
            </w:r>
            <w:r w:rsidR="00B94EA5">
              <w:rPr>
                <w:color w:val="000000"/>
              </w:rPr>
              <w:t xml:space="preserve"> </w:t>
            </w:r>
            <w:r w:rsidR="00983119" w:rsidRPr="00B2341E">
              <w:rPr>
                <w:color w:val="000000"/>
              </w:rPr>
              <w:t xml:space="preserve">of education and skills partners </w:t>
            </w:r>
            <w:r w:rsidR="00510786" w:rsidRPr="00B2341E">
              <w:rPr>
                <w:color w:val="000000"/>
              </w:rPr>
              <w:t>that</w:t>
            </w:r>
            <w:r w:rsidR="00983119" w:rsidRPr="00B2341E">
              <w:rPr>
                <w:color w:val="000000"/>
              </w:rPr>
              <w:t xml:space="preserve"> undertake analysis to inform the development of </w:t>
            </w:r>
            <w:r w:rsidR="00B050C7" w:rsidRPr="00B2341E">
              <w:rPr>
                <w:color w:val="000000"/>
              </w:rPr>
              <w:t>g</w:t>
            </w:r>
            <w:r w:rsidR="00983119" w:rsidRPr="00B2341E">
              <w:rPr>
                <w:color w:val="000000"/>
              </w:rPr>
              <w:t xml:space="preserve">ender </w:t>
            </w:r>
            <w:r w:rsidR="00B050C7" w:rsidRPr="00B2341E">
              <w:rPr>
                <w:color w:val="000000"/>
              </w:rPr>
              <w:t>e</w:t>
            </w:r>
            <w:r w:rsidR="00983119" w:rsidRPr="00B2341E">
              <w:rPr>
                <w:color w:val="000000"/>
              </w:rPr>
              <w:t xml:space="preserve">quality </w:t>
            </w:r>
            <w:r w:rsidR="00B050C7" w:rsidRPr="00B2341E">
              <w:rPr>
                <w:color w:val="000000"/>
              </w:rPr>
              <w:t>s</w:t>
            </w:r>
            <w:r w:rsidR="00983119" w:rsidRPr="00B2341E">
              <w:rPr>
                <w:color w:val="000000"/>
              </w:rPr>
              <w:t>trategies or finalise and start to implement these strategies (cumulative)</w:t>
            </w:r>
          </w:p>
          <w:p w14:paraId="5FFD0BAA" w14:textId="46D0E31D" w:rsidR="00983119" w:rsidRPr="00B2341E" w:rsidRDefault="009312C3" w:rsidP="00983119">
            <w:pPr>
              <w:pStyle w:val="TableBodyCopy"/>
            </w:pPr>
            <w:r w:rsidRPr="00B2341E">
              <w:rPr>
                <w:color w:val="000000"/>
              </w:rPr>
              <w:t>Number</w:t>
            </w:r>
            <w:r w:rsidR="00983119" w:rsidRPr="00B2341E">
              <w:rPr>
                <w:color w:val="000000"/>
              </w:rPr>
              <w:t xml:space="preserve"> of education and skills partners </w:t>
            </w:r>
            <w:r w:rsidR="006C502D">
              <w:rPr>
                <w:color w:val="000000"/>
              </w:rPr>
              <w:t xml:space="preserve">that </w:t>
            </w:r>
            <w:r w:rsidR="00983119" w:rsidRPr="00B2341E">
              <w:rPr>
                <w:color w:val="000000"/>
              </w:rPr>
              <w:t xml:space="preserve">undertake analysis to inform </w:t>
            </w:r>
            <w:r w:rsidR="00A439AE" w:rsidRPr="00B2341E">
              <w:rPr>
                <w:color w:val="000000"/>
              </w:rPr>
              <w:t xml:space="preserve">the development of </w:t>
            </w:r>
            <w:r w:rsidR="00B050C7" w:rsidRPr="00B2341E">
              <w:rPr>
                <w:color w:val="000000"/>
              </w:rPr>
              <w:t>d</w:t>
            </w:r>
            <w:r w:rsidR="00983119" w:rsidRPr="00B2341E">
              <w:rPr>
                <w:color w:val="000000"/>
              </w:rPr>
              <w:t xml:space="preserve">isability and </w:t>
            </w:r>
            <w:r w:rsidR="00B050C7" w:rsidRPr="00B2341E">
              <w:rPr>
                <w:color w:val="000000"/>
              </w:rPr>
              <w:t>s</w:t>
            </w:r>
            <w:r w:rsidR="00983119" w:rsidRPr="00B2341E">
              <w:rPr>
                <w:color w:val="000000"/>
              </w:rPr>
              <w:t xml:space="preserve">ocial </w:t>
            </w:r>
            <w:r w:rsidR="00B050C7" w:rsidRPr="00B2341E">
              <w:rPr>
                <w:color w:val="000000"/>
              </w:rPr>
              <w:t>i</w:t>
            </w:r>
            <w:r w:rsidR="00983119" w:rsidRPr="00B2341E">
              <w:rPr>
                <w:color w:val="000000"/>
              </w:rPr>
              <w:t xml:space="preserve">nclusion </w:t>
            </w:r>
            <w:r w:rsidR="00B050C7" w:rsidRPr="00B2341E">
              <w:rPr>
                <w:color w:val="000000"/>
              </w:rPr>
              <w:t>s</w:t>
            </w:r>
            <w:r w:rsidR="00983119" w:rsidRPr="00B2341E">
              <w:rPr>
                <w:color w:val="000000"/>
              </w:rPr>
              <w:t>trategies</w:t>
            </w:r>
            <w:r w:rsidR="00A35A06" w:rsidRPr="00B2341E">
              <w:rPr>
                <w:color w:val="000000"/>
              </w:rPr>
              <w:t xml:space="preserve"> </w:t>
            </w:r>
            <w:r w:rsidR="00983119" w:rsidRPr="00B2341E">
              <w:rPr>
                <w:color w:val="000000"/>
              </w:rPr>
              <w:t>(cumulative)</w:t>
            </w:r>
          </w:p>
        </w:tc>
        <w:tc>
          <w:tcPr>
            <w:tcW w:w="0" w:type="pct"/>
            <w:shd w:val="clear" w:color="auto" w:fill="D9D9D9"/>
          </w:tcPr>
          <w:p w14:paraId="09B55513" w14:textId="652DE483" w:rsidR="00983119" w:rsidRPr="00B2341E" w:rsidRDefault="002E3171" w:rsidP="00983119">
            <w:pPr>
              <w:pStyle w:val="TableBodyCopy"/>
            </w:pPr>
            <w:r w:rsidRPr="00B2341E">
              <w:rPr>
                <w:color w:val="000000"/>
              </w:rPr>
              <w:t>Number</w:t>
            </w:r>
            <w:r w:rsidR="00983119" w:rsidRPr="00B2341E">
              <w:rPr>
                <w:color w:val="000000"/>
              </w:rPr>
              <w:t xml:space="preserve"> of education and skills partners </w:t>
            </w:r>
            <w:r w:rsidR="00510786" w:rsidRPr="00B2341E">
              <w:rPr>
                <w:color w:val="000000"/>
              </w:rPr>
              <w:t>that</w:t>
            </w:r>
            <w:r w:rsidR="00983119" w:rsidRPr="00B2341E">
              <w:rPr>
                <w:color w:val="000000"/>
              </w:rPr>
              <w:t xml:space="preserve"> demonstrate satisfactory progress in undertaking analysis to develop </w:t>
            </w:r>
            <w:r w:rsidR="00B050C7" w:rsidRPr="00B2341E">
              <w:rPr>
                <w:color w:val="000000"/>
              </w:rPr>
              <w:t>g</w:t>
            </w:r>
            <w:r w:rsidR="00983119" w:rsidRPr="00B2341E">
              <w:rPr>
                <w:color w:val="000000"/>
              </w:rPr>
              <w:t xml:space="preserve">ender </w:t>
            </w:r>
            <w:r w:rsidR="00B050C7" w:rsidRPr="00B2341E">
              <w:rPr>
                <w:color w:val="000000"/>
              </w:rPr>
              <w:t>e</w:t>
            </w:r>
            <w:r w:rsidR="00983119" w:rsidRPr="00B2341E">
              <w:rPr>
                <w:color w:val="000000"/>
              </w:rPr>
              <w:t xml:space="preserve">quality </w:t>
            </w:r>
            <w:r w:rsidR="00B050C7" w:rsidRPr="00B2341E">
              <w:rPr>
                <w:color w:val="000000"/>
              </w:rPr>
              <w:t>s</w:t>
            </w:r>
            <w:r w:rsidR="00983119" w:rsidRPr="00B2341E">
              <w:rPr>
                <w:color w:val="000000"/>
              </w:rPr>
              <w:t xml:space="preserve">trategies and </w:t>
            </w:r>
            <w:r w:rsidR="00B050C7" w:rsidRPr="00B2341E">
              <w:rPr>
                <w:color w:val="000000"/>
              </w:rPr>
              <w:t>d</w:t>
            </w:r>
            <w:r w:rsidR="00983119" w:rsidRPr="00B2341E">
              <w:rPr>
                <w:color w:val="000000"/>
              </w:rPr>
              <w:t xml:space="preserve">isability and </w:t>
            </w:r>
            <w:r w:rsidR="00B050C7" w:rsidRPr="00B2341E">
              <w:rPr>
                <w:color w:val="000000"/>
              </w:rPr>
              <w:t>s</w:t>
            </w:r>
            <w:r w:rsidR="00983119" w:rsidRPr="00B2341E">
              <w:rPr>
                <w:color w:val="000000"/>
              </w:rPr>
              <w:t xml:space="preserve">ocial </w:t>
            </w:r>
            <w:r w:rsidR="00B050C7" w:rsidRPr="00B2341E">
              <w:rPr>
                <w:color w:val="000000"/>
              </w:rPr>
              <w:t>i</w:t>
            </w:r>
            <w:r w:rsidR="00983119" w:rsidRPr="00B2341E">
              <w:rPr>
                <w:color w:val="000000"/>
              </w:rPr>
              <w:t xml:space="preserve">nclusion </w:t>
            </w:r>
            <w:r w:rsidR="00B050C7" w:rsidRPr="00B2341E">
              <w:rPr>
                <w:color w:val="000000"/>
              </w:rPr>
              <w:t>s</w:t>
            </w:r>
            <w:r w:rsidR="00983119" w:rsidRPr="00B2341E">
              <w:rPr>
                <w:color w:val="000000"/>
              </w:rPr>
              <w:t>trategies or implement these strategies</w:t>
            </w:r>
          </w:p>
        </w:tc>
        <w:tc>
          <w:tcPr>
            <w:tcW w:w="0" w:type="pct"/>
            <w:shd w:val="clear" w:color="auto" w:fill="D9D9D9"/>
          </w:tcPr>
          <w:p w14:paraId="0C8D64FD" w14:textId="42D5B9F6" w:rsidR="00983119" w:rsidRPr="00F172DD" w:rsidDel="00FB5B16" w:rsidRDefault="00983119" w:rsidP="00983119">
            <w:pPr>
              <w:pStyle w:val="TableBodyCopy"/>
            </w:pPr>
            <w:r w:rsidRPr="00AD7B9D">
              <w:rPr>
                <w:color w:val="000000"/>
              </w:rPr>
              <w:t>SDG4</w:t>
            </w:r>
          </w:p>
        </w:tc>
      </w:tr>
      <w:tr w:rsidR="00A35A06" w:rsidRPr="00D750DD" w14:paraId="7F00AEFF" w14:textId="77777777" w:rsidTr="00547BC4">
        <w:trPr>
          <w:trHeight w:val="583"/>
        </w:trPr>
        <w:tc>
          <w:tcPr>
            <w:tcW w:w="0" w:type="pct"/>
            <w:shd w:val="clear" w:color="auto" w:fill="D9D9D9"/>
          </w:tcPr>
          <w:p w14:paraId="7F79315D" w14:textId="1011504B" w:rsidR="00A35A06" w:rsidRPr="00576490" w:rsidRDefault="00A35A06" w:rsidP="00A35A06">
            <w:pPr>
              <w:pStyle w:val="TableBodyCopybold"/>
            </w:pPr>
            <w:r w:rsidRPr="00933659">
              <w:t>Outcome 4.3</w:t>
            </w:r>
          </w:p>
          <w:p w14:paraId="590A3949" w14:textId="7DA25E49" w:rsidR="00A35A06" w:rsidRPr="00326970" w:rsidRDefault="00B523CF" w:rsidP="00A35A06">
            <w:pPr>
              <w:pStyle w:val="TableBodyCopy"/>
            </w:pPr>
            <w:r>
              <w:rPr>
                <w:rFonts w:eastAsia="Times New Roman" w:cstheme="minorHAnsi"/>
                <w:color w:val="000000"/>
              </w:rPr>
              <w:t xml:space="preserve">Better health outcomes: </w:t>
            </w:r>
            <w:r w:rsidR="003516B4">
              <w:rPr>
                <w:rFonts w:eastAsia="Times New Roman" w:cstheme="minorHAnsi"/>
                <w:color w:val="000000"/>
              </w:rPr>
              <w:t>More</w:t>
            </w:r>
            <w:r w:rsidR="00A35A06" w:rsidRPr="00576490">
              <w:rPr>
                <w:rFonts w:eastAsia="Times New Roman" w:cstheme="minorHAnsi"/>
                <w:color w:val="000000"/>
              </w:rPr>
              <w:t xml:space="preserve"> resilient and equitable primary healthcare and public health systems that have greater capability to respond to health emergencies, </w:t>
            </w:r>
            <w:r w:rsidR="003516B4">
              <w:rPr>
                <w:rFonts w:eastAsia="Times New Roman" w:cstheme="minorHAnsi"/>
                <w:color w:val="000000"/>
              </w:rPr>
              <w:t>and</w:t>
            </w:r>
            <w:r w:rsidR="003516B4" w:rsidRPr="00576490">
              <w:rPr>
                <w:rFonts w:eastAsia="Times New Roman" w:cstheme="minorHAnsi"/>
                <w:color w:val="000000"/>
              </w:rPr>
              <w:t xml:space="preserve"> </w:t>
            </w:r>
            <w:r w:rsidR="00A35A06" w:rsidRPr="00576490">
              <w:rPr>
                <w:rFonts w:eastAsia="Times New Roman" w:cstheme="minorHAnsi"/>
                <w:color w:val="000000"/>
              </w:rPr>
              <w:t>stronger institutional linkages between Australia and the region</w:t>
            </w:r>
          </w:p>
        </w:tc>
        <w:tc>
          <w:tcPr>
            <w:tcW w:w="0" w:type="pct"/>
            <w:shd w:val="clear" w:color="auto" w:fill="D9D9D9"/>
          </w:tcPr>
          <w:p w14:paraId="78449B9A" w14:textId="3C4364B6" w:rsidR="00A35A06" w:rsidRDefault="00A35A06" w:rsidP="00A35A06">
            <w:pPr>
              <w:pStyle w:val="TableBodyCopy"/>
              <w:rPr>
                <w:rFonts w:eastAsia="Times New Roman"/>
              </w:rPr>
            </w:pPr>
            <w:r>
              <w:rPr>
                <w:rFonts w:eastAsia="Times New Roman"/>
              </w:rPr>
              <w:t>4.3.1</w:t>
            </w:r>
            <w:r w:rsidRPr="00576490">
              <w:rPr>
                <w:rFonts w:eastAsia="Times New Roman"/>
              </w:rPr>
              <w:t xml:space="preserve"> Evidence of strengthened prevention, early detection and management of non</w:t>
            </w:r>
            <w:r w:rsidR="00F627C5">
              <w:rPr>
                <w:rFonts w:eastAsia="Times New Roman"/>
              </w:rPr>
              <w:noBreakHyphen/>
            </w:r>
            <w:r w:rsidRPr="00576490">
              <w:rPr>
                <w:rFonts w:eastAsia="Times New Roman"/>
              </w:rPr>
              <w:t>communicable diseases</w:t>
            </w:r>
            <w:r w:rsidR="00F627C5">
              <w:rPr>
                <w:rFonts w:eastAsia="Times New Roman"/>
              </w:rPr>
              <w:t xml:space="preserve"> (NCDs)</w:t>
            </w:r>
            <w:r w:rsidRPr="00576490">
              <w:rPr>
                <w:rFonts w:eastAsia="Times New Roman"/>
              </w:rPr>
              <w:t xml:space="preserve">, including mental </w:t>
            </w:r>
            <w:r w:rsidR="003516B4">
              <w:rPr>
                <w:rFonts w:eastAsia="Times New Roman"/>
              </w:rPr>
              <w:t>illness</w:t>
            </w:r>
            <w:r w:rsidRPr="00576490">
              <w:rPr>
                <w:rFonts w:eastAsia="Times New Roman"/>
              </w:rPr>
              <w:t xml:space="preserve">, aligned with national </w:t>
            </w:r>
            <w:r w:rsidR="003516B4">
              <w:rPr>
                <w:rFonts w:eastAsia="Times New Roman"/>
              </w:rPr>
              <w:t>NCD</w:t>
            </w:r>
            <w:r w:rsidR="003516B4" w:rsidRPr="00576490">
              <w:rPr>
                <w:rFonts w:eastAsia="Times New Roman"/>
              </w:rPr>
              <w:t xml:space="preserve"> </w:t>
            </w:r>
            <w:r w:rsidRPr="00576490">
              <w:rPr>
                <w:rFonts w:eastAsia="Times New Roman"/>
              </w:rPr>
              <w:t>plans and policies as applicable</w:t>
            </w:r>
          </w:p>
        </w:tc>
        <w:tc>
          <w:tcPr>
            <w:tcW w:w="0" w:type="pct"/>
            <w:shd w:val="clear" w:color="auto" w:fill="D9D9D9"/>
          </w:tcPr>
          <w:p w14:paraId="7B126D56" w14:textId="747400D7" w:rsidR="00A35A06" w:rsidRDefault="00A35A06" w:rsidP="00A35A06">
            <w:pPr>
              <w:pStyle w:val="TableBodyCopy"/>
              <w:rPr>
                <w:color w:val="000000"/>
              </w:rPr>
            </w:pPr>
            <w:r w:rsidRPr="00AD7B9D">
              <w:rPr>
                <w:color w:val="000000"/>
              </w:rPr>
              <w:t xml:space="preserve">3 </w:t>
            </w:r>
            <w:proofErr w:type="gramStart"/>
            <w:r w:rsidRPr="00AD7B9D">
              <w:rPr>
                <w:color w:val="000000"/>
              </w:rPr>
              <w:t>Pacific island</w:t>
            </w:r>
            <w:proofErr w:type="gramEnd"/>
            <w:r w:rsidRPr="00AD7B9D">
              <w:rPr>
                <w:color w:val="000000"/>
              </w:rPr>
              <w:t xml:space="preserve"> countries demonstrate evidence of strengthened prevention of NCDs</w:t>
            </w:r>
          </w:p>
        </w:tc>
        <w:tc>
          <w:tcPr>
            <w:tcW w:w="0" w:type="pct"/>
            <w:shd w:val="clear" w:color="auto" w:fill="D9D9D9"/>
          </w:tcPr>
          <w:p w14:paraId="0CF968F7" w14:textId="21511D56" w:rsidR="00A35A06" w:rsidRDefault="00A35A06" w:rsidP="00A35A06">
            <w:pPr>
              <w:pStyle w:val="TableBodyCopy"/>
              <w:rPr>
                <w:color w:val="000000"/>
              </w:rPr>
            </w:pPr>
            <w:r w:rsidRPr="00AD7B9D">
              <w:rPr>
                <w:color w:val="000000"/>
              </w:rPr>
              <w:t xml:space="preserve">6 </w:t>
            </w:r>
            <w:proofErr w:type="gramStart"/>
            <w:r w:rsidRPr="00AD7B9D">
              <w:rPr>
                <w:color w:val="000000"/>
              </w:rPr>
              <w:t>Pacific island</w:t>
            </w:r>
            <w:proofErr w:type="gramEnd"/>
            <w:r w:rsidRPr="00AD7B9D">
              <w:rPr>
                <w:color w:val="000000"/>
              </w:rPr>
              <w:t xml:space="preserve"> countries demonstrate evidence of strengthened prevention of NCDs (cumulative)</w:t>
            </w:r>
          </w:p>
        </w:tc>
        <w:tc>
          <w:tcPr>
            <w:tcW w:w="0" w:type="pct"/>
            <w:shd w:val="clear" w:color="auto" w:fill="D9D9D9"/>
          </w:tcPr>
          <w:p w14:paraId="573C94C9" w14:textId="3FDF2F01" w:rsidR="00A35A06" w:rsidRDefault="00A35A06" w:rsidP="00A35A06">
            <w:pPr>
              <w:pStyle w:val="TableBodyCopy"/>
              <w:rPr>
                <w:color w:val="000000"/>
              </w:rPr>
            </w:pPr>
            <w:r w:rsidRPr="00AD7B9D">
              <w:rPr>
                <w:color w:val="000000"/>
              </w:rPr>
              <w:t xml:space="preserve">9 </w:t>
            </w:r>
            <w:proofErr w:type="gramStart"/>
            <w:r w:rsidRPr="00AD7B9D">
              <w:rPr>
                <w:color w:val="000000"/>
              </w:rPr>
              <w:t>Pacific island</w:t>
            </w:r>
            <w:proofErr w:type="gramEnd"/>
            <w:r w:rsidRPr="00AD7B9D">
              <w:rPr>
                <w:color w:val="000000"/>
              </w:rPr>
              <w:t xml:space="preserve"> countries demonstrate evidence of strengthened prevention of NCDs (cumulative)</w:t>
            </w:r>
          </w:p>
        </w:tc>
        <w:tc>
          <w:tcPr>
            <w:tcW w:w="0" w:type="pct"/>
            <w:shd w:val="clear" w:color="auto" w:fill="D9D9D9"/>
          </w:tcPr>
          <w:p w14:paraId="4A24C0AE" w14:textId="695BA5E5" w:rsidR="00A35A06" w:rsidRPr="00AD7B9D" w:rsidRDefault="00A35A06" w:rsidP="00A35A06">
            <w:pPr>
              <w:pStyle w:val="TableBodyCopy"/>
              <w:rPr>
                <w:color w:val="000000"/>
              </w:rPr>
            </w:pPr>
            <w:r w:rsidRPr="00AD7B9D">
              <w:rPr>
                <w:color w:val="000000"/>
              </w:rPr>
              <w:t>SDG3</w:t>
            </w:r>
            <w:r w:rsidR="00412EB2">
              <w:rPr>
                <w:color w:val="000000"/>
              </w:rPr>
              <w:t>:</w:t>
            </w:r>
            <w:r w:rsidRPr="00AD7B9D">
              <w:rPr>
                <w:color w:val="000000"/>
              </w:rPr>
              <w:t xml:space="preserve"> </w:t>
            </w:r>
            <w:r w:rsidR="008D3015">
              <w:rPr>
                <w:color w:val="000000"/>
              </w:rPr>
              <w:t>Good health and wellbeing</w:t>
            </w:r>
          </w:p>
        </w:tc>
      </w:tr>
      <w:tr w:rsidR="00A35A06" w:rsidRPr="00D750DD" w14:paraId="1767D648" w14:textId="77777777" w:rsidTr="00547BC4">
        <w:trPr>
          <w:cantSplit/>
          <w:trHeight w:val="583"/>
        </w:trPr>
        <w:tc>
          <w:tcPr>
            <w:tcW w:w="0" w:type="pct"/>
            <w:shd w:val="clear" w:color="auto" w:fill="D9D9D9"/>
          </w:tcPr>
          <w:p w14:paraId="05BAAA58" w14:textId="3C9279A2" w:rsidR="00A35A06" w:rsidRPr="00326970" w:rsidRDefault="00A35A06" w:rsidP="00A35A06">
            <w:pPr>
              <w:pStyle w:val="TableBodyCopybold"/>
            </w:pPr>
            <w:r w:rsidRPr="00933659">
              <w:lastRenderedPageBreak/>
              <w:t>Outcome 4.3</w:t>
            </w:r>
          </w:p>
        </w:tc>
        <w:tc>
          <w:tcPr>
            <w:tcW w:w="0" w:type="pct"/>
            <w:shd w:val="clear" w:color="auto" w:fill="D9D9D9"/>
          </w:tcPr>
          <w:p w14:paraId="6525B8B3" w14:textId="007B6BB8" w:rsidR="00A35A06" w:rsidRDefault="00A35A06" w:rsidP="00A35A06">
            <w:pPr>
              <w:pStyle w:val="TableBodyCopy"/>
              <w:rPr>
                <w:rFonts w:eastAsia="Times New Roman"/>
              </w:rPr>
            </w:pPr>
            <w:r>
              <w:rPr>
                <w:rFonts w:eastAsia="Times New Roman"/>
              </w:rPr>
              <w:t>4.3.2</w:t>
            </w:r>
            <w:r w:rsidRPr="00576490">
              <w:rPr>
                <w:rFonts w:eastAsia="Times New Roman"/>
              </w:rPr>
              <w:t xml:space="preserve"> Evidence of improved ability to anticipate, prevent, detect and control communicable disease threats, including for diverse communities, with Australian support</w:t>
            </w:r>
            <w:r w:rsidR="00F105EF">
              <w:rPr>
                <w:rFonts w:eastAsia="Times New Roman"/>
              </w:rPr>
              <w:t xml:space="preserve"> (Tier 2)</w:t>
            </w:r>
          </w:p>
        </w:tc>
        <w:tc>
          <w:tcPr>
            <w:tcW w:w="0" w:type="pct"/>
            <w:shd w:val="clear" w:color="auto" w:fill="D9D9D9"/>
          </w:tcPr>
          <w:p w14:paraId="732B96D9" w14:textId="19E01DE7" w:rsidR="00A35A06" w:rsidRDefault="00A35A06" w:rsidP="00A35A06">
            <w:pPr>
              <w:pStyle w:val="TableBodyCopy"/>
              <w:rPr>
                <w:color w:val="000000"/>
              </w:rPr>
            </w:pPr>
            <w:r w:rsidRPr="00AD7B9D">
              <w:rPr>
                <w:color w:val="000000"/>
              </w:rPr>
              <w:t xml:space="preserve">Evidence of improved ability to anticipate, prevent, detect and control communicable disease threats in 3 </w:t>
            </w:r>
            <w:proofErr w:type="gramStart"/>
            <w:r w:rsidRPr="00AD7B9D">
              <w:rPr>
                <w:color w:val="000000"/>
              </w:rPr>
              <w:t>Pacific island</w:t>
            </w:r>
            <w:proofErr w:type="gramEnd"/>
            <w:r w:rsidRPr="00AD7B9D">
              <w:rPr>
                <w:color w:val="000000"/>
              </w:rPr>
              <w:t xml:space="preserve"> countries</w:t>
            </w:r>
          </w:p>
        </w:tc>
        <w:tc>
          <w:tcPr>
            <w:tcW w:w="0" w:type="pct"/>
            <w:shd w:val="clear" w:color="auto" w:fill="D9D9D9"/>
          </w:tcPr>
          <w:p w14:paraId="6A46EB48" w14:textId="45E7F944" w:rsidR="00A35A06" w:rsidRDefault="00A35A06" w:rsidP="00A35A06">
            <w:pPr>
              <w:pStyle w:val="TableBodyCopy"/>
              <w:rPr>
                <w:color w:val="000000"/>
              </w:rPr>
            </w:pPr>
            <w:r w:rsidRPr="00AD7B9D">
              <w:rPr>
                <w:color w:val="000000"/>
              </w:rPr>
              <w:t xml:space="preserve">Evidence of improved ability to anticipate, prevent, detect and control communicable disease threats in 6 </w:t>
            </w:r>
            <w:proofErr w:type="gramStart"/>
            <w:r w:rsidRPr="00AD7B9D">
              <w:rPr>
                <w:color w:val="000000"/>
              </w:rPr>
              <w:t>Pacific island</w:t>
            </w:r>
            <w:proofErr w:type="gramEnd"/>
            <w:r w:rsidRPr="00AD7B9D">
              <w:rPr>
                <w:color w:val="000000"/>
              </w:rPr>
              <w:t xml:space="preserve"> countries (cumulative)</w:t>
            </w:r>
          </w:p>
        </w:tc>
        <w:tc>
          <w:tcPr>
            <w:tcW w:w="0" w:type="pct"/>
            <w:shd w:val="clear" w:color="auto" w:fill="D9D9D9"/>
          </w:tcPr>
          <w:p w14:paraId="3DBD0B17" w14:textId="6F527C94" w:rsidR="00A35A06" w:rsidRDefault="00A35A06" w:rsidP="00A35A06">
            <w:pPr>
              <w:pStyle w:val="TableBodyCopy"/>
              <w:rPr>
                <w:color w:val="000000"/>
              </w:rPr>
            </w:pPr>
            <w:r w:rsidRPr="00AD7B9D">
              <w:rPr>
                <w:color w:val="000000"/>
              </w:rPr>
              <w:t xml:space="preserve">Evidence of improved ability to anticipate, prevent, detect and control communicable disease threats in 9 </w:t>
            </w:r>
            <w:proofErr w:type="gramStart"/>
            <w:r w:rsidRPr="00AD7B9D">
              <w:rPr>
                <w:color w:val="000000"/>
              </w:rPr>
              <w:t>Pacific island</w:t>
            </w:r>
            <w:proofErr w:type="gramEnd"/>
            <w:r w:rsidRPr="00AD7B9D">
              <w:rPr>
                <w:color w:val="000000"/>
              </w:rPr>
              <w:t xml:space="preserve"> countries</w:t>
            </w:r>
            <w:r w:rsidRPr="00AD7B9D" w:rsidDel="00850D44">
              <w:rPr>
                <w:color w:val="000000"/>
              </w:rPr>
              <w:t xml:space="preserve"> </w:t>
            </w:r>
            <w:r w:rsidR="00B94EA5" w:rsidRPr="00AD7B9D">
              <w:rPr>
                <w:color w:val="000000"/>
              </w:rPr>
              <w:t>(cumulative</w:t>
            </w:r>
            <w:r w:rsidRPr="00AD7B9D">
              <w:rPr>
                <w:color w:val="000000"/>
              </w:rPr>
              <w:t>)</w:t>
            </w:r>
          </w:p>
        </w:tc>
        <w:tc>
          <w:tcPr>
            <w:tcW w:w="0" w:type="pct"/>
            <w:shd w:val="clear" w:color="auto" w:fill="D9D9D9"/>
          </w:tcPr>
          <w:p w14:paraId="185F3458" w14:textId="71B152D3" w:rsidR="00A35A06" w:rsidRPr="00AD7B9D" w:rsidRDefault="00A35A06" w:rsidP="00A35A06">
            <w:pPr>
              <w:pStyle w:val="TableBodyCopy"/>
              <w:rPr>
                <w:color w:val="000000"/>
              </w:rPr>
            </w:pPr>
            <w:r w:rsidRPr="00AD7B9D">
              <w:rPr>
                <w:color w:val="000000"/>
              </w:rPr>
              <w:t>SDG3</w:t>
            </w:r>
          </w:p>
        </w:tc>
      </w:tr>
      <w:tr w:rsidR="00A35A06" w:rsidRPr="00D750DD" w14:paraId="01851F58" w14:textId="77777777" w:rsidTr="00547BC4">
        <w:trPr>
          <w:trHeight w:val="583"/>
        </w:trPr>
        <w:tc>
          <w:tcPr>
            <w:tcW w:w="0" w:type="pct"/>
            <w:shd w:val="clear" w:color="auto" w:fill="D9D9D9"/>
          </w:tcPr>
          <w:p w14:paraId="312B967F" w14:textId="3A37A9F8" w:rsidR="00A35A06" w:rsidRPr="00326970" w:rsidRDefault="00A35A06" w:rsidP="00A35A06">
            <w:pPr>
              <w:pStyle w:val="TableBodyCopybold"/>
            </w:pPr>
            <w:r w:rsidRPr="00933659">
              <w:t>Outcome 4.3</w:t>
            </w:r>
          </w:p>
        </w:tc>
        <w:tc>
          <w:tcPr>
            <w:tcW w:w="0" w:type="pct"/>
            <w:shd w:val="clear" w:color="auto" w:fill="D9D9D9"/>
          </w:tcPr>
          <w:p w14:paraId="703959FB" w14:textId="13F61495" w:rsidR="00A35A06" w:rsidRDefault="00A35A06" w:rsidP="00A35A06">
            <w:pPr>
              <w:pStyle w:val="TableBodyCopy"/>
              <w:rPr>
                <w:rFonts w:eastAsia="Times New Roman"/>
              </w:rPr>
            </w:pPr>
            <w:r>
              <w:rPr>
                <w:rFonts w:eastAsia="Times New Roman"/>
              </w:rPr>
              <w:t>4.3.3</w:t>
            </w:r>
            <w:r w:rsidRPr="00576490">
              <w:rPr>
                <w:rFonts w:eastAsia="Times New Roman"/>
              </w:rPr>
              <w:t xml:space="preserve"> Number of in-school people reached with Family Life Education</w:t>
            </w:r>
          </w:p>
        </w:tc>
        <w:tc>
          <w:tcPr>
            <w:tcW w:w="0" w:type="pct"/>
            <w:shd w:val="clear" w:color="auto" w:fill="D9D9D9"/>
          </w:tcPr>
          <w:p w14:paraId="633DD5D6" w14:textId="44CBE0BF" w:rsidR="00A35A06" w:rsidRDefault="00A35A06" w:rsidP="00A35A06">
            <w:pPr>
              <w:pStyle w:val="TableBodyCopy"/>
              <w:rPr>
                <w:color w:val="000000"/>
              </w:rPr>
            </w:pPr>
            <w:r w:rsidRPr="00AD7B9D">
              <w:rPr>
                <w:color w:val="000000"/>
              </w:rPr>
              <w:t>48,000</w:t>
            </w:r>
          </w:p>
        </w:tc>
        <w:tc>
          <w:tcPr>
            <w:tcW w:w="0" w:type="pct"/>
            <w:shd w:val="clear" w:color="auto" w:fill="D9D9D9"/>
          </w:tcPr>
          <w:p w14:paraId="5641630F" w14:textId="5C79DE52" w:rsidR="00A35A06" w:rsidRDefault="00A35A06" w:rsidP="00A35A06">
            <w:pPr>
              <w:pStyle w:val="TableBodyCopy"/>
              <w:rPr>
                <w:color w:val="000000"/>
              </w:rPr>
            </w:pPr>
            <w:r w:rsidRPr="00AD7B9D">
              <w:rPr>
                <w:color w:val="000000"/>
              </w:rPr>
              <w:t>159,000</w:t>
            </w:r>
          </w:p>
        </w:tc>
        <w:tc>
          <w:tcPr>
            <w:tcW w:w="0" w:type="pct"/>
            <w:shd w:val="clear" w:color="auto" w:fill="D9D9D9"/>
          </w:tcPr>
          <w:p w14:paraId="25821B01" w14:textId="4A52CEF3" w:rsidR="00A35A06" w:rsidRDefault="00A35A06" w:rsidP="00A35A06">
            <w:pPr>
              <w:pStyle w:val="TableBodyCopy"/>
              <w:rPr>
                <w:color w:val="000000"/>
              </w:rPr>
            </w:pPr>
            <w:r w:rsidRPr="00AD7B9D">
              <w:rPr>
                <w:color w:val="000000"/>
              </w:rPr>
              <w:t>226,000</w:t>
            </w:r>
          </w:p>
        </w:tc>
        <w:tc>
          <w:tcPr>
            <w:tcW w:w="0" w:type="pct"/>
            <w:shd w:val="clear" w:color="auto" w:fill="D9D9D9"/>
          </w:tcPr>
          <w:p w14:paraId="0B52C611" w14:textId="3AC360FD" w:rsidR="00A35A06" w:rsidRPr="00AD7B9D" w:rsidRDefault="00A35A06" w:rsidP="00A35A06">
            <w:pPr>
              <w:pStyle w:val="TableBodyCopy"/>
              <w:rPr>
                <w:color w:val="000000"/>
              </w:rPr>
            </w:pPr>
            <w:r w:rsidRPr="008A40CE">
              <w:rPr>
                <w:color w:val="000000"/>
              </w:rPr>
              <w:t>SDG3</w:t>
            </w:r>
          </w:p>
        </w:tc>
      </w:tr>
      <w:tr w:rsidR="00A35A06" w:rsidRPr="00D750DD" w14:paraId="3ADF39C1" w14:textId="77777777" w:rsidTr="00547BC4">
        <w:trPr>
          <w:trHeight w:val="583"/>
        </w:trPr>
        <w:tc>
          <w:tcPr>
            <w:tcW w:w="0" w:type="pct"/>
            <w:shd w:val="clear" w:color="auto" w:fill="D9D9D9"/>
          </w:tcPr>
          <w:p w14:paraId="5E8BF05A" w14:textId="748C2783" w:rsidR="00A35A06" w:rsidRPr="00326970" w:rsidRDefault="00A35A06" w:rsidP="00A35A06">
            <w:pPr>
              <w:pStyle w:val="TableBodyCopybold"/>
            </w:pPr>
            <w:r w:rsidRPr="00933659">
              <w:t>Outcome 4.3</w:t>
            </w:r>
          </w:p>
        </w:tc>
        <w:tc>
          <w:tcPr>
            <w:tcW w:w="0" w:type="pct"/>
            <w:shd w:val="clear" w:color="auto" w:fill="D9D9D9"/>
          </w:tcPr>
          <w:p w14:paraId="3990A422" w14:textId="4A823E3D" w:rsidR="00A35A06" w:rsidRDefault="00A35A06" w:rsidP="00A35A06">
            <w:pPr>
              <w:pStyle w:val="TableBodyCopy"/>
              <w:rPr>
                <w:rFonts w:eastAsia="Times New Roman"/>
              </w:rPr>
            </w:pPr>
            <w:r>
              <w:rPr>
                <w:rFonts w:eastAsia="Times New Roman"/>
              </w:rPr>
              <w:t>4.3.4</w:t>
            </w:r>
            <w:r w:rsidRPr="00576490">
              <w:rPr>
                <w:rFonts w:eastAsia="Times New Roman"/>
              </w:rPr>
              <w:t xml:space="preserve"> Contraceptive protection (couple years of protection) from unplanned pregnancies made available</w:t>
            </w:r>
            <w:r w:rsidR="00F105EF">
              <w:rPr>
                <w:rFonts w:eastAsia="Times New Roman"/>
              </w:rPr>
              <w:t xml:space="preserve"> through Australian support (Tier</w:t>
            </w:r>
            <w:r w:rsidR="00F627C5">
              <w:rPr>
                <w:rFonts w:eastAsia="Times New Roman"/>
              </w:rPr>
              <w:t> </w:t>
            </w:r>
            <w:r w:rsidR="00F105EF">
              <w:rPr>
                <w:rFonts w:eastAsia="Times New Roman"/>
              </w:rPr>
              <w:t>2)</w:t>
            </w:r>
          </w:p>
        </w:tc>
        <w:tc>
          <w:tcPr>
            <w:tcW w:w="0" w:type="pct"/>
            <w:shd w:val="clear" w:color="auto" w:fill="D9D9D9"/>
          </w:tcPr>
          <w:p w14:paraId="7CF5745B" w14:textId="58AA4E84" w:rsidR="00A35A06" w:rsidRDefault="00A35A06" w:rsidP="00A35A06">
            <w:pPr>
              <w:pStyle w:val="TableBodyCopy"/>
              <w:rPr>
                <w:color w:val="000000"/>
              </w:rPr>
            </w:pPr>
            <w:r w:rsidRPr="00AD7B9D">
              <w:rPr>
                <w:color w:val="000000"/>
              </w:rPr>
              <w:t>198,000</w:t>
            </w:r>
          </w:p>
        </w:tc>
        <w:tc>
          <w:tcPr>
            <w:tcW w:w="0" w:type="pct"/>
            <w:shd w:val="clear" w:color="auto" w:fill="D9D9D9"/>
          </w:tcPr>
          <w:p w14:paraId="6F7DB640" w14:textId="189310E5" w:rsidR="00A35A06" w:rsidRDefault="00A35A06" w:rsidP="00A35A06">
            <w:pPr>
              <w:pStyle w:val="TableBodyCopy"/>
              <w:rPr>
                <w:color w:val="000000"/>
              </w:rPr>
            </w:pPr>
            <w:r w:rsidRPr="00AD7B9D">
              <w:rPr>
                <w:color w:val="000000"/>
              </w:rPr>
              <w:t>208,000</w:t>
            </w:r>
          </w:p>
        </w:tc>
        <w:tc>
          <w:tcPr>
            <w:tcW w:w="0" w:type="pct"/>
            <w:shd w:val="clear" w:color="auto" w:fill="D9D9D9"/>
          </w:tcPr>
          <w:p w14:paraId="44C5A45E" w14:textId="5CFBED18" w:rsidR="00A35A06" w:rsidRDefault="00A35A06" w:rsidP="00A35A06">
            <w:pPr>
              <w:pStyle w:val="TableBodyCopy"/>
              <w:rPr>
                <w:color w:val="000000"/>
              </w:rPr>
            </w:pPr>
            <w:r w:rsidRPr="00AD7B9D">
              <w:rPr>
                <w:color w:val="000000"/>
              </w:rPr>
              <w:t>219,000</w:t>
            </w:r>
          </w:p>
        </w:tc>
        <w:tc>
          <w:tcPr>
            <w:tcW w:w="0" w:type="pct"/>
            <w:shd w:val="clear" w:color="auto" w:fill="D9D9D9"/>
          </w:tcPr>
          <w:p w14:paraId="6D3F925F" w14:textId="7BA6848A" w:rsidR="00A35A06" w:rsidRPr="00AD7B9D" w:rsidRDefault="00A35A06" w:rsidP="00A35A06">
            <w:pPr>
              <w:pStyle w:val="TableBodyCopy"/>
              <w:rPr>
                <w:color w:val="000000"/>
              </w:rPr>
            </w:pPr>
            <w:r w:rsidRPr="00AD7B9D">
              <w:rPr>
                <w:color w:val="000000"/>
              </w:rPr>
              <w:t>SDG3</w:t>
            </w:r>
            <w:r w:rsidR="00CE3F21">
              <w:rPr>
                <w:color w:val="000000"/>
              </w:rPr>
              <w:t>,</w:t>
            </w:r>
            <w:r w:rsidRPr="00AD7B9D">
              <w:rPr>
                <w:color w:val="000000"/>
              </w:rPr>
              <w:t xml:space="preserve"> SDG5</w:t>
            </w:r>
          </w:p>
        </w:tc>
      </w:tr>
      <w:tr w:rsidR="0071026F" w:rsidRPr="00D750DD" w14:paraId="09B86BD2" w14:textId="77777777" w:rsidTr="00547BC4">
        <w:trPr>
          <w:trHeight w:val="583"/>
        </w:trPr>
        <w:tc>
          <w:tcPr>
            <w:tcW w:w="0" w:type="pct"/>
            <w:shd w:val="clear" w:color="auto" w:fill="D9D9D9"/>
          </w:tcPr>
          <w:p w14:paraId="0748347A" w14:textId="77777777" w:rsidR="0071026F" w:rsidRDefault="0071026F" w:rsidP="0071026F">
            <w:pPr>
              <w:pStyle w:val="TableBodyCopybold"/>
            </w:pPr>
            <w:r w:rsidRPr="0071026F">
              <w:t>Outcome 4.4</w:t>
            </w:r>
          </w:p>
          <w:p w14:paraId="6E02F882" w14:textId="599CB2EB" w:rsidR="000A5398" w:rsidRPr="005D50D9" w:rsidRDefault="000A5398" w:rsidP="005D50D9">
            <w:pPr>
              <w:pStyle w:val="TableBodyCopybold"/>
              <w:rPr>
                <w:b w:val="0"/>
              </w:rPr>
            </w:pPr>
            <w:r w:rsidRPr="005D50D9">
              <w:rPr>
                <w:b w:val="0"/>
              </w:rPr>
              <w:t xml:space="preserve">Access to water, </w:t>
            </w:r>
            <w:r w:rsidR="00E513DB" w:rsidRPr="00547BC4">
              <w:rPr>
                <w:b w:val="0"/>
                <w:bCs w:val="0"/>
              </w:rPr>
              <w:t>sanitation</w:t>
            </w:r>
            <w:r w:rsidRPr="00AC5D83">
              <w:rPr>
                <w:b w:val="0"/>
                <w:bCs w:val="0"/>
              </w:rPr>
              <w:t xml:space="preserve"> </w:t>
            </w:r>
            <w:r w:rsidRPr="005D50D9">
              <w:rPr>
                <w:b w:val="0"/>
              </w:rPr>
              <w:t xml:space="preserve">and hygiene: Improved equitable access to climate resilient </w:t>
            </w:r>
            <w:r w:rsidR="00030331" w:rsidRPr="005D50D9">
              <w:rPr>
                <w:b w:val="0"/>
              </w:rPr>
              <w:t>water, sanitation and hygiene</w:t>
            </w:r>
            <w:r w:rsidR="00030331">
              <w:rPr>
                <w:b w:val="0"/>
                <w:bCs w:val="0"/>
              </w:rPr>
              <w:t>.</w:t>
            </w:r>
          </w:p>
        </w:tc>
        <w:tc>
          <w:tcPr>
            <w:tcW w:w="0" w:type="pct"/>
            <w:shd w:val="clear" w:color="auto" w:fill="D9D9D9"/>
          </w:tcPr>
          <w:p w14:paraId="030474DD" w14:textId="1D26332F" w:rsidR="0071026F" w:rsidRPr="00576490" w:rsidDel="00A35A06" w:rsidRDefault="00F30E19" w:rsidP="00B73F25">
            <w:pPr>
              <w:pStyle w:val="TableBodyCopy"/>
              <w:rPr>
                <w:rFonts w:eastAsia="Times New Roman"/>
              </w:rPr>
            </w:pPr>
            <w:r>
              <w:t>4.4.</w:t>
            </w:r>
            <w:r w:rsidR="00E26943">
              <w:t>1</w:t>
            </w:r>
            <w:r w:rsidR="0071026F" w:rsidRPr="0071026F">
              <w:t xml:space="preserve"> Number of people using basic or safely managed drinking water services</w:t>
            </w:r>
            <w:r w:rsidR="00E26943">
              <w:t xml:space="preserve"> (Tier 2)</w:t>
            </w:r>
          </w:p>
        </w:tc>
        <w:tc>
          <w:tcPr>
            <w:tcW w:w="0" w:type="pct"/>
            <w:shd w:val="clear" w:color="auto" w:fill="D9D9D9"/>
          </w:tcPr>
          <w:p w14:paraId="5D03E979" w14:textId="019A8966" w:rsidR="0071026F" w:rsidRPr="00B2341E" w:rsidRDefault="002E3171" w:rsidP="0071026F">
            <w:pPr>
              <w:pStyle w:val="TableBodyCopy"/>
            </w:pPr>
            <w:r w:rsidRPr="00B2341E">
              <w:t>Number</w:t>
            </w:r>
            <w:r w:rsidR="0071026F" w:rsidRPr="00B2341E">
              <w:t xml:space="preserve"> of people using basic or safely managed climate</w:t>
            </w:r>
            <w:r w:rsidR="00F627C5">
              <w:t xml:space="preserve"> </w:t>
            </w:r>
            <w:r w:rsidR="0071026F" w:rsidRPr="00B2341E">
              <w:t>resilient drinking water services</w:t>
            </w:r>
          </w:p>
        </w:tc>
        <w:tc>
          <w:tcPr>
            <w:tcW w:w="0" w:type="pct"/>
            <w:shd w:val="clear" w:color="auto" w:fill="D9D9D9"/>
          </w:tcPr>
          <w:p w14:paraId="7A20A0B8" w14:textId="35EDDBCC" w:rsidR="0071026F" w:rsidRPr="00B2341E" w:rsidRDefault="00B94EA5" w:rsidP="0071026F">
            <w:pPr>
              <w:pStyle w:val="TableBodyCopy"/>
            </w:pPr>
            <w:r>
              <w:t>Number</w:t>
            </w:r>
            <w:r w:rsidR="0071026F" w:rsidRPr="00B2341E">
              <w:t xml:space="preserve"> of people using basic or safely managed climate</w:t>
            </w:r>
            <w:r w:rsidR="00F627C5">
              <w:t xml:space="preserve"> </w:t>
            </w:r>
            <w:r w:rsidR="0071026F" w:rsidRPr="00B2341E">
              <w:t>resilient drinking water services</w:t>
            </w:r>
          </w:p>
        </w:tc>
        <w:tc>
          <w:tcPr>
            <w:tcW w:w="0" w:type="pct"/>
            <w:shd w:val="clear" w:color="auto" w:fill="D9D9D9"/>
          </w:tcPr>
          <w:p w14:paraId="50C2BAEA" w14:textId="0116001F" w:rsidR="0071026F" w:rsidRPr="00B2341E" w:rsidRDefault="002E3171" w:rsidP="0071026F">
            <w:pPr>
              <w:pStyle w:val="TableBodyCopy"/>
            </w:pPr>
            <w:r w:rsidRPr="00B2341E">
              <w:t>Number</w:t>
            </w:r>
            <w:r w:rsidR="00B94EA5">
              <w:t xml:space="preserve"> </w:t>
            </w:r>
            <w:r w:rsidR="0071026F" w:rsidRPr="00B2341E">
              <w:t>of people using basic or safely managed climate</w:t>
            </w:r>
            <w:r w:rsidR="00F627C5">
              <w:t xml:space="preserve"> </w:t>
            </w:r>
            <w:r w:rsidR="0071026F" w:rsidRPr="00B2341E">
              <w:t>resilient drinking water services</w:t>
            </w:r>
          </w:p>
        </w:tc>
        <w:tc>
          <w:tcPr>
            <w:tcW w:w="0" w:type="pct"/>
            <w:shd w:val="clear" w:color="auto" w:fill="D9D9D9"/>
          </w:tcPr>
          <w:p w14:paraId="59897773" w14:textId="3C18ED0A" w:rsidR="0071026F" w:rsidRPr="00AD7B9D" w:rsidRDefault="0071026F" w:rsidP="0071026F">
            <w:pPr>
              <w:pStyle w:val="TableBodyCopy"/>
              <w:rPr>
                <w:color w:val="000000"/>
              </w:rPr>
            </w:pPr>
            <w:r w:rsidRPr="0071026F">
              <w:t>SDG6</w:t>
            </w:r>
          </w:p>
        </w:tc>
      </w:tr>
      <w:tr w:rsidR="0071026F" w:rsidRPr="00D750DD" w14:paraId="557FD1EE" w14:textId="77777777" w:rsidTr="00547BC4">
        <w:trPr>
          <w:trHeight w:val="583"/>
        </w:trPr>
        <w:tc>
          <w:tcPr>
            <w:tcW w:w="0" w:type="pct"/>
            <w:shd w:val="clear" w:color="auto" w:fill="D9D9D9"/>
          </w:tcPr>
          <w:p w14:paraId="1FD8D3AA" w14:textId="5982A837" w:rsidR="0071026F" w:rsidRPr="00933659" w:rsidRDefault="0071026F" w:rsidP="0071026F">
            <w:pPr>
              <w:pStyle w:val="TableBodyCopybold"/>
            </w:pPr>
            <w:r w:rsidRPr="0071026F">
              <w:t>Outcome 4.4</w:t>
            </w:r>
          </w:p>
        </w:tc>
        <w:tc>
          <w:tcPr>
            <w:tcW w:w="0" w:type="pct"/>
            <w:shd w:val="clear" w:color="auto" w:fill="D9D9D9"/>
          </w:tcPr>
          <w:p w14:paraId="5C3CD655" w14:textId="32CEBEA1" w:rsidR="0071026F" w:rsidRPr="00576490" w:rsidDel="00A35A06" w:rsidRDefault="00F30E19" w:rsidP="00B73F25">
            <w:pPr>
              <w:pStyle w:val="TableBodyCopy"/>
              <w:rPr>
                <w:rFonts w:eastAsia="Times New Roman"/>
              </w:rPr>
            </w:pPr>
            <w:r>
              <w:t>4.4.</w:t>
            </w:r>
            <w:r w:rsidR="00E26943">
              <w:t>2</w:t>
            </w:r>
            <w:r w:rsidR="00E26943" w:rsidRPr="0071026F">
              <w:t xml:space="preserve"> </w:t>
            </w:r>
            <w:r w:rsidR="0071026F" w:rsidRPr="0071026F">
              <w:t>Number of people using basic or safely managed sanitation services and/or a handwashing facility with soap and water</w:t>
            </w:r>
            <w:r w:rsidR="00536F97">
              <w:t xml:space="preserve"> (Tier 2)</w:t>
            </w:r>
          </w:p>
        </w:tc>
        <w:tc>
          <w:tcPr>
            <w:tcW w:w="0" w:type="pct"/>
            <w:shd w:val="clear" w:color="auto" w:fill="D9D9D9"/>
          </w:tcPr>
          <w:p w14:paraId="24F74FD9" w14:textId="440F6507" w:rsidR="0071026F" w:rsidRPr="00B2341E" w:rsidRDefault="002E3171" w:rsidP="0071026F">
            <w:pPr>
              <w:pStyle w:val="TableBodyCopy"/>
              <w:rPr>
                <w:color w:val="000000"/>
              </w:rPr>
            </w:pPr>
            <w:r w:rsidRPr="00B2341E">
              <w:t>Number</w:t>
            </w:r>
            <w:r w:rsidR="0071026F" w:rsidRPr="00B2341E">
              <w:t xml:space="preserve"> of people using basic or safely managed climate</w:t>
            </w:r>
            <w:r w:rsidR="00F627C5">
              <w:t xml:space="preserve"> </w:t>
            </w:r>
            <w:r w:rsidR="0071026F" w:rsidRPr="00B2341E">
              <w:t xml:space="preserve">resilient sanitation </w:t>
            </w:r>
            <w:r w:rsidR="004B6504" w:rsidRPr="00B2341E">
              <w:t xml:space="preserve">services </w:t>
            </w:r>
            <w:r w:rsidR="0071026F" w:rsidRPr="00B2341E">
              <w:t>and/or handwashing facilities with soap and water</w:t>
            </w:r>
          </w:p>
        </w:tc>
        <w:tc>
          <w:tcPr>
            <w:tcW w:w="0" w:type="pct"/>
            <w:shd w:val="clear" w:color="auto" w:fill="D9D9D9"/>
          </w:tcPr>
          <w:p w14:paraId="3EBF10EC" w14:textId="1DA38720" w:rsidR="0071026F" w:rsidRPr="00B2341E" w:rsidRDefault="002E3171" w:rsidP="0071026F">
            <w:pPr>
              <w:pStyle w:val="TableBodyCopy"/>
              <w:rPr>
                <w:color w:val="000000"/>
              </w:rPr>
            </w:pPr>
            <w:r w:rsidRPr="00B2341E">
              <w:t>Number</w:t>
            </w:r>
            <w:r w:rsidR="00B94EA5">
              <w:t xml:space="preserve"> </w:t>
            </w:r>
            <w:r w:rsidR="0071026F" w:rsidRPr="00B2341E">
              <w:t>of people using basic or safely managed climate</w:t>
            </w:r>
            <w:r w:rsidR="00F627C5">
              <w:t xml:space="preserve"> </w:t>
            </w:r>
            <w:r w:rsidR="0071026F" w:rsidRPr="00B2341E">
              <w:t xml:space="preserve">resilient sanitation </w:t>
            </w:r>
            <w:r w:rsidR="004B6504" w:rsidRPr="00B2341E">
              <w:t xml:space="preserve">services </w:t>
            </w:r>
            <w:r w:rsidR="0071026F" w:rsidRPr="00B2341E">
              <w:t>and/or handwashing facilities with soap and water</w:t>
            </w:r>
          </w:p>
        </w:tc>
        <w:tc>
          <w:tcPr>
            <w:tcW w:w="0" w:type="pct"/>
            <w:shd w:val="clear" w:color="auto" w:fill="D9D9D9"/>
          </w:tcPr>
          <w:p w14:paraId="42F90673" w14:textId="2583A3CE" w:rsidR="0071026F" w:rsidRPr="00B2341E" w:rsidRDefault="002E3171" w:rsidP="0071026F">
            <w:pPr>
              <w:pStyle w:val="TableBodyCopy"/>
              <w:rPr>
                <w:color w:val="000000"/>
              </w:rPr>
            </w:pPr>
            <w:r w:rsidRPr="00B2341E">
              <w:t>Number</w:t>
            </w:r>
            <w:r w:rsidR="0071026F" w:rsidRPr="00B2341E">
              <w:t xml:space="preserve"> of people using basic or safely managed climate</w:t>
            </w:r>
            <w:r w:rsidR="00F627C5">
              <w:t xml:space="preserve"> </w:t>
            </w:r>
            <w:r w:rsidR="0071026F" w:rsidRPr="00B2341E">
              <w:t xml:space="preserve">resilient sanitation </w:t>
            </w:r>
            <w:r w:rsidR="004B6504" w:rsidRPr="00B2341E">
              <w:t xml:space="preserve">services </w:t>
            </w:r>
            <w:r w:rsidR="0071026F" w:rsidRPr="00B2341E">
              <w:t>and/or handwashing facilities with soap and water</w:t>
            </w:r>
          </w:p>
        </w:tc>
        <w:tc>
          <w:tcPr>
            <w:tcW w:w="0" w:type="pct"/>
            <w:shd w:val="clear" w:color="auto" w:fill="D9D9D9"/>
          </w:tcPr>
          <w:p w14:paraId="66794603" w14:textId="4F579108" w:rsidR="0071026F" w:rsidRPr="00AD7B9D" w:rsidRDefault="0071026F" w:rsidP="0071026F">
            <w:pPr>
              <w:pStyle w:val="TableBodyCopy"/>
              <w:rPr>
                <w:color w:val="000000"/>
              </w:rPr>
            </w:pPr>
            <w:r w:rsidRPr="0071026F">
              <w:t>SDG6</w:t>
            </w:r>
          </w:p>
        </w:tc>
      </w:tr>
    </w:tbl>
    <w:p w14:paraId="7718FEBF" w14:textId="7AAA0E0F" w:rsidR="00CA0F64" w:rsidRDefault="00CA0F64" w:rsidP="00CA0F64">
      <w:pPr>
        <w:rPr>
          <w:lang w:eastAsia="en-AU"/>
        </w:rPr>
      </w:pPr>
      <w:r>
        <w:rPr>
          <w:lang w:eastAsia="en-AU"/>
        </w:rPr>
        <w:br w:type="page"/>
      </w:r>
    </w:p>
    <w:p w14:paraId="1D1EB955" w14:textId="4F3F2711" w:rsidR="00A6102F" w:rsidRPr="00A6102F" w:rsidRDefault="00A6102F" w:rsidP="007727F3">
      <w:pPr>
        <w:pStyle w:val="PAFobjectivehead"/>
      </w:pPr>
      <w:r w:rsidRPr="54EFF7E9">
        <w:lastRenderedPageBreak/>
        <w:t>Cross-</w:t>
      </w:r>
      <w:r w:rsidR="00FA28F4">
        <w:t>p</w:t>
      </w:r>
      <w:r w:rsidRPr="54EFF7E9">
        <w:t>rogram</w:t>
      </w:r>
    </w:p>
    <w:tbl>
      <w:tblPr>
        <w:tblStyle w:val="DFATBluegum"/>
        <w:tblW w:w="5000" w:type="pct"/>
        <w:tblLayout w:type="fixed"/>
        <w:tblLook w:val="04A0" w:firstRow="1" w:lastRow="0" w:firstColumn="1" w:lastColumn="0" w:noHBand="0" w:noVBand="1"/>
        <w:tblCaption w:val="Cross-program Performance Assessment Framework"/>
        <w:tblDescription w:val="Expected results for the first 3 years of the DPP and against the Sustainable Development Goals&#10;"/>
      </w:tblPr>
      <w:tblGrid>
        <w:gridCol w:w="2403"/>
        <w:gridCol w:w="2403"/>
        <w:gridCol w:w="2403"/>
        <w:gridCol w:w="2403"/>
        <w:gridCol w:w="2403"/>
        <w:gridCol w:w="2403"/>
      </w:tblGrid>
      <w:tr w:rsidR="0021245A" w:rsidRPr="000B04E1" w14:paraId="1DBB258C" w14:textId="77777777" w:rsidTr="00547BC4">
        <w:trPr>
          <w:cnfStyle w:val="100000000000" w:firstRow="1" w:lastRow="0" w:firstColumn="0" w:lastColumn="0" w:oddVBand="0" w:evenVBand="0" w:oddHBand="0" w:evenHBand="0" w:firstRowFirstColumn="0" w:firstRowLastColumn="0" w:lastRowFirstColumn="0" w:lastRowLastColumn="0"/>
          <w:trHeight w:val="787"/>
        </w:trPr>
        <w:tc>
          <w:tcPr>
            <w:tcW w:w="0" w:type="dxa"/>
          </w:tcPr>
          <w:p w14:paraId="4292B100" w14:textId="0D509C38" w:rsidR="0021245A" w:rsidRPr="00F30E19" w:rsidRDefault="007727F3" w:rsidP="00F30E19">
            <w:pPr>
              <w:pStyle w:val="TableHeading"/>
            </w:pPr>
            <w:r w:rsidRPr="00F30E19">
              <w:t>Theme</w:t>
            </w:r>
          </w:p>
        </w:tc>
        <w:tc>
          <w:tcPr>
            <w:tcW w:w="0" w:type="dxa"/>
            <w:hideMark/>
          </w:tcPr>
          <w:p w14:paraId="2B6F7148" w14:textId="0B471F91" w:rsidR="0021245A" w:rsidRPr="00F30E19" w:rsidRDefault="0021245A" w:rsidP="00F30E19">
            <w:pPr>
              <w:pStyle w:val="TableHeading"/>
            </w:pPr>
            <w:r w:rsidRPr="00F30E19">
              <w:t>Indicator</w:t>
            </w:r>
          </w:p>
        </w:tc>
        <w:tc>
          <w:tcPr>
            <w:tcW w:w="0" w:type="dxa"/>
            <w:hideMark/>
          </w:tcPr>
          <w:p w14:paraId="6D599319" w14:textId="44CA864D" w:rsidR="0021245A" w:rsidRPr="00F30E19" w:rsidRDefault="0021245A" w:rsidP="00F30E19">
            <w:pPr>
              <w:pStyle w:val="TableHeading"/>
            </w:pPr>
            <w:r w:rsidRPr="00F30E19">
              <w:t xml:space="preserve">Expected </w:t>
            </w:r>
            <w:r w:rsidR="007727F3" w:rsidRPr="00F30E19">
              <w:t>r</w:t>
            </w:r>
            <w:r w:rsidRPr="00F30E19">
              <w:t>esults</w:t>
            </w:r>
            <w:r w:rsidRPr="00F30E19">
              <w:br/>
              <w:t>2024–25</w:t>
            </w:r>
          </w:p>
        </w:tc>
        <w:tc>
          <w:tcPr>
            <w:tcW w:w="0" w:type="dxa"/>
            <w:hideMark/>
          </w:tcPr>
          <w:p w14:paraId="206D0BE9" w14:textId="288F0A9F" w:rsidR="0021245A" w:rsidRPr="00F30E19" w:rsidRDefault="0021245A" w:rsidP="00F30E19">
            <w:pPr>
              <w:pStyle w:val="TableHeading"/>
            </w:pPr>
            <w:r w:rsidRPr="00F30E19">
              <w:t xml:space="preserve">Expected </w:t>
            </w:r>
            <w:r w:rsidR="007727F3" w:rsidRPr="00F30E19">
              <w:t>r</w:t>
            </w:r>
            <w:r w:rsidRPr="00F30E19">
              <w:t>esults</w:t>
            </w:r>
            <w:r w:rsidRPr="00F30E19">
              <w:br/>
              <w:t>2025–26</w:t>
            </w:r>
          </w:p>
        </w:tc>
        <w:tc>
          <w:tcPr>
            <w:tcW w:w="0" w:type="dxa"/>
            <w:hideMark/>
          </w:tcPr>
          <w:p w14:paraId="126EBDCB" w14:textId="129736A7" w:rsidR="0021245A" w:rsidRPr="00F30E19" w:rsidRDefault="0021245A" w:rsidP="00F30E19">
            <w:pPr>
              <w:pStyle w:val="TableHeading"/>
            </w:pPr>
            <w:r w:rsidRPr="00F30E19">
              <w:t xml:space="preserve">Expected </w:t>
            </w:r>
            <w:r w:rsidR="007727F3" w:rsidRPr="00F30E19">
              <w:t>r</w:t>
            </w:r>
            <w:r w:rsidRPr="00F30E19">
              <w:t>esults</w:t>
            </w:r>
            <w:r w:rsidRPr="00F30E19">
              <w:br/>
              <w:t>2026–27</w:t>
            </w:r>
          </w:p>
        </w:tc>
        <w:tc>
          <w:tcPr>
            <w:tcW w:w="0" w:type="dxa"/>
            <w:hideMark/>
          </w:tcPr>
          <w:p w14:paraId="3D73C78C" w14:textId="3F1F0D26" w:rsidR="0021245A" w:rsidRPr="00F30E19" w:rsidRDefault="0021245A" w:rsidP="00F30E19">
            <w:pPr>
              <w:pStyle w:val="TableHeading"/>
            </w:pPr>
            <w:r w:rsidRPr="00F30E19">
              <w:t>Sustainable Development Goals (SDGs)</w:t>
            </w:r>
          </w:p>
        </w:tc>
      </w:tr>
      <w:tr w:rsidR="00B31FF3" w:rsidRPr="000B04E1" w14:paraId="21A2E830" w14:textId="77777777" w:rsidTr="00547BC4">
        <w:trPr>
          <w:trHeight w:val="787"/>
        </w:trPr>
        <w:tc>
          <w:tcPr>
            <w:tcW w:w="0" w:type="dxa"/>
          </w:tcPr>
          <w:p w14:paraId="3E3C8772" w14:textId="35206822" w:rsidR="00B31FF3" w:rsidRPr="00B31FF3" w:rsidRDefault="00B31FF3" w:rsidP="00B31FF3">
            <w:pPr>
              <w:pStyle w:val="TableBodyCopy"/>
            </w:pPr>
            <w:r>
              <w:rPr>
                <w:lang w:val="en-ID"/>
              </w:rPr>
              <w:t>Effectiveness</w:t>
            </w:r>
          </w:p>
        </w:tc>
        <w:tc>
          <w:tcPr>
            <w:tcW w:w="0" w:type="dxa"/>
          </w:tcPr>
          <w:p w14:paraId="3324EEA4" w14:textId="2B8F68B5" w:rsidR="00B31FF3" w:rsidRPr="00B2341E" w:rsidRDefault="002E3171" w:rsidP="00B31FF3">
            <w:pPr>
              <w:pStyle w:val="TableBodyCopy"/>
            </w:pPr>
            <w:r w:rsidRPr="00B2341E">
              <w:t>Percentage</w:t>
            </w:r>
            <w:r w:rsidR="00B31FF3" w:rsidRPr="00B2341E">
              <w:t xml:space="preserve"> of investments assessed as satisfactory on both effectiveness and efficiency criteria in the </w:t>
            </w:r>
            <w:r w:rsidR="00651808" w:rsidRPr="00B2341E">
              <w:t>Investment Monitoring Reporting (</w:t>
            </w:r>
            <w:r w:rsidR="00B31FF3" w:rsidRPr="00B2341E">
              <w:t>IMR</w:t>
            </w:r>
            <w:r w:rsidR="00651808" w:rsidRPr="00B2341E">
              <w:t>)</w:t>
            </w:r>
            <w:r w:rsidR="00B31FF3" w:rsidRPr="00B2341E">
              <w:t xml:space="preserve"> process</w:t>
            </w:r>
            <w:r w:rsidR="00651808" w:rsidRPr="00B2341E">
              <w:t xml:space="preserve"> (Tier</w:t>
            </w:r>
            <w:r w:rsidR="00F627C5">
              <w:t> </w:t>
            </w:r>
            <w:r w:rsidR="00651808" w:rsidRPr="00B2341E">
              <w:t>3)</w:t>
            </w:r>
          </w:p>
        </w:tc>
        <w:tc>
          <w:tcPr>
            <w:tcW w:w="0" w:type="dxa"/>
          </w:tcPr>
          <w:p w14:paraId="2AE3D555" w14:textId="0B9064A8" w:rsidR="00B31FF3" w:rsidRPr="00B31FF3" w:rsidRDefault="00B31FF3" w:rsidP="00B31FF3">
            <w:pPr>
              <w:pStyle w:val="TableBodyCopy"/>
            </w:pPr>
            <w:r>
              <w:rPr>
                <w:lang w:val="en-ID"/>
              </w:rPr>
              <w:t>85</w:t>
            </w:r>
            <w:r w:rsidR="006A1879">
              <w:rPr>
                <w:lang w:val="en-ID"/>
              </w:rPr>
              <w:t>%</w:t>
            </w:r>
          </w:p>
        </w:tc>
        <w:tc>
          <w:tcPr>
            <w:tcW w:w="0" w:type="dxa"/>
          </w:tcPr>
          <w:p w14:paraId="017BE9DC" w14:textId="246D1948" w:rsidR="00B31FF3" w:rsidRPr="00B31FF3" w:rsidRDefault="00B31FF3" w:rsidP="00B31FF3">
            <w:pPr>
              <w:pStyle w:val="TableBodyCopy"/>
            </w:pPr>
            <w:r>
              <w:rPr>
                <w:lang w:val="en-ID"/>
              </w:rPr>
              <w:t>90</w:t>
            </w:r>
            <w:r w:rsidR="006A1879">
              <w:rPr>
                <w:lang w:val="en-ID"/>
              </w:rPr>
              <w:t>%</w:t>
            </w:r>
          </w:p>
        </w:tc>
        <w:tc>
          <w:tcPr>
            <w:tcW w:w="0" w:type="dxa"/>
          </w:tcPr>
          <w:p w14:paraId="09C75772" w14:textId="4127F01B" w:rsidR="00B31FF3" w:rsidRPr="00B31FF3" w:rsidRDefault="00B31FF3" w:rsidP="00B31FF3">
            <w:pPr>
              <w:pStyle w:val="TableBodyCopy"/>
            </w:pPr>
            <w:r>
              <w:rPr>
                <w:lang w:val="en-ID"/>
              </w:rPr>
              <w:t>95</w:t>
            </w:r>
            <w:r w:rsidR="006A1879">
              <w:rPr>
                <w:lang w:val="en-ID"/>
              </w:rPr>
              <w:t>%</w:t>
            </w:r>
          </w:p>
        </w:tc>
        <w:tc>
          <w:tcPr>
            <w:tcW w:w="0" w:type="dxa"/>
          </w:tcPr>
          <w:p w14:paraId="4DBCB7C4" w14:textId="5A51C7BC" w:rsidR="00E63AA8" w:rsidRDefault="00E63AA8" w:rsidP="00B31FF3">
            <w:pPr>
              <w:pStyle w:val="TableBodyCopy"/>
            </w:pPr>
            <w:r w:rsidRPr="00602D3F">
              <w:t>SDG</w:t>
            </w:r>
            <w:r w:rsidR="00520D41" w:rsidRPr="00602D3F">
              <w:t>1</w:t>
            </w:r>
            <w:r w:rsidR="00520D41">
              <w:t>: No</w:t>
            </w:r>
            <w:r>
              <w:t xml:space="preserve"> </w:t>
            </w:r>
            <w:r w:rsidR="006A1879">
              <w:t>p</w:t>
            </w:r>
            <w:r>
              <w:t xml:space="preserve">overty </w:t>
            </w:r>
          </w:p>
          <w:p w14:paraId="607986A5" w14:textId="0F0A5C3A" w:rsidR="00E63AA8" w:rsidRDefault="00E63AA8" w:rsidP="00B31FF3">
            <w:pPr>
              <w:pStyle w:val="TableBodyCopy"/>
            </w:pPr>
            <w:r w:rsidRPr="00602D3F">
              <w:t>SDG</w:t>
            </w:r>
            <w:r w:rsidR="00520D41" w:rsidRPr="00602D3F">
              <w:t>10</w:t>
            </w:r>
            <w:r w:rsidR="00520D41">
              <w:t>: Reduced</w:t>
            </w:r>
            <w:r>
              <w:t xml:space="preserve"> </w:t>
            </w:r>
            <w:r w:rsidR="006A1879">
              <w:t>i</w:t>
            </w:r>
            <w:r>
              <w:t>nequalities</w:t>
            </w:r>
          </w:p>
          <w:p w14:paraId="3F725E92" w14:textId="53E0870C" w:rsidR="00B31FF3" w:rsidRPr="00B31FF3" w:rsidRDefault="00E63AA8" w:rsidP="00B31FF3">
            <w:pPr>
              <w:pStyle w:val="TableBodyCopy"/>
            </w:pPr>
            <w:r w:rsidRPr="00602D3F">
              <w:t>SDG17</w:t>
            </w:r>
            <w:r w:rsidR="006A1879">
              <w:t>:</w:t>
            </w:r>
            <w:r>
              <w:t xml:space="preserve"> </w:t>
            </w:r>
            <w:r w:rsidRPr="00670DA3">
              <w:rPr>
                <w:lang w:val="en-ID"/>
              </w:rPr>
              <w:t xml:space="preserve">Partnerships for the </w:t>
            </w:r>
            <w:r w:rsidR="006A1879">
              <w:rPr>
                <w:lang w:val="en-ID"/>
              </w:rPr>
              <w:t>g</w:t>
            </w:r>
            <w:r w:rsidRPr="00670DA3">
              <w:rPr>
                <w:lang w:val="en-ID"/>
              </w:rPr>
              <w:t>oals</w:t>
            </w:r>
          </w:p>
        </w:tc>
      </w:tr>
      <w:tr w:rsidR="00B31FF3" w:rsidRPr="000B04E1" w14:paraId="2C0E8E8B" w14:textId="77777777" w:rsidTr="00547BC4">
        <w:trPr>
          <w:trHeight w:val="787"/>
        </w:trPr>
        <w:tc>
          <w:tcPr>
            <w:tcW w:w="0" w:type="dxa"/>
          </w:tcPr>
          <w:p w14:paraId="0E085981" w14:textId="2618B9DB" w:rsidR="00B31FF3" w:rsidRPr="00B31FF3" w:rsidRDefault="00B31FF3" w:rsidP="00B31FF3">
            <w:pPr>
              <w:pStyle w:val="TableBodyCopy"/>
            </w:pPr>
            <w:r>
              <w:rPr>
                <w:lang w:val="en-ID"/>
              </w:rPr>
              <w:t>Effectiveness</w:t>
            </w:r>
          </w:p>
        </w:tc>
        <w:tc>
          <w:tcPr>
            <w:tcW w:w="0" w:type="dxa"/>
          </w:tcPr>
          <w:p w14:paraId="715E5565" w14:textId="0C456D24" w:rsidR="00B31FF3" w:rsidRPr="00B2341E" w:rsidRDefault="002E3171" w:rsidP="00B31FF3">
            <w:pPr>
              <w:pStyle w:val="TableBodyCopy"/>
            </w:pPr>
            <w:r w:rsidRPr="00B2341E">
              <w:t>Percentage</w:t>
            </w:r>
            <w:r w:rsidR="00B31FF3" w:rsidRPr="00B2341E">
              <w:t xml:space="preserve"> of completed investments assessed as satisfactory against </w:t>
            </w:r>
            <w:r w:rsidR="00716570" w:rsidRPr="00B2341E">
              <w:t xml:space="preserve">both </w:t>
            </w:r>
            <w:r w:rsidR="00B31FF3" w:rsidRPr="00B2341E">
              <w:t xml:space="preserve">effectiveness and efficiency </w:t>
            </w:r>
            <w:r w:rsidR="008929FB" w:rsidRPr="00B2341E">
              <w:t xml:space="preserve">criteria </w:t>
            </w:r>
            <w:r w:rsidR="00B31FF3" w:rsidRPr="00B2341E">
              <w:t xml:space="preserve">in the </w:t>
            </w:r>
            <w:r w:rsidR="008929FB" w:rsidRPr="00B2341E">
              <w:t xml:space="preserve">Final Investment Monitoring Reporting </w:t>
            </w:r>
            <w:r w:rsidR="00B31FF3" w:rsidRPr="00B2341E">
              <w:t>process</w:t>
            </w:r>
            <w:r w:rsidR="008929FB" w:rsidRPr="00B2341E">
              <w:t xml:space="preserve"> (Tier 3)</w:t>
            </w:r>
          </w:p>
        </w:tc>
        <w:tc>
          <w:tcPr>
            <w:tcW w:w="0" w:type="dxa"/>
          </w:tcPr>
          <w:p w14:paraId="4AFEF1FC" w14:textId="1255DBC4" w:rsidR="00B31FF3" w:rsidRPr="00B31FF3" w:rsidRDefault="00B31FF3" w:rsidP="00B31FF3">
            <w:pPr>
              <w:pStyle w:val="TableBodyCopy"/>
            </w:pPr>
            <w:r>
              <w:rPr>
                <w:lang w:val="en-ID"/>
              </w:rPr>
              <w:t>60</w:t>
            </w:r>
            <w:r w:rsidR="00552E65">
              <w:rPr>
                <w:lang w:val="en-ID"/>
              </w:rPr>
              <w:t>%</w:t>
            </w:r>
          </w:p>
        </w:tc>
        <w:tc>
          <w:tcPr>
            <w:tcW w:w="0" w:type="dxa"/>
          </w:tcPr>
          <w:p w14:paraId="319638C6" w14:textId="2662A911" w:rsidR="00B31FF3" w:rsidRPr="00B31FF3" w:rsidRDefault="00B31FF3" w:rsidP="00B31FF3">
            <w:pPr>
              <w:pStyle w:val="TableBodyCopy"/>
            </w:pPr>
            <w:r>
              <w:rPr>
                <w:lang w:val="en-ID"/>
              </w:rPr>
              <w:t>65</w:t>
            </w:r>
            <w:r w:rsidR="00552E65">
              <w:rPr>
                <w:lang w:val="en-ID"/>
              </w:rPr>
              <w:t>%</w:t>
            </w:r>
          </w:p>
        </w:tc>
        <w:tc>
          <w:tcPr>
            <w:tcW w:w="0" w:type="dxa"/>
          </w:tcPr>
          <w:p w14:paraId="6B0CD0CE" w14:textId="7E5FF908" w:rsidR="00B31FF3" w:rsidRPr="00B31FF3" w:rsidRDefault="00B31FF3" w:rsidP="00B31FF3">
            <w:pPr>
              <w:pStyle w:val="TableBodyCopy"/>
            </w:pPr>
            <w:r>
              <w:rPr>
                <w:lang w:val="en-ID"/>
              </w:rPr>
              <w:t>70</w:t>
            </w:r>
            <w:r w:rsidR="00552E65">
              <w:rPr>
                <w:lang w:val="en-ID"/>
              </w:rPr>
              <w:t>%</w:t>
            </w:r>
          </w:p>
        </w:tc>
        <w:tc>
          <w:tcPr>
            <w:tcW w:w="0" w:type="dxa"/>
          </w:tcPr>
          <w:p w14:paraId="65B3569C" w14:textId="79202ABD" w:rsidR="00B31FF3" w:rsidRPr="00B31FF3" w:rsidRDefault="00E63AA8" w:rsidP="00E63AA8">
            <w:pPr>
              <w:pStyle w:val="TableBodyCopy"/>
            </w:pPr>
            <w:r w:rsidRPr="00602D3F">
              <w:t>SDG1</w:t>
            </w:r>
            <w:r w:rsidR="00410BAE">
              <w:t xml:space="preserve">, </w:t>
            </w:r>
            <w:r w:rsidRPr="00602D3F">
              <w:t>SDG10</w:t>
            </w:r>
            <w:r w:rsidR="00410BAE">
              <w:t xml:space="preserve">, </w:t>
            </w:r>
            <w:r w:rsidRPr="00602D3F">
              <w:t>SDG17</w:t>
            </w:r>
          </w:p>
        </w:tc>
      </w:tr>
      <w:tr w:rsidR="00790294" w:rsidRPr="000B04E1" w14:paraId="10580037" w14:textId="77777777" w:rsidTr="00547BC4">
        <w:trPr>
          <w:trHeight w:val="787"/>
        </w:trPr>
        <w:tc>
          <w:tcPr>
            <w:tcW w:w="0" w:type="dxa"/>
          </w:tcPr>
          <w:p w14:paraId="28CBDF63" w14:textId="72FBC615" w:rsidR="00790294" w:rsidRDefault="00790294" w:rsidP="00790294">
            <w:pPr>
              <w:pStyle w:val="TableBodyCopy"/>
              <w:rPr>
                <w:lang w:val="en-ID"/>
              </w:rPr>
            </w:pPr>
            <w:r w:rsidRPr="0094097C">
              <w:rPr>
                <w:lang w:val="en-ID"/>
              </w:rPr>
              <w:t xml:space="preserve">Gender </w:t>
            </w:r>
            <w:r>
              <w:rPr>
                <w:lang w:val="en-ID"/>
              </w:rPr>
              <w:t>e</w:t>
            </w:r>
            <w:r w:rsidRPr="0094097C">
              <w:rPr>
                <w:lang w:val="en-ID"/>
              </w:rPr>
              <w:t>quality</w:t>
            </w:r>
          </w:p>
        </w:tc>
        <w:tc>
          <w:tcPr>
            <w:tcW w:w="0" w:type="dxa"/>
          </w:tcPr>
          <w:p w14:paraId="30459968" w14:textId="37B0B48E" w:rsidR="00790294" w:rsidRPr="00B2341E" w:rsidRDefault="00A43F0D" w:rsidP="00790294">
            <w:pPr>
              <w:pStyle w:val="TableBodyCopy"/>
            </w:pPr>
            <w:r w:rsidRPr="00B2341E">
              <w:rPr>
                <w:lang w:val="en-ID"/>
              </w:rPr>
              <w:t>Percentage</w:t>
            </w:r>
            <w:r w:rsidR="00790294" w:rsidRPr="00B2341E">
              <w:rPr>
                <w:lang w:val="en-ID"/>
              </w:rPr>
              <w:t xml:space="preserve"> of investments </w:t>
            </w:r>
            <w:r w:rsidR="008929FB" w:rsidRPr="00B2341E">
              <w:rPr>
                <w:lang w:val="en-ID"/>
              </w:rPr>
              <w:t xml:space="preserve">that </w:t>
            </w:r>
            <w:r w:rsidR="00614EFE" w:rsidRPr="00B2341E">
              <w:rPr>
                <w:lang w:val="en-ID"/>
              </w:rPr>
              <w:t>effectively</w:t>
            </w:r>
            <w:r w:rsidR="00614EFE">
              <w:rPr>
                <w:lang w:val="en-ID"/>
              </w:rPr>
              <w:t xml:space="preserve"> </w:t>
            </w:r>
            <w:r w:rsidR="00790294" w:rsidRPr="00B2341E">
              <w:rPr>
                <w:lang w:val="en-ID"/>
              </w:rPr>
              <w:t xml:space="preserve">address gender equality </w:t>
            </w:r>
            <w:r w:rsidR="00614EFE">
              <w:rPr>
                <w:lang w:val="en-ID"/>
              </w:rPr>
              <w:t>(Tier 3)</w:t>
            </w:r>
            <w:hyperlink w:anchor="T3na" w:history="1">
              <w:r w:rsidR="00681DBE" w:rsidRPr="00681DBE">
                <w:rPr>
                  <w:rStyle w:val="tablehyperlink"/>
                </w:rPr>
                <w:t>a</w:t>
              </w:r>
            </w:hyperlink>
          </w:p>
        </w:tc>
        <w:tc>
          <w:tcPr>
            <w:tcW w:w="0" w:type="dxa"/>
          </w:tcPr>
          <w:p w14:paraId="791AE659" w14:textId="7A8C2E21" w:rsidR="00790294" w:rsidRDefault="00790294" w:rsidP="00790294">
            <w:pPr>
              <w:pStyle w:val="TableBodyCopy"/>
              <w:rPr>
                <w:lang w:val="en-ID"/>
              </w:rPr>
            </w:pPr>
            <w:r w:rsidRPr="00446BB0">
              <w:rPr>
                <w:lang w:val="en-ID"/>
              </w:rPr>
              <w:t>80%</w:t>
            </w:r>
          </w:p>
        </w:tc>
        <w:tc>
          <w:tcPr>
            <w:tcW w:w="0" w:type="dxa"/>
          </w:tcPr>
          <w:p w14:paraId="1803CDAF" w14:textId="6ED29B73" w:rsidR="00790294" w:rsidRDefault="00790294" w:rsidP="00790294">
            <w:pPr>
              <w:pStyle w:val="TableBodyCopy"/>
              <w:rPr>
                <w:lang w:val="en-ID"/>
              </w:rPr>
            </w:pPr>
            <w:r w:rsidRPr="00446BB0">
              <w:rPr>
                <w:lang w:val="en-ID"/>
              </w:rPr>
              <w:t>80%</w:t>
            </w:r>
          </w:p>
        </w:tc>
        <w:tc>
          <w:tcPr>
            <w:tcW w:w="0" w:type="dxa"/>
          </w:tcPr>
          <w:p w14:paraId="64F67509" w14:textId="20A28789" w:rsidR="00790294" w:rsidRDefault="00790294" w:rsidP="00790294">
            <w:pPr>
              <w:pStyle w:val="TableBodyCopy"/>
              <w:rPr>
                <w:lang w:val="en-ID"/>
              </w:rPr>
            </w:pPr>
            <w:r w:rsidRPr="00446BB0">
              <w:rPr>
                <w:lang w:val="en-ID"/>
              </w:rPr>
              <w:t>80%</w:t>
            </w:r>
          </w:p>
        </w:tc>
        <w:tc>
          <w:tcPr>
            <w:tcW w:w="0" w:type="dxa"/>
          </w:tcPr>
          <w:p w14:paraId="5DF4B887" w14:textId="1E9ED7FB" w:rsidR="00790294" w:rsidRPr="00B31FF3" w:rsidRDefault="00790294" w:rsidP="00790294">
            <w:pPr>
              <w:pStyle w:val="TableBodyCopy"/>
            </w:pPr>
            <w:r>
              <w:t>SDG5</w:t>
            </w:r>
          </w:p>
        </w:tc>
      </w:tr>
      <w:tr w:rsidR="00790294" w:rsidRPr="000B04E1" w14:paraId="37B41F90" w14:textId="77777777" w:rsidTr="00547BC4">
        <w:trPr>
          <w:trHeight w:val="787"/>
        </w:trPr>
        <w:tc>
          <w:tcPr>
            <w:tcW w:w="0" w:type="dxa"/>
          </w:tcPr>
          <w:p w14:paraId="753BB1B6" w14:textId="3FEB1B8D" w:rsidR="00790294" w:rsidRDefault="00790294" w:rsidP="00790294">
            <w:pPr>
              <w:pStyle w:val="TableBodyCopy"/>
              <w:rPr>
                <w:lang w:val="en-ID"/>
              </w:rPr>
            </w:pPr>
            <w:r w:rsidRPr="0094097C">
              <w:rPr>
                <w:lang w:val="en-ID"/>
              </w:rPr>
              <w:t xml:space="preserve">Disability </w:t>
            </w:r>
            <w:r>
              <w:rPr>
                <w:lang w:val="en-ID"/>
              </w:rPr>
              <w:t>e</w:t>
            </w:r>
            <w:r w:rsidRPr="0094097C">
              <w:rPr>
                <w:lang w:val="en-ID"/>
              </w:rPr>
              <w:t>quity</w:t>
            </w:r>
          </w:p>
        </w:tc>
        <w:tc>
          <w:tcPr>
            <w:tcW w:w="0" w:type="dxa"/>
          </w:tcPr>
          <w:p w14:paraId="0E1D79C6" w14:textId="01C2EB82" w:rsidR="00790294" w:rsidRPr="00B2341E" w:rsidRDefault="00790294" w:rsidP="00790294">
            <w:pPr>
              <w:pStyle w:val="TableBodyCopy"/>
            </w:pPr>
            <w:r w:rsidRPr="00B2341E">
              <w:rPr>
                <w:lang w:val="en-ID"/>
              </w:rPr>
              <w:t>Percentage of investments</w:t>
            </w:r>
            <w:r w:rsidR="009B7647" w:rsidRPr="00B2341E">
              <w:rPr>
                <w:lang w:val="en-ID"/>
              </w:rPr>
              <w:t xml:space="preserve"> that</w:t>
            </w:r>
            <w:r w:rsidRPr="00B2341E">
              <w:rPr>
                <w:lang w:val="en-ID"/>
              </w:rPr>
              <w:t xml:space="preserve"> effectively address disability equity</w:t>
            </w:r>
            <w:r w:rsidR="009B7647" w:rsidRPr="00B2341E">
              <w:rPr>
                <w:lang w:val="en-ID"/>
              </w:rPr>
              <w:t xml:space="preserve"> in implementation</w:t>
            </w:r>
            <w:r w:rsidR="008929FB" w:rsidRPr="00B2341E">
              <w:rPr>
                <w:lang w:val="en-ID"/>
              </w:rPr>
              <w:t xml:space="preserve"> </w:t>
            </w:r>
            <w:r w:rsidR="008929FB" w:rsidRPr="005D50D9">
              <w:t>(Tier</w:t>
            </w:r>
            <w:r w:rsidR="008929FB" w:rsidRPr="00B2341E">
              <w:t xml:space="preserve"> </w:t>
            </w:r>
            <w:r w:rsidR="008929FB" w:rsidRPr="005D50D9">
              <w:t>3)</w:t>
            </w:r>
          </w:p>
        </w:tc>
        <w:tc>
          <w:tcPr>
            <w:tcW w:w="0" w:type="dxa"/>
          </w:tcPr>
          <w:p w14:paraId="1BD54EB7" w14:textId="62385FD8" w:rsidR="00790294" w:rsidRDefault="00790294" w:rsidP="00790294">
            <w:pPr>
              <w:pStyle w:val="TableBodyCopy"/>
              <w:rPr>
                <w:lang w:val="en-ID"/>
              </w:rPr>
            </w:pPr>
            <w:r w:rsidRPr="0094097C">
              <w:rPr>
                <w:lang w:val="en-ID"/>
              </w:rPr>
              <w:t>Results collected centrally</w:t>
            </w:r>
          </w:p>
        </w:tc>
        <w:tc>
          <w:tcPr>
            <w:tcW w:w="0" w:type="dxa"/>
          </w:tcPr>
          <w:p w14:paraId="61397548" w14:textId="27C1C50D" w:rsidR="00790294" w:rsidRDefault="00790294" w:rsidP="00790294">
            <w:pPr>
              <w:pStyle w:val="TableBodyCopy"/>
              <w:rPr>
                <w:lang w:val="en-ID"/>
              </w:rPr>
            </w:pPr>
            <w:r w:rsidRPr="0094097C">
              <w:rPr>
                <w:lang w:val="en-ID"/>
              </w:rPr>
              <w:t>Results collected centrally</w:t>
            </w:r>
          </w:p>
        </w:tc>
        <w:tc>
          <w:tcPr>
            <w:tcW w:w="0" w:type="dxa"/>
          </w:tcPr>
          <w:p w14:paraId="74552AD6" w14:textId="4FB1468F" w:rsidR="00790294" w:rsidRDefault="00790294" w:rsidP="00790294">
            <w:pPr>
              <w:pStyle w:val="TableBodyCopy"/>
              <w:rPr>
                <w:lang w:val="en-ID"/>
              </w:rPr>
            </w:pPr>
            <w:r w:rsidRPr="0094097C">
              <w:rPr>
                <w:lang w:val="en-ID"/>
              </w:rPr>
              <w:t>Results collected centrally</w:t>
            </w:r>
          </w:p>
        </w:tc>
        <w:tc>
          <w:tcPr>
            <w:tcW w:w="0" w:type="dxa"/>
          </w:tcPr>
          <w:p w14:paraId="4EA4A8E6" w14:textId="110B8C65" w:rsidR="00410BAE" w:rsidRDefault="00D13437" w:rsidP="00790294">
            <w:pPr>
              <w:pStyle w:val="TableBodyCopy"/>
            </w:pPr>
            <w:r>
              <w:t>SDG</w:t>
            </w:r>
            <w:r w:rsidR="00790294">
              <w:t>4</w:t>
            </w:r>
            <w:r w:rsidR="001C6744">
              <w:t>: Quality education</w:t>
            </w:r>
          </w:p>
          <w:p w14:paraId="0259523A" w14:textId="0315CC3F" w:rsidR="00790294" w:rsidRPr="00B31FF3" w:rsidRDefault="008D3122" w:rsidP="00790294">
            <w:pPr>
              <w:pStyle w:val="TableBodyCopy"/>
            </w:pPr>
            <w:r>
              <w:t>SDG</w:t>
            </w:r>
            <w:r w:rsidR="00790294">
              <w:t>10</w:t>
            </w:r>
          </w:p>
        </w:tc>
      </w:tr>
      <w:tr w:rsidR="00790294" w:rsidRPr="000B04E1" w14:paraId="2C76A73B" w14:textId="77777777" w:rsidTr="00547BC4">
        <w:trPr>
          <w:trHeight w:val="787"/>
        </w:trPr>
        <w:tc>
          <w:tcPr>
            <w:tcW w:w="0" w:type="dxa"/>
          </w:tcPr>
          <w:p w14:paraId="2004F0B6" w14:textId="6650BA97" w:rsidR="00790294" w:rsidRPr="0094097C" w:rsidRDefault="00790294" w:rsidP="00790294">
            <w:pPr>
              <w:pStyle w:val="TableBodyCopy"/>
              <w:rPr>
                <w:lang w:val="en-ID"/>
              </w:rPr>
            </w:pPr>
            <w:r w:rsidRPr="00670DA3">
              <w:rPr>
                <w:lang w:val="en-ID"/>
              </w:rPr>
              <w:t xml:space="preserve">Climate </w:t>
            </w:r>
            <w:r>
              <w:rPr>
                <w:lang w:val="en-ID"/>
              </w:rPr>
              <w:t>c</w:t>
            </w:r>
            <w:r w:rsidRPr="00670DA3">
              <w:rPr>
                <w:lang w:val="en-ID"/>
              </w:rPr>
              <w:t>hange</w:t>
            </w:r>
          </w:p>
        </w:tc>
        <w:tc>
          <w:tcPr>
            <w:tcW w:w="0" w:type="dxa"/>
          </w:tcPr>
          <w:p w14:paraId="7893446A" w14:textId="34D8698B" w:rsidR="00790294" w:rsidRPr="00B2341E" w:rsidRDefault="00790294" w:rsidP="00790294">
            <w:pPr>
              <w:pStyle w:val="TableBodyCopy"/>
              <w:rPr>
                <w:lang w:val="en-ID"/>
              </w:rPr>
            </w:pPr>
            <w:r w:rsidRPr="00B2341E">
              <w:rPr>
                <w:lang w:val="en-ID"/>
              </w:rPr>
              <w:t xml:space="preserve">Percentage of </w:t>
            </w:r>
            <w:r w:rsidR="007A473A" w:rsidRPr="00B2341E">
              <w:rPr>
                <w:lang w:val="en-ID"/>
              </w:rPr>
              <w:t xml:space="preserve">new </w:t>
            </w:r>
            <w:r w:rsidRPr="00B2341E">
              <w:rPr>
                <w:lang w:val="en-ID"/>
              </w:rPr>
              <w:t xml:space="preserve">investments </w:t>
            </w:r>
            <w:r w:rsidR="007A473A" w:rsidRPr="00B2341E">
              <w:rPr>
                <w:lang w:val="en-ID"/>
              </w:rPr>
              <w:t>valued at more than</w:t>
            </w:r>
            <w:r w:rsidRPr="00B2341E">
              <w:rPr>
                <w:lang w:val="en-ID"/>
              </w:rPr>
              <w:t xml:space="preserve"> $3</w:t>
            </w:r>
            <w:r w:rsidR="00684EE7" w:rsidRPr="00B2341E">
              <w:rPr>
                <w:lang w:val="en-ID"/>
              </w:rPr>
              <w:t> </w:t>
            </w:r>
            <w:r w:rsidRPr="00B2341E">
              <w:rPr>
                <w:lang w:val="en-ID"/>
              </w:rPr>
              <w:t>million</w:t>
            </w:r>
            <w:r w:rsidR="007A473A" w:rsidRPr="00B2341E">
              <w:rPr>
                <w:lang w:val="en-ID"/>
              </w:rPr>
              <w:t xml:space="preserve"> that have</w:t>
            </w:r>
            <w:r w:rsidRPr="00B2341E">
              <w:rPr>
                <w:lang w:val="en-ID"/>
              </w:rPr>
              <w:t xml:space="preserve"> a climate change objective</w:t>
            </w:r>
            <w:r w:rsidR="00330467" w:rsidRPr="00B2341E">
              <w:rPr>
                <w:lang w:val="en-ID"/>
              </w:rPr>
              <w:t xml:space="preserve"> (Tier 3)</w:t>
            </w:r>
          </w:p>
        </w:tc>
        <w:tc>
          <w:tcPr>
            <w:tcW w:w="0" w:type="dxa"/>
          </w:tcPr>
          <w:p w14:paraId="44B48F98" w14:textId="313B90C4" w:rsidR="00790294" w:rsidRPr="0094097C" w:rsidRDefault="00790294" w:rsidP="00790294">
            <w:pPr>
              <w:pStyle w:val="TableBodyCopy"/>
              <w:rPr>
                <w:lang w:val="en-ID"/>
              </w:rPr>
            </w:pPr>
            <w:r w:rsidRPr="00670DA3">
              <w:rPr>
                <w:lang w:val="en-ID"/>
              </w:rPr>
              <w:t>50%</w:t>
            </w:r>
          </w:p>
        </w:tc>
        <w:tc>
          <w:tcPr>
            <w:tcW w:w="0" w:type="dxa"/>
          </w:tcPr>
          <w:p w14:paraId="5DF58213" w14:textId="552D6A78" w:rsidR="00790294" w:rsidRPr="0094097C" w:rsidRDefault="00790294" w:rsidP="00790294">
            <w:pPr>
              <w:pStyle w:val="TableBodyCopy"/>
              <w:rPr>
                <w:lang w:val="en-ID"/>
              </w:rPr>
            </w:pPr>
            <w:r w:rsidRPr="00670DA3">
              <w:rPr>
                <w:lang w:val="en-ID"/>
              </w:rPr>
              <w:t>60%</w:t>
            </w:r>
          </w:p>
        </w:tc>
        <w:tc>
          <w:tcPr>
            <w:tcW w:w="0" w:type="dxa"/>
          </w:tcPr>
          <w:p w14:paraId="2E8BF429" w14:textId="4A5A716F" w:rsidR="00790294" w:rsidRPr="0094097C" w:rsidRDefault="00790294" w:rsidP="00790294">
            <w:pPr>
              <w:pStyle w:val="TableBodyCopy"/>
              <w:rPr>
                <w:lang w:val="en-ID"/>
              </w:rPr>
            </w:pPr>
            <w:r w:rsidRPr="00670DA3">
              <w:rPr>
                <w:lang w:val="en-ID"/>
              </w:rPr>
              <w:t>70%</w:t>
            </w:r>
          </w:p>
        </w:tc>
        <w:tc>
          <w:tcPr>
            <w:tcW w:w="0" w:type="dxa"/>
          </w:tcPr>
          <w:p w14:paraId="53A2EF35" w14:textId="7A684931" w:rsidR="00790294" w:rsidRPr="00B06ECF" w:rsidRDefault="00790294" w:rsidP="00790294">
            <w:pPr>
              <w:pStyle w:val="TableBodyCopy"/>
            </w:pPr>
            <w:r w:rsidRPr="00B06ECF">
              <w:t>SDG11</w:t>
            </w:r>
            <w:r w:rsidR="009E37B7">
              <w:t>:</w:t>
            </w:r>
            <w:r w:rsidRPr="00B06ECF">
              <w:t xml:space="preserve"> Sustainable </w:t>
            </w:r>
            <w:r w:rsidR="009E37B7">
              <w:t>c</w:t>
            </w:r>
            <w:r w:rsidRPr="00B06ECF">
              <w:t xml:space="preserve">ities </w:t>
            </w:r>
            <w:r w:rsidR="00520D41" w:rsidRPr="00B06ECF">
              <w:t>and communities</w:t>
            </w:r>
            <w:r w:rsidRPr="00B06ECF">
              <w:t xml:space="preserve"> </w:t>
            </w:r>
          </w:p>
          <w:p w14:paraId="2CBFAD01" w14:textId="6FF3DD13" w:rsidR="00790294" w:rsidRPr="00B06ECF" w:rsidRDefault="00790294" w:rsidP="00790294">
            <w:pPr>
              <w:pStyle w:val="TableBodyCopy"/>
            </w:pPr>
            <w:r w:rsidRPr="00B06ECF">
              <w:t>SDG7</w:t>
            </w:r>
            <w:r w:rsidR="00781F77">
              <w:t>:</w:t>
            </w:r>
            <w:r w:rsidRPr="00B06ECF">
              <w:t xml:space="preserve"> </w:t>
            </w:r>
            <w:r w:rsidR="009E37B7">
              <w:t>Affordable and c</w:t>
            </w:r>
            <w:r w:rsidRPr="00B06ECF">
              <w:t>lean</w:t>
            </w:r>
            <w:r w:rsidR="009E37B7">
              <w:t xml:space="preserve"> energy</w:t>
            </w:r>
          </w:p>
          <w:p w14:paraId="4A2299E4" w14:textId="11072154" w:rsidR="00790294" w:rsidRDefault="00790294" w:rsidP="00790294">
            <w:pPr>
              <w:pStyle w:val="TableBodyCopy"/>
            </w:pPr>
            <w:r w:rsidRPr="00B06ECF">
              <w:t>SDG13</w:t>
            </w:r>
            <w:r w:rsidR="001C0821">
              <w:t>:</w:t>
            </w:r>
            <w:r w:rsidRPr="00B06ECF">
              <w:t xml:space="preserve"> Climate </w:t>
            </w:r>
            <w:r w:rsidR="009E37B7">
              <w:t>a</w:t>
            </w:r>
            <w:r w:rsidRPr="00B06ECF">
              <w:t>ction </w:t>
            </w:r>
          </w:p>
        </w:tc>
      </w:tr>
      <w:tr w:rsidR="00790294" w:rsidRPr="000B04E1" w14:paraId="2BEB97F7" w14:textId="77777777" w:rsidTr="00547BC4">
        <w:trPr>
          <w:cantSplit/>
          <w:trHeight w:val="787"/>
        </w:trPr>
        <w:tc>
          <w:tcPr>
            <w:tcW w:w="0" w:type="dxa"/>
          </w:tcPr>
          <w:p w14:paraId="107BBD94" w14:textId="38928A2C" w:rsidR="00790294" w:rsidRPr="0094097C" w:rsidRDefault="00790294" w:rsidP="00790294">
            <w:pPr>
              <w:pStyle w:val="TableBodyCopy"/>
              <w:rPr>
                <w:lang w:val="en-ID"/>
              </w:rPr>
            </w:pPr>
            <w:r w:rsidRPr="00670DA3">
              <w:rPr>
                <w:lang w:val="en-ID"/>
              </w:rPr>
              <w:lastRenderedPageBreak/>
              <w:t xml:space="preserve">Climate </w:t>
            </w:r>
            <w:r>
              <w:rPr>
                <w:lang w:val="en-ID"/>
              </w:rPr>
              <w:t>c</w:t>
            </w:r>
            <w:r w:rsidRPr="00670DA3">
              <w:rPr>
                <w:lang w:val="en-ID"/>
              </w:rPr>
              <w:t>hange</w:t>
            </w:r>
          </w:p>
        </w:tc>
        <w:tc>
          <w:tcPr>
            <w:tcW w:w="0" w:type="dxa"/>
          </w:tcPr>
          <w:p w14:paraId="76249866" w14:textId="02312980" w:rsidR="00790294" w:rsidRPr="0094097C" w:rsidRDefault="00790294" w:rsidP="00790294">
            <w:pPr>
              <w:pStyle w:val="TableBodyCopy"/>
              <w:rPr>
                <w:lang w:val="en-ID"/>
              </w:rPr>
            </w:pPr>
            <w:r w:rsidRPr="00670DA3">
              <w:rPr>
                <w:lang w:val="en-ID"/>
              </w:rPr>
              <w:t>Percentage of new Pacific regional investments which score good (5)</w:t>
            </w:r>
            <w:r w:rsidR="009E37B7">
              <w:rPr>
                <w:lang w:val="en-ID"/>
              </w:rPr>
              <w:t xml:space="preserve"> or</w:t>
            </w:r>
            <w:r w:rsidRPr="00670DA3">
              <w:rPr>
                <w:lang w:val="en-ID"/>
              </w:rPr>
              <w:t xml:space="preserve"> very good (6) for climate change during design appraisal</w:t>
            </w:r>
          </w:p>
        </w:tc>
        <w:tc>
          <w:tcPr>
            <w:tcW w:w="0" w:type="dxa"/>
          </w:tcPr>
          <w:p w14:paraId="74F785C0" w14:textId="67886A6B" w:rsidR="00790294" w:rsidRPr="0094097C" w:rsidRDefault="00790294" w:rsidP="00790294">
            <w:pPr>
              <w:pStyle w:val="TableBodyCopy"/>
              <w:rPr>
                <w:lang w:val="en-ID"/>
              </w:rPr>
            </w:pPr>
            <w:r w:rsidRPr="00670DA3">
              <w:rPr>
                <w:lang w:val="en-ID"/>
              </w:rPr>
              <w:t>75%</w:t>
            </w:r>
          </w:p>
        </w:tc>
        <w:tc>
          <w:tcPr>
            <w:tcW w:w="0" w:type="dxa"/>
          </w:tcPr>
          <w:p w14:paraId="56D30AF6" w14:textId="776772B8" w:rsidR="00790294" w:rsidRPr="0094097C" w:rsidRDefault="00790294" w:rsidP="00790294">
            <w:pPr>
              <w:pStyle w:val="TableBodyCopy"/>
              <w:rPr>
                <w:lang w:val="en-ID"/>
              </w:rPr>
            </w:pPr>
            <w:r w:rsidRPr="00670DA3">
              <w:rPr>
                <w:lang w:val="en-ID"/>
              </w:rPr>
              <w:t>85%</w:t>
            </w:r>
          </w:p>
        </w:tc>
        <w:tc>
          <w:tcPr>
            <w:tcW w:w="0" w:type="dxa"/>
          </w:tcPr>
          <w:p w14:paraId="79587514" w14:textId="56A8F39B" w:rsidR="00790294" w:rsidRPr="0094097C" w:rsidRDefault="00790294" w:rsidP="00790294">
            <w:pPr>
              <w:pStyle w:val="TableBodyCopy"/>
              <w:rPr>
                <w:lang w:val="en-ID"/>
              </w:rPr>
            </w:pPr>
            <w:r w:rsidRPr="00670DA3">
              <w:rPr>
                <w:lang w:val="en-ID"/>
              </w:rPr>
              <w:t>90%</w:t>
            </w:r>
          </w:p>
        </w:tc>
        <w:tc>
          <w:tcPr>
            <w:tcW w:w="0" w:type="dxa"/>
          </w:tcPr>
          <w:p w14:paraId="519067D1" w14:textId="57F773B4" w:rsidR="00790294" w:rsidRDefault="00790294" w:rsidP="00790294">
            <w:pPr>
              <w:pStyle w:val="TableBodyCopy"/>
            </w:pPr>
            <w:r w:rsidRPr="00670DA3">
              <w:rPr>
                <w:lang w:val="en-ID"/>
              </w:rPr>
              <w:t>SDG13</w:t>
            </w:r>
          </w:p>
        </w:tc>
      </w:tr>
      <w:tr w:rsidR="00790294" w:rsidRPr="000B04E1" w14:paraId="7F8F2A22" w14:textId="77777777" w:rsidTr="00547BC4">
        <w:trPr>
          <w:trHeight w:val="787"/>
        </w:trPr>
        <w:tc>
          <w:tcPr>
            <w:tcW w:w="0" w:type="dxa"/>
          </w:tcPr>
          <w:p w14:paraId="7539D91B" w14:textId="54473FC6" w:rsidR="00790294" w:rsidRPr="0094097C" w:rsidRDefault="00790294" w:rsidP="00790294">
            <w:pPr>
              <w:pStyle w:val="TableBodyCopy"/>
              <w:rPr>
                <w:lang w:val="en-ID"/>
              </w:rPr>
            </w:pPr>
            <w:r w:rsidRPr="00670DA3">
              <w:rPr>
                <w:lang w:val="en-ID"/>
              </w:rPr>
              <w:t xml:space="preserve">Climate </w:t>
            </w:r>
            <w:r>
              <w:rPr>
                <w:lang w:val="en-ID"/>
              </w:rPr>
              <w:t>c</w:t>
            </w:r>
            <w:r w:rsidRPr="00670DA3">
              <w:rPr>
                <w:lang w:val="en-ID"/>
              </w:rPr>
              <w:t>hange</w:t>
            </w:r>
          </w:p>
        </w:tc>
        <w:tc>
          <w:tcPr>
            <w:tcW w:w="0" w:type="dxa"/>
          </w:tcPr>
          <w:p w14:paraId="474AE954" w14:textId="16B4877A" w:rsidR="00790294" w:rsidRPr="0094097C" w:rsidRDefault="00790294" w:rsidP="00790294">
            <w:pPr>
              <w:pStyle w:val="TableBodyCopy"/>
              <w:rPr>
                <w:lang w:val="en-ID"/>
              </w:rPr>
            </w:pPr>
            <w:r w:rsidRPr="00670DA3">
              <w:rPr>
                <w:lang w:val="en-ID"/>
              </w:rPr>
              <w:t>Percentage of Pacific regional investments which score adequate (4) or above for climate change IMR</w:t>
            </w:r>
            <w:r w:rsidR="009E37B7">
              <w:rPr>
                <w:lang w:val="en-ID"/>
              </w:rPr>
              <w:t xml:space="preserve"> or Humanitarian Investment Monitoring Report</w:t>
            </w:r>
            <w:r w:rsidR="003E338D">
              <w:rPr>
                <w:lang w:val="en-ID"/>
              </w:rPr>
              <w:t>ing</w:t>
            </w:r>
            <w:r w:rsidR="009E37B7" w:rsidRPr="00670DA3">
              <w:rPr>
                <w:lang w:val="en-ID"/>
              </w:rPr>
              <w:t xml:space="preserve"> </w:t>
            </w:r>
            <w:r w:rsidRPr="00670DA3">
              <w:rPr>
                <w:lang w:val="en-ID"/>
              </w:rPr>
              <w:t>criteria</w:t>
            </w:r>
          </w:p>
        </w:tc>
        <w:tc>
          <w:tcPr>
            <w:tcW w:w="0" w:type="dxa"/>
          </w:tcPr>
          <w:p w14:paraId="1FE6138F" w14:textId="7CC67D2C" w:rsidR="00790294" w:rsidRPr="0094097C" w:rsidRDefault="00790294" w:rsidP="00790294">
            <w:pPr>
              <w:pStyle w:val="TableBodyCopy"/>
              <w:rPr>
                <w:lang w:val="en-ID"/>
              </w:rPr>
            </w:pPr>
            <w:r w:rsidRPr="00670DA3">
              <w:rPr>
                <w:lang w:val="en-ID"/>
              </w:rPr>
              <w:t>50%</w:t>
            </w:r>
          </w:p>
        </w:tc>
        <w:tc>
          <w:tcPr>
            <w:tcW w:w="0" w:type="dxa"/>
          </w:tcPr>
          <w:p w14:paraId="588918D5" w14:textId="65BD0934" w:rsidR="00790294" w:rsidRPr="0094097C" w:rsidRDefault="00790294" w:rsidP="00790294">
            <w:pPr>
              <w:pStyle w:val="TableBodyCopy"/>
              <w:rPr>
                <w:lang w:val="en-ID"/>
              </w:rPr>
            </w:pPr>
            <w:r w:rsidRPr="00670DA3">
              <w:rPr>
                <w:lang w:val="en-ID"/>
              </w:rPr>
              <w:t>65%</w:t>
            </w:r>
          </w:p>
        </w:tc>
        <w:tc>
          <w:tcPr>
            <w:tcW w:w="0" w:type="dxa"/>
          </w:tcPr>
          <w:p w14:paraId="1E8A92F3" w14:textId="2016F26C" w:rsidR="00790294" w:rsidRPr="0094097C" w:rsidRDefault="00790294" w:rsidP="00790294">
            <w:pPr>
              <w:pStyle w:val="TableBodyCopy"/>
              <w:rPr>
                <w:lang w:val="en-ID"/>
              </w:rPr>
            </w:pPr>
            <w:r w:rsidRPr="00670DA3">
              <w:rPr>
                <w:lang w:val="en-ID"/>
              </w:rPr>
              <w:t>75%</w:t>
            </w:r>
          </w:p>
        </w:tc>
        <w:tc>
          <w:tcPr>
            <w:tcW w:w="0" w:type="dxa"/>
          </w:tcPr>
          <w:p w14:paraId="45343983" w14:textId="264E837F" w:rsidR="00790294" w:rsidRDefault="00790294" w:rsidP="00790294">
            <w:pPr>
              <w:pStyle w:val="TableBodyCopy"/>
            </w:pPr>
            <w:r w:rsidRPr="00670DA3">
              <w:rPr>
                <w:lang w:val="en-ID"/>
              </w:rPr>
              <w:t>SDG13</w:t>
            </w:r>
          </w:p>
        </w:tc>
      </w:tr>
      <w:tr w:rsidR="00590041" w:rsidRPr="000B04E1" w14:paraId="5F13692C" w14:textId="77777777" w:rsidTr="00547BC4">
        <w:trPr>
          <w:trHeight w:val="787"/>
        </w:trPr>
        <w:tc>
          <w:tcPr>
            <w:tcW w:w="0" w:type="dxa"/>
          </w:tcPr>
          <w:p w14:paraId="3EC9B71A" w14:textId="53871FE5" w:rsidR="00590041" w:rsidRPr="00670DA3" w:rsidRDefault="00590041" w:rsidP="00590041">
            <w:pPr>
              <w:pStyle w:val="TableBodyCopy"/>
              <w:rPr>
                <w:lang w:val="en-ID"/>
              </w:rPr>
            </w:pPr>
            <w:r w:rsidRPr="00670DA3">
              <w:rPr>
                <w:lang w:val="en-ID"/>
              </w:rPr>
              <w:t>Localisation</w:t>
            </w:r>
          </w:p>
        </w:tc>
        <w:tc>
          <w:tcPr>
            <w:tcW w:w="0" w:type="dxa"/>
          </w:tcPr>
          <w:p w14:paraId="5B82436D" w14:textId="534DC154" w:rsidR="00590041" w:rsidRPr="00670DA3" w:rsidRDefault="00590041" w:rsidP="00590041">
            <w:pPr>
              <w:pStyle w:val="TableBodyCopy"/>
              <w:rPr>
                <w:lang w:val="en-ID"/>
              </w:rPr>
            </w:pPr>
            <w:r w:rsidRPr="00670DA3">
              <w:rPr>
                <w:lang w:val="en-ID"/>
              </w:rPr>
              <w:t>Number of local personnel, sub-contractors and staff engaged (employment created) – Managing Contractors</w:t>
            </w:r>
            <w:r w:rsidR="00CA50C7">
              <w:rPr>
                <w:lang w:val="en-ID"/>
              </w:rPr>
              <w:t xml:space="preserve"> (Tier 3)</w:t>
            </w:r>
            <w:hyperlink w:anchor="T3na" w:history="1">
              <w:r w:rsidR="009E26D2" w:rsidRPr="00874E4F">
                <w:rPr>
                  <w:rStyle w:val="tablehyperlink"/>
                </w:rPr>
                <w:t>a</w:t>
              </w:r>
            </w:hyperlink>
          </w:p>
        </w:tc>
        <w:tc>
          <w:tcPr>
            <w:tcW w:w="0" w:type="dxa"/>
          </w:tcPr>
          <w:p w14:paraId="2F61846A" w14:textId="5105BD7D" w:rsidR="00590041" w:rsidRPr="00670DA3" w:rsidRDefault="00590041" w:rsidP="00590041">
            <w:pPr>
              <w:pStyle w:val="TableBodyCopy"/>
              <w:rPr>
                <w:lang w:val="en-ID"/>
              </w:rPr>
            </w:pPr>
            <w:r w:rsidRPr="00670DA3">
              <w:rPr>
                <w:lang w:val="en-ID"/>
              </w:rPr>
              <w:t>Results collected centrally</w:t>
            </w:r>
          </w:p>
        </w:tc>
        <w:tc>
          <w:tcPr>
            <w:tcW w:w="0" w:type="dxa"/>
          </w:tcPr>
          <w:p w14:paraId="4B21ABDA" w14:textId="64433CF9" w:rsidR="00590041" w:rsidRPr="00670DA3" w:rsidRDefault="00590041" w:rsidP="00590041">
            <w:pPr>
              <w:pStyle w:val="TableBodyCopy"/>
              <w:rPr>
                <w:lang w:val="en-ID"/>
              </w:rPr>
            </w:pPr>
            <w:r w:rsidRPr="00670DA3">
              <w:rPr>
                <w:lang w:val="en-ID"/>
              </w:rPr>
              <w:t>Results collected centrally</w:t>
            </w:r>
          </w:p>
        </w:tc>
        <w:tc>
          <w:tcPr>
            <w:tcW w:w="0" w:type="dxa"/>
          </w:tcPr>
          <w:p w14:paraId="65CA9FC3" w14:textId="02871120" w:rsidR="00590041" w:rsidRPr="00670DA3" w:rsidRDefault="00590041" w:rsidP="00590041">
            <w:pPr>
              <w:pStyle w:val="TableBodyCopy"/>
              <w:rPr>
                <w:lang w:val="en-ID"/>
              </w:rPr>
            </w:pPr>
            <w:r w:rsidRPr="00670DA3">
              <w:rPr>
                <w:lang w:val="en-ID"/>
              </w:rPr>
              <w:t>Results collected centrally</w:t>
            </w:r>
          </w:p>
        </w:tc>
        <w:tc>
          <w:tcPr>
            <w:tcW w:w="0" w:type="dxa"/>
          </w:tcPr>
          <w:p w14:paraId="295FE651" w14:textId="4924F63B" w:rsidR="00590041" w:rsidRPr="004801C4" w:rsidRDefault="004801C4" w:rsidP="00590041">
            <w:pPr>
              <w:pStyle w:val="TableBodyCopy"/>
              <w:rPr>
                <w:b/>
                <w:bCs/>
                <w:lang w:val="en-ID"/>
              </w:rPr>
            </w:pPr>
            <w:r w:rsidRPr="00670DA3">
              <w:rPr>
                <w:lang w:val="en-ID"/>
              </w:rPr>
              <w:t>SDG1</w:t>
            </w:r>
            <w:r w:rsidR="008D3122">
              <w:rPr>
                <w:lang w:val="en-ID"/>
              </w:rPr>
              <w:t xml:space="preserve">, </w:t>
            </w:r>
            <w:r w:rsidRPr="00670DA3">
              <w:rPr>
                <w:lang w:val="en-ID"/>
              </w:rPr>
              <w:t>SDG10</w:t>
            </w:r>
            <w:r w:rsidR="008D3122">
              <w:rPr>
                <w:lang w:val="en-ID"/>
              </w:rPr>
              <w:t xml:space="preserve">, </w:t>
            </w:r>
            <w:r w:rsidRPr="00670DA3">
              <w:rPr>
                <w:lang w:val="en-ID"/>
              </w:rPr>
              <w:t>SDG17</w:t>
            </w:r>
          </w:p>
        </w:tc>
      </w:tr>
      <w:tr w:rsidR="00590041" w:rsidRPr="000B04E1" w14:paraId="1D53753A" w14:textId="77777777" w:rsidTr="00547BC4">
        <w:trPr>
          <w:trHeight w:val="787"/>
        </w:trPr>
        <w:tc>
          <w:tcPr>
            <w:tcW w:w="0" w:type="dxa"/>
          </w:tcPr>
          <w:p w14:paraId="26BBF1C9" w14:textId="7B465DC0" w:rsidR="00590041" w:rsidRPr="00670DA3" w:rsidRDefault="00590041" w:rsidP="00590041">
            <w:pPr>
              <w:pStyle w:val="TableBodyCopy"/>
              <w:rPr>
                <w:lang w:val="en-ID"/>
              </w:rPr>
            </w:pPr>
            <w:r w:rsidRPr="00670DA3">
              <w:rPr>
                <w:lang w:val="en-ID"/>
              </w:rPr>
              <w:t>Localisation</w:t>
            </w:r>
          </w:p>
        </w:tc>
        <w:tc>
          <w:tcPr>
            <w:tcW w:w="0" w:type="dxa"/>
          </w:tcPr>
          <w:p w14:paraId="133773CE" w14:textId="2DD1828A" w:rsidR="00590041" w:rsidRPr="00670DA3" w:rsidRDefault="00590041" w:rsidP="00590041">
            <w:pPr>
              <w:pStyle w:val="TableBodyCopy"/>
              <w:rPr>
                <w:lang w:val="en-ID"/>
              </w:rPr>
            </w:pPr>
            <w:r w:rsidRPr="0094097C">
              <w:rPr>
                <w:lang w:val="en-ID"/>
              </w:rPr>
              <w:t>Number and dollar value of local contracts and grants (local supply chains) – Managing Contractors</w:t>
            </w:r>
            <w:r w:rsidR="005E7047">
              <w:rPr>
                <w:lang w:val="en-ID"/>
              </w:rPr>
              <w:t xml:space="preserve"> (Tier 3)</w:t>
            </w:r>
            <w:hyperlink w:anchor="T3na" w:history="1">
              <w:r w:rsidR="009E26D2" w:rsidRPr="00681DBE">
                <w:rPr>
                  <w:rStyle w:val="tablehyperlink"/>
                </w:rPr>
                <w:t>a</w:t>
              </w:r>
            </w:hyperlink>
          </w:p>
        </w:tc>
        <w:tc>
          <w:tcPr>
            <w:tcW w:w="0" w:type="dxa"/>
          </w:tcPr>
          <w:p w14:paraId="516259C3" w14:textId="0097AAAF" w:rsidR="00590041" w:rsidRPr="00670DA3" w:rsidRDefault="00590041" w:rsidP="00590041">
            <w:pPr>
              <w:pStyle w:val="TableBodyCopy"/>
              <w:rPr>
                <w:lang w:val="en-ID"/>
              </w:rPr>
            </w:pPr>
            <w:r w:rsidRPr="0094097C">
              <w:rPr>
                <w:lang w:val="en-ID"/>
              </w:rPr>
              <w:t>Results collected centrally</w:t>
            </w:r>
          </w:p>
        </w:tc>
        <w:tc>
          <w:tcPr>
            <w:tcW w:w="0" w:type="dxa"/>
          </w:tcPr>
          <w:p w14:paraId="451A62F5" w14:textId="557B9D37" w:rsidR="00590041" w:rsidRPr="00670DA3" w:rsidRDefault="00590041" w:rsidP="00590041">
            <w:pPr>
              <w:pStyle w:val="TableBodyCopy"/>
              <w:rPr>
                <w:lang w:val="en-ID"/>
              </w:rPr>
            </w:pPr>
            <w:r w:rsidRPr="0094097C">
              <w:rPr>
                <w:lang w:val="en-ID"/>
              </w:rPr>
              <w:t>Results collected centrally</w:t>
            </w:r>
          </w:p>
        </w:tc>
        <w:tc>
          <w:tcPr>
            <w:tcW w:w="0" w:type="dxa"/>
          </w:tcPr>
          <w:p w14:paraId="20533808" w14:textId="024B362E" w:rsidR="00590041" w:rsidRPr="00670DA3" w:rsidRDefault="00590041" w:rsidP="00590041">
            <w:pPr>
              <w:pStyle w:val="TableBodyCopy"/>
              <w:rPr>
                <w:lang w:val="en-ID"/>
              </w:rPr>
            </w:pPr>
            <w:r w:rsidRPr="0094097C">
              <w:rPr>
                <w:lang w:val="en-ID"/>
              </w:rPr>
              <w:t>Results collected centrally</w:t>
            </w:r>
          </w:p>
        </w:tc>
        <w:tc>
          <w:tcPr>
            <w:tcW w:w="0" w:type="dxa"/>
          </w:tcPr>
          <w:p w14:paraId="33995B61" w14:textId="2E04B4CE" w:rsidR="00590041" w:rsidRPr="00670DA3" w:rsidRDefault="004801C4" w:rsidP="004801C4">
            <w:pPr>
              <w:pStyle w:val="TableBodyCopy"/>
              <w:rPr>
                <w:lang w:val="en-ID"/>
              </w:rPr>
            </w:pPr>
            <w:r w:rsidRPr="00670DA3">
              <w:rPr>
                <w:lang w:val="en-ID"/>
              </w:rPr>
              <w:t>SDG1</w:t>
            </w:r>
            <w:r w:rsidR="008D3122">
              <w:rPr>
                <w:lang w:val="en-ID"/>
              </w:rPr>
              <w:t xml:space="preserve">, </w:t>
            </w:r>
            <w:r w:rsidRPr="00670DA3">
              <w:rPr>
                <w:lang w:val="en-ID"/>
              </w:rPr>
              <w:t>SDG10</w:t>
            </w:r>
            <w:r w:rsidR="008D3122">
              <w:rPr>
                <w:lang w:val="en-ID"/>
              </w:rPr>
              <w:t xml:space="preserve">, </w:t>
            </w:r>
            <w:r w:rsidRPr="00670DA3">
              <w:rPr>
                <w:lang w:val="en-ID"/>
              </w:rPr>
              <w:t>SDG17</w:t>
            </w:r>
          </w:p>
        </w:tc>
      </w:tr>
      <w:tr w:rsidR="00590041" w:rsidRPr="000B04E1" w14:paraId="03BD10B5" w14:textId="77777777" w:rsidTr="00547BC4">
        <w:trPr>
          <w:trHeight w:val="787"/>
        </w:trPr>
        <w:tc>
          <w:tcPr>
            <w:tcW w:w="0" w:type="dxa"/>
          </w:tcPr>
          <w:p w14:paraId="67BDCE26" w14:textId="002B92D1" w:rsidR="00590041" w:rsidRPr="00670DA3" w:rsidRDefault="00590041" w:rsidP="00590041">
            <w:pPr>
              <w:pStyle w:val="TableBodyCopy"/>
              <w:rPr>
                <w:lang w:val="en-ID"/>
              </w:rPr>
            </w:pPr>
            <w:r w:rsidRPr="00670DA3">
              <w:rPr>
                <w:lang w:val="en-ID"/>
              </w:rPr>
              <w:t>Localisation</w:t>
            </w:r>
          </w:p>
        </w:tc>
        <w:tc>
          <w:tcPr>
            <w:tcW w:w="0" w:type="dxa"/>
          </w:tcPr>
          <w:p w14:paraId="779A6B88" w14:textId="53360808" w:rsidR="00590041" w:rsidRPr="00670DA3" w:rsidRDefault="0049675C" w:rsidP="00590041">
            <w:pPr>
              <w:pStyle w:val="TableBodyCopy"/>
              <w:rPr>
                <w:lang w:val="en-ID"/>
              </w:rPr>
            </w:pPr>
            <w:r>
              <w:rPr>
                <w:lang w:val="en-ID"/>
              </w:rPr>
              <w:t>Percentage</w:t>
            </w:r>
            <w:r w:rsidR="00590041" w:rsidRPr="0094097C">
              <w:rPr>
                <w:lang w:val="en-ID"/>
              </w:rPr>
              <w:t xml:space="preserve"> of bilateral investment designs and evaluations </w:t>
            </w:r>
            <w:r w:rsidR="00840C2F">
              <w:rPr>
                <w:lang w:val="en-ID"/>
              </w:rPr>
              <w:t xml:space="preserve">that </w:t>
            </w:r>
            <w:r w:rsidR="00590041" w:rsidRPr="0094097C">
              <w:rPr>
                <w:lang w:val="en-ID"/>
              </w:rPr>
              <w:t>include local participation</w:t>
            </w:r>
            <w:r w:rsidR="00067EDD">
              <w:rPr>
                <w:lang w:val="en-ID"/>
              </w:rPr>
              <w:t xml:space="preserve"> (Tier 3)</w:t>
            </w:r>
          </w:p>
        </w:tc>
        <w:tc>
          <w:tcPr>
            <w:tcW w:w="0" w:type="dxa"/>
          </w:tcPr>
          <w:p w14:paraId="7A1C378A" w14:textId="76D60ACF" w:rsidR="00590041" w:rsidRPr="00670DA3" w:rsidRDefault="00590041" w:rsidP="00590041">
            <w:pPr>
              <w:pStyle w:val="TableBodyCopy"/>
              <w:rPr>
                <w:lang w:val="en-ID"/>
              </w:rPr>
            </w:pPr>
            <w:r w:rsidRPr="0094097C">
              <w:rPr>
                <w:lang w:val="en-ID"/>
              </w:rPr>
              <w:t>60%</w:t>
            </w:r>
          </w:p>
        </w:tc>
        <w:tc>
          <w:tcPr>
            <w:tcW w:w="0" w:type="dxa"/>
          </w:tcPr>
          <w:p w14:paraId="278BA225" w14:textId="0C6999C5" w:rsidR="00590041" w:rsidRPr="00670DA3" w:rsidRDefault="00590041" w:rsidP="00590041">
            <w:pPr>
              <w:pStyle w:val="TableBodyCopy"/>
              <w:rPr>
                <w:lang w:val="en-ID"/>
              </w:rPr>
            </w:pPr>
            <w:r w:rsidRPr="0094097C">
              <w:rPr>
                <w:lang w:val="en-ID"/>
              </w:rPr>
              <w:t>70%</w:t>
            </w:r>
          </w:p>
        </w:tc>
        <w:tc>
          <w:tcPr>
            <w:tcW w:w="0" w:type="dxa"/>
          </w:tcPr>
          <w:p w14:paraId="32D82668" w14:textId="4A3CC3B4" w:rsidR="00590041" w:rsidRPr="00670DA3" w:rsidRDefault="00590041" w:rsidP="00590041">
            <w:pPr>
              <w:pStyle w:val="TableBodyCopy"/>
              <w:rPr>
                <w:lang w:val="en-ID"/>
              </w:rPr>
            </w:pPr>
            <w:r w:rsidRPr="0094097C">
              <w:rPr>
                <w:lang w:val="en-ID"/>
              </w:rPr>
              <w:t>80%</w:t>
            </w:r>
          </w:p>
        </w:tc>
        <w:tc>
          <w:tcPr>
            <w:tcW w:w="0" w:type="dxa"/>
          </w:tcPr>
          <w:p w14:paraId="294629C4" w14:textId="24A67BFF" w:rsidR="00590041" w:rsidRPr="00670DA3" w:rsidRDefault="004801C4" w:rsidP="004801C4">
            <w:pPr>
              <w:pStyle w:val="TableBodyCopy"/>
              <w:rPr>
                <w:lang w:val="en-ID"/>
              </w:rPr>
            </w:pPr>
            <w:r w:rsidRPr="00670DA3">
              <w:rPr>
                <w:lang w:val="en-ID"/>
              </w:rPr>
              <w:t>SDG1</w:t>
            </w:r>
            <w:r w:rsidR="008D3122">
              <w:rPr>
                <w:lang w:val="en-ID"/>
              </w:rPr>
              <w:t xml:space="preserve">, </w:t>
            </w:r>
            <w:r w:rsidRPr="00670DA3">
              <w:rPr>
                <w:lang w:val="en-ID"/>
              </w:rPr>
              <w:t>SDG10</w:t>
            </w:r>
            <w:r w:rsidR="008D3122">
              <w:rPr>
                <w:lang w:val="en-ID"/>
              </w:rPr>
              <w:t>,</w:t>
            </w:r>
            <w:r w:rsidR="00D13437">
              <w:rPr>
                <w:lang w:val="en-ID"/>
              </w:rPr>
              <w:t xml:space="preserve"> </w:t>
            </w:r>
            <w:r w:rsidRPr="00670DA3">
              <w:rPr>
                <w:lang w:val="en-ID"/>
              </w:rPr>
              <w:t>SDG17</w:t>
            </w:r>
          </w:p>
        </w:tc>
      </w:tr>
    </w:tbl>
    <w:p w14:paraId="39F42947" w14:textId="57C868CD" w:rsidR="00542B58" w:rsidRDefault="00880861" w:rsidP="00880861">
      <w:pPr>
        <w:pStyle w:val="Tablenote"/>
        <w:rPr>
          <w:lang w:eastAsia="en-AU"/>
        </w:rPr>
      </w:pPr>
      <w:bookmarkStart w:id="16" w:name="T3na"/>
      <w:r>
        <w:rPr>
          <w:lang w:eastAsia="en-AU"/>
        </w:rPr>
        <w:t>a</w:t>
      </w:r>
      <w:bookmarkEnd w:id="16"/>
      <w:r>
        <w:rPr>
          <w:lang w:eastAsia="en-AU"/>
        </w:rPr>
        <w:tab/>
      </w:r>
      <w:r w:rsidRPr="00880861">
        <w:rPr>
          <w:lang w:eastAsia="en-AU"/>
        </w:rPr>
        <w:t xml:space="preserve">Targets are not required for this indicator. Actual results are </w:t>
      </w:r>
      <w:r w:rsidR="000F2721">
        <w:rPr>
          <w:lang w:eastAsia="en-AU"/>
        </w:rPr>
        <w:t>collected</w:t>
      </w:r>
      <w:r w:rsidR="000F2721" w:rsidRPr="00880861">
        <w:rPr>
          <w:lang w:eastAsia="en-AU"/>
        </w:rPr>
        <w:t xml:space="preserve"> </w:t>
      </w:r>
      <w:r w:rsidRPr="00880861">
        <w:rPr>
          <w:lang w:eastAsia="en-AU"/>
        </w:rPr>
        <w:t>centrally and will be published.</w:t>
      </w:r>
    </w:p>
    <w:p w14:paraId="62DA59B5" w14:textId="6BC5330C" w:rsidR="002A0E04" w:rsidRPr="000B04E1" w:rsidRDefault="002A0E04" w:rsidP="002A0E04">
      <w:pPr>
        <w:tabs>
          <w:tab w:val="left" w:pos="2607"/>
        </w:tabs>
        <w:sectPr w:rsidR="002A0E04" w:rsidRPr="000B04E1" w:rsidSect="007C194D">
          <w:headerReference w:type="default" r:id="rId13"/>
          <w:footerReference w:type="default" r:id="rId14"/>
          <w:endnotePr>
            <w:numFmt w:val="decimal"/>
          </w:endnotePr>
          <w:pgSz w:w="16838" w:h="11906" w:orient="landscape" w:code="9"/>
          <w:pgMar w:top="1134" w:right="1418" w:bottom="851" w:left="992" w:header="340" w:footer="414" w:gutter="0"/>
          <w:cols w:space="708"/>
          <w:noEndnote/>
          <w:docGrid w:linePitch="360"/>
        </w:sectPr>
      </w:pPr>
    </w:p>
    <w:p w14:paraId="6DB05183" w14:textId="526182BD" w:rsidR="002F4955" w:rsidRPr="00506835" w:rsidRDefault="002F4955" w:rsidP="00506835">
      <w:pPr>
        <w:pStyle w:val="H2-Heading2"/>
      </w:pPr>
      <w:r w:rsidRPr="00506835">
        <w:lastRenderedPageBreak/>
        <w:t>Annex 1</w:t>
      </w:r>
      <w:r w:rsidR="00890471" w:rsidRPr="00506835">
        <w:t>: Supporting investments/activities</w:t>
      </w:r>
      <w:r w:rsidR="000B4E8D">
        <w:t xml:space="preserve"> in</w:t>
      </w:r>
      <w:r w:rsidR="00062123">
        <w:t xml:space="preserve"> the Pacific</w:t>
      </w:r>
    </w:p>
    <w:p w14:paraId="6C783C8A" w14:textId="76494049" w:rsidR="00103B6F" w:rsidRPr="008F40B4" w:rsidRDefault="001B563E" w:rsidP="00CA0F64">
      <w:pPr>
        <w:rPr>
          <w:lang w:eastAsia="en-AU"/>
        </w:rPr>
      </w:pPr>
      <w:r w:rsidRPr="008F40B4">
        <w:rPr>
          <w:lang w:eastAsia="en-AU"/>
        </w:rPr>
        <w:t xml:space="preserve">Australian Government </w:t>
      </w:r>
      <w:r w:rsidR="002F4955" w:rsidRPr="008F40B4">
        <w:rPr>
          <w:lang w:eastAsia="en-AU"/>
        </w:rPr>
        <w:t xml:space="preserve">supporting investments/activities for Objective 1 </w:t>
      </w:r>
      <w:r w:rsidR="000F2721">
        <w:rPr>
          <w:lang w:eastAsia="en-AU"/>
        </w:rPr>
        <w:t xml:space="preserve">– A strong and united Pacific family </w:t>
      </w:r>
      <w:r w:rsidR="002F4955" w:rsidRPr="008F40B4">
        <w:rPr>
          <w:lang w:eastAsia="en-AU"/>
        </w:rPr>
        <w:t>(</w:t>
      </w:r>
      <w:r w:rsidR="00103B6F" w:rsidRPr="008F40B4">
        <w:rPr>
          <w:lang w:eastAsia="en-AU"/>
        </w:rPr>
        <w:t>bilateral Official Development Assistance (ODA) as well as significant regional and global ODA</w:t>
      </w:r>
      <w:r w:rsidR="00E3499C" w:rsidRPr="008F40B4">
        <w:rPr>
          <w:lang w:eastAsia="en-AU"/>
        </w:rPr>
        <w:t>,</w:t>
      </w:r>
      <w:r w:rsidR="00103B6F" w:rsidRPr="008F40B4">
        <w:rPr>
          <w:lang w:eastAsia="en-AU"/>
        </w:rPr>
        <w:t xml:space="preserve"> and significant non</w:t>
      </w:r>
      <w:r w:rsidR="00256173">
        <w:rPr>
          <w:lang w:eastAsia="en-AU"/>
        </w:rPr>
        <w:noBreakHyphen/>
      </w:r>
      <w:r w:rsidR="00103B6F" w:rsidRPr="008F40B4">
        <w:rPr>
          <w:lang w:eastAsia="en-AU"/>
        </w:rPr>
        <w:t xml:space="preserve">ODA development </w:t>
      </w:r>
      <w:r w:rsidR="00C92D58" w:rsidRPr="008F40B4">
        <w:rPr>
          <w:lang w:eastAsia="en-AU"/>
        </w:rPr>
        <w:t>investments/</w:t>
      </w:r>
      <w:r w:rsidR="00103B6F" w:rsidRPr="008F40B4">
        <w:rPr>
          <w:lang w:eastAsia="en-AU"/>
        </w:rPr>
        <w:t>activities</w:t>
      </w:r>
      <w:r w:rsidR="00E3499C" w:rsidRPr="008F40B4">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1"/>
        <w:tblDescription w:val="Investments and activities, duration and key partners&#10;"/>
      </w:tblPr>
      <w:tblGrid>
        <w:gridCol w:w="4106"/>
        <w:gridCol w:w="2126"/>
        <w:gridCol w:w="3962"/>
      </w:tblGrid>
      <w:tr w:rsidR="0063467A" w:rsidRPr="00453DC3" w14:paraId="08F81164" w14:textId="77777777" w:rsidTr="00187636">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100" w:firstRow="0" w:lastRow="0" w:firstColumn="1" w:lastColumn="0" w:oddVBand="0" w:evenVBand="0" w:oddHBand="0" w:evenHBand="0" w:firstRowFirstColumn="1" w:firstRowLastColumn="0" w:lastRowFirstColumn="0" w:lastRowLastColumn="0"/>
            <w:tcW w:w="4106" w:type="dxa"/>
          </w:tcPr>
          <w:p w14:paraId="5CBF0809" w14:textId="77777777" w:rsidR="0063467A" w:rsidRPr="00A06303" w:rsidRDefault="0063467A" w:rsidP="00A06303">
            <w:pPr>
              <w:pStyle w:val="TableHeading"/>
            </w:pPr>
            <w:r w:rsidRPr="00A06303">
              <w:t>Name of investment/activity</w:t>
            </w:r>
          </w:p>
        </w:tc>
        <w:tc>
          <w:tcPr>
            <w:tcW w:w="2126" w:type="dxa"/>
          </w:tcPr>
          <w:p w14:paraId="27A41C71" w14:textId="77777777" w:rsidR="0063467A" w:rsidRPr="00A06303" w:rsidRDefault="0063467A" w:rsidP="00A06303">
            <w:pPr>
              <w:pStyle w:val="TableHeading"/>
              <w:cnfStyle w:val="100000000000" w:firstRow="1" w:lastRow="0" w:firstColumn="0" w:lastColumn="0" w:oddVBand="0" w:evenVBand="0" w:oddHBand="0" w:evenHBand="0" w:firstRowFirstColumn="0" w:firstRowLastColumn="0" w:lastRowFirstColumn="0" w:lastRowLastColumn="0"/>
            </w:pPr>
            <w:r w:rsidRPr="00A06303">
              <w:t>Duration</w:t>
            </w:r>
          </w:p>
        </w:tc>
        <w:tc>
          <w:tcPr>
            <w:tcW w:w="3962" w:type="dxa"/>
          </w:tcPr>
          <w:p w14:paraId="5DE3D891" w14:textId="77777777" w:rsidR="0063467A" w:rsidRPr="00A06303" w:rsidRDefault="0063467A" w:rsidP="00A06303">
            <w:pPr>
              <w:pStyle w:val="TableHeading"/>
              <w:cnfStyle w:val="100000000000" w:firstRow="1" w:lastRow="0" w:firstColumn="0" w:lastColumn="0" w:oddVBand="0" w:evenVBand="0" w:oddHBand="0" w:evenHBand="0" w:firstRowFirstColumn="0" w:firstRowLastColumn="0" w:lastRowFirstColumn="0" w:lastRowLastColumn="0"/>
            </w:pPr>
            <w:r w:rsidRPr="00A06303">
              <w:t>Key partners</w:t>
            </w:r>
          </w:p>
        </w:tc>
      </w:tr>
      <w:tr w:rsidR="00C672AD" w:rsidRPr="00EA0170" w14:paraId="21365186"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2FBFCD38" w14:textId="31F96C02" w:rsidR="0063467A" w:rsidRPr="0083216E" w:rsidRDefault="0063467A" w:rsidP="009D0B4A">
            <w:pPr>
              <w:pStyle w:val="TableBodyCopy"/>
              <w:rPr>
                <w:lang w:eastAsia="en-AU"/>
              </w:rPr>
            </w:pPr>
            <w:r w:rsidRPr="0083216E">
              <w:rPr>
                <w:lang w:eastAsia="en-AU"/>
              </w:rPr>
              <w:t>Partnership</w:t>
            </w:r>
            <w:r w:rsidR="000F2721">
              <w:rPr>
                <w:lang w:eastAsia="en-AU"/>
              </w:rPr>
              <w:t xml:space="preserve"> between the Government of Australia and the Pacific Islands Forum </w:t>
            </w:r>
            <w:r w:rsidR="00EA0BCB">
              <w:rPr>
                <w:lang w:eastAsia="en-AU"/>
              </w:rPr>
              <w:t>Secretariat</w:t>
            </w:r>
            <w:r w:rsidRPr="0083216E">
              <w:rPr>
                <w:lang w:eastAsia="en-AU"/>
              </w:rPr>
              <w:t xml:space="preserve"> 2014</w:t>
            </w:r>
            <w:r w:rsidR="00256173">
              <w:rPr>
                <w:lang w:eastAsia="en-AU"/>
              </w:rPr>
              <w:t>–</w:t>
            </w:r>
            <w:r w:rsidRPr="0083216E">
              <w:rPr>
                <w:lang w:eastAsia="en-AU"/>
              </w:rPr>
              <w:t>34</w:t>
            </w:r>
          </w:p>
        </w:tc>
        <w:tc>
          <w:tcPr>
            <w:tcW w:w="2126" w:type="dxa"/>
            <w:shd w:val="clear" w:color="auto" w:fill="D2DEE7" w:themeFill="accent1" w:themeFillTint="33"/>
          </w:tcPr>
          <w:p w14:paraId="6C30B768" w14:textId="25861FB8" w:rsidR="0063467A" w:rsidRPr="00674884" w:rsidRDefault="0063467A"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2024</w:t>
            </w:r>
            <w:r w:rsidR="009D0B4A">
              <w:rPr>
                <w:lang w:eastAsia="en-AU"/>
              </w:rPr>
              <w:t>–</w:t>
            </w:r>
            <w:r w:rsidRPr="00674884">
              <w:rPr>
                <w:lang w:eastAsia="en-AU"/>
              </w:rPr>
              <w:t>26</w:t>
            </w:r>
          </w:p>
        </w:tc>
        <w:tc>
          <w:tcPr>
            <w:tcW w:w="3962" w:type="dxa"/>
            <w:shd w:val="clear" w:color="auto" w:fill="F2F2F2" w:themeFill="background1" w:themeFillShade="F2"/>
          </w:tcPr>
          <w:p w14:paraId="23F8F75C" w14:textId="0CB02355" w:rsidR="0063467A" w:rsidRPr="00674884" w:rsidRDefault="007E7A2E" w:rsidP="009D0B4A">
            <w:pPr>
              <w:pStyle w:val="TableBodyCopy"/>
              <w:cnfStyle w:val="000000100000" w:firstRow="0" w:lastRow="0" w:firstColumn="0" w:lastColumn="0" w:oddVBand="0" w:evenVBand="0" w:oddHBand="1" w:evenHBand="0" w:firstRowFirstColumn="0" w:firstRowLastColumn="0" w:lastRowFirstColumn="0" w:lastRowLastColumn="0"/>
              <w:rPr>
                <w:color w:val="FF0000"/>
                <w:lang w:eastAsia="en-AU"/>
              </w:rPr>
            </w:pPr>
            <w:r w:rsidRPr="00FE2D8E">
              <w:rPr>
                <w:lang w:eastAsia="en-AU"/>
              </w:rPr>
              <w:t>Pacific Islands Forum</w:t>
            </w:r>
            <w:r w:rsidR="000F2721">
              <w:rPr>
                <w:lang w:eastAsia="en-AU"/>
              </w:rPr>
              <w:t xml:space="preserve"> (PIF)</w:t>
            </w:r>
          </w:p>
        </w:tc>
      </w:tr>
      <w:tr w:rsidR="00C672AD" w:rsidRPr="00EA0170" w14:paraId="68B533D1" w14:textId="77777777" w:rsidTr="00187636">
        <w:trPr>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3BE257FF" w14:textId="48B14D96" w:rsidR="0063467A" w:rsidRPr="0083216E" w:rsidRDefault="0063467A" w:rsidP="009D0B4A">
            <w:pPr>
              <w:pStyle w:val="TableBodyCopy"/>
              <w:rPr>
                <w:lang w:eastAsia="en-AU"/>
              </w:rPr>
            </w:pPr>
            <w:r w:rsidRPr="0083216E">
              <w:rPr>
                <w:lang w:eastAsia="en-AU"/>
              </w:rPr>
              <w:t xml:space="preserve">Pacific Community </w:t>
            </w:r>
            <w:r w:rsidR="000F2721">
              <w:rPr>
                <w:lang w:eastAsia="en-AU"/>
              </w:rPr>
              <w:t xml:space="preserve">– Australia </w:t>
            </w:r>
            <w:r w:rsidRPr="0083216E">
              <w:rPr>
                <w:lang w:eastAsia="en-AU"/>
              </w:rPr>
              <w:t xml:space="preserve">Strategic Partnership </w:t>
            </w:r>
            <w:r w:rsidR="000F2721">
              <w:rPr>
                <w:lang w:eastAsia="en-AU"/>
              </w:rPr>
              <w:t>2024</w:t>
            </w:r>
            <w:r w:rsidR="00256173">
              <w:rPr>
                <w:lang w:eastAsia="en-AU"/>
              </w:rPr>
              <w:t>–</w:t>
            </w:r>
            <w:r w:rsidR="000F2721">
              <w:rPr>
                <w:lang w:eastAsia="en-AU"/>
              </w:rPr>
              <w:t xml:space="preserve">26 </w:t>
            </w:r>
            <w:r w:rsidRPr="0083216E">
              <w:rPr>
                <w:lang w:eastAsia="en-AU"/>
              </w:rPr>
              <w:t>and core funding</w:t>
            </w:r>
          </w:p>
        </w:tc>
        <w:tc>
          <w:tcPr>
            <w:tcW w:w="2126" w:type="dxa"/>
            <w:shd w:val="clear" w:color="auto" w:fill="D2DEE7" w:themeFill="accent1" w:themeFillTint="33"/>
          </w:tcPr>
          <w:p w14:paraId="7556B510" w14:textId="7020DB60" w:rsidR="0063467A" w:rsidRPr="00674884" w:rsidRDefault="0063467A"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2024</w:t>
            </w:r>
            <w:r w:rsidR="009D0B4A">
              <w:rPr>
                <w:lang w:eastAsia="en-AU"/>
              </w:rPr>
              <w:t>–</w:t>
            </w:r>
            <w:r w:rsidRPr="00674884">
              <w:rPr>
                <w:lang w:eastAsia="en-AU"/>
              </w:rPr>
              <w:t>26</w:t>
            </w:r>
          </w:p>
        </w:tc>
        <w:tc>
          <w:tcPr>
            <w:tcW w:w="3962" w:type="dxa"/>
            <w:shd w:val="clear" w:color="auto" w:fill="F2F2F2" w:themeFill="background1" w:themeFillShade="F2"/>
          </w:tcPr>
          <w:p w14:paraId="1A6D2871" w14:textId="2AA84B26" w:rsidR="0063467A" w:rsidRPr="00674884" w:rsidRDefault="00221499" w:rsidP="009D0B4A">
            <w:pPr>
              <w:pStyle w:val="TableBodyCopy"/>
              <w:cnfStyle w:val="000000000000" w:firstRow="0" w:lastRow="0" w:firstColumn="0" w:lastColumn="0" w:oddVBand="0" w:evenVBand="0" w:oddHBand="0" w:evenHBand="0" w:firstRowFirstColumn="0" w:firstRowLastColumn="0" w:lastRowFirstColumn="0" w:lastRowLastColumn="0"/>
              <w:rPr>
                <w:color w:val="FF0000"/>
                <w:lang w:eastAsia="en-AU"/>
              </w:rPr>
            </w:pPr>
            <w:r w:rsidRPr="00BC108D">
              <w:rPr>
                <w:lang w:eastAsia="en-AU"/>
              </w:rPr>
              <w:t>Pacific Community</w:t>
            </w:r>
            <w:r w:rsidR="000F2721">
              <w:rPr>
                <w:lang w:eastAsia="en-AU"/>
              </w:rPr>
              <w:t xml:space="preserve"> (SPC)</w:t>
            </w:r>
          </w:p>
        </w:tc>
      </w:tr>
      <w:tr w:rsidR="00C672AD" w:rsidRPr="00EA0170" w14:paraId="72A0A9AA" w14:textId="77777777" w:rsidTr="00187636">
        <w:trPr>
          <w:cnfStyle w:val="000000100000" w:firstRow="0" w:lastRow="0" w:firstColumn="0" w:lastColumn="0" w:oddVBand="0" w:evenVBand="0" w:oddHBand="1" w:evenHBand="0" w:firstRowFirstColumn="0" w:firstRowLastColumn="0" w:lastRowFirstColumn="0" w:lastRowLastColumn="0"/>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0A91BEAF" w14:textId="77777777" w:rsidR="0063467A" w:rsidRPr="0083216E" w:rsidRDefault="0063467A" w:rsidP="009D0B4A">
            <w:pPr>
              <w:pStyle w:val="TableBodyCopy"/>
              <w:rPr>
                <w:lang w:eastAsia="en-AU"/>
              </w:rPr>
            </w:pPr>
            <w:r w:rsidRPr="0083216E">
              <w:rPr>
                <w:lang w:eastAsia="en-AU"/>
              </w:rPr>
              <w:t>Fisheries Development Assistance in the Pacific</w:t>
            </w:r>
          </w:p>
        </w:tc>
        <w:tc>
          <w:tcPr>
            <w:tcW w:w="2126" w:type="dxa"/>
            <w:shd w:val="clear" w:color="auto" w:fill="D2DEE7" w:themeFill="accent1" w:themeFillTint="33"/>
          </w:tcPr>
          <w:p w14:paraId="144CE651" w14:textId="378CEAE3" w:rsidR="0063467A" w:rsidRPr="00674884" w:rsidRDefault="0063467A"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2010</w:t>
            </w:r>
            <w:r w:rsidR="009D0B4A">
              <w:rPr>
                <w:lang w:eastAsia="en-AU"/>
              </w:rPr>
              <w:t>–</w:t>
            </w:r>
            <w:r w:rsidRPr="00674884">
              <w:rPr>
                <w:lang w:eastAsia="en-AU"/>
              </w:rPr>
              <w:t>26</w:t>
            </w:r>
          </w:p>
        </w:tc>
        <w:tc>
          <w:tcPr>
            <w:tcW w:w="3962" w:type="dxa"/>
            <w:shd w:val="clear" w:color="auto" w:fill="F2F2F2" w:themeFill="background1" w:themeFillShade="F2"/>
          </w:tcPr>
          <w:p w14:paraId="652C6161" w14:textId="54FA4A8F" w:rsidR="0063467A" w:rsidRPr="009D0B4A" w:rsidRDefault="000F2721" w:rsidP="009D0B4A">
            <w:pPr>
              <w:pStyle w:val="TableBodyCopy"/>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AU"/>
              </w:rPr>
            </w:pPr>
            <w:r>
              <w:rPr>
                <w:lang w:eastAsia="en-AU"/>
              </w:rPr>
              <w:t xml:space="preserve">Pacific Islands </w:t>
            </w:r>
            <w:r w:rsidR="00F65100">
              <w:rPr>
                <w:lang w:eastAsia="en-AU"/>
              </w:rPr>
              <w:t>Forum Fisheries Agency</w:t>
            </w:r>
            <w:r w:rsidR="00C04F65">
              <w:rPr>
                <w:lang w:eastAsia="en-AU"/>
              </w:rPr>
              <w:t>;</w:t>
            </w:r>
            <w:r w:rsidR="00F65100">
              <w:rPr>
                <w:lang w:eastAsia="en-AU"/>
              </w:rPr>
              <w:t xml:space="preserve"> </w:t>
            </w:r>
            <w:r>
              <w:rPr>
                <w:lang w:eastAsia="en-AU"/>
              </w:rPr>
              <w:t>SPC</w:t>
            </w:r>
            <w:r w:rsidR="00256173">
              <w:rPr>
                <w:lang w:eastAsia="en-AU"/>
              </w:rPr>
              <w:t>;</w:t>
            </w:r>
            <w:r w:rsidR="00F65100">
              <w:rPr>
                <w:lang w:eastAsia="en-AU"/>
              </w:rPr>
              <w:t xml:space="preserve"> Australian Fisheries Management Authority</w:t>
            </w:r>
            <w:r w:rsidR="00C04F65">
              <w:rPr>
                <w:lang w:eastAsia="en-AU"/>
              </w:rPr>
              <w:t>;</w:t>
            </w:r>
            <w:r w:rsidR="00F65100">
              <w:rPr>
                <w:lang w:eastAsia="en-AU"/>
              </w:rPr>
              <w:t xml:space="preserve"> Australian Centre for International Agricultural Research</w:t>
            </w:r>
          </w:p>
        </w:tc>
      </w:tr>
      <w:tr w:rsidR="00C672AD" w:rsidRPr="00EA0170" w14:paraId="6F578E09" w14:textId="77777777" w:rsidTr="00187636">
        <w:trPr>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1899E063" w14:textId="77777777" w:rsidR="0063467A" w:rsidRPr="0083216E" w:rsidRDefault="0063467A" w:rsidP="009D0B4A">
            <w:pPr>
              <w:pStyle w:val="TableBodyCopy"/>
              <w:rPr>
                <w:lang w:eastAsia="en-AU"/>
              </w:rPr>
            </w:pPr>
            <w:r w:rsidRPr="0083216E">
              <w:rPr>
                <w:lang w:eastAsia="en-AU"/>
              </w:rPr>
              <w:t>PacificAus Sports</w:t>
            </w:r>
          </w:p>
        </w:tc>
        <w:tc>
          <w:tcPr>
            <w:tcW w:w="2126" w:type="dxa"/>
            <w:shd w:val="clear" w:color="auto" w:fill="D2DEE7" w:themeFill="accent1" w:themeFillTint="33"/>
          </w:tcPr>
          <w:p w14:paraId="6241F2BB" w14:textId="634789CE" w:rsidR="0063467A" w:rsidRPr="00674884" w:rsidRDefault="0063467A"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2019</w:t>
            </w:r>
            <w:r w:rsidR="009D0B4A">
              <w:rPr>
                <w:lang w:eastAsia="en-AU"/>
              </w:rPr>
              <w:t>–</w:t>
            </w:r>
            <w:r w:rsidRPr="00674884">
              <w:rPr>
                <w:lang w:eastAsia="en-AU"/>
              </w:rPr>
              <w:t>27</w:t>
            </w:r>
          </w:p>
        </w:tc>
        <w:tc>
          <w:tcPr>
            <w:tcW w:w="3962" w:type="dxa"/>
            <w:shd w:val="clear" w:color="auto" w:fill="F2F2F2" w:themeFill="background1" w:themeFillShade="F2"/>
          </w:tcPr>
          <w:p w14:paraId="1709D5B0" w14:textId="2B1CE66F" w:rsidR="0063467A" w:rsidRPr="00674884" w:rsidRDefault="008E14C3"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Rugby Australia</w:t>
            </w:r>
            <w:r w:rsidR="00C04F65">
              <w:rPr>
                <w:lang w:eastAsia="en-AU"/>
              </w:rPr>
              <w:t>;</w:t>
            </w:r>
            <w:r>
              <w:rPr>
                <w:lang w:eastAsia="en-AU"/>
              </w:rPr>
              <w:t xml:space="preserve"> National Rugby League</w:t>
            </w:r>
            <w:r w:rsidR="003E4F3A">
              <w:rPr>
                <w:lang w:eastAsia="en-AU"/>
              </w:rPr>
              <w:t>;</w:t>
            </w:r>
            <w:r>
              <w:rPr>
                <w:lang w:eastAsia="en-AU"/>
              </w:rPr>
              <w:t xml:space="preserve"> </w:t>
            </w:r>
            <w:r w:rsidR="0076733E">
              <w:rPr>
                <w:lang w:eastAsia="en-AU"/>
              </w:rPr>
              <w:t>New South Wales</w:t>
            </w:r>
            <w:r>
              <w:rPr>
                <w:lang w:eastAsia="en-AU"/>
              </w:rPr>
              <w:t xml:space="preserve"> Rugby </w:t>
            </w:r>
            <w:r w:rsidR="00AE2080">
              <w:rPr>
                <w:lang w:eastAsia="en-AU"/>
              </w:rPr>
              <w:t>League;</w:t>
            </w:r>
            <w:r>
              <w:rPr>
                <w:lang w:eastAsia="en-AU"/>
              </w:rPr>
              <w:t xml:space="preserve"> Queensland Rugby League</w:t>
            </w:r>
            <w:r w:rsidR="00C04F65">
              <w:rPr>
                <w:lang w:eastAsia="en-AU"/>
              </w:rPr>
              <w:t>;</w:t>
            </w:r>
            <w:r>
              <w:rPr>
                <w:lang w:eastAsia="en-AU"/>
              </w:rPr>
              <w:t xml:space="preserve"> Netball Australia</w:t>
            </w:r>
            <w:r w:rsidR="00C04F65">
              <w:rPr>
                <w:lang w:eastAsia="en-AU"/>
              </w:rPr>
              <w:t>;</w:t>
            </w:r>
            <w:r>
              <w:rPr>
                <w:lang w:eastAsia="en-AU"/>
              </w:rPr>
              <w:t xml:space="preserve"> Football Australia</w:t>
            </w:r>
            <w:r w:rsidR="00C04F65">
              <w:rPr>
                <w:lang w:eastAsia="en-AU"/>
              </w:rPr>
              <w:t>;</w:t>
            </w:r>
            <w:r>
              <w:rPr>
                <w:lang w:eastAsia="en-AU"/>
              </w:rPr>
              <w:t xml:space="preserve"> Australian Football League</w:t>
            </w:r>
            <w:r w:rsidR="00C04F65">
              <w:rPr>
                <w:lang w:eastAsia="en-AU"/>
              </w:rPr>
              <w:t>;</w:t>
            </w:r>
            <w:r>
              <w:rPr>
                <w:lang w:eastAsia="en-AU"/>
              </w:rPr>
              <w:t xml:space="preserve"> Cricket Australia</w:t>
            </w:r>
            <w:r w:rsidR="00C04F65">
              <w:rPr>
                <w:lang w:eastAsia="en-AU"/>
              </w:rPr>
              <w:t>;</w:t>
            </w:r>
            <w:r>
              <w:rPr>
                <w:lang w:eastAsia="en-AU"/>
              </w:rPr>
              <w:t xml:space="preserve"> ABC International Development</w:t>
            </w:r>
            <w:r w:rsidR="000774E5">
              <w:rPr>
                <w:lang w:eastAsia="en-AU"/>
              </w:rPr>
              <w:t xml:space="preserve"> (ABCID)</w:t>
            </w:r>
          </w:p>
        </w:tc>
      </w:tr>
      <w:tr w:rsidR="00C672AD" w:rsidRPr="00EA0170" w14:paraId="1A79F212" w14:textId="77777777" w:rsidTr="00187636">
        <w:trPr>
          <w:cnfStyle w:val="000000100000" w:firstRow="0" w:lastRow="0" w:firstColumn="0" w:lastColumn="0" w:oddVBand="0" w:evenVBand="0" w:oddHBand="1" w:evenHBand="0" w:firstRowFirstColumn="0" w:firstRowLastColumn="0" w:lastRowFirstColumn="0" w:lastRowLastColumn="0"/>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6CF55535" w14:textId="7FF3DADC" w:rsidR="00730BCD" w:rsidRPr="0083216E" w:rsidRDefault="00097B4C" w:rsidP="009D0B4A">
            <w:pPr>
              <w:pStyle w:val="TableBodyCopy"/>
              <w:rPr>
                <w:lang w:eastAsia="en-AU"/>
              </w:rPr>
            </w:pPr>
            <w:r>
              <w:rPr>
                <w:color w:val="000000"/>
              </w:rPr>
              <w:t xml:space="preserve">Team Up </w:t>
            </w:r>
            <w:r w:rsidR="00C04F65">
              <w:rPr>
                <w:color w:val="000000"/>
              </w:rPr>
              <w:t>p</w:t>
            </w:r>
            <w:r>
              <w:rPr>
                <w:color w:val="000000"/>
              </w:rPr>
              <w:t>rogram</w:t>
            </w:r>
          </w:p>
        </w:tc>
        <w:tc>
          <w:tcPr>
            <w:tcW w:w="2126" w:type="dxa"/>
            <w:shd w:val="clear" w:color="auto" w:fill="D2DEE7" w:themeFill="accent1" w:themeFillTint="33"/>
          </w:tcPr>
          <w:p w14:paraId="1AD2C053" w14:textId="4920252E" w:rsidR="00730BCD" w:rsidRPr="00674884" w:rsidRDefault="00097B4C"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2018</w:t>
            </w:r>
            <w:r w:rsidR="009D0B4A">
              <w:rPr>
                <w:lang w:eastAsia="en-AU"/>
              </w:rPr>
              <w:t>–</w:t>
            </w:r>
            <w:r>
              <w:rPr>
                <w:lang w:eastAsia="en-AU"/>
              </w:rPr>
              <w:t>28</w:t>
            </w:r>
          </w:p>
        </w:tc>
        <w:tc>
          <w:tcPr>
            <w:tcW w:w="3962" w:type="dxa"/>
            <w:shd w:val="clear" w:color="auto" w:fill="F2F2F2" w:themeFill="background1" w:themeFillShade="F2"/>
          </w:tcPr>
          <w:p w14:paraId="2229038D" w14:textId="30655990" w:rsidR="00730BCD" w:rsidRDefault="00A8250B"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Cricket PNG</w:t>
            </w:r>
            <w:r w:rsidR="00C04F65">
              <w:rPr>
                <w:lang w:eastAsia="en-AU"/>
              </w:rPr>
              <w:t xml:space="preserve">; </w:t>
            </w:r>
            <w:r w:rsidR="00D61C32">
              <w:rPr>
                <w:lang w:eastAsia="en-AU"/>
              </w:rPr>
              <w:t>Kokoda Track Foundation</w:t>
            </w:r>
            <w:r w:rsidR="00C04F65">
              <w:rPr>
                <w:lang w:eastAsia="en-AU"/>
              </w:rPr>
              <w:t xml:space="preserve">; </w:t>
            </w:r>
            <w:r w:rsidR="00A11F6A">
              <w:rPr>
                <w:lang w:eastAsia="en-AU"/>
              </w:rPr>
              <w:t>Vanuatu Cricket</w:t>
            </w:r>
            <w:r w:rsidR="005F51BB">
              <w:rPr>
                <w:lang w:eastAsia="en-AU"/>
              </w:rPr>
              <w:t xml:space="preserve"> Association</w:t>
            </w:r>
            <w:r w:rsidR="00C04F65">
              <w:rPr>
                <w:lang w:eastAsia="en-AU"/>
              </w:rPr>
              <w:t xml:space="preserve">; </w:t>
            </w:r>
            <w:r w:rsidR="005F51BB">
              <w:rPr>
                <w:lang w:eastAsia="en-AU"/>
              </w:rPr>
              <w:t xml:space="preserve">Vanuatu </w:t>
            </w:r>
            <w:r w:rsidR="00A11F6A">
              <w:rPr>
                <w:lang w:eastAsia="en-AU"/>
              </w:rPr>
              <w:t xml:space="preserve">Volleyball </w:t>
            </w:r>
            <w:r w:rsidR="003E2C7F">
              <w:rPr>
                <w:lang w:eastAsia="en-AU"/>
              </w:rPr>
              <w:t>Federation; Vanuatu</w:t>
            </w:r>
            <w:r w:rsidR="00A11F6A">
              <w:rPr>
                <w:lang w:eastAsia="en-AU"/>
              </w:rPr>
              <w:t xml:space="preserve"> Aquatics Federation</w:t>
            </w:r>
            <w:r w:rsidR="003E4F3A">
              <w:rPr>
                <w:lang w:eastAsia="en-AU"/>
              </w:rPr>
              <w:t>;</w:t>
            </w:r>
            <w:r w:rsidR="00A11F6A">
              <w:rPr>
                <w:lang w:eastAsia="en-AU"/>
              </w:rPr>
              <w:t xml:space="preserve"> </w:t>
            </w:r>
            <w:r w:rsidR="003964ED" w:rsidRPr="00497C18">
              <w:rPr>
                <w:lang w:eastAsia="en-AU"/>
              </w:rPr>
              <w:t>ABCID</w:t>
            </w:r>
            <w:r w:rsidR="00C04F65">
              <w:rPr>
                <w:lang w:eastAsia="en-AU"/>
              </w:rPr>
              <w:t xml:space="preserve">; </w:t>
            </w:r>
            <w:r w:rsidR="003964ED" w:rsidRPr="00497C18">
              <w:rPr>
                <w:lang w:eastAsia="en-AU"/>
              </w:rPr>
              <w:t>Australian Football League</w:t>
            </w:r>
            <w:r w:rsidR="00256173">
              <w:rPr>
                <w:lang w:eastAsia="en-AU"/>
              </w:rPr>
              <w:t>;</w:t>
            </w:r>
            <w:r w:rsidR="00C04F65">
              <w:rPr>
                <w:lang w:eastAsia="en-AU"/>
              </w:rPr>
              <w:t xml:space="preserve"> </w:t>
            </w:r>
            <w:r w:rsidR="003964ED" w:rsidRPr="00497C18">
              <w:rPr>
                <w:lang w:eastAsia="en-AU"/>
              </w:rPr>
              <w:t>National Rugby League</w:t>
            </w:r>
            <w:r w:rsidR="00256173">
              <w:rPr>
                <w:lang w:eastAsia="en-AU"/>
              </w:rPr>
              <w:t>;</w:t>
            </w:r>
            <w:r w:rsidR="00C04F65">
              <w:rPr>
                <w:lang w:eastAsia="en-AU"/>
              </w:rPr>
              <w:t xml:space="preserve"> </w:t>
            </w:r>
            <w:r w:rsidR="003964ED" w:rsidRPr="00497C18">
              <w:rPr>
                <w:lang w:eastAsia="en-AU"/>
              </w:rPr>
              <w:t>Cricket Australia</w:t>
            </w:r>
            <w:r w:rsidR="003E4F3A">
              <w:rPr>
                <w:lang w:eastAsia="en-AU"/>
              </w:rPr>
              <w:t>;</w:t>
            </w:r>
            <w:r w:rsidR="00A71161">
              <w:rPr>
                <w:lang w:eastAsia="en-AU"/>
              </w:rPr>
              <w:t xml:space="preserve"> </w:t>
            </w:r>
            <w:proofErr w:type="spellStart"/>
            <w:r w:rsidR="003964ED" w:rsidRPr="00497C18">
              <w:rPr>
                <w:lang w:eastAsia="en-AU"/>
              </w:rPr>
              <w:t>Child</w:t>
            </w:r>
            <w:r w:rsidR="00EE5E7B">
              <w:rPr>
                <w:lang w:eastAsia="en-AU"/>
              </w:rPr>
              <w:t>F</w:t>
            </w:r>
            <w:r w:rsidR="003964ED" w:rsidRPr="00497C18">
              <w:rPr>
                <w:lang w:eastAsia="en-AU"/>
              </w:rPr>
              <w:t>und</w:t>
            </w:r>
            <w:proofErr w:type="spellEnd"/>
            <w:r w:rsidR="00AE2080">
              <w:rPr>
                <w:lang w:eastAsia="en-AU"/>
              </w:rPr>
              <w:t xml:space="preserve"> </w:t>
            </w:r>
            <w:r w:rsidR="003964ED" w:rsidRPr="00497C18">
              <w:rPr>
                <w:lang w:eastAsia="en-AU"/>
              </w:rPr>
              <w:t>Australia</w:t>
            </w:r>
            <w:r w:rsidR="00C04F65">
              <w:rPr>
                <w:lang w:eastAsia="en-AU"/>
              </w:rPr>
              <w:t xml:space="preserve">; </w:t>
            </w:r>
            <w:r w:rsidR="003964ED" w:rsidRPr="00497C18">
              <w:rPr>
                <w:lang w:eastAsia="en-AU"/>
              </w:rPr>
              <w:t>Netball Australia</w:t>
            </w:r>
            <w:r w:rsidR="00256173">
              <w:rPr>
                <w:lang w:eastAsia="en-AU"/>
              </w:rPr>
              <w:t>;</w:t>
            </w:r>
            <w:r w:rsidR="00A71161">
              <w:rPr>
                <w:lang w:eastAsia="en-AU"/>
              </w:rPr>
              <w:t xml:space="preserve"> </w:t>
            </w:r>
            <w:r w:rsidR="003964ED" w:rsidRPr="00497C18">
              <w:rPr>
                <w:lang w:eastAsia="en-AU"/>
              </w:rPr>
              <w:t>Rugby Australia</w:t>
            </w:r>
            <w:r w:rsidR="00C04F65">
              <w:rPr>
                <w:lang w:eastAsia="en-AU"/>
              </w:rPr>
              <w:t xml:space="preserve">; </w:t>
            </w:r>
            <w:r w:rsidR="00F1202A" w:rsidRPr="00497C18">
              <w:rPr>
                <w:lang w:eastAsia="en-AU"/>
              </w:rPr>
              <w:t>Badminton Oceania</w:t>
            </w:r>
            <w:r w:rsidR="00C04F65">
              <w:rPr>
                <w:lang w:eastAsia="en-AU"/>
              </w:rPr>
              <w:t xml:space="preserve">; </w:t>
            </w:r>
            <w:r w:rsidR="00F1202A" w:rsidRPr="00497C18">
              <w:rPr>
                <w:lang w:eastAsia="en-AU"/>
              </w:rPr>
              <w:t>International Platform on Sport and Development</w:t>
            </w:r>
            <w:r w:rsidR="00C04F65">
              <w:rPr>
                <w:lang w:eastAsia="en-AU"/>
              </w:rPr>
              <w:t xml:space="preserve">; </w:t>
            </w:r>
            <w:r w:rsidR="00F1202A" w:rsidRPr="00497C18">
              <w:rPr>
                <w:lang w:eastAsia="en-AU"/>
              </w:rPr>
              <w:t>International Table Tennis Federation</w:t>
            </w:r>
            <w:r w:rsidR="00C04F65">
              <w:rPr>
                <w:lang w:eastAsia="en-AU"/>
              </w:rPr>
              <w:t xml:space="preserve">; </w:t>
            </w:r>
            <w:r w:rsidR="00F1202A" w:rsidRPr="00497C18">
              <w:rPr>
                <w:lang w:eastAsia="en-AU"/>
              </w:rPr>
              <w:t>Oceania Football Confederation</w:t>
            </w:r>
            <w:r w:rsidR="00256173">
              <w:rPr>
                <w:lang w:eastAsia="en-AU"/>
              </w:rPr>
              <w:t>;</w:t>
            </w:r>
            <w:r w:rsidR="00C04F65">
              <w:rPr>
                <w:lang w:eastAsia="en-AU"/>
              </w:rPr>
              <w:t xml:space="preserve"> </w:t>
            </w:r>
            <w:r w:rsidR="00F1202A" w:rsidRPr="00497C18">
              <w:rPr>
                <w:lang w:eastAsia="en-AU"/>
              </w:rPr>
              <w:t>Oceania Rugby</w:t>
            </w:r>
            <w:r w:rsidR="00C04F65">
              <w:rPr>
                <w:lang w:eastAsia="en-AU"/>
              </w:rPr>
              <w:t xml:space="preserve">; </w:t>
            </w:r>
            <w:r w:rsidR="00F1202A" w:rsidRPr="00497C18">
              <w:rPr>
                <w:lang w:eastAsia="en-AU"/>
              </w:rPr>
              <w:t>Oceania Hockey Federation</w:t>
            </w:r>
            <w:r w:rsidR="00C04F65">
              <w:rPr>
                <w:lang w:eastAsia="en-AU"/>
              </w:rPr>
              <w:t>;</w:t>
            </w:r>
            <w:r w:rsidR="00487DC5">
              <w:rPr>
                <w:lang w:eastAsia="en-AU"/>
              </w:rPr>
              <w:t xml:space="preserve"> </w:t>
            </w:r>
            <w:r w:rsidR="00F1202A" w:rsidRPr="00497C18">
              <w:rPr>
                <w:lang w:eastAsia="en-AU"/>
              </w:rPr>
              <w:t>FIBA Oceania</w:t>
            </w:r>
          </w:p>
        </w:tc>
      </w:tr>
      <w:tr w:rsidR="00C672AD" w:rsidRPr="00EA0170" w14:paraId="43B0B76F" w14:textId="77777777" w:rsidTr="00187636">
        <w:trPr>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0CF0EBF4" w14:textId="77777777" w:rsidR="0063467A" w:rsidRPr="0083216E" w:rsidRDefault="0063467A" w:rsidP="009D0B4A">
            <w:pPr>
              <w:pStyle w:val="TableBodyCopy"/>
              <w:rPr>
                <w:lang w:eastAsia="en-AU"/>
              </w:rPr>
            </w:pPr>
            <w:r w:rsidRPr="0083216E">
              <w:rPr>
                <w:lang w:eastAsia="en-AU"/>
              </w:rPr>
              <w:t>Pacific Media Assistance Scheme</w:t>
            </w:r>
          </w:p>
        </w:tc>
        <w:tc>
          <w:tcPr>
            <w:tcW w:w="2126" w:type="dxa"/>
            <w:shd w:val="clear" w:color="auto" w:fill="D2DEE7" w:themeFill="accent1" w:themeFillTint="33"/>
          </w:tcPr>
          <w:p w14:paraId="1198ACB6" w14:textId="7246C6DA" w:rsidR="0063467A" w:rsidRPr="00674884" w:rsidRDefault="0063467A"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2023</w:t>
            </w:r>
            <w:r w:rsidR="009D0B4A">
              <w:rPr>
                <w:lang w:eastAsia="en-AU"/>
              </w:rPr>
              <w:t>–</w:t>
            </w:r>
            <w:r w:rsidRPr="00674884">
              <w:rPr>
                <w:lang w:eastAsia="en-AU"/>
              </w:rPr>
              <w:t>26</w:t>
            </w:r>
          </w:p>
        </w:tc>
        <w:tc>
          <w:tcPr>
            <w:tcW w:w="3962" w:type="dxa"/>
            <w:shd w:val="clear" w:color="auto" w:fill="F2F2F2" w:themeFill="background1" w:themeFillShade="F2"/>
          </w:tcPr>
          <w:p w14:paraId="29267705" w14:textId="20479A99" w:rsidR="0063467A" w:rsidRPr="00674884" w:rsidRDefault="00487DC5"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ABCID</w:t>
            </w:r>
          </w:p>
        </w:tc>
      </w:tr>
      <w:tr w:rsidR="00C672AD" w:rsidRPr="00EA0170" w14:paraId="193C49E5" w14:textId="77777777" w:rsidTr="00187636">
        <w:trPr>
          <w:cnfStyle w:val="000000100000" w:firstRow="0" w:lastRow="0" w:firstColumn="0" w:lastColumn="0" w:oddVBand="0" w:evenVBand="0" w:oddHBand="1" w:evenHBand="0" w:firstRowFirstColumn="0" w:firstRowLastColumn="0" w:lastRowFirstColumn="0" w:lastRowLastColumn="0"/>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6D79F523" w14:textId="77777777" w:rsidR="0063467A" w:rsidRPr="0083216E" w:rsidRDefault="0063467A" w:rsidP="009D0B4A">
            <w:pPr>
              <w:pStyle w:val="TableBodyCopy"/>
              <w:rPr>
                <w:lang w:eastAsia="en-AU"/>
              </w:rPr>
            </w:pPr>
            <w:r w:rsidRPr="0083216E">
              <w:rPr>
                <w:lang w:eastAsia="en-AU"/>
              </w:rPr>
              <w:t>Women in News and Sport</w:t>
            </w:r>
          </w:p>
        </w:tc>
        <w:tc>
          <w:tcPr>
            <w:tcW w:w="2126" w:type="dxa"/>
            <w:shd w:val="clear" w:color="auto" w:fill="D2DEE7" w:themeFill="accent1" w:themeFillTint="33"/>
          </w:tcPr>
          <w:p w14:paraId="7ABE3B6B" w14:textId="7602ADBB" w:rsidR="0063467A" w:rsidRPr="00674884" w:rsidRDefault="0063467A"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2023</w:t>
            </w:r>
            <w:r w:rsidR="009D0B4A">
              <w:rPr>
                <w:lang w:eastAsia="en-AU"/>
              </w:rPr>
              <w:t>–</w:t>
            </w:r>
            <w:r w:rsidRPr="00674884">
              <w:rPr>
                <w:lang w:eastAsia="en-AU"/>
              </w:rPr>
              <w:t>25</w:t>
            </w:r>
          </w:p>
        </w:tc>
        <w:tc>
          <w:tcPr>
            <w:tcW w:w="3962" w:type="dxa"/>
            <w:shd w:val="clear" w:color="auto" w:fill="F2F2F2" w:themeFill="background1" w:themeFillShade="F2"/>
          </w:tcPr>
          <w:p w14:paraId="6EFA73E0" w14:textId="5FCFCA14" w:rsidR="0063467A" w:rsidRPr="00674884" w:rsidRDefault="00487DC5"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ABCID</w:t>
            </w:r>
          </w:p>
        </w:tc>
      </w:tr>
      <w:tr w:rsidR="00C672AD" w:rsidRPr="00EA0170" w14:paraId="2EE39768" w14:textId="77777777" w:rsidTr="00187636">
        <w:trPr>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38EB90DC" w14:textId="7686DA43" w:rsidR="0063467A" w:rsidRPr="0083216E" w:rsidRDefault="0063467A" w:rsidP="009D0B4A">
            <w:pPr>
              <w:pStyle w:val="TableBodyCopy"/>
              <w:rPr>
                <w:lang w:eastAsia="en-AU"/>
              </w:rPr>
            </w:pPr>
            <w:r w:rsidRPr="0083216E">
              <w:rPr>
                <w:lang w:eastAsia="en-AU"/>
              </w:rPr>
              <w:t>Indo-Pacific Media Fund</w:t>
            </w:r>
          </w:p>
        </w:tc>
        <w:tc>
          <w:tcPr>
            <w:tcW w:w="2126" w:type="dxa"/>
            <w:shd w:val="clear" w:color="auto" w:fill="D2DEE7" w:themeFill="accent1" w:themeFillTint="33"/>
          </w:tcPr>
          <w:p w14:paraId="40212A61" w14:textId="418857E1" w:rsidR="0063467A" w:rsidRPr="00674884" w:rsidRDefault="0063467A"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2023</w:t>
            </w:r>
            <w:r w:rsidR="009D0B4A">
              <w:rPr>
                <w:lang w:eastAsia="en-AU"/>
              </w:rPr>
              <w:t>–</w:t>
            </w:r>
            <w:r w:rsidRPr="00674884">
              <w:rPr>
                <w:lang w:eastAsia="en-AU"/>
              </w:rPr>
              <w:t>27</w:t>
            </w:r>
          </w:p>
        </w:tc>
        <w:tc>
          <w:tcPr>
            <w:tcW w:w="3962" w:type="dxa"/>
            <w:shd w:val="clear" w:color="auto" w:fill="F2F2F2" w:themeFill="background1" w:themeFillShade="F2"/>
          </w:tcPr>
          <w:p w14:paraId="536398A3" w14:textId="79BCC8FD" w:rsidR="0063467A" w:rsidRPr="00674884" w:rsidRDefault="0063467A"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T</w:t>
            </w:r>
            <w:r w:rsidR="00487DC5">
              <w:rPr>
                <w:lang w:eastAsia="en-AU"/>
              </w:rPr>
              <w:t>o be confirmed</w:t>
            </w:r>
            <w:r w:rsidR="00153657">
              <w:rPr>
                <w:lang w:eastAsia="en-AU"/>
              </w:rPr>
              <w:t xml:space="preserve"> (</w:t>
            </w:r>
            <w:r w:rsidRPr="00674884">
              <w:rPr>
                <w:lang w:eastAsia="en-AU"/>
              </w:rPr>
              <w:t>procurement underway</w:t>
            </w:r>
            <w:r w:rsidR="00153657">
              <w:rPr>
                <w:lang w:eastAsia="en-AU"/>
              </w:rPr>
              <w:t>)</w:t>
            </w:r>
          </w:p>
        </w:tc>
      </w:tr>
      <w:tr w:rsidR="00C672AD" w:rsidRPr="00EA0170" w14:paraId="1324D5CC" w14:textId="77777777" w:rsidTr="00187636">
        <w:trPr>
          <w:cnfStyle w:val="000000100000" w:firstRow="0" w:lastRow="0" w:firstColumn="0" w:lastColumn="0" w:oddVBand="0" w:evenVBand="0" w:oddHBand="1" w:evenHBand="0" w:firstRowFirstColumn="0" w:firstRowLastColumn="0" w:lastRowFirstColumn="0" w:lastRowLastColumn="0"/>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6C3443B9" w14:textId="5A777A6F" w:rsidR="0063467A" w:rsidRPr="0083216E" w:rsidRDefault="0063467A" w:rsidP="009D0B4A">
            <w:pPr>
              <w:pStyle w:val="TableBodyCopy"/>
              <w:rPr>
                <w:lang w:eastAsia="en-AU"/>
              </w:rPr>
            </w:pPr>
            <w:r w:rsidRPr="0083216E">
              <w:rPr>
                <w:lang w:eastAsia="en-AU"/>
              </w:rPr>
              <w:t>Pacific Fusion Centre (</w:t>
            </w:r>
            <w:r w:rsidR="004272FD">
              <w:rPr>
                <w:lang w:eastAsia="en-AU"/>
              </w:rPr>
              <w:t>h</w:t>
            </w:r>
            <w:r w:rsidR="004272FD" w:rsidRPr="0083216E">
              <w:rPr>
                <w:lang w:eastAsia="en-AU"/>
              </w:rPr>
              <w:t>ybrid</w:t>
            </w:r>
            <w:r w:rsidRPr="0083216E">
              <w:rPr>
                <w:lang w:eastAsia="en-AU"/>
              </w:rPr>
              <w:t>)</w:t>
            </w:r>
          </w:p>
        </w:tc>
        <w:tc>
          <w:tcPr>
            <w:tcW w:w="2126" w:type="dxa"/>
            <w:shd w:val="clear" w:color="auto" w:fill="D2DEE7" w:themeFill="accent1" w:themeFillTint="33"/>
          </w:tcPr>
          <w:p w14:paraId="2C171355" w14:textId="34A0DD26" w:rsidR="0063467A" w:rsidRPr="00674884" w:rsidRDefault="0063467A"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2022</w:t>
            </w:r>
            <w:r w:rsidR="009D0B4A">
              <w:rPr>
                <w:lang w:eastAsia="en-AU"/>
              </w:rPr>
              <w:t>–</w:t>
            </w:r>
            <w:r w:rsidRPr="00674884">
              <w:rPr>
                <w:lang w:eastAsia="en-AU"/>
              </w:rPr>
              <w:t>26</w:t>
            </w:r>
          </w:p>
        </w:tc>
        <w:tc>
          <w:tcPr>
            <w:tcW w:w="3962" w:type="dxa"/>
            <w:shd w:val="clear" w:color="auto" w:fill="F2F2F2" w:themeFill="background1" w:themeFillShade="F2"/>
          </w:tcPr>
          <w:p w14:paraId="0C4D78ED" w14:textId="0399B49C" w:rsidR="0063467A" w:rsidRPr="00674884" w:rsidRDefault="0015365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PIF</w:t>
            </w:r>
          </w:p>
        </w:tc>
      </w:tr>
      <w:tr w:rsidR="00C672AD" w:rsidRPr="00EA0170" w14:paraId="3AEBBE56" w14:textId="77777777" w:rsidTr="00187636">
        <w:trPr>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072AA158" w14:textId="3AB285A3" w:rsidR="0063467A" w:rsidRPr="0083216E" w:rsidRDefault="0063467A" w:rsidP="009D0B4A">
            <w:pPr>
              <w:pStyle w:val="TableBodyCopy"/>
              <w:rPr>
                <w:lang w:eastAsia="en-AU"/>
              </w:rPr>
            </w:pPr>
            <w:r w:rsidRPr="0083216E">
              <w:rPr>
                <w:lang w:eastAsia="en-AU"/>
              </w:rPr>
              <w:t xml:space="preserve">Pacific Security College </w:t>
            </w:r>
            <w:r w:rsidR="004272FD">
              <w:rPr>
                <w:lang w:eastAsia="en-AU"/>
              </w:rPr>
              <w:t>(h</w:t>
            </w:r>
            <w:r w:rsidRPr="0083216E">
              <w:rPr>
                <w:lang w:eastAsia="en-AU"/>
              </w:rPr>
              <w:t>ybrid</w:t>
            </w:r>
            <w:r w:rsidR="004272FD">
              <w:rPr>
                <w:lang w:eastAsia="en-AU"/>
              </w:rPr>
              <w:t>)</w:t>
            </w:r>
          </w:p>
        </w:tc>
        <w:tc>
          <w:tcPr>
            <w:tcW w:w="2126" w:type="dxa"/>
            <w:shd w:val="clear" w:color="auto" w:fill="D2DEE7" w:themeFill="accent1" w:themeFillTint="33"/>
          </w:tcPr>
          <w:p w14:paraId="097C6338" w14:textId="6DBD8432" w:rsidR="0063467A" w:rsidRPr="00674884" w:rsidRDefault="0063467A"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2019</w:t>
            </w:r>
            <w:r w:rsidR="009D0B4A">
              <w:rPr>
                <w:lang w:eastAsia="en-AU"/>
              </w:rPr>
              <w:t>–</w:t>
            </w:r>
            <w:r w:rsidRPr="00674884">
              <w:rPr>
                <w:lang w:eastAsia="en-AU"/>
              </w:rPr>
              <w:t>26</w:t>
            </w:r>
          </w:p>
        </w:tc>
        <w:tc>
          <w:tcPr>
            <w:tcW w:w="3962" w:type="dxa"/>
            <w:shd w:val="clear" w:color="auto" w:fill="F2F2F2" w:themeFill="background1" w:themeFillShade="F2"/>
          </w:tcPr>
          <w:p w14:paraId="03F7224E" w14:textId="6AD28D3B" w:rsidR="0063467A" w:rsidRPr="00674884" w:rsidRDefault="0015365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PIF</w:t>
            </w:r>
          </w:p>
        </w:tc>
      </w:tr>
      <w:tr w:rsidR="00C672AD" w:rsidRPr="00EA0170" w14:paraId="648EE48E" w14:textId="77777777" w:rsidTr="00187636">
        <w:trPr>
          <w:cnfStyle w:val="000000100000" w:firstRow="0" w:lastRow="0" w:firstColumn="0" w:lastColumn="0" w:oddVBand="0" w:evenVBand="0" w:oddHBand="1" w:evenHBand="0" w:firstRowFirstColumn="0" w:firstRowLastColumn="0" w:lastRowFirstColumn="0" w:lastRowLastColumn="0"/>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00F1C555" w14:textId="77777777" w:rsidR="0063467A" w:rsidRPr="0083216E" w:rsidRDefault="0063467A" w:rsidP="009D0B4A">
            <w:pPr>
              <w:pStyle w:val="TableBodyCopy"/>
              <w:rPr>
                <w:lang w:eastAsia="en-AU"/>
              </w:rPr>
            </w:pPr>
            <w:r w:rsidRPr="0083216E">
              <w:rPr>
                <w:lang w:eastAsia="en-AU"/>
              </w:rPr>
              <w:t>Pacific Maritime Domain Awareness Program (non-ODA)</w:t>
            </w:r>
          </w:p>
        </w:tc>
        <w:tc>
          <w:tcPr>
            <w:tcW w:w="2126" w:type="dxa"/>
            <w:shd w:val="clear" w:color="auto" w:fill="D2DEE7" w:themeFill="accent1" w:themeFillTint="33"/>
          </w:tcPr>
          <w:p w14:paraId="562C0A6C" w14:textId="2A810FF7" w:rsidR="0063467A" w:rsidRPr="00674884" w:rsidRDefault="0063467A"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2024</w:t>
            </w:r>
            <w:r w:rsidR="009D0B4A">
              <w:rPr>
                <w:lang w:eastAsia="en-AU"/>
              </w:rPr>
              <w:t>–</w:t>
            </w:r>
            <w:r w:rsidRPr="00674884">
              <w:rPr>
                <w:lang w:eastAsia="en-AU"/>
              </w:rPr>
              <w:t>27</w:t>
            </w:r>
          </w:p>
        </w:tc>
        <w:tc>
          <w:tcPr>
            <w:tcW w:w="3962" w:type="dxa"/>
            <w:shd w:val="clear" w:color="auto" w:fill="F2F2F2" w:themeFill="background1" w:themeFillShade="F2"/>
          </w:tcPr>
          <w:p w14:paraId="7298A215" w14:textId="18E8E8BE" w:rsidR="0063467A" w:rsidRPr="00674884" w:rsidRDefault="0015365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Pacific Islands </w:t>
            </w:r>
            <w:r w:rsidR="0066260F">
              <w:rPr>
                <w:lang w:eastAsia="en-AU"/>
              </w:rPr>
              <w:t>Forum Fisheries Agency</w:t>
            </w:r>
            <w:r>
              <w:rPr>
                <w:lang w:eastAsia="en-AU"/>
              </w:rPr>
              <w:t>;</w:t>
            </w:r>
            <w:r w:rsidR="004272FD">
              <w:rPr>
                <w:lang w:eastAsia="en-AU"/>
              </w:rPr>
              <w:t xml:space="preserve"> </w:t>
            </w:r>
            <w:r w:rsidR="0066260F">
              <w:rPr>
                <w:lang w:eastAsia="en-AU"/>
              </w:rPr>
              <w:t>Australian Fisheries Management Authority</w:t>
            </w:r>
            <w:r>
              <w:rPr>
                <w:lang w:eastAsia="en-AU"/>
              </w:rPr>
              <w:t xml:space="preserve">; </w:t>
            </w:r>
            <w:r w:rsidR="0066260F">
              <w:rPr>
                <w:lang w:eastAsia="en-AU"/>
              </w:rPr>
              <w:t>Australian Border Force</w:t>
            </w:r>
            <w:r>
              <w:rPr>
                <w:lang w:eastAsia="en-AU"/>
              </w:rPr>
              <w:t xml:space="preserve">; </w:t>
            </w:r>
            <w:r w:rsidR="0066260F">
              <w:rPr>
                <w:lang w:eastAsia="en-AU"/>
              </w:rPr>
              <w:t>Defence</w:t>
            </w:r>
            <w:r w:rsidR="004272FD">
              <w:rPr>
                <w:lang w:eastAsia="en-AU"/>
              </w:rPr>
              <w:t xml:space="preserve"> (Australian Government)</w:t>
            </w:r>
          </w:p>
        </w:tc>
      </w:tr>
      <w:tr w:rsidR="00C672AD" w:rsidRPr="00EA0170" w14:paraId="35BBF47B" w14:textId="77777777" w:rsidTr="00187636">
        <w:trPr>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58E30F33" w14:textId="2919DEE9" w:rsidR="0063467A" w:rsidRPr="0083216E" w:rsidRDefault="0063467A" w:rsidP="009D0B4A">
            <w:pPr>
              <w:pStyle w:val="TableBodyCopy"/>
              <w:rPr>
                <w:lang w:eastAsia="en-AU"/>
              </w:rPr>
            </w:pPr>
            <w:r w:rsidRPr="0083216E">
              <w:rPr>
                <w:lang w:eastAsia="en-AU"/>
              </w:rPr>
              <w:t xml:space="preserve">Pacific </w:t>
            </w:r>
            <w:r w:rsidR="005237DC">
              <w:rPr>
                <w:lang w:eastAsia="en-AU"/>
              </w:rPr>
              <w:t>b</w:t>
            </w:r>
            <w:r w:rsidRPr="0083216E">
              <w:rPr>
                <w:lang w:eastAsia="en-AU"/>
              </w:rPr>
              <w:t xml:space="preserve">ilateral </w:t>
            </w:r>
            <w:r w:rsidR="005237DC">
              <w:rPr>
                <w:lang w:eastAsia="en-AU"/>
              </w:rPr>
              <w:t>s</w:t>
            </w:r>
            <w:r w:rsidRPr="0083216E">
              <w:rPr>
                <w:lang w:eastAsia="en-AU"/>
              </w:rPr>
              <w:t xml:space="preserve">ecurity </w:t>
            </w:r>
            <w:r w:rsidR="005237DC">
              <w:rPr>
                <w:lang w:eastAsia="en-AU"/>
              </w:rPr>
              <w:t>a</w:t>
            </w:r>
            <w:r w:rsidRPr="0083216E">
              <w:rPr>
                <w:lang w:eastAsia="en-AU"/>
              </w:rPr>
              <w:t xml:space="preserve">ssistance </w:t>
            </w:r>
            <w:r w:rsidR="005237DC">
              <w:rPr>
                <w:lang w:eastAsia="en-AU"/>
              </w:rPr>
              <w:t>p</w:t>
            </w:r>
            <w:r w:rsidRPr="0083216E">
              <w:rPr>
                <w:lang w:eastAsia="en-AU"/>
              </w:rPr>
              <w:t>rogram</w:t>
            </w:r>
          </w:p>
        </w:tc>
        <w:tc>
          <w:tcPr>
            <w:tcW w:w="2126" w:type="dxa"/>
            <w:shd w:val="clear" w:color="auto" w:fill="D2DEE7" w:themeFill="accent1" w:themeFillTint="33"/>
          </w:tcPr>
          <w:p w14:paraId="19CAFBC9" w14:textId="3A3586DB" w:rsidR="0063467A" w:rsidRPr="00674884" w:rsidRDefault="0063467A"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2020</w:t>
            </w:r>
            <w:r w:rsidR="009D0B4A">
              <w:rPr>
                <w:lang w:eastAsia="en-AU"/>
              </w:rPr>
              <w:t>–</w:t>
            </w:r>
            <w:r w:rsidRPr="00674884">
              <w:rPr>
                <w:lang w:eastAsia="en-AU"/>
              </w:rPr>
              <w:t>25</w:t>
            </w:r>
          </w:p>
        </w:tc>
        <w:tc>
          <w:tcPr>
            <w:tcW w:w="3962" w:type="dxa"/>
            <w:shd w:val="clear" w:color="auto" w:fill="F2F2F2" w:themeFill="background1" w:themeFillShade="F2"/>
          </w:tcPr>
          <w:p w14:paraId="1B2A02D9" w14:textId="77777777" w:rsidR="0063467A" w:rsidRPr="00674884" w:rsidRDefault="0063467A"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Australian Border Force</w:t>
            </w:r>
          </w:p>
        </w:tc>
      </w:tr>
      <w:tr w:rsidR="00C672AD" w:rsidRPr="00EA0170" w14:paraId="36DB4FE5" w14:textId="77777777" w:rsidTr="00187636">
        <w:trPr>
          <w:cnfStyle w:val="000000100000" w:firstRow="0" w:lastRow="0" w:firstColumn="0" w:lastColumn="0" w:oddVBand="0" w:evenVBand="0" w:oddHBand="1" w:evenHBand="0" w:firstRowFirstColumn="0" w:firstRowLastColumn="0" w:lastRowFirstColumn="0" w:lastRowLastColumn="0"/>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069EEEA0" w14:textId="21D55D6C" w:rsidR="0063467A" w:rsidRPr="0083216E" w:rsidRDefault="0063467A" w:rsidP="009D0B4A">
            <w:pPr>
              <w:pStyle w:val="TableBodyCopy"/>
              <w:rPr>
                <w:lang w:eastAsia="en-AU"/>
              </w:rPr>
            </w:pPr>
            <w:r w:rsidRPr="0083216E">
              <w:rPr>
                <w:lang w:eastAsia="en-AU"/>
              </w:rPr>
              <w:t>Pacific Islands Transnational Organi</w:t>
            </w:r>
            <w:r w:rsidR="009516E1">
              <w:rPr>
                <w:lang w:eastAsia="en-AU"/>
              </w:rPr>
              <w:t>se</w:t>
            </w:r>
            <w:r w:rsidRPr="0083216E">
              <w:rPr>
                <w:lang w:eastAsia="en-AU"/>
              </w:rPr>
              <w:t xml:space="preserve">d Crime (PI-TOC) Project </w:t>
            </w:r>
          </w:p>
        </w:tc>
        <w:tc>
          <w:tcPr>
            <w:tcW w:w="2126" w:type="dxa"/>
            <w:shd w:val="clear" w:color="auto" w:fill="D2DEE7" w:themeFill="accent1" w:themeFillTint="33"/>
          </w:tcPr>
          <w:p w14:paraId="1A351EBC" w14:textId="3283647D" w:rsidR="0063467A" w:rsidRPr="00674884" w:rsidRDefault="0063467A"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2022</w:t>
            </w:r>
            <w:r w:rsidR="009D0B4A">
              <w:rPr>
                <w:lang w:eastAsia="en-AU"/>
              </w:rPr>
              <w:t>–</w:t>
            </w:r>
            <w:r w:rsidRPr="00674884">
              <w:rPr>
                <w:lang w:eastAsia="en-AU"/>
              </w:rPr>
              <w:t>25</w:t>
            </w:r>
          </w:p>
        </w:tc>
        <w:tc>
          <w:tcPr>
            <w:tcW w:w="3962" w:type="dxa"/>
            <w:shd w:val="clear" w:color="auto" w:fill="F2F2F2" w:themeFill="background1" w:themeFillShade="F2"/>
          </w:tcPr>
          <w:p w14:paraId="02E8C507" w14:textId="69C543C7" w:rsidR="0063467A" w:rsidRPr="00674884" w:rsidRDefault="00E53DB0"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PIF;</w:t>
            </w:r>
            <w:r w:rsidR="006B007F">
              <w:rPr>
                <w:lang w:eastAsia="en-AU"/>
              </w:rPr>
              <w:t xml:space="preserve"> United Nations Office on Drugs and Crime</w:t>
            </w:r>
          </w:p>
        </w:tc>
      </w:tr>
      <w:tr w:rsidR="00C672AD" w:rsidRPr="00EA0170" w14:paraId="1D1ED4AE" w14:textId="77777777" w:rsidTr="00187636">
        <w:trPr>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1694E06F" w14:textId="77777777" w:rsidR="0063467A" w:rsidRPr="0083216E" w:rsidRDefault="0063467A" w:rsidP="009D0B4A">
            <w:pPr>
              <w:pStyle w:val="TableBodyCopy"/>
              <w:rPr>
                <w:lang w:eastAsia="en-AU"/>
              </w:rPr>
            </w:pPr>
            <w:r w:rsidRPr="0083216E">
              <w:rPr>
                <w:lang w:eastAsia="en-AU"/>
              </w:rPr>
              <w:lastRenderedPageBreak/>
              <w:t>Support for the Pacific Community Fisheries, Aquaculture and Marine Ecosystems Division</w:t>
            </w:r>
          </w:p>
        </w:tc>
        <w:tc>
          <w:tcPr>
            <w:tcW w:w="2126" w:type="dxa"/>
            <w:shd w:val="clear" w:color="auto" w:fill="D2DEE7" w:themeFill="accent1" w:themeFillTint="33"/>
          </w:tcPr>
          <w:p w14:paraId="6872BD71" w14:textId="2D0713D9" w:rsidR="0063467A" w:rsidRPr="00674884" w:rsidRDefault="0063467A"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2023</w:t>
            </w:r>
            <w:r w:rsidR="009D0B4A">
              <w:rPr>
                <w:lang w:eastAsia="en-AU"/>
              </w:rPr>
              <w:t>–</w:t>
            </w:r>
            <w:r w:rsidRPr="00674884">
              <w:rPr>
                <w:lang w:eastAsia="en-AU"/>
              </w:rPr>
              <w:t>29</w:t>
            </w:r>
          </w:p>
        </w:tc>
        <w:tc>
          <w:tcPr>
            <w:tcW w:w="3962" w:type="dxa"/>
            <w:shd w:val="clear" w:color="auto" w:fill="F2F2F2" w:themeFill="background1" w:themeFillShade="F2"/>
          </w:tcPr>
          <w:p w14:paraId="14DA7DF5" w14:textId="4FC608AD" w:rsidR="0063467A" w:rsidRPr="00674884" w:rsidRDefault="00E53DB0"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SPC</w:t>
            </w:r>
          </w:p>
        </w:tc>
      </w:tr>
      <w:tr w:rsidR="00C672AD" w:rsidRPr="00EA0170" w14:paraId="6C82E904" w14:textId="77777777" w:rsidTr="00187636">
        <w:trPr>
          <w:cnfStyle w:val="000000100000" w:firstRow="0" w:lastRow="0" w:firstColumn="0" w:lastColumn="0" w:oddVBand="0" w:evenVBand="0" w:oddHBand="1" w:evenHBand="0" w:firstRowFirstColumn="0" w:firstRowLastColumn="0" w:lastRowFirstColumn="0" w:lastRowLastColumn="0"/>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42D1E549" w14:textId="0955B87B" w:rsidR="0063467A" w:rsidRPr="0083216E" w:rsidRDefault="5EC9D3EE" w:rsidP="009D0B4A">
            <w:pPr>
              <w:pStyle w:val="TableBodyCopy"/>
              <w:rPr>
                <w:rFonts w:cstheme="minorBidi"/>
                <w:lang w:eastAsia="en-AU"/>
              </w:rPr>
            </w:pPr>
            <w:r w:rsidRPr="483DBD79">
              <w:rPr>
                <w:rFonts w:cstheme="minorBidi"/>
                <w:lang w:eastAsia="en-AU"/>
              </w:rPr>
              <w:t xml:space="preserve">Maritime </w:t>
            </w:r>
            <w:r w:rsidR="00AF5A7B">
              <w:rPr>
                <w:rFonts w:cstheme="minorBidi"/>
                <w:lang w:eastAsia="en-AU"/>
              </w:rPr>
              <w:t>b</w:t>
            </w:r>
            <w:r w:rsidRPr="483DBD79">
              <w:rPr>
                <w:rFonts w:cstheme="minorBidi"/>
                <w:lang w:eastAsia="en-AU"/>
              </w:rPr>
              <w:t xml:space="preserve">oundaries </w:t>
            </w:r>
            <w:r w:rsidR="00AF5A7B">
              <w:rPr>
                <w:rFonts w:cstheme="minorBidi"/>
                <w:lang w:eastAsia="en-AU"/>
              </w:rPr>
              <w:t>s</w:t>
            </w:r>
            <w:r w:rsidRPr="483DBD79">
              <w:rPr>
                <w:rFonts w:cstheme="minorBidi"/>
                <w:lang w:eastAsia="en-AU"/>
              </w:rPr>
              <w:t>upport in the Pacific</w:t>
            </w:r>
          </w:p>
        </w:tc>
        <w:tc>
          <w:tcPr>
            <w:tcW w:w="2126" w:type="dxa"/>
            <w:shd w:val="clear" w:color="auto" w:fill="D2DEE7" w:themeFill="accent1" w:themeFillTint="33"/>
          </w:tcPr>
          <w:p w14:paraId="095605B4" w14:textId="38930A58" w:rsidR="0063467A" w:rsidRPr="00674884" w:rsidRDefault="0063467A"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2020</w:t>
            </w:r>
            <w:r w:rsidR="009D0B4A">
              <w:rPr>
                <w:lang w:eastAsia="en-AU"/>
              </w:rPr>
              <w:t>–</w:t>
            </w:r>
            <w:r w:rsidRPr="00674884">
              <w:rPr>
                <w:lang w:eastAsia="en-AU"/>
              </w:rPr>
              <w:t>27</w:t>
            </w:r>
          </w:p>
        </w:tc>
        <w:tc>
          <w:tcPr>
            <w:tcW w:w="3962" w:type="dxa"/>
            <w:shd w:val="clear" w:color="auto" w:fill="F2F2F2" w:themeFill="background1" w:themeFillShade="F2"/>
          </w:tcPr>
          <w:p w14:paraId="4425783F" w14:textId="2353F7A6" w:rsidR="0063467A" w:rsidRPr="00674884" w:rsidRDefault="00734692"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SPC</w:t>
            </w:r>
            <w:r w:rsidR="00E53DB0">
              <w:rPr>
                <w:lang w:eastAsia="en-AU"/>
              </w:rPr>
              <w:t>;</w:t>
            </w:r>
            <w:r w:rsidR="005D6F7E">
              <w:rPr>
                <w:lang w:eastAsia="en-AU"/>
              </w:rPr>
              <w:t xml:space="preserve"> </w:t>
            </w:r>
            <w:r w:rsidR="00AF5A7B">
              <w:rPr>
                <w:lang w:eastAsia="en-AU"/>
              </w:rPr>
              <w:t xml:space="preserve">Australian Government </w:t>
            </w:r>
            <w:r w:rsidR="005D6F7E">
              <w:rPr>
                <w:lang w:eastAsia="en-AU"/>
              </w:rPr>
              <w:t>Attorney-General’s Department</w:t>
            </w:r>
            <w:r w:rsidR="00AF5A7B">
              <w:rPr>
                <w:lang w:eastAsia="en-AU"/>
              </w:rPr>
              <w:t>;</w:t>
            </w:r>
            <w:r w:rsidR="005D6F7E">
              <w:rPr>
                <w:lang w:eastAsia="en-AU"/>
              </w:rPr>
              <w:t xml:space="preserve"> Geoscience Australia</w:t>
            </w:r>
          </w:p>
        </w:tc>
      </w:tr>
      <w:tr w:rsidR="483DBD79" w14:paraId="481B7CF8" w14:textId="77777777" w:rsidTr="00187636">
        <w:trPr>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0E6084DE" w14:textId="48205E5C" w:rsidR="0E52D21E" w:rsidRPr="0080373A" w:rsidRDefault="0E52D21E" w:rsidP="009D0B4A">
            <w:pPr>
              <w:pStyle w:val="TableBodyCopy"/>
              <w:rPr>
                <w:rFonts w:cstheme="minorBidi"/>
                <w:lang w:eastAsia="en-AU"/>
              </w:rPr>
            </w:pPr>
            <w:r w:rsidRPr="0080373A">
              <w:rPr>
                <w:rFonts w:cstheme="minorBidi"/>
                <w:lang w:eastAsia="en-AU"/>
              </w:rPr>
              <w:t>Pacific Policing Initiative (PPI)</w:t>
            </w:r>
          </w:p>
        </w:tc>
        <w:tc>
          <w:tcPr>
            <w:tcW w:w="2126" w:type="dxa"/>
            <w:shd w:val="clear" w:color="auto" w:fill="D2DEE7" w:themeFill="accent1" w:themeFillTint="33"/>
          </w:tcPr>
          <w:p w14:paraId="42F99683" w14:textId="28AAD246" w:rsidR="0E52D21E" w:rsidRDefault="0E52D21E" w:rsidP="009D0B4A">
            <w:pPr>
              <w:pStyle w:val="TableBodyCopy"/>
              <w:cnfStyle w:val="000000000000" w:firstRow="0" w:lastRow="0" w:firstColumn="0" w:lastColumn="0" w:oddVBand="0" w:evenVBand="0" w:oddHBand="0" w:evenHBand="0" w:firstRowFirstColumn="0" w:firstRowLastColumn="0" w:lastRowFirstColumn="0" w:lastRowLastColumn="0"/>
              <w:rPr>
                <w:rFonts w:cstheme="minorBidi"/>
                <w:lang w:eastAsia="en-AU"/>
              </w:rPr>
            </w:pPr>
            <w:r w:rsidRPr="483DBD79">
              <w:rPr>
                <w:rFonts w:cstheme="minorBidi"/>
                <w:lang w:eastAsia="en-AU"/>
              </w:rPr>
              <w:t>2023</w:t>
            </w:r>
            <w:r w:rsidR="009D0B4A">
              <w:rPr>
                <w:lang w:eastAsia="en-AU"/>
              </w:rPr>
              <w:t>–</w:t>
            </w:r>
            <w:r w:rsidRPr="483DBD79">
              <w:rPr>
                <w:rFonts w:cstheme="minorBidi"/>
                <w:lang w:eastAsia="en-AU"/>
              </w:rPr>
              <w:t>27</w:t>
            </w:r>
          </w:p>
        </w:tc>
        <w:tc>
          <w:tcPr>
            <w:tcW w:w="3962" w:type="dxa"/>
            <w:shd w:val="clear" w:color="auto" w:fill="F2F2F2" w:themeFill="background1" w:themeFillShade="F2"/>
          </w:tcPr>
          <w:p w14:paraId="7DD220B5" w14:textId="3C51A0BF" w:rsidR="0E52D21E" w:rsidRPr="0080373A" w:rsidRDefault="0E52D21E" w:rsidP="009D0B4A">
            <w:pPr>
              <w:pStyle w:val="TableBodyCopy"/>
              <w:cnfStyle w:val="000000000000" w:firstRow="0" w:lastRow="0" w:firstColumn="0" w:lastColumn="0" w:oddVBand="0" w:evenVBand="0" w:oddHBand="0" w:evenHBand="0" w:firstRowFirstColumn="0" w:firstRowLastColumn="0" w:lastRowFirstColumn="0" w:lastRowLastColumn="0"/>
              <w:rPr>
                <w:rFonts w:cstheme="minorBidi"/>
                <w:lang w:eastAsia="en-AU"/>
              </w:rPr>
            </w:pPr>
            <w:r w:rsidRPr="0080373A">
              <w:rPr>
                <w:rFonts w:cstheme="minorBidi"/>
                <w:lang w:eastAsia="en-AU"/>
              </w:rPr>
              <w:t xml:space="preserve">Australian Federal Police; Royal Papua New Guinea Constabulary; Royal Solomon Islands Police Force; Samoa Police Service; Tonga Police </w:t>
            </w:r>
          </w:p>
        </w:tc>
      </w:tr>
      <w:tr w:rsidR="483DBD79" w14:paraId="49A93EE1" w14:textId="77777777" w:rsidTr="00187636">
        <w:trPr>
          <w:cnfStyle w:val="000000100000" w:firstRow="0" w:lastRow="0" w:firstColumn="0" w:lastColumn="0" w:oddVBand="0" w:evenVBand="0" w:oddHBand="1" w:evenHBand="0" w:firstRowFirstColumn="0" w:firstRowLastColumn="0" w:lastRowFirstColumn="0" w:lastRowLastColumn="0"/>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65B4F298" w14:textId="676CC736" w:rsidR="0E52D21E" w:rsidRPr="0080373A" w:rsidRDefault="0E52D21E" w:rsidP="009D0B4A">
            <w:pPr>
              <w:pStyle w:val="TableBodyCopy"/>
              <w:rPr>
                <w:rFonts w:cstheme="minorBidi"/>
                <w:lang w:eastAsia="en-AU"/>
              </w:rPr>
            </w:pPr>
            <w:r w:rsidRPr="0080373A">
              <w:rPr>
                <w:rFonts w:cstheme="minorBidi"/>
                <w:lang w:eastAsia="en-AU"/>
              </w:rPr>
              <w:t xml:space="preserve">Australian Federal Police Pacific </w:t>
            </w:r>
            <w:r w:rsidR="00AC61F8">
              <w:rPr>
                <w:rFonts w:cstheme="minorBidi"/>
                <w:lang w:eastAsia="en-AU"/>
              </w:rPr>
              <w:t>p</w:t>
            </w:r>
            <w:r w:rsidRPr="0080373A">
              <w:rPr>
                <w:rFonts w:cstheme="minorBidi"/>
                <w:lang w:eastAsia="en-AU"/>
              </w:rPr>
              <w:t xml:space="preserve">olicing </w:t>
            </w:r>
            <w:r w:rsidR="00A55D2B">
              <w:rPr>
                <w:rFonts w:cstheme="minorBidi"/>
                <w:lang w:eastAsia="en-AU"/>
              </w:rPr>
              <w:t>p</w:t>
            </w:r>
            <w:r w:rsidRPr="0080373A">
              <w:rPr>
                <w:rFonts w:cstheme="minorBidi"/>
                <w:lang w:eastAsia="en-AU"/>
              </w:rPr>
              <w:t xml:space="preserve">artnership </w:t>
            </w:r>
            <w:r w:rsidR="00A55D2B">
              <w:rPr>
                <w:rFonts w:cstheme="minorBidi"/>
                <w:lang w:eastAsia="en-AU"/>
              </w:rPr>
              <w:t>p</w:t>
            </w:r>
            <w:r w:rsidRPr="0080373A">
              <w:rPr>
                <w:rFonts w:cstheme="minorBidi"/>
                <w:lang w:eastAsia="en-AU"/>
              </w:rPr>
              <w:t xml:space="preserve">rograms – </w:t>
            </w:r>
            <w:r w:rsidR="00A55D2B" w:rsidRPr="0080373A">
              <w:rPr>
                <w:rFonts w:cstheme="minorBidi"/>
                <w:lang w:eastAsia="en-AU"/>
              </w:rPr>
              <w:t>includ</w:t>
            </w:r>
            <w:r w:rsidR="00A55D2B">
              <w:rPr>
                <w:rFonts w:cstheme="minorBidi"/>
                <w:lang w:eastAsia="en-AU"/>
              </w:rPr>
              <w:t>ing</w:t>
            </w:r>
            <w:r w:rsidRPr="0080373A">
              <w:rPr>
                <w:rFonts w:cstheme="minorBidi"/>
                <w:lang w:eastAsia="en-AU"/>
              </w:rPr>
              <w:t>:</w:t>
            </w:r>
          </w:p>
          <w:p w14:paraId="3039685A" w14:textId="116DB887" w:rsidR="0E52D21E" w:rsidRDefault="0E52D21E" w:rsidP="00242B55">
            <w:pPr>
              <w:pStyle w:val="Tablebullet"/>
            </w:pPr>
            <w:r w:rsidRPr="0080373A">
              <w:t>Nauru-Australia Policing Partnership (NAPP)</w:t>
            </w:r>
          </w:p>
          <w:p w14:paraId="22D4B493" w14:textId="394CC0AD" w:rsidR="0E52D21E" w:rsidRDefault="0E52D21E" w:rsidP="00242B55">
            <w:pPr>
              <w:pStyle w:val="Tablebullet"/>
            </w:pPr>
            <w:r w:rsidRPr="0080373A">
              <w:t>P</w:t>
            </w:r>
            <w:r w:rsidR="00A55D2B">
              <w:t xml:space="preserve">apua </w:t>
            </w:r>
            <w:r w:rsidRPr="0080373A">
              <w:t>N</w:t>
            </w:r>
            <w:r w:rsidR="00A55D2B">
              <w:t xml:space="preserve">ew </w:t>
            </w:r>
            <w:r w:rsidRPr="0080373A">
              <w:t>G</w:t>
            </w:r>
            <w:r w:rsidR="00A55D2B">
              <w:t>uine</w:t>
            </w:r>
            <w:r w:rsidR="000B7B85">
              <w:t>a</w:t>
            </w:r>
            <w:r w:rsidRPr="0080373A">
              <w:t>-Australia Policing Partnership (PNG-APP)</w:t>
            </w:r>
          </w:p>
          <w:p w14:paraId="7CEE973C" w14:textId="4CEE384E" w:rsidR="0E52D21E" w:rsidRDefault="0E52D21E" w:rsidP="00242B55">
            <w:pPr>
              <w:pStyle w:val="Tablebullet"/>
            </w:pPr>
            <w:r w:rsidRPr="0080373A">
              <w:t xml:space="preserve">Samoa-Australia </w:t>
            </w:r>
            <w:r w:rsidR="00D031C7" w:rsidRPr="0080373A">
              <w:t>Polic</w:t>
            </w:r>
            <w:r w:rsidR="00D031C7">
              <w:t>e</w:t>
            </w:r>
            <w:r w:rsidR="00D031C7" w:rsidRPr="0080373A">
              <w:t xml:space="preserve"> </w:t>
            </w:r>
            <w:r w:rsidRPr="0080373A">
              <w:t>Partnership (SAPP)</w:t>
            </w:r>
          </w:p>
          <w:p w14:paraId="174B92D2" w14:textId="69F2DE47" w:rsidR="0E52D21E" w:rsidRDefault="0E52D21E" w:rsidP="00242B55">
            <w:pPr>
              <w:pStyle w:val="Tablebullet"/>
            </w:pPr>
            <w:r w:rsidRPr="0080373A">
              <w:t xml:space="preserve">Royal Solomon Islands Police </w:t>
            </w:r>
            <w:r w:rsidR="00ED4B19" w:rsidRPr="0080373A">
              <w:t xml:space="preserve">Force </w:t>
            </w:r>
            <w:r w:rsidR="00891F03">
              <w:t xml:space="preserve">– </w:t>
            </w:r>
            <w:r w:rsidR="00ED4B19">
              <w:t>Australian</w:t>
            </w:r>
            <w:r w:rsidR="000B7B85">
              <w:t xml:space="preserve"> </w:t>
            </w:r>
            <w:r w:rsidRPr="0080373A">
              <w:t>F</w:t>
            </w:r>
            <w:r w:rsidR="000B7B85">
              <w:t xml:space="preserve">ederal </w:t>
            </w:r>
            <w:r w:rsidRPr="0080373A">
              <w:t>P</w:t>
            </w:r>
            <w:r w:rsidR="000B7B85">
              <w:t>olic</w:t>
            </w:r>
            <w:r w:rsidR="00E24319">
              <w:t>e</w:t>
            </w:r>
            <w:r w:rsidRPr="0080373A">
              <w:t xml:space="preserve"> Policing Partnership </w:t>
            </w:r>
            <w:r w:rsidR="00EA4180">
              <w:t xml:space="preserve">Program </w:t>
            </w:r>
            <w:r w:rsidRPr="0080373A">
              <w:t xml:space="preserve">(RAPPP) </w:t>
            </w:r>
            <w:r w:rsidR="00EA4180">
              <w:t>and</w:t>
            </w:r>
            <w:r w:rsidRPr="0080373A">
              <w:t xml:space="preserve"> S</w:t>
            </w:r>
            <w:r w:rsidR="00D031C7">
              <w:t xml:space="preserve">olomon </w:t>
            </w:r>
            <w:r w:rsidRPr="0080373A">
              <w:t>I</w:t>
            </w:r>
            <w:r w:rsidR="00721466">
              <w:t>nternational</w:t>
            </w:r>
            <w:r w:rsidR="00D031C7">
              <w:t xml:space="preserve"> </w:t>
            </w:r>
            <w:r w:rsidRPr="0080373A">
              <w:t>A</w:t>
            </w:r>
            <w:r w:rsidR="00721466">
              <w:t xml:space="preserve">ssistance </w:t>
            </w:r>
            <w:r w:rsidRPr="0080373A">
              <w:t>F</w:t>
            </w:r>
            <w:r w:rsidR="00721466">
              <w:t>orce (SIAF)</w:t>
            </w:r>
          </w:p>
          <w:p w14:paraId="554E3340" w14:textId="0B28F0EC" w:rsidR="0E52D21E" w:rsidRDefault="0E52D21E" w:rsidP="00242B55">
            <w:pPr>
              <w:pStyle w:val="Tablebullet"/>
            </w:pPr>
            <w:r w:rsidRPr="0080373A">
              <w:t>Tonga-Australia Policing Partnership (TAPP</w:t>
            </w:r>
            <w:r w:rsidR="00891F03">
              <w:t>)</w:t>
            </w:r>
            <w:r w:rsidRPr="0080373A">
              <w:t xml:space="preserve"> </w:t>
            </w:r>
            <w:r w:rsidR="00721466">
              <w:t xml:space="preserve">and </w:t>
            </w:r>
            <w:r w:rsidRPr="0080373A">
              <w:t>Famil</w:t>
            </w:r>
            <w:r w:rsidR="00CE7F51">
              <w:t>ies</w:t>
            </w:r>
            <w:r w:rsidRPr="0080373A">
              <w:t xml:space="preserve"> Free of Violence (FFOV)</w:t>
            </w:r>
            <w:r w:rsidR="00CE7F51">
              <w:t xml:space="preserve"> program</w:t>
            </w:r>
          </w:p>
          <w:p w14:paraId="4F54C297" w14:textId="6F77076E" w:rsidR="0E52D21E" w:rsidRPr="0080373A" w:rsidRDefault="0E52D21E" w:rsidP="00242B55">
            <w:pPr>
              <w:pStyle w:val="Tablebullet"/>
            </w:pPr>
            <w:r w:rsidRPr="0080373A">
              <w:t>Vanuatu-Australia Policing and Justice Program (VAPJP)</w:t>
            </w:r>
          </w:p>
        </w:tc>
        <w:tc>
          <w:tcPr>
            <w:tcW w:w="2126" w:type="dxa"/>
            <w:shd w:val="clear" w:color="auto" w:fill="D2DEE7" w:themeFill="accent1" w:themeFillTint="33"/>
          </w:tcPr>
          <w:p w14:paraId="506F06B8" w14:textId="4218D7F9" w:rsidR="0E52D21E" w:rsidRDefault="0E52D21E" w:rsidP="009D0B4A">
            <w:pPr>
              <w:pStyle w:val="TableBodyCopy"/>
              <w:cnfStyle w:val="000000100000" w:firstRow="0" w:lastRow="0" w:firstColumn="0" w:lastColumn="0" w:oddVBand="0" w:evenVBand="0" w:oddHBand="1" w:evenHBand="0" w:firstRowFirstColumn="0" w:firstRowLastColumn="0" w:lastRowFirstColumn="0" w:lastRowLastColumn="0"/>
              <w:rPr>
                <w:rFonts w:cstheme="minorBidi"/>
                <w:lang w:eastAsia="en-AU"/>
              </w:rPr>
            </w:pPr>
            <w:r w:rsidRPr="483DBD79">
              <w:rPr>
                <w:rFonts w:cstheme="minorBidi"/>
                <w:lang w:eastAsia="en-AU"/>
              </w:rPr>
              <w:t>2020</w:t>
            </w:r>
            <w:r w:rsidR="009D0B4A">
              <w:rPr>
                <w:lang w:eastAsia="en-AU"/>
              </w:rPr>
              <w:t>–</w:t>
            </w:r>
            <w:r w:rsidRPr="483DBD79">
              <w:rPr>
                <w:rFonts w:cstheme="minorBidi"/>
                <w:lang w:eastAsia="en-AU"/>
              </w:rPr>
              <w:t>25</w:t>
            </w:r>
          </w:p>
        </w:tc>
        <w:tc>
          <w:tcPr>
            <w:tcW w:w="3962" w:type="dxa"/>
            <w:shd w:val="clear" w:color="auto" w:fill="F2F2F2" w:themeFill="background1" w:themeFillShade="F2"/>
          </w:tcPr>
          <w:p w14:paraId="5E4D8F13" w14:textId="254630BF" w:rsidR="483DBD79" w:rsidRPr="0080373A" w:rsidRDefault="483DBD79" w:rsidP="009D0B4A">
            <w:pPr>
              <w:pStyle w:val="TableBodyCopy"/>
              <w:cnfStyle w:val="000000100000" w:firstRow="0" w:lastRow="0" w:firstColumn="0" w:lastColumn="0" w:oddVBand="0" w:evenVBand="0" w:oddHBand="1" w:evenHBand="0" w:firstRowFirstColumn="0" w:firstRowLastColumn="0" w:lastRowFirstColumn="0" w:lastRowLastColumn="0"/>
              <w:rPr>
                <w:rFonts w:cstheme="minorBidi"/>
                <w:lang w:eastAsia="en-AU"/>
              </w:rPr>
            </w:pPr>
            <w:r w:rsidRPr="0080373A">
              <w:rPr>
                <w:rFonts w:cstheme="minorBidi"/>
                <w:lang w:eastAsia="en-AU"/>
              </w:rPr>
              <w:t>Australian Federal Police; Royal Papua New Guinea Constabulary; Royal Solomon Islands Police Force; Nauru Police Force; Samoa Police Service; Tonga Police</w:t>
            </w:r>
            <w:r w:rsidR="00A55D2B">
              <w:rPr>
                <w:rFonts w:cstheme="minorBidi"/>
                <w:lang w:eastAsia="en-AU"/>
              </w:rPr>
              <w:t>;</w:t>
            </w:r>
            <w:r w:rsidRPr="0080373A">
              <w:rPr>
                <w:rFonts w:cstheme="minorBidi"/>
                <w:lang w:eastAsia="en-AU"/>
              </w:rPr>
              <w:t xml:space="preserve"> Vanuatu Police Force</w:t>
            </w:r>
          </w:p>
        </w:tc>
      </w:tr>
      <w:tr w:rsidR="00C672AD" w:rsidRPr="00EA0170" w14:paraId="54D1B916" w14:textId="77777777" w:rsidTr="00187636">
        <w:trPr>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625F2C83" w14:textId="6F38D163" w:rsidR="005D6F7E" w:rsidRPr="0083216E" w:rsidRDefault="005D6F7E" w:rsidP="009D0B4A">
            <w:pPr>
              <w:pStyle w:val="TableBodyCopy"/>
              <w:rPr>
                <w:lang w:eastAsia="en-AU"/>
              </w:rPr>
            </w:pPr>
            <w:r>
              <w:rPr>
                <w:lang w:eastAsia="en-AU"/>
              </w:rPr>
              <w:t>Pacific</w:t>
            </w:r>
            <w:r w:rsidR="004253CE">
              <w:rPr>
                <w:lang w:eastAsia="en-AU"/>
              </w:rPr>
              <w:t xml:space="preserve"> Fisheries and Oceans </w:t>
            </w:r>
            <w:r w:rsidR="009516E1">
              <w:rPr>
                <w:lang w:eastAsia="en-AU"/>
              </w:rPr>
              <w:t>Science</w:t>
            </w:r>
            <w:r>
              <w:rPr>
                <w:lang w:eastAsia="en-AU"/>
              </w:rPr>
              <w:t xml:space="preserve"> Research Vessel</w:t>
            </w:r>
          </w:p>
        </w:tc>
        <w:tc>
          <w:tcPr>
            <w:tcW w:w="2126" w:type="dxa"/>
            <w:shd w:val="clear" w:color="auto" w:fill="D2DEE7" w:themeFill="accent1" w:themeFillTint="33"/>
          </w:tcPr>
          <w:p w14:paraId="783B7F12" w14:textId="147B7E44" w:rsidR="005D6F7E" w:rsidRPr="00674884" w:rsidRDefault="005D6F7E"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2022</w:t>
            </w:r>
            <w:r w:rsidR="009D0B4A">
              <w:rPr>
                <w:lang w:eastAsia="en-AU"/>
              </w:rPr>
              <w:t>–</w:t>
            </w:r>
            <w:r>
              <w:rPr>
                <w:lang w:eastAsia="en-AU"/>
              </w:rPr>
              <w:t>26</w:t>
            </w:r>
          </w:p>
        </w:tc>
        <w:tc>
          <w:tcPr>
            <w:tcW w:w="3962" w:type="dxa"/>
            <w:shd w:val="clear" w:color="auto" w:fill="F2F2F2" w:themeFill="background1" w:themeFillShade="F2"/>
          </w:tcPr>
          <w:p w14:paraId="1D86BB72" w14:textId="60A7B6C4" w:rsidR="005D6F7E" w:rsidRDefault="00AF5A7B"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SPC</w:t>
            </w:r>
          </w:p>
        </w:tc>
      </w:tr>
      <w:tr w:rsidR="00C672AD" w:rsidRPr="00EA0170" w14:paraId="51B5055D" w14:textId="77777777" w:rsidTr="004253CE">
        <w:trPr>
          <w:cnfStyle w:val="000000100000" w:firstRow="0" w:lastRow="0" w:firstColumn="0" w:lastColumn="0" w:oddVBand="0" w:evenVBand="0" w:oddHBand="1" w:evenHBand="0" w:firstRowFirstColumn="0" w:firstRowLastColumn="0" w:lastRowFirstColumn="0" w:lastRowLastColumn="0"/>
          <w:cantSplit/>
          <w:trHeight w:val="57"/>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24674A90" w14:textId="71C5B1B5" w:rsidR="005A4FD0" w:rsidRPr="0083216E" w:rsidRDefault="007F4C2C" w:rsidP="009D0B4A">
            <w:pPr>
              <w:pStyle w:val="TableBodyCopy"/>
              <w:rPr>
                <w:lang w:eastAsia="en-AU"/>
              </w:rPr>
            </w:pPr>
            <w:r w:rsidRPr="00DA0898">
              <w:rPr>
                <w:lang w:eastAsia="en-AU"/>
              </w:rPr>
              <w:t>Australia</w:t>
            </w:r>
            <w:r w:rsidR="004253CE">
              <w:rPr>
                <w:lang w:eastAsia="en-AU"/>
              </w:rPr>
              <w:t>-</w:t>
            </w:r>
            <w:r w:rsidRPr="00DA0898">
              <w:rPr>
                <w:lang w:eastAsia="en-AU"/>
              </w:rPr>
              <w:t xml:space="preserve">Pacific </w:t>
            </w:r>
            <w:r w:rsidR="00DA0898" w:rsidRPr="00DA0898">
              <w:rPr>
                <w:lang w:eastAsia="en-AU"/>
              </w:rPr>
              <w:t>Partnership</w:t>
            </w:r>
            <w:r w:rsidR="00C854F2">
              <w:rPr>
                <w:lang w:eastAsia="en-AU"/>
              </w:rPr>
              <w:t>s</w:t>
            </w:r>
            <w:r w:rsidRPr="00DA0898">
              <w:rPr>
                <w:lang w:eastAsia="en-AU"/>
              </w:rPr>
              <w:t xml:space="preserve"> Platform </w:t>
            </w:r>
            <w:r w:rsidR="004253CE">
              <w:rPr>
                <w:lang w:eastAsia="en-AU"/>
              </w:rPr>
              <w:t>(</w:t>
            </w:r>
            <w:r w:rsidRPr="00DA0898">
              <w:rPr>
                <w:lang w:eastAsia="en-AU"/>
              </w:rPr>
              <w:t>AusP3</w:t>
            </w:r>
            <w:r w:rsidR="004253CE">
              <w:rPr>
                <w:lang w:eastAsia="en-AU"/>
              </w:rPr>
              <w:t>)</w:t>
            </w:r>
          </w:p>
        </w:tc>
        <w:tc>
          <w:tcPr>
            <w:tcW w:w="2126" w:type="dxa"/>
            <w:shd w:val="clear" w:color="auto" w:fill="D2DEE7" w:themeFill="accent1" w:themeFillTint="33"/>
          </w:tcPr>
          <w:p w14:paraId="29A445F7" w14:textId="3EA49E9F" w:rsidR="005A4FD0" w:rsidRPr="00674884" w:rsidRDefault="00AF5A7B"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To be confirmed</w:t>
            </w:r>
          </w:p>
        </w:tc>
        <w:tc>
          <w:tcPr>
            <w:tcW w:w="3962" w:type="dxa"/>
            <w:shd w:val="clear" w:color="auto" w:fill="F2F2F2" w:themeFill="background1" w:themeFillShade="F2"/>
          </w:tcPr>
          <w:p w14:paraId="1E1CCB6E" w14:textId="10C8D8E5" w:rsidR="005A4FD0" w:rsidRPr="00674884" w:rsidRDefault="00292D23"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Kiribati</w:t>
            </w:r>
            <w:r w:rsidR="00AF5A7B">
              <w:rPr>
                <w:lang w:eastAsia="en-AU"/>
              </w:rPr>
              <w:t xml:space="preserve"> </w:t>
            </w:r>
            <w:r w:rsidR="00775C14">
              <w:rPr>
                <w:lang w:eastAsia="en-AU"/>
              </w:rPr>
              <w:t>Government</w:t>
            </w:r>
            <w:r w:rsidR="00891F03">
              <w:rPr>
                <w:lang w:eastAsia="en-AU"/>
              </w:rPr>
              <w:t>;</w:t>
            </w:r>
            <w:r>
              <w:rPr>
                <w:lang w:eastAsia="en-AU"/>
              </w:rPr>
              <w:t xml:space="preserve"> Nauru </w:t>
            </w:r>
            <w:r w:rsidR="00AF5A7B">
              <w:rPr>
                <w:lang w:eastAsia="en-AU"/>
              </w:rPr>
              <w:t>Government</w:t>
            </w:r>
            <w:r w:rsidR="00891F03">
              <w:rPr>
                <w:lang w:eastAsia="en-AU"/>
              </w:rPr>
              <w:t>;</w:t>
            </w:r>
            <w:r>
              <w:rPr>
                <w:lang w:eastAsia="en-AU"/>
              </w:rPr>
              <w:t xml:space="preserve"> Tuvalu </w:t>
            </w:r>
            <w:r w:rsidR="005C1967">
              <w:rPr>
                <w:lang w:eastAsia="en-AU"/>
              </w:rPr>
              <w:t>G</w:t>
            </w:r>
            <w:r w:rsidR="000E4B81">
              <w:rPr>
                <w:lang w:eastAsia="en-AU"/>
              </w:rPr>
              <w:t>overnment</w:t>
            </w:r>
          </w:p>
        </w:tc>
      </w:tr>
    </w:tbl>
    <w:p w14:paraId="7E238B13" w14:textId="15FBE99E" w:rsidR="008F5B80" w:rsidRDefault="008F5B80" w:rsidP="00CA0F64">
      <w:pPr>
        <w:rPr>
          <w:lang w:eastAsia="en-AU"/>
        </w:rPr>
      </w:pPr>
      <w:r>
        <w:rPr>
          <w:lang w:eastAsia="en-AU"/>
        </w:rPr>
        <w:t xml:space="preserve">Australian Government </w:t>
      </w:r>
      <w:r w:rsidRPr="413282F0">
        <w:rPr>
          <w:lang w:eastAsia="en-AU"/>
        </w:rPr>
        <w:t xml:space="preserve">supporting investments/activities for Objective </w:t>
      </w:r>
      <w:r w:rsidR="00F15978">
        <w:rPr>
          <w:lang w:eastAsia="en-AU"/>
        </w:rPr>
        <w:t>2</w:t>
      </w:r>
      <w:r w:rsidR="004253CE">
        <w:rPr>
          <w:lang w:eastAsia="en-AU"/>
        </w:rPr>
        <w:t xml:space="preserve"> – Regional action on climate change and disasters</w:t>
      </w:r>
      <w:r w:rsidRPr="413282F0">
        <w:rPr>
          <w:lang w:eastAsia="en-AU"/>
        </w:rPr>
        <w:t xml:space="preserve"> (</w:t>
      </w:r>
      <w:r w:rsidRPr="1121DF86">
        <w:rPr>
          <w:rFonts w:eastAsia="Calibri Light"/>
        </w:rPr>
        <w:t xml:space="preserve">bilateral </w:t>
      </w:r>
      <w:r w:rsidRPr="1121DF86">
        <w:rPr>
          <w:lang w:eastAsia="en-AU"/>
        </w:rPr>
        <w:t>Official Development Assistance (ODA) as well as significant regional and global ODA</w:t>
      </w:r>
      <w:r>
        <w:rPr>
          <w:lang w:eastAsia="en-AU"/>
        </w:rPr>
        <w:t>,</w:t>
      </w:r>
      <w:r w:rsidRPr="1121DF86">
        <w:rPr>
          <w:lang w:eastAsia="en-AU"/>
        </w:rPr>
        <w:t xml:space="preserve"> and significant non-ODA development </w:t>
      </w:r>
      <w:r w:rsidRPr="413282F0">
        <w:rPr>
          <w:lang w:eastAsia="en-AU"/>
        </w:rPr>
        <w:t>investments</w:t>
      </w:r>
      <w:r>
        <w:rPr>
          <w:lang w:eastAsia="en-AU"/>
        </w:rPr>
        <w:t>/</w:t>
      </w:r>
      <w:r w:rsidRPr="1121DF86">
        <w:rPr>
          <w:lang w:eastAsia="en-AU"/>
        </w:rPr>
        <w:t>activities</w:t>
      </w:r>
      <w:r>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2"/>
        <w:tblDescription w:val="Investments and activities, duration and key partners"/>
      </w:tblPr>
      <w:tblGrid>
        <w:gridCol w:w="4106"/>
        <w:gridCol w:w="2126"/>
        <w:gridCol w:w="3962"/>
      </w:tblGrid>
      <w:tr w:rsidR="00DA2E63" w:rsidRPr="00453DC3" w14:paraId="271C5F87" w14:textId="77777777" w:rsidTr="00187636">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100" w:firstRow="0" w:lastRow="0" w:firstColumn="1" w:lastColumn="0" w:oddVBand="0" w:evenVBand="0" w:oddHBand="0" w:evenHBand="0" w:firstRowFirstColumn="1" w:firstRowLastColumn="0" w:lastRowFirstColumn="0" w:lastRowLastColumn="0"/>
            <w:tcW w:w="4106" w:type="dxa"/>
            <w:shd w:val="clear" w:color="auto" w:fill="3A586E"/>
          </w:tcPr>
          <w:p w14:paraId="04F9156A" w14:textId="77777777" w:rsidR="00DA2E63" w:rsidRPr="00B045AD" w:rsidRDefault="00DA2E63" w:rsidP="00B045AD">
            <w:pPr>
              <w:pStyle w:val="TableHeading"/>
            </w:pPr>
            <w:r w:rsidRPr="00B045AD">
              <w:t>Name of investment/activity</w:t>
            </w:r>
          </w:p>
        </w:tc>
        <w:tc>
          <w:tcPr>
            <w:tcW w:w="2126" w:type="dxa"/>
            <w:shd w:val="clear" w:color="auto" w:fill="3A586E"/>
          </w:tcPr>
          <w:p w14:paraId="62B72E37" w14:textId="77777777" w:rsidR="00DA2E63" w:rsidRPr="00B045AD" w:rsidRDefault="00DA2E63" w:rsidP="00B045AD">
            <w:pPr>
              <w:pStyle w:val="TableHeading"/>
              <w:cnfStyle w:val="100000000000" w:firstRow="1" w:lastRow="0" w:firstColumn="0" w:lastColumn="0" w:oddVBand="0" w:evenVBand="0" w:oddHBand="0" w:evenHBand="0" w:firstRowFirstColumn="0" w:firstRowLastColumn="0" w:lastRowFirstColumn="0" w:lastRowLastColumn="0"/>
            </w:pPr>
            <w:r w:rsidRPr="00B045AD">
              <w:t>Duration</w:t>
            </w:r>
          </w:p>
        </w:tc>
        <w:tc>
          <w:tcPr>
            <w:tcW w:w="3962" w:type="dxa"/>
            <w:shd w:val="clear" w:color="auto" w:fill="3A586E"/>
          </w:tcPr>
          <w:p w14:paraId="2874E25A" w14:textId="77777777" w:rsidR="00DA2E63" w:rsidRPr="00B045AD" w:rsidRDefault="00DA2E63" w:rsidP="00B045AD">
            <w:pPr>
              <w:pStyle w:val="TableHeading"/>
              <w:cnfStyle w:val="100000000000" w:firstRow="1" w:lastRow="0" w:firstColumn="0" w:lastColumn="0" w:oddVBand="0" w:evenVBand="0" w:oddHBand="0" w:evenHBand="0" w:firstRowFirstColumn="0" w:firstRowLastColumn="0" w:lastRowFirstColumn="0" w:lastRowLastColumn="0"/>
            </w:pPr>
            <w:r w:rsidRPr="00B045AD">
              <w:t>Key partners</w:t>
            </w:r>
          </w:p>
        </w:tc>
      </w:tr>
      <w:tr w:rsidR="00DA2E63" w:rsidRPr="00453DC3" w14:paraId="18CFF291"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068986CD" w14:textId="1379CD71" w:rsidR="00DA2E63" w:rsidRPr="0083216E" w:rsidRDefault="00DA2E63" w:rsidP="009D0B4A">
            <w:pPr>
              <w:pStyle w:val="TableBodyCopy"/>
              <w:rPr>
                <w:lang w:eastAsia="en-AU"/>
              </w:rPr>
            </w:pPr>
            <w:r w:rsidRPr="0083216E">
              <w:rPr>
                <w:lang w:eastAsia="en-AU"/>
              </w:rPr>
              <w:t xml:space="preserve">Infrastructure for Resilient </w:t>
            </w:r>
            <w:r w:rsidR="004253CE">
              <w:rPr>
                <w:lang w:eastAsia="en-AU"/>
              </w:rPr>
              <w:t xml:space="preserve">Island </w:t>
            </w:r>
            <w:r w:rsidRPr="0083216E">
              <w:rPr>
                <w:lang w:eastAsia="en-AU"/>
              </w:rPr>
              <w:t>States (IRIS)</w:t>
            </w:r>
          </w:p>
        </w:tc>
        <w:tc>
          <w:tcPr>
            <w:tcW w:w="2126" w:type="dxa"/>
            <w:shd w:val="clear" w:color="auto" w:fill="D2DEE7"/>
          </w:tcPr>
          <w:p w14:paraId="11E65840" w14:textId="04FC163F" w:rsidR="00DA2E63" w:rsidRPr="00674884" w:rsidRDefault="00DA2E63"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2023</w:t>
            </w:r>
            <w:r w:rsidR="009901C5">
              <w:rPr>
                <w:lang w:eastAsia="en-AU"/>
              </w:rPr>
              <w:t>–</w:t>
            </w:r>
            <w:r w:rsidRPr="00674884">
              <w:rPr>
                <w:lang w:eastAsia="en-AU"/>
              </w:rPr>
              <w:t>27</w:t>
            </w:r>
          </w:p>
        </w:tc>
        <w:tc>
          <w:tcPr>
            <w:tcW w:w="3962" w:type="dxa"/>
            <w:shd w:val="clear" w:color="auto" w:fill="F2F2F2"/>
          </w:tcPr>
          <w:p w14:paraId="08C56C14" w14:textId="4420CD88" w:rsidR="00DA2E63" w:rsidRPr="00674884" w:rsidRDefault="00DA2E63" w:rsidP="00891F03">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Coalition for Disaster Resilient Infrastructure (lead</w:t>
            </w:r>
            <w:r w:rsidR="00EE2F19" w:rsidRPr="00674884">
              <w:rPr>
                <w:lang w:eastAsia="en-AU"/>
              </w:rPr>
              <w:t>)</w:t>
            </w:r>
            <w:r w:rsidR="00891F03">
              <w:rPr>
                <w:lang w:eastAsia="en-AU"/>
              </w:rPr>
              <w:t xml:space="preserve">; </w:t>
            </w:r>
            <w:r w:rsidRPr="00674884">
              <w:rPr>
                <w:lang w:eastAsia="en-AU"/>
              </w:rPr>
              <w:t>India; United Kingdom; European Union; U</w:t>
            </w:r>
            <w:r w:rsidR="004253CE">
              <w:rPr>
                <w:lang w:eastAsia="en-AU"/>
              </w:rPr>
              <w:t xml:space="preserve">nited </w:t>
            </w:r>
            <w:r w:rsidRPr="00674884">
              <w:rPr>
                <w:lang w:eastAsia="en-AU"/>
              </w:rPr>
              <w:t>N</w:t>
            </w:r>
            <w:r w:rsidR="004253CE">
              <w:rPr>
                <w:lang w:eastAsia="en-AU"/>
              </w:rPr>
              <w:t xml:space="preserve">ations </w:t>
            </w:r>
            <w:r w:rsidRPr="00674884">
              <w:rPr>
                <w:lang w:eastAsia="en-AU"/>
              </w:rPr>
              <w:t>D</w:t>
            </w:r>
            <w:r w:rsidR="004253CE">
              <w:rPr>
                <w:lang w:eastAsia="en-AU"/>
              </w:rPr>
              <w:t xml:space="preserve">evelopment </w:t>
            </w:r>
            <w:r w:rsidRPr="00674884">
              <w:rPr>
                <w:lang w:eastAsia="en-AU"/>
              </w:rPr>
              <w:t>P</w:t>
            </w:r>
            <w:r w:rsidR="004253CE">
              <w:rPr>
                <w:lang w:eastAsia="en-AU"/>
              </w:rPr>
              <w:t>rogramme (UNDP)</w:t>
            </w:r>
          </w:p>
        </w:tc>
      </w:tr>
      <w:tr w:rsidR="00DA2E63" w:rsidRPr="00453DC3" w14:paraId="7FF400AD"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7C995A19" w14:textId="68086963" w:rsidR="00DA2E63" w:rsidRPr="0083216E" w:rsidRDefault="00DA2E63" w:rsidP="009D0B4A">
            <w:pPr>
              <w:pStyle w:val="TableBodyCopy"/>
              <w:rPr>
                <w:lang w:eastAsia="en-AU"/>
              </w:rPr>
            </w:pPr>
            <w:r w:rsidRPr="0083216E">
              <w:rPr>
                <w:lang w:eastAsia="en-AU"/>
              </w:rPr>
              <w:t xml:space="preserve">Consolidated </w:t>
            </w:r>
            <w:r w:rsidR="00ED4B19">
              <w:rPr>
                <w:lang w:eastAsia="en-AU"/>
              </w:rPr>
              <w:t>IRIS</w:t>
            </w:r>
            <w:r w:rsidRPr="0083216E">
              <w:rPr>
                <w:lang w:eastAsia="en-AU"/>
              </w:rPr>
              <w:t xml:space="preserve"> Phase </w:t>
            </w:r>
            <w:r w:rsidR="00ED4B19">
              <w:rPr>
                <w:lang w:eastAsia="en-AU"/>
              </w:rPr>
              <w:t>2</w:t>
            </w:r>
            <w:r w:rsidR="00ED4B19" w:rsidRPr="0083216E">
              <w:rPr>
                <w:lang w:eastAsia="en-AU"/>
              </w:rPr>
              <w:t xml:space="preserve"> </w:t>
            </w:r>
            <w:r w:rsidRPr="0083216E">
              <w:rPr>
                <w:lang w:eastAsia="en-AU"/>
              </w:rPr>
              <w:t>and P</w:t>
            </w:r>
            <w:r w:rsidR="00ED4B19">
              <w:rPr>
                <w:lang w:eastAsia="en-AU"/>
              </w:rPr>
              <w:t xml:space="preserve">acific </w:t>
            </w:r>
            <w:r w:rsidRPr="0083216E">
              <w:rPr>
                <w:lang w:eastAsia="en-AU"/>
              </w:rPr>
              <w:t>R</w:t>
            </w:r>
            <w:r w:rsidR="00ED4B19">
              <w:rPr>
                <w:lang w:eastAsia="en-AU"/>
              </w:rPr>
              <w:t xml:space="preserve">egional </w:t>
            </w:r>
            <w:r w:rsidRPr="0083216E">
              <w:rPr>
                <w:lang w:eastAsia="en-AU"/>
              </w:rPr>
              <w:t>I</w:t>
            </w:r>
            <w:r w:rsidR="00ED4B19">
              <w:rPr>
                <w:lang w:eastAsia="en-AU"/>
              </w:rPr>
              <w:t xml:space="preserve">nfrastructure </w:t>
            </w:r>
            <w:r w:rsidRPr="0083216E">
              <w:rPr>
                <w:lang w:eastAsia="en-AU"/>
              </w:rPr>
              <w:t>F</w:t>
            </w:r>
            <w:r w:rsidR="00ED4B19">
              <w:rPr>
                <w:lang w:eastAsia="en-AU"/>
              </w:rPr>
              <w:t>acility</w:t>
            </w:r>
            <w:r w:rsidRPr="0083216E">
              <w:rPr>
                <w:lang w:eastAsia="en-AU"/>
              </w:rPr>
              <w:t xml:space="preserve"> Phase </w:t>
            </w:r>
            <w:r w:rsidR="00ED4B19">
              <w:rPr>
                <w:lang w:eastAsia="en-AU"/>
              </w:rPr>
              <w:t>6</w:t>
            </w:r>
          </w:p>
        </w:tc>
        <w:tc>
          <w:tcPr>
            <w:tcW w:w="2126" w:type="dxa"/>
            <w:shd w:val="clear" w:color="auto" w:fill="D2DEE7"/>
          </w:tcPr>
          <w:p w14:paraId="1B8F4FA8" w14:textId="25BFED02" w:rsidR="00DA2E63" w:rsidRPr="00674884" w:rsidRDefault="00DA2E63"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2028</w:t>
            </w:r>
            <w:r w:rsidR="009901C5">
              <w:rPr>
                <w:lang w:eastAsia="en-AU"/>
              </w:rPr>
              <w:t>–</w:t>
            </w:r>
            <w:r w:rsidRPr="00674884">
              <w:rPr>
                <w:lang w:eastAsia="en-AU"/>
              </w:rPr>
              <w:t>31</w:t>
            </w:r>
          </w:p>
        </w:tc>
        <w:tc>
          <w:tcPr>
            <w:tcW w:w="3962" w:type="dxa"/>
            <w:shd w:val="clear" w:color="auto" w:fill="F2F2F2"/>
          </w:tcPr>
          <w:p w14:paraId="78B2D721" w14:textId="0AF97E19" w:rsidR="00DA2E63" w:rsidRPr="00674884" w:rsidRDefault="00DA2E63"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Coalition for Disaster Resilient Infrastructure (lead)</w:t>
            </w:r>
            <w:r w:rsidR="00891F03">
              <w:rPr>
                <w:lang w:eastAsia="en-AU"/>
              </w:rPr>
              <w:t>;</w:t>
            </w:r>
            <w:r w:rsidR="003D2689">
              <w:rPr>
                <w:lang w:eastAsia="en-AU"/>
              </w:rPr>
              <w:t xml:space="preserve"> </w:t>
            </w:r>
            <w:r w:rsidRPr="00674884">
              <w:rPr>
                <w:lang w:eastAsia="en-AU"/>
              </w:rPr>
              <w:t>India; United Kingdom; European Union; UNDP; Asian Development Bank; New Zealand; U</w:t>
            </w:r>
            <w:r w:rsidR="003D2689">
              <w:rPr>
                <w:lang w:eastAsia="en-AU"/>
              </w:rPr>
              <w:t xml:space="preserve">nited </w:t>
            </w:r>
            <w:r w:rsidRPr="00674884">
              <w:rPr>
                <w:lang w:eastAsia="en-AU"/>
              </w:rPr>
              <w:t>S</w:t>
            </w:r>
            <w:r w:rsidR="003D2689">
              <w:rPr>
                <w:lang w:eastAsia="en-AU"/>
              </w:rPr>
              <w:t>tates</w:t>
            </w:r>
            <w:r w:rsidRPr="00674884">
              <w:rPr>
                <w:lang w:eastAsia="en-AU"/>
              </w:rPr>
              <w:t>; World Bank; Japanese International Cooperation Agency</w:t>
            </w:r>
          </w:p>
        </w:tc>
      </w:tr>
      <w:tr w:rsidR="00DA2E63" w:rsidRPr="00453DC3" w14:paraId="39DBB5F9"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4ECAD812" w14:textId="3AAAA241" w:rsidR="00DA2E63" w:rsidRPr="0083216E" w:rsidRDefault="00DA2E63" w:rsidP="009D0B4A">
            <w:pPr>
              <w:pStyle w:val="TableBodyCopy"/>
              <w:rPr>
                <w:lang w:eastAsia="en-AU"/>
              </w:rPr>
            </w:pPr>
            <w:r w:rsidRPr="0083216E">
              <w:rPr>
                <w:lang w:eastAsia="en-AU"/>
              </w:rPr>
              <w:t xml:space="preserve">Pacific </w:t>
            </w:r>
            <w:r w:rsidR="003D2689">
              <w:rPr>
                <w:lang w:eastAsia="en-AU"/>
              </w:rPr>
              <w:t>c</w:t>
            </w:r>
            <w:r w:rsidRPr="0083216E">
              <w:rPr>
                <w:lang w:eastAsia="en-AU"/>
              </w:rPr>
              <w:t xml:space="preserve">limate </w:t>
            </w:r>
            <w:r w:rsidR="003D2689">
              <w:rPr>
                <w:lang w:eastAsia="en-AU"/>
              </w:rPr>
              <w:t>f</w:t>
            </w:r>
            <w:r w:rsidRPr="0083216E">
              <w:rPr>
                <w:lang w:eastAsia="en-AU"/>
              </w:rPr>
              <w:t xml:space="preserve">inance </w:t>
            </w:r>
            <w:r w:rsidR="003D2689">
              <w:rPr>
                <w:lang w:eastAsia="en-AU"/>
              </w:rPr>
              <w:t>a</w:t>
            </w:r>
            <w:r w:rsidRPr="0083216E">
              <w:rPr>
                <w:lang w:eastAsia="en-AU"/>
              </w:rPr>
              <w:t xml:space="preserve">ccess and </w:t>
            </w:r>
            <w:r w:rsidR="003D2689">
              <w:rPr>
                <w:lang w:eastAsia="en-AU"/>
              </w:rPr>
              <w:t>e</w:t>
            </w:r>
            <w:r w:rsidRPr="0083216E">
              <w:rPr>
                <w:lang w:eastAsia="en-AU"/>
              </w:rPr>
              <w:t>ffectiveness</w:t>
            </w:r>
          </w:p>
        </w:tc>
        <w:tc>
          <w:tcPr>
            <w:tcW w:w="2126" w:type="dxa"/>
            <w:shd w:val="clear" w:color="auto" w:fill="D2DEE7"/>
          </w:tcPr>
          <w:p w14:paraId="56D001AE" w14:textId="3F1F6278" w:rsidR="00DA2E63" w:rsidRPr="00674884" w:rsidRDefault="00DA2E63"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2022</w:t>
            </w:r>
            <w:r w:rsidR="009901C5">
              <w:rPr>
                <w:lang w:eastAsia="en-AU"/>
              </w:rPr>
              <w:t>–</w:t>
            </w:r>
            <w:r w:rsidRPr="00674884">
              <w:rPr>
                <w:lang w:eastAsia="en-AU"/>
              </w:rPr>
              <w:t>26</w:t>
            </w:r>
          </w:p>
        </w:tc>
        <w:tc>
          <w:tcPr>
            <w:tcW w:w="3962" w:type="dxa"/>
            <w:shd w:val="clear" w:color="auto" w:fill="F2F2F2"/>
          </w:tcPr>
          <w:p w14:paraId="04DD5392" w14:textId="360AF3EE" w:rsidR="00DA2E63" w:rsidRPr="00674884" w:rsidRDefault="007D7343" w:rsidP="00891F03">
            <w:pPr>
              <w:pStyle w:val="TableBodyCopy"/>
              <w:cnfStyle w:val="000000100000" w:firstRow="0" w:lastRow="0" w:firstColumn="0" w:lastColumn="0" w:oddVBand="0" w:evenVBand="0" w:oddHBand="1" w:evenHBand="0" w:firstRowFirstColumn="0" w:firstRowLastColumn="0" w:lastRowFirstColumn="0" w:lastRowLastColumn="0"/>
              <w:rPr>
                <w:color w:val="FF0000"/>
                <w:lang w:eastAsia="en-AU"/>
              </w:rPr>
            </w:pPr>
            <w:r w:rsidRPr="00A3021F">
              <w:rPr>
                <w:lang w:eastAsia="en-AU"/>
              </w:rPr>
              <w:t xml:space="preserve">Global Green Growth </w:t>
            </w:r>
            <w:r w:rsidR="00EE2F19" w:rsidRPr="00A3021F">
              <w:rPr>
                <w:lang w:eastAsia="en-AU"/>
              </w:rPr>
              <w:t>Institute</w:t>
            </w:r>
            <w:r w:rsidR="00891F03">
              <w:rPr>
                <w:lang w:eastAsia="en-AU"/>
              </w:rPr>
              <w:t>;</w:t>
            </w:r>
            <w:r w:rsidRPr="00A3021F">
              <w:rPr>
                <w:lang w:eastAsia="en-AU"/>
              </w:rPr>
              <w:t xml:space="preserve"> UNDP</w:t>
            </w:r>
          </w:p>
        </w:tc>
      </w:tr>
      <w:tr w:rsidR="00DA2E63" w:rsidRPr="00453DC3" w14:paraId="6D2C4028"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3CE0D232" w14:textId="77777777" w:rsidR="00DA2E63" w:rsidRPr="0083216E" w:rsidRDefault="00DA2E63" w:rsidP="009D0B4A">
            <w:pPr>
              <w:pStyle w:val="TableBodyCopy"/>
              <w:rPr>
                <w:lang w:eastAsia="en-AU"/>
              </w:rPr>
            </w:pPr>
            <w:r w:rsidRPr="0083216E">
              <w:rPr>
                <w:lang w:eastAsia="en-AU"/>
              </w:rPr>
              <w:t>Pacific Resilience Facility (PRF)</w:t>
            </w:r>
          </w:p>
        </w:tc>
        <w:tc>
          <w:tcPr>
            <w:tcW w:w="2126" w:type="dxa"/>
            <w:shd w:val="clear" w:color="auto" w:fill="D2DEE7"/>
          </w:tcPr>
          <w:p w14:paraId="17EC9F9C" w14:textId="65BCE81B" w:rsidR="00DA2E63" w:rsidRPr="00674884" w:rsidRDefault="00DA2E63"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2023</w:t>
            </w:r>
            <w:r w:rsidR="009901C5">
              <w:rPr>
                <w:lang w:eastAsia="en-AU"/>
              </w:rPr>
              <w:t>–</w:t>
            </w:r>
            <w:r w:rsidRPr="00674884">
              <w:rPr>
                <w:lang w:eastAsia="en-AU"/>
              </w:rPr>
              <w:t>30</w:t>
            </w:r>
          </w:p>
        </w:tc>
        <w:tc>
          <w:tcPr>
            <w:tcW w:w="3962" w:type="dxa"/>
            <w:shd w:val="clear" w:color="auto" w:fill="F2F2F2"/>
          </w:tcPr>
          <w:p w14:paraId="6BB3D62C" w14:textId="66FFFB83" w:rsidR="00DA2E63" w:rsidRPr="00A3021F" w:rsidRDefault="00535B98"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A3021F">
              <w:rPr>
                <w:lang w:eastAsia="en-AU"/>
              </w:rPr>
              <w:t>Pacific led</w:t>
            </w:r>
            <w:r w:rsidR="007231C7">
              <w:rPr>
                <w:lang w:eastAsia="en-AU"/>
              </w:rPr>
              <w:t xml:space="preserve">: </w:t>
            </w:r>
            <w:r w:rsidRPr="00A3021F">
              <w:rPr>
                <w:lang w:eastAsia="en-AU"/>
              </w:rPr>
              <w:t xml:space="preserve">Pacific Islands Forum Secretariat </w:t>
            </w:r>
          </w:p>
        </w:tc>
      </w:tr>
      <w:tr w:rsidR="00DA2E63" w:rsidRPr="00453DC3" w14:paraId="4B0F5F7E"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55A62735" w14:textId="77777777" w:rsidR="00DA2E63" w:rsidRPr="0083216E" w:rsidRDefault="00DA2E63" w:rsidP="009D0B4A">
            <w:pPr>
              <w:pStyle w:val="TableBodyCopy"/>
              <w:rPr>
                <w:lang w:eastAsia="en-AU"/>
              </w:rPr>
            </w:pPr>
            <w:r w:rsidRPr="0083216E">
              <w:rPr>
                <w:lang w:eastAsia="en-AU"/>
              </w:rPr>
              <w:lastRenderedPageBreak/>
              <w:t>Pacific Climate Infrastructure Financing Partnership</w:t>
            </w:r>
          </w:p>
        </w:tc>
        <w:tc>
          <w:tcPr>
            <w:tcW w:w="2126" w:type="dxa"/>
            <w:shd w:val="clear" w:color="auto" w:fill="D2DEE7"/>
          </w:tcPr>
          <w:p w14:paraId="623AECA6" w14:textId="0560C016" w:rsidR="00DA2E63" w:rsidRPr="00674884" w:rsidRDefault="00DA2E63"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2023</w:t>
            </w:r>
            <w:r w:rsidR="009901C5">
              <w:rPr>
                <w:lang w:eastAsia="en-AU"/>
              </w:rPr>
              <w:t>–</w:t>
            </w:r>
            <w:r w:rsidRPr="00674884">
              <w:rPr>
                <w:lang w:eastAsia="en-AU"/>
              </w:rPr>
              <w:t>29</w:t>
            </w:r>
          </w:p>
        </w:tc>
        <w:tc>
          <w:tcPr>
            <w:tcW w:w="3962" w:type="dxa"/>
            <w:shd w:val="clear" w:color="auto" w:fill="F2F2F2"/>
          </w:tcPr>
          <w:p w14:paraId="099598B0" w14:textId="5259044B" w:rsidR="00DA2E63" w:rsidRPr="00A3021F" w:rsidRDefault="00535B98"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A3021F">
              <w:rPr>
                <w:lang w:eastAsia="en-AU"/>
              </w:rPr>
              <w:t>Various</w:t>
            </w:r>
          </w:p>
        </w:tc>
      </w:tr>
      <w:tr w:rsidR="00DA2E63" w:rsidRPr="00453DC3" w14:paraId="11C9FD22"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27CF5086" w14:textId="77777777" w:rsidR="00DA2E63" w:rsidRPr="0083216E" w:rsidRDefault="00DA2E63" w:rsidP="009D0B4A">
            <w:pPr>
              <w:pStyle w:val="TableBodyCopy"/>
              <w:rPr>
                <w:lang w:eastAsia="en-AU"/>
              </w:rPr>
            </w:pPr>
            <w:r w:rsidRPr="0083216E">
              <w:rPr>
                <w:lang w:eastAsia="en-AU"/>
              </w:rPr>
              <w:t>Climate and Oceans Support Program in the Pacific Phase 3 (COSPPac3)</w:t>
            </w:r>
          </w:p>
        </w:tc>
        <w:tc>
          <w:tcPr>
            <w:tcW w:w="2126" w:type="dxa"/>
            <w:shd w:val="clear" w:color="auto" w:fill="D2DEE7"/>
          </w:tcPr>
          <w:p w14:paraId="5750DFCC" w14:textId="6BB5CA41" w:rsidR="00DA2E63" w:rsidRPr="00674884" w:rsidRDefault="00DA2E63"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2022</w:t>
            </w:r>
            <w:r w:rsidR="009901C5">
              <w:rPr>
                <w:lang w:eastAsia="en-AU"/>
              </w:rPr>
              <w:t>–</w:t>
            </w:r>
            <w:r w:rsidRPr="00674884">
              <w:rPr>
                <w:lang w:eastAsia="en-AU"/>
              </w:rPr>
              <w:t>29</w:t>
            </w:r>
          </w:p>
        </w:tc>
        <w:tc>
          <w:tcPr>
            <w:tcW w:w="3962" w:type="dxa"/>
            <w:shd w:val="clear" w:color="auto" w:fill="F2F2F2"/>
          </w:tcPr>
          <w:p w14:paraId="54A67B03" w14:textId="0323364A" w:rsidR="00DA2E63" w:rsidRPr="00A3021F" w:rsidRDefault="00BE7C49"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A3021F">
              <w:rPr>
                <w:lang w:eastAsia="en-AU"/>
              </w:rPr>
              <w:t xml:space="preserve">Australian </w:t>
            </w:r>
            <w:r w:rsidR="00A77280">
              <w:rPr>
                <w:lang w:eastAsia="en-AU"/>
              </w:rPr>
              <w:t xml:space="preserve">Government </w:t>
            </w:r>
            <w:r w:rsidRPr="00A3021F">
              <w:rPr>
                <w:lang w:eastAsia="en-AU"/>
              </w:rPr>
              <w:t>Bureau of Meteorology</w:t>
            </w:r>
            <w:r w:rsidR="00A77280">
              <w:rPr>
                <w:lang w:eastAsia="en-AU"/>
              </w:rPr>
              <w:t xml:space="preserve">; </w:t>
            </w:r>
            <w:r w:rsidRPr="00A3021F">
              <w:rPr>
                <w:lang w:eastAsia="en-AU"/>
              </w:rPr>
              <w:t xml:space="preserve">Secretariat </w:t>
            </w:r>
            <w:r w:rsidR="00CB0372">
              <w:rPr>
                <w:lang w:eastAsia="en-AU"/>
              </w:rPr>
              <w:t>of</w:t>
            </w:r>
            <w:r w:rsidRPr="00A3021F">
              <w:rPr>
                <w:lang w:eastAsia="en-AU"/>
              </w:rPr>
              <w:t xml:space="preserve"> the Pacific Regional Environment Programme (SPREP</w:t>
            </w:r>
            <w:r w:rsidR="00EE2F19" w:rsidRPr="00A3021F">
              <w:rPr>
                <w:lang w:eastAsia="en-AU"/>
              </w:rPr>
              <w:t>)</w:t>
            </w:r>
            <w:r w:rsidR="00EE2F19">
              <w:rPr>
                <w:lang w:eastAsia="en-AU"/>
              </w:rPr>
              <w:t>;</w:t>
            </w:r>
            <w:r w:rsidR="00EE2F19" w:rsidRPr="00945A49">
              <w:rPr>
                <w:lang w:eastAsia="en-AU"/>
              </w:rPr>
              <w:t xml:space="preserve"> </w:t>
            </w:r>
            <w:r w:rsidRPr="00945A49">
              <w:rPr>
                <w:lang w:eastAsia="en-AU"/>
              </w:rPr>
              <w:t>SPC</w:t>
            </w:r>
            <w:r w:rsidR="00EE2F19" w:rsidRPr="00945A49">
              <w:rPr>
                <w:lang w:eastAsia="en-AU"/>
              </w:rPr>
              <w:t>;</w:t>
            </w:r>
            <w:r w:rsidR="00EE2F19" w:rsidRPr="00A3021F">
              <w:rPr>
                <w:lang w:eastAsia="en-AU"/>
              </w:rPr>
              <w:t xml:space="preserve"> New</w:t>
            </w:r>
            <w:r w:rsidR="00687E16">
              <w:rPr>
                <w:lang w:eastAsia="en-AU"/>
              </w:rPr>
              <w:t xml:space="preserve"> </w:t>
            </w:r>
            <w:r w:rsidRPr="00A3021F">
              <w:rPr>
                <w:lang w:eastAsia="en-AU"/>
              </w:rPr>
              <w:t>Z</w:t>
            </w:r>
            <w:r w:rsidR="00687E16">
              <w:rPr>
                <w:lang w:eastAsia="en-AU"/>
              </w:rPr>
              <w:t>ealand</w:t>
            </w:r>
            <w:r w:rsidRPr="00A3021F">
              <w:rPr>
                <w:lang w:eastAsia="en-AU"/>
              </w:rPr>
              <w:t xml:space="preserve"> </w:t>
            </w:r>
            <w:r w:rsidR="00527B97">
              <w:rPr>
                <w:lang w:eastAsia="en-AU"/>
              </w:rPr>
              <w:t>Government</w:t>
            </w:r>
            <w:r w:rsidRPr="00A3021F">
              <w:rPr>
                <w:lang w:eastAsia="en-AU"/>
              </w:rPr>
              <w:t xml:space="preserve"> National Institute of Water and Atmospheric Research</w:t>
            </w:r>
          </w:p>
        </w:tc>
      </w:tr>
      <w:tr w:rsidR="00DA2E63" w:rsidRPr="00453DC3" w14:paraId="196533E9"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0D00A911" w14:textId="77777777" w:rsidR="00DA2E63" w:rsidRPr="0083216E" w:rsidRDefault="00DA2E63" w:rsidP="009D0B4A">
            <w:pPr>
              <w:pStyle w:val="TableBodyCopy"/>
              <w:rPr>
                <w:lang w:eastAsia="en-AU"/>
              </w:rPr>
            </w:pPr>
            <w:r w:rsidRPr="0083216E">
              <w:rPr>
                <w:lang w:eastAsia="en-AU"/>
              </w:rPr>
              <w:t>Climate Resilient Communities (CRC)</w:t>
            </w:r>
          </w:p>
        </w:tc>
        <w:tc>
          <w:tcPr>
            <w:tcW w:w="2126" w:type="dxa"/>
            <w:shd w:val="clear" w:color="auto" w:fill="D2DEE7"/>
          </w:tcPr>
          <w:p w14:paraId="6D62AEFD" w14:textId="68E89A07" w:rsidR="00DA2E63" w:rsidRPr="00674884" w:rsidRDefault="00DA2E63"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2021</w:t>
            </w:r>
            <w:r w:rsidR="009901C5">
              <w:rPr>
                <w:lang w:eastAsia="en-AU"/>
              </w:rPr>
              <w:t>–</w:t>
            </w:r>
            <w:r w:rsidRPr="00674884">
              <w:rPr>
                <w:lang w:eastAsia="en-AU"/>
              </w:rPr>
              <w:t>33</w:t>
            </w:r>
          </w:p>
        </w:tc>
        <w:tc>
          <w:tcPr>
            <w:tcW w:w="3962" w:type="dxa"/>
            <w:shd w:val="clear" w:color="auto" w:fill="F2F2F2"/>
          </w:tcPr>
          <w:p w14:paraId="7DE01A7D" w14:textId="3E69FFF2" w:rsidR="00DA2E63" w:rsidRPr="00674884" w:rsidRDefault="00A27C8C" w:rsidP="009D0B4A">
            <w:pPr>
              <w:pStyle w:val="TableBodyCopy"/>
              <w:cnfStyle w:val="000000100000" w:firstRow="0" w:lastRow="0" w:firstColumn="0" w:lastColumn="0" w:oddVBand="0" w:evenVBand="0" w:oddHBand="1" w:evenHBand="0" w:firstRowFirstColumn="0" w:firstRowLastColumn="0" w:lastRowFirstColumn="0" w:lastRowLastColumn="0"/>
              <w:rPr>
                <w:color w:val="FF0000"/>
                <w:lang w:eastAsia="en-AU"/>
              </w:rPr>
            </w:pPr>
            <w:r w:rsidRPr="00A3021F">
              <w:rPr>
                <w:lang w:eastAsia="en-AU"/>
              </w:rPr>
              <w:t>DT Global</w:t>
            </w:r>
            <w:r w:rsidR="00687E16">
              <w:rPr>
                <w:lang w:eastAsia="en-AU"/>
              </w:rPr>
              <w:t xml:space="preserve"> (i</w:t>
            </w:r>
            <w:r w:rsidR="00687E16" w:rsidRPr="00A3021F">
              <w:rPr>
                <w:lang w:eastAsia="en-AU"/>
              </w:rPr>
              <w:t>mplementing partner</w:t>
            </w:r>
            <w:r w:rsidR="00687E16">
              <w:rPr>
                <w:lang w:eastAsia="en-AU"/>
              </w:rPr>
              <w:t>)</w:t>
            </w:r>
          </w:p>
        </w:tc>
      </w:tr>
      <w:tr w:rsidR="00DA2E63" w:rsidRPr="00453DC3" w14:paraId="7B7BB212"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5A8526EB" w14:textId="43C99789" w:rsidR="00DA2E63" w:rsidRPr="0083216E" w:rsidRDefault="00DA2E63" w:rsidP="009D0B4A">
            <w:pPr>
              <w:pStyle w:val="TableBodyCopy"/>
              <w:rPr>
                <w:lang w:eastAsia="en-AU"/>
              </w:rPr>
            </w:pPr>
            <w:r w:rsidRPr="0083216E">
              <w:rPr>
                <w:lang w:eastAsia="en-AU"/>
              </w:rPr>
              <w:t xml:space="preserve">United Nations Capital Development Fund Pacific </w:t>
            </w:r>
            <w:r w:rsidR="001A05AE">
              <w:rPr>
                <w:lang w:eastAsia="en-AU"/>
              </w:rPr>
              <w:t>p</w:t>
            </w:r>
            <w:r w:rsidRPr="0083216E">
              <w:rPr>
                <w:lang w:eastAsia="en-AU"/>
              </w:rPr>
              <w:t xml:space="preserve">rograms </w:t>
            </w:r>
          </w:p>
        </w:tc>
        <w:tc>
          <w:tcPr>
            <w:tcW w:w="2126" w:type="dxa"/>
            <w:shd w:val="clear" w:color="auto" w:fill="D2DEE7"/>
          </w:tcPr>
          <w:p w14:paraId="4132E4D4" w14:textId="27C73E69" w:rsidR="00DA2E63" w:rsidRPr="00674884" w:rsidRDefault="00DA2E63"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2020</w:t>
            </w:r>
            <w:r w:rsidR="009901C5">
              <w:rPr>
                <w:lang w:eastAsia="en-AU"/>
              </w:rPr>
              <w:t>–</w:t>
            </w:r>
            <w:r w:rsidRPr="00674884">
              <w:rPr>
                <w:lang w:eastAsia="en-AU"/>
              </w:rPr>
              <w:t>25</w:t>
            </w:r>
          </w:p>
        </w:tc>
        <w:tc>
          <w:tcPr>
            <w:tcW w:w="3962" w:type="dxa"/>
            <w:shd w:val="clear" w:color="auto" w:fill="F2F2F2"/>
          </w:tcPr>
          <w:p w14:paraId="58818297" w14:textId="21B1FB3E" w:rsidR="00DA2E63" w:rsidRPr="00674884" w:rsidRDefault="00A27C8C" w:rsidP="009D0B4A">
            <w:pPr>
              <w:pStyle w:val="TableBodyCopy"/>
              <w:cnfStyle w:val="000000000000" w:firstRow="0" w:lastRow="0" w:firstColumn="0" w:lastColumn="0" w:oddVBand="0" w:evenVBand="0" w:oddHBand="0" w:evenHBand="0" w:firstRowFirstColumn="0" w:firstRowLastColumn="0" w:lastRowFirstColumn="0" w:lastRowLastColumn="0"/>
              <w:rPr>
                <w:color w:val="FF0000"/>
                <w:lang w:eastAsia="en-AU"/>
              </w:rPr>
            </w:pPr>
            <w:r w:rsidRPr="009D1442">
              <w:rPr>
                <w:lang w:eastAsia="en-AU"/>
              </w:rPr>
              <w:t xml:space="preserve">United Nations Capital Development Fund </w:t>
            </w:r>
          </w:p>
        </w:tc>
      </w:tr>
      <w:tr w:rsidR="00DA2E63" w:rsidRPr="00453DC3" w14:paraId="5B8F69FE"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536B46DD" w14:textId="77777777" w:rsidR="00DA2E63" w:rsidRPr="0083216E" w:rsidRDefault="00DA2E63" w:rsidP="009D0B4A">
            <w:pPr>
              <w:pStyle w:val="TableBodyCopy"/>
              <w:rPr>
                <w:lang w:eastAsia="en-AU"/>
              </w:rPr>
            </w:pPr>
            <w:r w:rsidRPr="0083216E">
              <w:rPr>
                <w:lang w:eastAsia="en-AU"/>
              </w:rPr>
              <w:t>Support for Weather Ready Pacific</w:t>
            </w:r>
          </w:p>
        </w:tc>
        <w:tc>
          <w:tcPr>
            <w:tcW w:w="2126" w:type="dxa"/>
            <w:shd w:val="clear" w:color="auto" w:fill="D2DEE7"/>
          </w:tcPr>
          <w:p w14:paraId="558A5C88" w14:textId="44003CBC" w:rsidR="00DA2E63" w:rsidRPr="00674884" w:rsidRDefault="00DA2E63"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2023</w:t>
            </w:r>
            <w:r w:rsidR="009901C5">
              <w:rPr>
                <w:lang w:eastAsia="en-AU"/>
              </w:rPr>
              <w:t>–</w:t>
            </w:r>
            <w:r w:rsidRPr="00674884">
              <w:rPr>
                <w:lang w:eastAsia="en-AU"/>
              </w:rPr>
              <w:t>29</w:t>
            </w:r>
          </w:p>
        </w:tc>
        <w:tc>
          <w:tcPr>
            <w:tcW w:w="3962" w:type="dxa"/>
            <w:shd w:val="clear" w:color="auto" w:fill="F2F2F2"/>
          </w:tcPr>
          <w:p w14:paraId="380CBBDA" w14:textId="18EFE72F" w:rsidR="00DA2E63" w:rsidRPr="00674884" w:rsidRDefault="00A27C8C" w:rsidP="009D0B4A">
            <w:pPr>
              <w:pStyle w:val="TableBodyCopy"/>
              <w:cnfStyle w:val="000000100000" w:firstRow="0" w:lastRow="0" w:firstColumn="0" w:lastColumn="0" w:oddVBand="0" w:evenVBand="0" w:oddHBand="1" w:evenHBand="0" w:firstRowFirstColumn="0" w:firstRowLastColumn="0" w:lastRowFirstColumn="0" w:lastRowLastColumn="0"/>
              <w:rPr>
                <w:color w:val="FF0000"/>
                <w:lang w:eastAsia="en-AU"/>
              </w:rPr>
            </w:pPr>
            <w:r w:rsidRPr="00E76BB5">
              <w:rPr>
                <w:lang w:eastAsia="en-AU"/>
              </w:rPr>
              <w:t>Pacific led</w:t>
            </w:r>
            <w:r w:rsidR="00254708">
              <w:rPr>
                <w:lang w:eastAsia="en-AU"/>
              </w:rPr>
              <w:t>:</w:t>
            </w:r>
            <w:r w:rsidRPr="009D1442">
              <w:rPr>
                <w:lang w:eastAsia="en-AU"/>
              </w:rPr>
              <w:t xml:space="preserve"> SPREP</w:t>
            </w:r>
          </w:p>
        </w:tc>
      </w:tr>
      <w:tr w:rsidR="00A27C8C" w:rsidRPr="00453DC3" w14:paraId="1E7E5DCB"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07F5F87B" w14:textId="6C74805B" w:rsidR="00A27C8C" w:rsidRPr="00A3021F" w:rsidRDefault="0097540E" w:rsidP="009D0B4A">
            <w:pPr>
              <w:pStyle w:val="TableBodyCopy"/>
              <w:rPr>
                <w:b w:val="0"/>
                <w:bCs w:val="0"/>
                <w:lang w:eastAsia="en-AU"/>
              </w:rPr>
            </w:pPr>
            <w:r w:rsidRPr="007B3A59">
              <w:rPr>
                <w:lang w:eastAsia="en-AU"/>
              </w:rPr>
              <w:t>Support for the S</w:t>
            </w:r>
            <w:r w:rsidR="00A71635">
              <w:rPr>
                <w:lang w:eastAsia="en-AU"/>
              </w:rPr>
              <w:t>PREP</w:t>
            </w:r>
          </w:p>
        </w:tc>
        <w:tc>
          <w:tcPr>
            <w:tcW w:w="2126" w:type="dxa"/>
            <w:shd w:val="clear" w:color="auto" w:fill="D2DEE7"/>
          </w:tcPr>
          <w:p w14:paraId="024A4135" w14:textId="4C6D0DAE" w:rsidR="00A27C8C" w:rsidRPr="00674884" w:rsidRDefault="0097540E"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A3021F">
              <w:rPr>
                <w:lang w:eastAsia="en-AU"/>
              </w:rPr>
              <w:t>2022</w:t>
            </w:r>
            <w:r w:rsidR="009901C5">
              <w:rPr>
                <w:lang w:eastAsia="en-AU"/>
              </w:rPr>
              <w:t>–</w:t>
            </w:r>
            <w:r w:rsidRPr="00A3021F">
              <w:rPr>
                <w:lang w:eastAsia="en-AU"/>
              </w:rPr>
              <w:t>26</w:t>
            </w:r>
          </w:p>
        </w:tc>
        <w:tc>
          <w:tcPr>
            <w:tcW w:w="3962" w:type="dxa"/>
            <w:shd w:val="clear" w:color="auto" w:fill="F2F2F2"/>
          </w:tcPr>
          <w:p w14:paraId="75B43C68" w14:textId="795672D6" w:rsidR="00A27C8C" w:rsidRPr="00A3021F" w:rsidRDefault="0097540E"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A3021F">
              <w:rPr>
                <w:lang w:eastAsia="en-AU"/>
              </w:rPr>
              <w:t>SPREP</w:t>
            </w:r>
          </w:p>
        </w:tc>
      </w:tr>
      <w:tr w:rsidR="00DA2E63" w:rsidRPr="00453DC3" w14:paraId="7D90ED99"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27E22046" w14:textId="77777777" w:rsidR="00DA2E63" w:rsidRPr="0083216E" w:rsidRDefault="00DA2E63" w:rsidP="009D0B4A">
            <w:pPr>
              <w:pStyle w:val="TableBodyCopy"/>
              <w:rPr>
                <w:lang w:eastAsia="en-AU"/>
              </w:rPr>
            </w:pPr>
            <w:r w:rsidRPr="0083216E">
              <w:rPr>
                <w:lang w:eastAsia="en-AU"/>
              </w:rPr>
              <w:t xml:space="preserve">Pacific Humanitarian Warehousing Program </w:t>
            </w:r>
          </w:p>
        </w:tc>
        <w:tc>
          <w:tcPr>
            <w:tcW w:w="2126" w:type="dxa"/>
            <w:shd w:val="clear" w:color="auto" w:fill="D2DEE7"/>
          </w:tcPr>
          <w:p w14:paraId="28FCDF98" w14:textId="04807368" w:rsidR="00DA2E63" w:rsidRPr="00674884" w:rsidRDefault="00DA2E63"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2023</w:t>
            </w:r>
            <w:r w:rsidR="009901C5">
              <w:rPr>
                <w:lang w:eastAsia="en-AU"/>
              </w:rPr>
              <w:t>–</w:t>
            </w:r>
            <w:r w:rsidRPr="00674884">
              <w:rPr>
                <w:lang w:eastAsia="en-AU"/>
              </w:rPr>
              <w:t>31</w:t>
            </w:r>
          </w:p>
        </w:tc>
        <w:tc>
          <w:tcPr>
            <w:tcW w:w="3962" w:type="dxa"/>
            <w:shd w:val="clear" w:color="auto" w:fill="F2F2F2"/>
          </w:tcPr>
          <w:p w14:paraId="081A8C9C" w14:textId="2D5A7C4F" w:rsidR="00DA2E63" w:rsidRPr="00674884" w:rsidRDefault="00DA2E63"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SPC</w:t>
            </w:r>
            <w:r w:rsidR="001D248E">
              <w:rPr>
                <w:lang w:eastAsia="en-AU"/>
              </w:rPr>
              <w:t>;</w:t>
            </w:r>
            <w:r w:rsidRPr="00674884">
              <w:rPr>
                <w:lang w:eastAsia="en-AU"/>
              </w:rPr>
              <w:t xml:space="preserve"> Pacific </w:t>
            </w:r>
            <w:r w:rsidR="001D248E">
              <w:rPr>
                <w:lang w:eastAsia="en-AU"/>
              </w:rPr>
              <w:t xml:space="preserve">national disaster management </w:t>
            </w:r>
            <w:r w:rsidR="00EE2F19">
              <w:rPr>
                <w:lang w:eastAsia="en-AU"/>
              </w:rPr>
              <w:t>offices;</w:t>
            </w:r>
            <w:r w:rsidRPr="00674884">
              <w:rPr>
                <w:lang w:eastAsia="en-AU"/>
              </w:rPr>
              <w:t xml:space="preserve"> N</w:t>
            </w:r>
            <w:r w:rsidR="001D248E">
              <w:rPr>
                <w:lang w:eastAsia="en-AU"/>
              </w:rPr>
              <w:t xml:space="preserve">ew </w:t>
            </w:r>
            <w:r w:rsidRPr="00674884">
              <w:rPr>
                <w:lang w:eastAsia="en-AU"/>
              </w:rPr>
              <w:t>Z</w:t>
            </w:r>
            <w:r w:rsidR="001D248E">
              <w:rPr>
                <w:lang w:eastAsia="en-AU"/>
              </w:rPr>
              <w:t>ealand;</w:t>
            </w:r>
            <w:r w:rsidRPr="00674884">
              <w:rPr>
                <w:lang w:eastAsia="en-AU"/>
              </w:rPr>
              <w:t xml:space="preserve"> U</w:t>
            </w:r>
            <w:r w:rsidR="001D248E">
              <w:rPr>
                <w:lang w:eastAsia="en-AU"/>
              </w:rPr>
              <w:t xml:space="preserve">nited </w:t>
            </w:r>
            <w:r w:rsidRPr="00674884">
              <w:rPr>
                <w:lang w:eastAsia="en-AU"/>
              </w:rPr>
              <w:t>K</w:t>
            </w:r>
            <w:r w:rsidR="001D248E">
              <w:rPr>
                <w:lang w:eastAsia="en-AU"/>
              </w:rPr>
              <w:t>ingdom;</w:t>
            </w:r>
            <w:r w:rsidRPr="00674884">
              <w:rPr>
                <w:lang w:eastAsia="en-AU"/>
              </w:rPr>
              <w:t xml:space="preserve"> Japan</w:t>
            </w:r>
            <w:r w:rsidR="001D248E">
              <w:rPr>
                <w:lang w:eastAsia="en-AU"/>
              </w:rPr>
              <w:t>;</w:t>
            </w:r>
            <w:r w:rsidRPr="00674884">
              <w:rPr>
                <w:lang w:eastAsia="en-AU"/>
              </w:rPr>
              <w:t xml:space="preserve"> Germany</w:t>
            </w:r>
          </w:p>
        </w:tc>
      </w:tr>
      <w:tr w:rsidR="007B3A59" w:rsidRPr="00453DC3" w14:paraId="4D4C9FAB"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4D39424F" w14:textId="47BD188A" w:rsidR="007B3A59" w:rsidRPr="0083216E" w:rsidRDefault="007B3A59" w:rsidP="009D0B4A">
            <w:pPr>
              <w:pStyle w:val="TableBodyCopy"/>
              <w:rPr>
                <w:lang w:eastAsia="en-AU"/>
              </w:rPr>
            </w:pPr>
            <w:r>
              <w:rPr>
                <w:lang w:eastAsia="en-AU"/>
              </w:rPr>
              <w:t>Australia Assists</w:t>
            </w:r>
          </w:p>
        </w:tc>
        <w:tc>
          <w:tcPr>
            <w:tcW w:w="2126" w:type="dxa"/>
            <w:shd w:val="clear" w:color="auto" w:fill="D2DEE7"/>
          </w:tcPr>
          <w:p w14:paraId="28B1B3D5" w14:textId="0E4D4D3F" w:rsidR="007B3A59" w:rsidRPr="00674884" w:rsidRDefault="007B3A59"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2024</w:t>
            </w:r>
            <w:r w:rsidR="009901C5">
              <w:rPr>
                <w:lang w:eastAsia="en-AU"/>
              </w:rPr>
              <w:t>–</w:t>
            </w:r>
            <w:r>
              <w:rPr>
                <w:lang w:eastAsia="en-AU"/>
              </w:rPr>
              <w:t>34</w:t>
            </w:r>
          </w:p>
        </w:tc>
        <w:tc>
          <w:tcPr>
            <w:tcW w:w="3962" w:type="dxa"/>
            <w:shd w:val="clear" w:color="auto" w:fill="F2F2F2"/>
          </w:tcPr>
          <w:p w14:paraId="444CB1C5" w14:textId="0ADF3AF4" w:rsidR="007B3A59" w:rsidRPr="00674884" w:rsidRDefault="009C5DC8"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SPC</w:t>
            </w:r>
            <w:r w:rsidR="001D248E">
              <w:rPr>
                <w:lang w:eastAsia="en-AU"/>
              </w:rPr>
              <w:t>;</w:t>
            </w:r>
            <w:r w:rsidRPr="00674884">
              <w:rPr>
                <w:lang w:eastAsia="en-AU"/>
              </w:rPr>
              <w:t xml:space="preserve"> Pacific </w:t>
            </w:r>
            <w:r w:rsidR="001D248E">
              <w:rPr>
                <w:lang w:eastAsia="en-AU"/>
              </w:rPr>
              <w:t xml:space="preserve">national disaster management offices; </w:t>
            </w:r>
            <w:r>
              <w:rPr>
                <w:lang w:eastAsia="en-AU"/>
              </w:rPr>
              <w:t>U</w:t>
            </w:r>
            <w:r w:rsidR="003E7FA1">
              <w:rPr>
                <w:lang w:eastAsia="en-AU"/>
              </w:rPr>
              <w:t xml:space="preserve">nited </w:t>
            </w:r>
            <w:r>
              <w:rPr>
                <w:lang w:eastAsia="en-AU"/>
              </w:rPr>
              <w:t>N</w:t>
            </w:r>
            <w:r w:rsidR="003E7FA1">
              <w:rPr>
                <w:lang w:eastAsia="en-AU"/>
              </w:rPr>
              <w:t>ations</w:t>
            </w:r>
            <w:r w:rsidR="007E3304">
              <w:rPr>
                <w:lang w:eastAsia="en-AU"/>
              </w:rPr>
              <w:t xml:space="preserve">; </w:t>
            </w:r>
            <w:r>
              <w:rPr>
                <w:lang w:eastAsia="en-AU"/>
              </w:rPr>
              <w:t>P</w:t>
            </w:r>
            <w:r w:rsidR="003E7FA1">
              <w:rPr>
                <w:lang w:eastAsia="en-AU"/>
              </w:rPr>
              <w:t xml:space="preserve">acific </w:t>
            </w:r>
            <w:r>
              <w:rPr>
                <w:lang w:eastAsia="en-AU"/>
              </w:rPr>
              <w:t>D</w:t>
            </w:r>
            <w:r w:rsidR="003E7FA1">
              <w:rPr>
                <w:lang w:eastAsia="en-AU"/>
              </w:rPr>
              <w:t xml:space="preserve">isability </w:t>
            </w:r>
            <w:r>
              <w:rPr>
                <w:lang w:eastAsia="en-AU"/>
              </w:rPr>
              <w:t>F</w:t>
            </w:r>
            <w:r w:rsidR="003E7FA1">
              <w:rPr>
                <w:lang w:eastAsia="en-AU"/>
              </w:rPr>
              <w:t>orum</w:t>
            </w:r>
            <w:r w:rsidR="007E3304">
              <w:rPr>
                <w:lang w:eastAsia="en-AU"/>
              </w:rPr>
              <w:t xml:space="preserve">; </w:t>
            </w:r>
            <w:r>
              <w:rPr>
                <w:lang w:eastAsia="en-AU"/>
              </w:rPr>
              <w:t>I</w:t>
            </w:r>
            <w:r w:rsidR="003E7FA1">
              <w:rPr>
                <w:lang w:eastAsia="en-AU"/>
              </w:rPr>
              <w:t xml:space="preserve">nternational </w:t>
            </w:r>
            <w:r>
              <w:rPr>
                <w:lang w:eastAsia="en-AU"/>
              </w:rPr>
              <w:t>P</w:t>
            </w:r>
            <w:r w:rsidR="003E7FA1">
              <w:rPr>
                <w:lang w:eastAsia="en-AU"/>
              </w:rPr>
              <w:t xml:space="preserve">lanned </w:t>
            </w:r>
            <w:r>
              <w:rPr>
                <w:lang w:eastAsia="en-AU"/>
              </w:rPr>
              <w:t>P</w:t>
            </w:r>
            <w:r w:rsidR="003E7FA1">
              <w:rPr>
                <w:lang w:eastAsia="en-AU"/>
              </w:rPr>
              <w:t xml:space="preserve">arenthood </w:t>
            </w:r>
            <w:r>
              <w:rPr>
                <w:lang w:eastAsia="en-AU"/>
              </w:rPr>
              <w:t>F</w:t>
            </w:r>
            <w:r w:rsidR="007E3304">
              <w:rPr>
                <w:lang w:eastAsia="en-AU"/>
              </w:rPr>
              <w:t>ederation;</w:t>
            </w:r>
            <w:r>
              <w:rPr>
                <w:lang w:eastAsia="en-AU"/>
              </w:rPr>
              <w:t xml:space="preserve"> </w:t>
            </w:r>
            <w:r w:rsidR="007E3304">
              <w:rPr>
                <w:lang w:eastAsia="en-AU"/>
              </w:rPr>
              <w:t>People</w:t>
            </w:r>
            <w:r w:rsidR="0061565E">
              <w:rPr>
                <w:lang w:eastAsia="en-AU"/>
              </w:rPr>
              <w:t xml:space="preserve"> </w:t>
            </w:r>
            <w:proofErr w:type="gramStart"/>
            <w:r w:rsidR="00896EAB">
              <w:rPr>
                <w:lang w:eastAsia="en-AU"/>
              </w:rPr>
              <w:t>With</w:t>
            </w:r>
            <w:proofErr w:type="gramEnd"/>
            <w:r w:rsidR="0061565E">
              <w:rPr>
                <w:lang w:eastAsia="en-AU"/>
              </w:rPr>
              <w:t xml:space="preserve"> Disabilities</w:t>
            </w:r>
            <w:r w:rsidR="00E76BB5">
              <w:rPr>
                <w:lang w:eastAsia="en-AU"/>
              </w:rPr>
              <w:t xml:space="preserve"> </w:t>
            </w:r>
            <w:r w:rsidRPr="00BC108D">
              <w:rPr>
                <w:lang w:eastAsia="en-AU"/>
              </w:rPr>
              <w:t>Solomon Islands</w:t>
            </w:r>
            <w:r w:rsidR="0061565E">
              <w:rPr>
                <w:lang w:eastAsia="en-AU"/>
              </w:rPr>
              <w:t>;</w:t>
            </w:r>
            <w:r w:rsidR="0061565E" w:rsidRPr="00BC108D">
              <w:rPr>
                <w:lang w:eastAsia="en-AU"/>
              </w:rPr>
              <w:t xml:space="preserve"> </w:t>
            </w:r>
            <w:r w:rsidRPr="00BC108D">
              <w:rPr>
                <w:lang w:eastAsia="en-AU"/>
              </w:rPr>
              <w:t>Fiji Disabled Persons Federation</w:t>
            </w:r>
          </w:p>
        </w:tc>
      </w:tr>
      <w:tr w:rsidR="00DA2E63" w:rsidRPr="00453DC3" w14:paraId="3AAB0D2D"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3BF7F7E0" w14:textId="77777777" w:rsidR="00DA2E63" w:rsidRPr="0083216E" w:rsidRDefault="00DA2E63" w:rsidP="009D0B4A">
            <w:pPr>
              <w:pStyle w:val="TableBodyCopy"/>
              <w:rPr>
                <w:lang w:eastAsia="en-AU"/>
              </w:rPr>
            </w:pPr>
            <w:r w:rsidRPr="0083216E">
              <w:rPr>
                <w:lang w:eastAsia="en-AU"/>
              </w:rPr>
              <w:t>Pacific Islands Emergency Management Alliance</w:t>
            </w:r>
          </w:p>
        </w:tc>
        <w:tc>
          <w:tcPr>
            <w:tcW w:w="2126" w:type="dxa"/>
            <w:shd w:val="clear" w:color="auto" w:fill="D2DEE7"/>
          </w:tcPr>
          <w:p w14:paraId="32ED186E" w14:textId="473AEE52" w:rsidR="00DA2E63" w:rsidRPr="00674884" w:rsidRDefault="00DA2E63"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2023</w:t>
            </w:r>
            <w:r w:rsidR="009901C5">
              <w:rPr>
                <w:lang w:eastAsia="en-AU"/>
              </w:rPr>
              <w:t>–</w:t>
            </w:r>
            <w:r w:rsidRPr="00674884">
              <w:rPr>
                <w:lang w:eastAsia="en-AU"/>
              </w:rPr>
              <w:t>28</w:t>
            </w:r>
          </w:p>
        </w:tc>
        <w:tc>
          <w:tcPr>
            <w:tcW w:w="3962" w:type="dxa"/>
            <w:shd w:val="clear" w:color="auto" w:fill="F2F2F2"/>
          </w:tcPr>
          <w:p w14:paraId="4CCEF573" w14:textId="0F714813" w:rsidR="00DA2E63" w:rsidRPr="00674884" w:rsidRDefault="00DA2E63"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SPC</w:t>
            </w:r>
            <w:r w:rsidR="0061565E">
              <w:rPr>
                <w:lang w:eastAsia="en-AU"/>
              </w:rPr>
              <w:t>;</w:t>
            </w:r>
            <w:r w:rsidRPr="00674884">
              <w:rPr>
                <w:lang w:eastAsia="en-AU"/>
              </w:rPr>
              <w:t xml:space="preserve"> Pacific </w:t>
            </w:r>
            <w:r w:rsidR="0061565E">
              <w:rPr>
                <w:lang w:eastAsia="en-AU"/>
              </w:rPr>
              <w:t>national disaster management offices;</w:t>
            </w:r>
            <w:r w:rsidRPr="00674884">
              <w:rPr>
                <w:lang w:eastAsia="en-AU"/>
              </w:rPr>
              <w:t xml:space="preserve"> N</w:t>
            </w:r>
            <w:r w:rsidR="0061565E">
              <w:rPr>
                <w:lang w:eastAsia="en-AU"/>
              </w:rPr>
              <w:t xml:space="preserve">ew </w:t>
            </w:r>
            <w:r w:rsidRPr="00674884">
              <w:rPr>
                <w:lang w:eastAsia="en-AU"/>
              </w:rPr>
              <w:t>Z</w:t>
            </w:r>
            <w:r w:rsidR="0061565E">
              <w:rPr>
                <w:lang w:eastAsia="en-AU"/>
              </w:rPr>
              <w:t>ealand;</w:t>
            </w:r>
            <w:r w:rsidRPr="00674884">
              <w:rPr>
                <w:lang w:eastAsia="en-AU"/>
              </w:rPr>
              <w:t xml:space="preserve"> U</w:t>
            </w:r>
            <w:r w:rsidR="0061565E">
              <w:rPr>
                <w:lang w:eastAsia="en-AU"/>
              </w:rPr>
              <w:t xml:space="preserve">nited </w:t>
            </w:r>
            <w:r w:rsidRPr="00674884">
              <w:rPr>
                <w:lang w:eastAsia="en-AU"/>
              </w:rPr>
              <w:t>S</w:t>
            </w:r>
            <w:r w:rsidR="0061565E">
              <w:rPr>
                <w:lang w:eastAsia="en-AU"/>
              </w:rPr>
              <w:t>tates</w:t>
            </w:r>
          </w:p>
        </w:tc>
      </w:tr>
      <w:tr w:rsidR="00DA2E63" w:rsidRPr="00453DC3" w14:paraId="213CAE0F"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4F254D5D" w14:textId="07E6CB16" w:rsidR="00DA2E63" w:rsidRPr="0083216E" w:rsidRDefault="00DA2E63" w:rsidP="009D0B4A">
            <w:pPr>
              <w:pStyle w:val="TableBodyCopy"/>
              <w:rPr>
                <w:lang w:eastAsia="en-AU"/>
              </w:rPr>
            </w:pPr>
            <w:r w:rsidRPr="0083216E">
              <w:rPr>
                <w:lang w:eastAsia="en-AU"/>
              </w:rPr>
              <w:t xml:space="preserve">Australian Red Cross – </w:t>
            </w:r>
            <w:r w:rsidR="0061565E">
              <w:rPr>
                <w:lang w:eastAsia="en-AU"/>
              </w:rPr>
              <w:t>Department of Foreign Affairs and Trade</w:t>
            </w:r>
            <w:r w:rsidR="0061565E" w:rsidRPr="0083216E">
              <w:rPr>
                <w:lang w:eastAsia="en-AU"/>
              </w:rPr>
              <w:t xml:space="preserve"> </w:t>
            </w:r>
            <w:r w:rsidRPr="0083216E">
              <w:rPr>
                <w:lang w:eastAsia="en-AU"/>
              </w:rPr>
              <w:t xml:space="preserve">Humanitarian Partnership </w:t>
            </w:r>
          </w:p>
          <w:p w14:paraId="11DAA324" w14:textId="3C09B7BA" w:rsidR="00DA2E63" w:rsidRPr="0083216E" w:rsidRDefault="00DA2E63" w:rsidP="009D0B4A">
            <w:pPr>
              <w:pStyle w:val="TableBodyCopy"/>
              <w:rPr>
                <w:lang w:eastAsia="en-AU"/>
              </w:rPr>
            </w:pPr>
            <w:r w:rsidRPr="0083216E">
              <w:rPr>
                <w:lang w:eastAsia="en-AU"/>
              </w:rPr>
              <w:t>Australian Red Cross El Ni</w:t>
            </w:r>
            <w:r w:rsidR="008D6DA0">
              <w:rPr>
                <w:lang w:eastAsia="en-AU"/>
              </w:rPr>
              <w:t>ñ</w:t>
            </w:r>
            <w:r w:rsidRPr="0083216E">
              <w:rPr>
                <w:lang w:eastAsia="en-AU"/>
              </w:rPr>
              <w:t>o Flexible Fund</w:t>
            </w:r>
          </w:p>
        </w:tc>
        <w:tc>
          <w:tcPr>
            <w:tcW w:w="2126" w:type="dxa"/>
            <w:shd w:val="clear" w:color="auto" w:fill="D2DEE7"/>
          </w:tcPr>
          <w:p w14:paraId="2D6AFF11" w14:textId="5BDA1EE7" w:rsidR="00DA2E63" w:rsidRPr="00674884" w:rsidRDefault="00DA2E63" w:rsidP="009901C5">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2019</w:t>
            </w:r>
            <w:r w:rsidR="009901C5">
              <w:rPr>
                <w:lang w:eastAsia="en-AU"/>
              </w:rPr>
              <w:t>–</w:t>
            </w:r>
            <w:r w:rsidRPr="00674884">
              <w:rPr>
                <w:lang w:eastAsia="en-AU"/>
              </w:rPr>
              <w:t>24</w:t>
            </w:r>
          </w:p>
        </w:tc>
        <w:tc>
          <w:tcPr>
            <w:tcW w:w="3962" w:type="dxa"/>
            <w:shd w:val="clear" w:color="auto" w:fill="F2F2F2"/>
          </w:tcPr>
          <w:p w14:paraId="7CC80A36" w14:textId="3C88C8B7" w:rsidR="00DA2E63" w:rsidRPr="00674884" w:rsidRDefault="0061565E" w:rsidP="00434B3E">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National</w:t>
            </w:r>
            <w:r w:rsidRPr="00674884">
              <w:rPr>
                <w:lang w:eastAsia="en-AU"/>
              </w:rPr>
              <w:t xml:space="preserve"> </w:t>
            </w:r>
            <w:r w:rsidR="00DA2E63" w:rsidRPr="00674884">
              <w:rPr>
                <w:lang w:eastAsia="en-AU"/>
              </w:rPr>
              <w:t xml:space="preserve">Red </w:t>
            </w:r>
            <w:r w:rsidR="00FE0E4A" w:rsidRPr="00674884">
              <w:rPr>
                <w:lang w:eastAsia="en-AU"/>
              </w:rPr>
              <w:t>Cross</w:t>
            </w:r>
            <w:r w:rsidR="00DA2E63" w:rsidRPr="00674884">
              <w:rPr>
                <w:lang w:eastAsia="en-AU"/>
              </w:rPr>
              <w:t xml:space="preserve"> Societies </w:t>
            </w:r>
            <w:r>
              <w:rPr>
                <w:lang w:eastAsia="en-AU"/>
              </w:rPr>
              <w:t xml:space="preserve">in the Pacific </w:t>
            </w:r>
            <w:r w:rsidR="00DA2E63" w:rsidRPr="00674884">
              <w:rPr>
                <w:lang w:eastAsia="en-AU"/>
              </w:rPr>
              <w:t>(Fiji</w:t>
            </w:r>
            <w:r>
              <w:rPr>
                <w:lang w:eastAsia="en-AU"/>
              </w:rPr>
              <w:t>;</w:t>
            </w:r>
            <w:r w:rsidRPr="00674884">
              <w:rPr>
                <w:lang w:eastAsia="en-AU"/>
              </w:rPr>
              <w:t xml:space="preserve"> </w:t>
            </w:r>
            <w:r w:rsidR="00D91CFE">
              <w:rPr>
                <w:lang w:eastAsia="en-AU"/>
              </w:rPr>
              <w:t>Papua New Guinea</w:t>
            </w:r>
            <w:r w:rsidR="00FC2C29">
              <w:rPr>
                <w:lang w:eastAsia="en-AU"/>
              </w:rPr>
              <w:t>;</w:t>
            </w:r>
            <w:r w:rsidR="00DA2E63" w:rsidRPr="00674884">
              <w:rPr>
                <w:lang w:eastAsia="en-AU"/>
              </w:rPr>
              <w:t xml:space="preserve"> Solomon Islands</w:t>
            </w:r>
            <w:r>
              <w:rPr>
                <w:lang w:eastAsia="en-AU"/>
              </w:rPr>
              <w:t>;</w:t>
            </w:r>
            <w:r w:rsidRPr="00674884">
              <w:rPr>
                <w:lang w:eastAsia="en-AU"/>
              </w:rPr>
              <w:t xml:space="preserve"> </w:t>
            </w:r>
            <w:r w:rsidR="00DA2E63" w:rsidRPr="00674884">
              <w:rPr>
                <w:lang w:eastAsia="en-AU"/>
              </w:rPr>
              <w:t>Tonga</w:t>
            </w:r>
            <w:r>
              <w:rPr>
                <w:lang w:eastAsia="en-AU"/>
              </w:rPr>
              <w:t>;</w:t>
            </w:r>
            <w:r w:rsidRPr="00674884">
              <w:rPr>
                <w:lang w:eastAsia="en-AU"/>
              </w:rPr>
              <w:t xml:space="preserve"> </w:t>
            </w:r>
            <w:r w:rsidR="00DA2E63" w:rsidRPr="00674884">
              <w:rPr>
                <w:lang w:eastAsia="en-AU"/>
              </w:rPr>
              <w:t>Vanuatu</w:t>
            </w:r>
            <w:r>
              <w:rPr>
                <w:lang w:eastAsia="en-AU"/>
              </w:rPr>
              <w:t>;</w:t>
            </w:r>
            <w:r w:rsidRPr="00674884">
              <w:rPr>
                <w:lang w:eastAsia="en-AU"/>
              </w:rPr>
              <w:t xml:space="preserve"> </w:t>
            </w:r>
            <w:r w:rsidR="00DA2E63" w:rsidRPr="00674884">
              <w:rPr>
                <w:lang w:eastAsia="en-AU"/>
              </w:rPr>
              <w:t>Kiribati</w:t>
            </w:r>
            <w:r>
              <w:rPr>
                <w:lang w:eastAsia="en-AU"/>
              </w:rPr>
              <w:t>;</w:t>
            </w:r>
            <w:r w:rsidRPr="00674884">
              <w:rPr>
                <w:lang w:eastAsia="en-AU"/>
              </w:rPr>
              <w:t xml:space="preserve"> </w:t>
            </w:r>
            <w:r w:rsidR="00DA2E63" w:rsidRPr="00674884">
              <w:rPr>
                <w:lang w:eastAsia="en-AU"/>
              </w:rPr>
              <w:t>Tuvalu</w:t>
            </w:r>
            <w:r>
              <w:rPr>
                <w:lang w:eastAsia="en-AU"/>
              </w:rPr>
              <w:t>;</w:t>
            </w:r>
            <w:r w:rsidR="00DA2E63" w:rsidRPr="00674884">
              <w:rPr>
                <w:lang w:eastAsia="en-AU"/>
              </w:rPr>
              <w:t xml:space="preserve"> Marshall Islands)</w:t>
            </w:r>
            <w:r w:rsidR="00891F03">
              <w:rPr>
                <w:lang w:eastAsia="en-AU"/>
              </w:rPr>
              <w:t>;</w:t>
            </w:r>
            <w:r w:rsidR="00DA2E63" w:rsidRPr="00674884">
              <w:rPr>
                <w:lang w:eastAsia="en-AU"/>
              </w:rPr>
              <w:t xml:space="preserve"> I</w:t>
            </w:r>
            <w:r>
              <w:rPr>
                <w:lang w:eastAsia="en-AU"/>
              </w:rPr>
              <w:t xml:space="preserve">nternational </w:t>
            </w:r>
            <w:r w:rsidR="00DA2E63" w:rsidRPr="00674884">
              <w:rPr>
                <w:lang w:eastAsia="en-AU"/>
              </w:rPr>
              <w:t>F</w:t>
            </w:r>
            <w:r>
              <w:rPr>
                <w:lang w:eastAsia="en-AU"/>
              </w:rPr>
              <w:t>ederatio</w:t>
            </w:r>
            <w:r w:rsidR="00087BFD">
              <w:rPr>
                <w:lang w:eastAsia="en-AU"/>
              </w:rPr>
              <w:t>n</w:t>
            </w:r>
            <w:r>
              <w:rPr>
                <w:lang w:eastAsia="en-AU"/>
              </w:rPr>
              <w:t xml:space="preserve"> </w:t>
            </w:r>
            <w:r w:rsidR="00087BFD">
              <w:rPr>
                <w:lang w:eastAsia="en-AU"/>
              </w:rPr>
              <w:t xml:space="preserve">of </w:t>
            </w:r>
            <w:r w:rsidR="00DA2E63" w:rsidRPr="00674884">
              <w:rPr>
                <w:lang w:eastAsia="en-AU"/>
              </w:rPr>
              <w:t>R</w:t>
            </w:r>
            <w:r w:rsidR="00087BFD">
              <w:rPr>
                <w:lang w:eastAsia="en-AU"/>
              </w:rPr>
              <w:t xml:space="preserve">ed </w:t>
            </w:r>
            <w:r w:rsidR="00DA2E63" w:rsidRPr="00674884">
              <w:rPr>
                <w:lang w:eastAsia="en-AU"/>
              </w:rPr>
              <w:t>C</w:t>
            </w:r>
            <w:r w:rsidR="00087BFD">
              <w:rPr>
                <w:lang w:eastAsia="en-AU"/>
              </w:rPr>
              <w:t>ross</w:t>
            </w:r>
            <w:r w:rsidR="00DA2E63" w:rsidRPr="00674884">
              <w:rPr>
                <w:lang w:eastAsia="en-AU"/>
              </w:rPr>
              <w:t xml:space="preserve"> </w:t>
            </w:r>
            <w:r w:rsidR="000E311A">
              <w:rPr>
                <w:lang w:eastAsia="en-AU"/>
              </w:rPr>
              <w:t>and Red Crescent Societies</w:t>
            </w:r>
            <w:r w:rsidR="00DA2E63" w:rsidRPr="00674884">
              <w:rPr>
                <w:lang w:eastAsia="en-AU"/>
              </w:rPr>
              <w:t xml:space="preserve"> Suva</w:t>
            </w:r>
            <w:r w:rsidR="00434B3E">
              <w:rPr>
                <w:lang w:eastAsia="en-AU"/>
              </w:rPr>
              <w:t xml:space="preserve"> Cluster; </w:t>
            </w:r>
            <w:r w:rsidR="00434B3E" w:rsidRPr="00674884">
              <w:rPr>
                <w:lang w:eastAsia="en-AU"/>
              </w:rPr>
              <w:t>I</w:t>
            </w:r>
            <w:r w:rsidR="00434B3E">
              <w:rPr>
                <w:lang w:eastAsia="en-AU"/>
              </w:rPr>
              <w:t xml:space="preserve">nternational </w:t>
            </w:r>
            <w:r w:rsidR="00434B3E" w:rsidRPr="00674884">
              <w:rPr>
                <w:lang w:eastAsia="en-AU"/>
              </w:rPr>
              <w:t>F</w:t>
            </w:r>
            <w:r w:rsidR="00434B3E">
              <w:rPr>
                <w:lang w:eastAsia="en-AU"/>
              </w:rPr>
              <w:t xml:space="preserve">ederation of </w:t>
            </w:r>
            <w:r w:rsidR="00434B3E" w:rsidRPr="00674884">
              <w:rPr>
                <w:lang w:eastAsia="en-AU"/>
              </w:rPr>
              <w:t>R</w:t>
            </w:r>
            <w:r w:rsidR="00434B3E">
              <w:rPr>
                <w:lang w:eastAsia="en-AU"/>
              </w:rPr>
              <w:t xml:space="preserve">ed </w:t>
            </w:r>
            <w:r w:rsidR="00434B3E" w:rsidRPr="00674884">
              <w:rPr>
                <w:lang w:eastAsia="en-AU"/>
              </w:rPr>
              <w:t>C</w:t>
            </w:r>
            <w:r w:rsidR="00434B3E">
              <w:rPr>
                <w:lang w:eastAsia="en-AU"/>
              </w:rPr>
              <w:t xml:space="preserve">ross </w:t>
            </w:r>
            <w:r w:rsidR="008443F0">
              <w:rPr>
                <w:lang w:eastAsia="en-AU"/>
              </w:rPr>
              <w:t xml:space="preserve">and Red Crescent </w:t>
            </w:r>
            <w:r w:rsidR="0012792B">
              <w:rPr>
                <w:lang w:eastAsia="en-AU"/>
              </w:rPr>
              <w:t>Societies Asia Pacific Regional Office;</w:t>
            </w:r>
            <w:r w:rsidR="00DA2E63" w:rsidRPr="00674884">
              <w:rPr>
                <w:lang w:eastAsia="en-AU"/>
              </w:rPr>
              <w:t xml:space="preserve"> </w:t>
            </w:r>
            <w:r w:rsidR="003F1A7F">
              <w:rPr>
                <w:lang w:eastAsia="en-AU"/>
              </w:rPr>
              <w:t>International Committee of the Red Cross</w:t>
            </w:r>
          </w:p>
        </w:tc>
      </w:tr>
      <w:tr w:rsidR="00DA2E63" w:rsidRPr="00453DC3" w14:paraId="7AE00C9D"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2FEE336B" w14:textId="77777777" w:rsidR="00DA2E63" w:rsidRPr="0083216E" w:rsidRDefault="00DA2E63" w:rsidP="009D0B4A">
            <w:pPr>
              <w:pStyle w:val="TableBodyCopy"/>
              <w:rPr>
                <w:lang w:eastAsia="en-AU"/>
              </w:rPr>
            </w:pPr>
            <w:r w:rsidRPr="0083216E">
              <w:rPr>
                <w:lang w:eastAsia="en-AU"/>
              </w:rPr>
              <w:t>Australian Humanitarian Partnership (including Disaster READY)</w:t>
            </w:r>
          </w:p>
        </w:tc>
        <w:tc>
          <w:tcPr>
            <w:tcW w:w="2126" w:type="dxa"/>
            <w:shd w:val="clear" w:color="auto" w:fill="D2DEE7"/>
          </w:tcPr>
          <w:p w14:paraId="60374BAA" w14:textId="0F07C82E" w:rsidR="00DA2E63" w:rsidRPr="00674884" w:rsidRDefault="00DA2E63"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2017</w:t>
            </w:r>
            <w:r w:rsidR="00EA3229">
              <w:rPr>
                <w:lang w:eastAsia="en-AU"/>
              </w:rPr>
              <w:t>–</w:t>
            </w:r>
            <w:r w:rsidRPr="00674884">
              <w:rPr>
                <w:lang w:eastAsia="en-AU"/>
              </w:rPr>
              <w:t>27</w:t>
            </w:r>
          </w:p>
        </w:tc>
        <w:tc>
          <w:tcPr>
            <w:tcW w:w="3962" w:type="dxa"/>
            <w:shd w:val="clear" w:color="auto" w:fill="F2F2F2"/>
          </w:tcPr>
          <w:p w14:paraId="445E90A6" w14:textId="56CF8B68" w:rsidR="00DA2E63" w:rsidRPr="00674884" w:rsidRDefault="00861D15" w:rsidP="00711CDC">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 xml:space="preserve">Australian Humanitarian Partnership non-government </w:t>
            </w:r>
            <w:r w:rsidR="00BA16D6">
              <w:rPr>
                <w:lang w:eastAsia="en-AU"/>
              </w:rPr>
              <w:t>organisation</w:t>
            </w:r>
            <w:r w:rsidR="00DA2E63" w:rsidRPr="00674884">
              <w:rPr>
                <w:lang w:eastAsia="en-AU"/>
              </w:rPr>
              <w:t xml:space="preserve"> </w:t>
            </w:r>
            <w:r w:rsidR="00BA16D6">
              <w:rPr>
                <w:lang w:eastAsia="en-AU"/>
              </w:rPr>
              <w:t>p</w:t>
            </w:r>
            <w:r w:rsidR="00DA2E63" w:rsidRPr="00674884">
              <w:rPr>
                <w:lang w:eastAsia="en-AU"/>
              </w:rPr>
              <w:t>artners</w:t>
            </w:r>
            <w:r w:rsidR="00B82C0B">
              <w:rPr>
                <w:lang w:eastAsia="en-AU"/>
              </w:rPr>
              <w:t>:</w:t>
            </w:r>
            <w:r w:rsidRPr="00674884">
              <w:rPr>
                <w:lang w:eastAsia="en-AU"/>
              </w:rPr>
              <w:t xml:space="preserve"> </w:t>
            </w:r>
            <w:r w:rsidR="00DA2E63" w:rsidRPr="00674884">
              <w:rPr>
                <w:lang w:eastAsia="en-AU"/>
              </w:rPr>
              <w:t>C</w:t>
            </w:r>
            <w:r w:rsidR="00711CDC">
              <w:rPr>
                <w:lang w:eastAsia="en-AU"/>
              </w:rPr>
              <w:t>hurch Agencies Network – Disaster Operations (C</w:t>
            </w:r>
            <w:r w:rsidR="00DA2E63" w:rsidRPr="00674884">
              <w:rPr>
                <w:lang w:eastAsia="en-AU"/>
              </w:rPr>
              <w:t>AN</w:t>
            </w:r>
            <w:r w:rsidR="00891F03">
              <w:rPr>
                <w:lang w:eastAsia="en-AU"/>
              </w:rPr>
              <w:t> </w:t>
            </w:r>
            <w:r w:rsidR="00DA2E63" w:rsidRPr="00674884">
              <w:rPr>
                <w:lang w:eastAsia="en-AU"/>
              </w:rPr>
              <w:t>DO</w:t>
            </w:r>
            <w:r w:rsidR="00711CDC">
              <w:rPr>
                <w:lang w:eastAsia="en-AU"/>
              </w:rPr>
              <w:t xml:space="preserve">); </w:t>
            </w:r>
            <w:r w:rsidR="00DA2E63" w:rsidRPr="00674884">
              <w:rPr>
                <w:lang w:eastAsia="en-AU"/>
              </w:rPr>
              <w:t>CARE Australia</w:t>
            </w:r>
            <w:r w:rsidR="00711CDC">
              <w:rPr>
                <w:lang w:eastAsia="en-AU"/>
              </w:rPr>
              <w:t>;</w:t>
            </w:r>
            <w:r w:rsidR="00711CDC" w:rsidRPr="00674884">
              <w:rPr>
                <w:lang w:eastAsia="en-AU"/>
              </w:rPr>
              <w:t xml:space="preserve"> </w:t>
            </w:r>
            <w:r w:rsidR="00DA2E63" w:rsidRPr="00674884">
              <w:rPr>
                <w:lang w:eastAsia="en-AU"/>
              </w:rPr>
              <w:t>World Vision</w:t>
            </w:r>
            <w:r w:rsidR="00711CDC">
              <w:rPr>
                <w:lang w:eastAsia="en-AU"/>
              </w:rPr>
              <w:t>;</w:t>
            </w:r>
            <w:r w:rsidR="00711CDC" w:rsidRPr="00674884">
              <w:rPr>
                <w:lang w:eastAsia="en-AU"/>
              </w:rPr>
              <w:t xml:space="preserve"> </w:t>
            </w:r>
            <w:r w:rsidR="00DA2E63" w:rsidRPr="00674884">
              <w:rPr>
                <w:lang w:eastAsia="en-AU"/>
              </w:rPr>
              <w:t>Oxfam Australia</w:t>
            </w:r>
            <w:r w:rsidR="00711CDC">
              <w:rPr>
                <w:lang w:eastAsia="en-AU"/>
              </w:rPr>
              <w:t>;</w:t>
            </w:r>
            <w:r w:rsidR="00711CDC" w:rsidRPr="00674884">
              <w:rPr>
                <w:lang w:eastAsia="en-AU"/>
              </w:rPr>
              <w:t xml:space="preserve"> </w:t>
            </w:r>
            <w:r w:rsidR="00DA2E63" w:rsidRPr="00674884">
              <w:rPr>
                <w:lang w:eastAsia="en-AU"/>
              </w:rPr>
              <w:t>Plan International Australia</w:t>
            </w:r>
            <w:r w:rsidR="00711CDC">
              <w:rPr>
                <w:lang w:eastAsia="en-AU"/>
              </w:rPr>
              <w:t>;</w:t>
            </w:r>
            <w:r w:rsidR="00711CDC" w:rsidRPr="00674884">
              <w:rPr>
                <w:lang w:eastAsia="en-AU"/>
              </w:rPr>
              <w:t xml:space="preserve"> </w:t>
            </w:r>
            <w:r w:rsidR="00DA2E63" w:rsidRPr="00674884">
              <w:rPr>
                <w:lang w:eastAsia="en-AU"/>
              </w:rPr>
              <w:t>Save the Children Australia</w:t>
            </w:r>
          </w:p>
        </w:tc>
      </w:tr>
      <w:tr w:rsidR="009C5DC8" w:rsidRPr="00453DC3" w14:paraId="223D0662"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68C5B3AE" w14:textId="38C3A3D7" w:rsidR="009C5DC8" w:rsidRPr="0083216E" w:rsidRDefault="001A7BF9" w:rsidP="009D0B4A">
            <w:pPr>
              <w:pStyle w:val="TableBodyCopy"/>
              <w:rPr>
                <w:lang w:eastAsia="en-AU"/>
              </w:rPr>
            </w:pPr>
            <w:r>
              <w:rPr>
                <w:lang w:eastAsia="en-AU"/>
              </w:rPr>
              <w:t>Disaster Assistance Response Team (DART)</w:t>
            </w:r>
          </w:p>
        </w:tc>
        <w:tc>
          <w:tcPr>
            <w:tcW w:w="2126" w:type="dxa"/>
            <w:shd w:val="clear" w:color="auto" w:fill="D2DEE7"/>
          </w:tcPr>
          <w:p w14:paraId="038AFC12" w14:textId="6276126D" w:rsidR="009C5DC8" w:rsidRPr="00674884" w:rsidRDefault="00282C40"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2024</w:t>
            </w:r>
            <w:r w:rsidR="00EA3229">
              <w:rPr>
                <w:lang w:eastAsia="en-AU"/>
              </w:rPr>
              <w:t>–</w:t>
            </w:r>
            <w:r>
              <w:rPr>
                <w:lang w:eastAsia="en-AU"/>
              </w:rPr>
              <w:t>28</w:t>
            </w:r>
          </w:p>
        </w:tc>
        <w:tc>
          <w:tcPr>
            <w:tcW w:w="3962" w:type="dxa"/>
            <w:shd w:val="clear" w:color="auto" w:fill="F2F2F2"/>
          </w:tcPr>
          <w:p w14:paraId="05F4FA8F" w14:textId="66ADBC0F" w:rsidR="009C5DC8" w:rsidRPr="00674884" w:rsidRDefault="004F4662"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Fire and Rescue NSW</w:t>
            </w:r>
            <w:r w:rsidR="00482474">
              <w:rPr>
                <w:lang w:eastAsia="en-AU"/>
              </w:rPr>
              <w:t>;</w:t>
            </w:r>
            <w:r>
              <w:rPr>
                <w:lang w:eastAsia="en-AU"/>
              </w:rPr>
              <w:t xml:space="preserve"> Queensland Fire Department</w:t>
            </w:r>
          </w:p>
        </w:tc>
      </w:tr>
      <w:tr w:rsidR="004F4662" w:rsidRPr="00453DC3" w14:paraId="4A8AC6C8"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249FE9D1" w14:textId="54534FFC" w:rsidR="004F4662" w:rsidRDefault="006C6E8D" w:rsidP="009D0B4A">
            <w:pPr>
              <w:pStyle w:val="TableBodyCopy"/>
              <w:rPr>
                <w:lang w:eastAsia="en-AU"/>
              </w:rPr>
            </w:pPr>
            <w:r>
              <w:rPr>
                <w:lang w:eastAsia="en-AU"/>
              </w:rPr>
              <w:t>Deployable recovery</w:t>
            </w:r>
            <w:r w:rsidR="00482474">
              <w:rPr>
                <w:lang w:eastAsia="en-AU"/>
              </w:rPr>
              <w:t>:</w:t>
            </w:r>
            <w:r w:rsidR="00367C89">
              <w:rPr>
                <w:lang w:eastAsia="en-AU"/>
              </w:rPr>
              <w:t xml:space="preserve"> </w:t>
            </w:r>
            <w:r w:rsidR="00482474">
              <w:rPr>
                <w:lang w:eastAsia="en-AU"/>
              </w:rPr>
              <w:t>e</w:t>
            </w:r>
            <w:r>
              <w:rPr>
                <w:lang w:eastAsia="en-AU"/>
              </w:rPr>
              <w:t>lectricity</w:t>
            </w:r>
          </w:p>
        </w:tc>
        <w:tc>
          <w:tcPr>
            <w:tcW w:w="2126" w:type="dxa"/>
            <w:shd w:val="clear" w:color="auto" w:fill="D2DEE7"/>
          </w:tcPr>
          <w:p w14:paraId="25D9B558" w14:textId="1B3051E3" w:rsidR="004F4662" w:rsidRDefault="00732860"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2018</w:t>
            </w:r>
            <w:r w:rsidR="00EA3229">
              <w:rPr>
                <w:lang w:eastAsia="en-AU"/>
              </w:rPr>
              <w:t>–</w:t>
            </w:r>
            <w:r>
              <w:rPr>
                <w:lang w:eastAsia="en-AU"/>
              </w:rPr>
              <w:t>25</w:t>
            </w:r>
          </w:p>
        </w:tc>
        <w:tc>
          <w:tcPr>
            <w:tcW w:w="3962" w:type="dxa"/>
            <w:shd w:val="clear" w:color="auto" w:fill="F2F2F2"/>
          </w:tcPr>
          <w:p w14:paraId="2C0EB036" w14:textId="27C2350D" w:rsidR="004F4662" w:rsidRDefault="00AF6D8F"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0A4E81">
              <w:rPr>
                <w:lang w:eastAsia="en-AU"/>
              </w:rPr>
              <w:t>Essential Energy</w:t>
            </w:r>
            <w:r w:rsidR="00367C89">
              <w:rPr>
                <w:lang w:eastAsia="en-AU"/>
              </w:rPr>
              <w:t xml:space="preserve">; </w:t>
            </w:r>
            <w:r w:rsidRPr="000A4E81">
              <w:rPr>
                <w:lang w:eastAsia="en-AU"/>
              </w:rPr>
              <w:t>Endeavour Energy</w:t>
            </w:r>
          </w:p>
        </w:tc>
      </w:tr>
      <w:tr w:rsidR="00DA2E63" w:rsidRPr="00453DC3" w14:paraId="2D73B55C"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0050DADA" w14:textId="300E7C9A" w:rsidR="00DA2E63" w:rsidRPr="0083216E" w:rsidRDefault="00DA2E63" w:rsidP="009D0B4A">
            <w:pPr>
              <w:pStyle w:val="TableBodyCopy"/>
              <w:rPr>
                <w:lang w:eastAsia="en-AU"/>
              </w:rPr>
            </w:pPr>
            <w:r w:rsidRPr="0083216E">
              <w:rPr>
                <w:lang w:eastAsia="en-AU"/>
              </w:rPr>
              <w:t>Regional Engagement Program</w:t>
            </w:r>
          </w:p>
        </w:tc>
        <w:tc>
          <w:tcPr>
            <w:tcW w:w="2126" w:type="dxa"/>
            <w:shd w:val="clear" w:color="auto" w:fill="D2DEE7"/>
          </w:tcPr>
          <w:p w14:paraId="38E87B64" w14:textId="607A076A" w:rsidR="00DA2E63" w:rsidRPr="00674884" w:rsidRDefault="00DA2E63"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674884">
              <w:rPr>
                <w:lang w:eastAsia="en-AU"/>
              </w:rPr>
              <w:t>2023</w:t>
            </w:r>
            <w:r w:rsidR="00EA3229">
              <w:rPr>
                <w:lang w:eastAsia="en-AU"/>
              </w:rPr>
              <w:t>–</w:t>
            </w:r>
            <w:r w:rsidRPr="00674884">
              <w:rPr>
                <w:lang w:eastAsia="en-AU"/>
              </w:rPr>
              <w:t>26</w:t>
            </w:r>
          </w:p>
        </w:tc>
        <w:tc>
          <w:tcPr>
            <w:tcW w:w="3962" w:type="dxa"/>
            <w:shd w:val="clear" w:color="auto" w:fill="F2F2F2"/>
          </w:tcPr>
          <w:p w14:paraId="49D28CE3" w14:textId="447B6997" w:rsidR="00DA2E63" w:rsidRPr="00674884" w:rsidRDefault="00367C89"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Australian Government </w:t>
            </w:r>
            <w:r w:rsidR="00DA2E63" w:rsidRPr="00674884">
              <w:rPr>
                <w:lang w:eastAsia="en-AU"/>
              </w:rPr>
              <w:t>National Critical Care and Trauma Response Centre</w:t>
            </w:r>
            <w:r>
              <w:rPr>
                <w:lang w:eastAsia="en-AU"/>
              </w:rPr>
              <w:t>;</w:t>
            </w:r>
            <w:r w:rsidRPr="00674884">
              <w:rPr>
                <w:lang w:eastAsia="en-AU"/>
              </w:rPr>
              <w:t xml:space="preserve"> </w:t>
            </w:r>
            <w:r w:rsidR="00DA2E63" w:rsidRPr="00674884">
              <w:rPr>
                <w:lang w:eastAsia="en-AU"/>
              </w:rPr>
              <w:t>Pacific Emergency Management Teams</w:t>
            </w:r>
          </w:p>
        </w:tc>
      </w:tr>
      <w:tr w:rsidR="00DA2E63" w:rsidRPr="00453DC3" w14:paraId="570D4406"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4B015C8B" w14:textId="5ECE3369" w:rsidR="00DA2E63" w:rsidRPr="0083216E" w:rsidRDefault="00DA2E63" w:rsidP="009D0B4A">
            <w:pPr>
              <w:pStyle w:val="TableBodyCopy"/>
              <w:rPr>
                <w:lang w:eastAsia="en-AU"/>
              </w:rPr>
            </w:pPr>
            <w:r w:rsidRPr="0083216E">
              <w:rPr>
                <w:lang w:eastAsia="en-AU"/>
              </w:rPr>
              <w:t xml:space="preserve">World Health </w:t>
            </w:r>
            <w:r w:rsidR="00FA6B7E" w:rsidRPr="0083216E">
              <w:rPr>
                <w:lang w:eastAsia="en-AU"/>
              </w:rPr>
              <w:t>Organi</w:t>
            </w:r>
            <w:r w:rsidR="00FA6B7E">
              <w:rPr>
                <w:lang w:eastAsia="en-AU"/>
              </w:rPr>
              <w:t>z</w:t>
            </w:r>
            <w:r w:rsidR="00FA6B7E" w:rsidRPr="0083216E">
              <w:rPr>
                <w:lang w:eastAsia="en-AU"/>
              </w:rPr>
              <w:t xml:space="preserve">ation </w:t>
            </w:r>
            <w:r w:rsidRPr="0083216E">
              <w:rPr>
                <w:lang w:eastAsia="en-AU"/>
              </w:rPr>
              <w:t>Emergency Medical Team</w:t>
            </w:r>
            <w:r w:rsidR="009E03BA">
              <w:rPr>
                <w:lang w:eastAsia="en-AU"/>
              </w:rPr>
              <w:t>s</w:t>
            </w:r>
            <w:r w:rsidRPr="0083216E">
              <w:rPr>
                <w:lang w:eastAsia="en-AU"/>
              </w:rPr>
              <w:t xml:space="preserve"> Initiative </w:t>
            </w:r>
            <w:r w:rsidR="009E03BA">
              <w:rPr>
                <w:lang w:eastAsia="en-AU"/>
              </w:rPr>
              <w:t xml:space="preserve">in </w:t>
            </w:r>
            <w:r w:rsidR="009516E1">
              <w:rPr>
                <w:lang w:eastAsia="en-AU"/>
              </w:rPr>
              <w:t>the</w:t>
            </w:r>
            <w:r w:rsidR="009516E1" w:rsidRPr="0083216E">
              <w:rPr>
                <w:lang w:eastAsia="en-AU"/>
              </w:rPr>
              <w:t xml:space="preserve"> Pacific</w:t>
            </w:r>
            <w:r w:rsidRPr="0083216E">
              <w:rPr>
                <w:lang w:eastAsia="en-AU"/>
              </w:rPr>
              <w:t xml:space="preserve"> region</w:t>
            </w:r>
          </w:p>
        </w:tc>
        <w:tc>
          <w:tcPr>
            <w:tcW w:w="2126" w:type="dxa"/>
            <w:shd w:val="clear" w:color="auto" w:fill="D2DEE7"/>
          </w:tcPr>
          <w:p w14:paraId="0E481D56" w14:textId="59E95500" w:rsidR="00DA2E63" w:rsidRPr="00674884" w:rsidRDefault="00DA2E63"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674884">
              <w:rPr>
                <w:lang w:eastAsia="en-AU"/>
              </w:rPr>
              <w:t>2022</w:t>
            </w:r>
            <w:r w:rsidR="00EA3229">
              <w:rPr>
                <w:lang w:eastAsia="en-AU"/>
              </w:rPr>
              <w:t>–</w:t>
            </w:r>
            <w:r w:rsidRPr="00674884">
              <w:rPr>
                <w:lang w:eastAsia="en-AU"/>
              </w:rPr>
              <w:t>25</w:t>
            </w:r>
          </w:p>
        </w:tc>
        <w:tc>
          <w:tcPr>
            <w:tcW w:w="3962" w:type="dxa"/>
            <w:shd w:val="clear" w:color="auto" w:fill="F2F2F2"/>
          </w:tcPr>
          <w:p w14:paraId="7F9A21BD" w14:textId="2963C06B" w:rsidR="00DA2E63" w:rsidRPr="00674884" w:rsidRDefault="00367C89"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World Health Organi</w:t>
            </w:r>
            <w:r w:rsidR="009E03BA">
              <w:rPr>
                <w:lang w:eastAsia="en-AU"/>
              </w:rPr>
              <w:t>z</w:t>
            </w:r>
            <w:r>
              <w:rPr>
                <w:lang w:eastAsia="en-AU"/>
              </w:rPr>
              <w:t>ation;</w:t>
            </w:r>
            <w:r w:rsidR="00DA2E63" w:rsidRPr="00674884">
              <w:rPr>
                <w:lang w:eastAsia="en-AU"/>
              </w:rPr>
              <w:t xml:space="preserve"> Pacific Emergency Medical </w:t>
            </w:r>
            <w:r>
              <w:rPr>
                <w:lang w:eastAsia="en-AU"/>
              </w:rPr>
              <w:t>T</w:t>
            </w:r>
            <w:r w:rsidR="00DA2E63" w:rsidRPr="00674884">
              <w:rPr>
                <w:lang w:eastAsia="en-AU"/>
              </w:rPr>
              <w:t>eams</w:t>
            </w:r>
          </w:p>
        </w:tc>
      </w:tr>
    </w:tbl>
    <w:p w14:paraId="3D78E429" w14:textId="0F8859F4" w:rsidR="008F5B80" w:rsidRDefault="008F5B80" w:rsidP="00CA0F64">
      <w:pPr>
        <w:rPr>
          <w:lang w:eastAsia="en-AU"/>
        </w:rPr>
      </w:pPr>
      <w:r>
        <w:rPr>
          <w:lang w:eastAsia="en-AU"/>
        </w:rPr>
        <w:lastRenderedPageBreak/>
        <w:t xml:space="preserve">Australian Government </w:t>
      </w:r>
      <w:r w:rsidRPr="413282F0">
        <w:rPr>
          <w:lang w:eastAsia="en-AU"/>
        </w:rPr>
        <w:t xml:space="preserve">supporting investments/activities for Objective </w:t>
      </w:r>
      <w:r w:rsidR="00F15978">
        <w:rPr>
          <w:lang w:eastAsia="en-AU"/>
        </w:rPr>
        <w:t>3</w:t>
      </w:r>
      <w:r w:rsidR="009E03BA">
        <w:rPr>
          <w:lang w:eastAsia="en-AU"/>
        </w:rPr>
        <w:t xml:space="preserve"> – Sustainable and resilient economic development</w:t>
      </w:r>
      <w:r w:rsidRPr="413282F0">
        <w:rPr>
          <w:lang w:eastAsia="en-AU"/>
        </w:rPr>
        <w:t xml:space="preserve"> (</w:t>
      </w:r>
      <w:r w:rsidRPr="1121DF86">
        <w:rPr>
          <w:rFonts w:eastAsia="Calibri Light"/>
        </w:rPr>
        <w:t xml:space="preserve">bilateral </w:t>
      </w:r>
      <w:r w:rsidRPr="1121DF86">
        <w:rPr>
          <w:lang w:eastAsia="en-AU"/>
        </w:rPr>
        <w:t>Official Development Assistance (ODA) as well as significant regional and global ODA</w:t>
      </w:r>
      <w:r>
        <w:rPr>
          <w:lang w:eastAsia="en-AU"/>
        </w:rPr>
        <w:t>,</w:t>
      </w:r>
      <w:r w:rsidRPr="1121DF86">
        <w:rPr>
          <w:lang w:eastAsia="en-AU"/>
        </w:rPr>
        <w:t xml:space="preserve"> and significant non-ODA development </w:t>
      </w:r>
      <w:r w:rsidRPr="413282F0">
        <w:rPr>
          <w:lang w:eastAsia="en-AU"/>
        </w:rPr>
        <w:t>investments</w:t>
      </w:r>
      <w:r>
        <w:rPr>
          <w:lang w:eastAsia="en-AU"/>
        </w:rPr>
        <w:t>/</w:t>
      </w:r>
      <w:r w:rsidRPr="1121DF86">
        <w:rPr>
          <w:lang w:eastAsia="en-AU"/>
        </w:rPr>
        <w:t>activities</w:t>
      </w:r>
      <w:r>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3"/>
        <w:tblDescription w:val="Investments and activities, duration and key partners&#10;"/>
      </w:tblPr>
      <w:tblGrid>
        <w:gridCol w:w="4103"/>
        <w:gridCol w:w="2125"/>
        <w:gridCol w:w="3966"/>
      </w:tblGrid>
      <w:tr w:rsidR="000D628C" w:rsidRPr="00B530CC" w14:paraId="56AA2DCA" w14:textId="77777777" w:rsidTr="00187636">
        <w:trPr>
          <w:cnfStyle w:val="100000000000" w:firstRow="1" w:lastRow="0" w:firstColumn="0" w:lastColumn="0" w:oddVBand="0" w:evenVBand="0" w:oddHBand="0" w:evenHBand="0" w:firstRowFirstColumn="0" w:firstRowLastColumn="0" w:lastRowFirstColumn="0" w:lastRowLastColumn="0"/>
          <w:cantSplit/>
          <w:trHeight w:val="548"/>
          <w:tblHeader/>
        </w:trPr>
        <w:tc>
          <w:tcPr>
            <w:cnfStyle w:val="001000000100" w:firstRow="0" w:lastRow="0" w:firstColumn="1" w:lastColumn="0" w:oddVBand="0" w:evenVBand="0" w:oddHBand="0" w:evenHBand="0" w:firstRowFirstColumn="1" w:firstRowLastColumn="0" w:lastRowFirstColumn="0" w:lastRowLastColumn="0"/>
            <w:tcW w:w="4106" w:type="dxa"/>
            <w:shd w:val="clear" w:color="auto" w:fill="3A586E"/>
          </w:tcPr>
          <w:p w14:paraId="4EEBFB44" w14:textId="77777777" w:rsidR="007D1E37" w:rsidRPr="00B045AD" w:rsidRDefault="007D1E37" w:rsidP="00B045AD">
            <w:pPr>
              <w:pStyle w:val="TableHeading"/>
            </w:pPr>
            <w:bookmarkStart w:id="17" w:name="_Hlk173938362"/>
            <w:r w:rsidRPr="00B045AD">
              <w:t>Name of investment/activity</w:t>
            </w:r>
          </w:p>
        </w:tc>
        <w:tc>
          <w:tcPr>
            <w:tcW w:w="2126" w:type="dxa"/>
            <w:shd w:val="clear" w:color="auto" w:fill="3A586E"/>
          </w:tcPr>
          <w:p w14:paraId="4E1339B1" w14:textId="77777777" w:rsidR="007D1E37" w:rsidRPr="00B045AD" w:rsidRDefault="007D1E37" w:rsidP="00B045AD">
            <w:pPr>
              <w:pStyle w:val="TableHeading"/>
              <w:cnfStyle w:val="100000000000" w:firstRow="1" w:lastRow="0" w:firstColumn="0" w:lastColumn="0" w:oddVBand="0" w:evenVBand="0" w:oddHBand="0" w:evenHBand="0" w:firstRowFirstColumn="0" w:firstRowLastColumn="0" w:lastRowFirstColumn="0" w:lastRowLastColumn="0"/>
            </w:pPr>
            <w:r w:rsidRPr="00B045AD">
              <w:t>Duration</w:t>
            </w:r>
          </w:p>
        </w:tc>
        <w:tc>
          <w:tcPr>
            <w:tcW w:w="3969" w:type="dxa"/>
            <w:shd w:val="clear" w:color="auto" w:fill="3A586E"/>
          </w:tcPr>
          <w:p w14:paraId="52991AE9" w14:textId="77777777" w:rsidR="007D1E37" w:rsidRPr="00B045AD" w:rsidRDefault="007D1E37" w:rsidP="00B045AD">
            <w:pPr>
              <w:pStyle w:val="TableHeading"/>
              <w:cnfStyle w:val="100000000000" w:firstRow="1" w:lastRow="0" w:firstColumn="0" w:lastColumn="0" w:oddVBand="0" w:evenVBand="0" w:oddHBand="0" w:evenHBand="0" w:firstRowFirstColumn="0" w:firstRowLastColumn="0" w:lastRowFirstColumn="0" w:lastRowLastColumn="0"/>
            </w:pPr>
            <w:r w:rsidRPr="00B045AD">
              <w:t>Key partners</w:t>
            </w:r>
          </w:p>
        </w:tc>
      </w:tr>
      <w:bookmarkEnd w:id="17"/>
      <w:tr w:rsidR="000D628C" w:rsidRPr="00033351" w14:paraId="4EE524A7"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59AB93B8" w14:textId="7323F18A" w:rsidR="007D1E37" w:rsidRPr="005D50D9" w:rsidRDefault="007D1E37" w:rsidP="009D0B4A">
            <w:pPr>
              <w:pStyle w:val="TableBodyCopy"/>
            </w:pPr>
            <w:r w:rsidRPr="0083216E">
              <w:rPr>
                <w:lang w:eastAsia="en-AU"/>
              </w:rPr>
              <w:t>P</w:t>
            </w:r>
            <w:r w:rsidR="009E03BA">
              <w:rPr>
                <w:lang w:eastAsia="en-AU"/>
              </w:rPr>
              <w:t xml:space="preserve">apua </w:t>
            </w:r>
            <w:r w:rsidRPr="0083216E">
              <w:rPr>
                <w:lang w:eastAsia="en-AU"/>
              </w:rPr>
              <w:t>N</w:t>
            </w:r>
            <w:r w:rsidR="009E03BA">
              <w:rPr>
                <w:lang w:eastAsia="en-AU"/>
              </w:rPr>
              <w:t xml:space="preserve">ew </w:t>
            </w:r>
            <w:r w:rsidRPr="0083216E">
              <w:rPr>
                <w:lang w:eastAsia="en-AU"/>
              </w:rPr>
              <w:t>G</w:t>
            </w:r>
            <w:r w:rsidR="009E03BA">
              <w:rPr>
                <w:lang w:eastAsia="en-AU"/>
              </w:rPr>
              <w:t>uinea</w:t>
            </w:r>
            <w:r w:rsidRPr="0083216E">
              <w:rPr>
                <w:lang w:eastAsia="en-AU"/>
              </w:rPr>
              <w:t xml:space="preserve"> </w:t>
            </w:r>
            <w:r w:rsidR="00D16980">
              <w:rPr>
                <w:lang w:eastAsia="en-AU"/>
              </w:rPr>
              <w:t>p</w:t>
            </w:r>
            <w:r w:rsidRPr="0083216E">
              <w:rPr>
                <w:lang w:eastAsia="en-AU"/>
              </w:rPr>
              <w:t>orts project</w:t>
            </w:r>
            <w:r w:rsidR="00E30EA4" w:rsidRPr="00945A49">
              <w:rPr>
                <w:lang w:eastAsia="en-AU"/>
              </w:rPr>
              <w:t>*</w:t>
            </w:r>
          </w:p>
        </w:tc>
        <w:tc>
          <w:tcPr>
            <w:tcW w:w="2126" w:type="dxa"/>
            <w:shd w:val="clear" w:color="auto" w:fill="D2DEE7"/>
          </w:tcPr>
          <w:p w14:paraId="264EE4EB" w14:textId="72D980C4"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2021</w:t>
            </w:r>
            <w:r w:rsidR="00EA3229">
              <w:rPr>
                <w:lang w:eastAsia="en-AU"/>
              </w:rPr>
              <w:t>–</w:t>
            </w:r>
            <w:r w:rsidRPr="0095719A">
              <w:rPr>
                <w:lang w:eastAsia="en-AU"/>
              </w:rPr>
              <w:t>45</w:t>
            </w:r>
          </w:p>
        </w:tc>
        <w:tc>
          <w:tcPr>
            <w:tcW w:w="3969" w:type="dxa"/>
            <w:shd w:val="clear" w:color="auto" w:fill="F2F2F2"/>
          </w:tcPr>
          <w:p w14:paraId="09D51722" w14:textId="69868D2C"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Papua New Guinea</w:t>
            </w:r>
            <w:r w:rsidR="00E41421">
              <w:rPr>
                <w:lang w:eastAsia="en-AU"/>
              </w:rPr>
              <w:t xml:space="preserve"> </w:t>
            </w:r>
            <w:r w:rsidR="00E41421" w:rsidRPr="0095719A">
              <w:rPr>
                <w:lang w:eastAsia="en-AU"/>
              </w:rPr>
              <w:t>Government</w:t>
            </w:r>
            <w:r w:rsidR="00E41421">
              <w:rPr>
                <w:lang w:eastAsia="en-AU"/>
              </w:rPr>
              <w:t xml:space="preserve">; </w:t>
            </w:r>
            <w:r w:rsidRPr="0095719A">
              <w:rPr>
                <w:lang w:eastAsia="en-AU"/>
              </w:rPr>
              <w:t>Papua New Guinea Ports Corporation</w:t>
            </w:r>
          </w:p>
        </w:tc>
      </w:tr>
      <w:tr w:rsidR="000D628C" w:rsidRPr="00E229B1" w14:paraId="204FE814"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47BC0870" w14:textId="44F63664" w:rsidR="007D1E37" w:rsidRPr="002855D2" w:rsidRDefault="00C60FE8" w:rsidP="009D0B4A">
            <w:pPr>
              <w:pStyle w:val="TableBodyCopy"/>
              <w:rPr>
                <w:vertAlign w:val="superscript"/>
                <w:lang w:eastAsia="en-AU"/>
              </w:rPr>
            </w:pPr>
            <w:r w:rsidRPr="0083216E">
              <w:rPr>
                <w:lang w:eastAsia="en-AU"/>
              </w:rPr>
              <w:t>P</w:t>
            </w:r>
            <w:r>
              <w:rPr>
                <w:lang w:eastAsia="en-AU"/>
              </w:rPr>
              <w:t xml:space="preserve">apua </w:t>
            </w:r>
            <w:r w:rsidRPr="0083216E">
              <w:rPr>
                <w:lang w:eastAsia="en-AU"/>
              </w:rPr>
              <w:t>N</w:t>
            </w:r>
            <w:r>
              <w:rPr>
                <w:lang w:eastAsia="en-AU"/>
              </w:rPr>
              <w:t xml:space="preserve">ew </w:t>
            </w:r>
            <w:r w:rsidRPr="0083216E">
              <w:rPr>
                <w:lang w:eastAsia="en-AU"/>
              </w:rPr>
              <w:t>G</w:t>
            </w:r>
            <w:r>
              <w:rPr>
                <w:lang w:eastAsia="en-AU"/>
              </w:rPr>
              <w:t>uinea</w:t>
            </w:r>
            <w:r w:rsidRPr="0083216E">
              <w:rPr>
                <w:lang w:eastAsia="en-AU"/>
              </w:rPr>
              <w:t xml:space="preserve"> </w:t>
            </w:r>
            <w:r w:rsidR="007D1E37" w:rsidRPr="0083216E">
              <w:rPr>
                <w:lang w:eastAsia="en-AU"/>
              </w:rPr>
              <w:t xml:space="preserve">Power Sector Development </w:t>
            </w:r>
            <w:r w:rsidR="00B435E0">
              <w:rPr>
                <w:lang w:eastAsia="en-AU"/>
              </w:rPr>
              <w:t>(</w:t>
            </w:r>
            <w:proofErr w:type="spellStart"/>
            <w:r w:rsidR="007D1E37" w:rsidRPr="0083216E">
              <w:rPr>
                <w:lang w:eastAsia="en-AU"/>
              </w:rPr>
              <w:t>Laitim</w:t>
            </w:r>
            <w:proofErr w:type="spellEnd"/>
            <w:r w:rsidR="007D1E37" w:rsidRPr="0083216E">
              <w:rPr>
                <w:lang w:eastAsia="en-AU"/>
              </w:rPr>
              <w:t xml:space="preserve"> </w:t>
            </w:r>
            <w:proofErr w:type="spellStart"/>
            <w:proofErr w:type="gramStart"/>
            <w:r w:rsidR="007D1E37" w:rsidRPr="0083216E">
              <w:rPr>
                <w:lang w:eastAsia="en-AU"/>
              </w:rPr>
              <w:t>Hauslain</w:t>
            </w:r>
            <w:proofErr w:type="spellEnd"/>
            <w:r w:rsidR="007D1E37" w:rsidRPr="00E30EA4">
              <w:rPr>
                <w:lang w:eastAsia="en-AU"/>
              </w:rPr>
              <w:t>)</w:t>
            </w:r>
            <w:r w:rsidR="00E30EA4">
              <w:rPr>
                <w:lang w:eastAsia="en-AU"/>
              </w:rPr>
              <w:t>*</w:t>
            </w:r>
            <w:proofErr w:type="gramEnd"/>
            <w:r w:rsidR="00695593" w:rsidRPr="00547BC4">
              <w:rPr>
                <w:vertAlign w:val="superscript"/>
                <w:lang w:eastAsia="en-AU"/>
              </w:rPr>
              <w:t>,</w:t>
            </w:r>
            <w:r w:rsidR="00E30EA4">
              <w:rPr>
                <w:rStyle w:val="tablehyperlink"/>
                <w:u w:val="none"/>
              </w:rPr>
              <w:t xml:space="preserve"> </w:t>
            </w:r>
            <w:r w:rsidR="00E30EA4">
              <w:rPr>
                <w:lang w:eastAsia="en-AU"/>
              </w:rPr>
              <w:t>**</w:t>
            </w:r>
          </w:p>
        </w:tc>
        <w:tc>
          <w:tcPr>
            <w:tcW w:w="2126" w:type="dxa"/>
            <w:shd w:val="clear" w:color="auto" w:fill="D2DEE7"/>
          </w:tcPr>
          <w:p w14:paraId="139C8E80" w14:textId="3861368C"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2023</w:t>
            </w:r>
            <w:r w:rsidR="00EA3229">
              <w:rPr>
                <w:lang w:eastAsia="en-AU"/>
              </w:rPr>
              <w:t>–</w:t>
            </w:r>
            <w:r w:rsidRPr="0095719A">
              <w:rPr>
                <w:lang w:eastAsia="en-AU"/>
              </w:rPr>
              <w:t>46</w:t>
            </w:r>
          </w:p>
        </w:tc>
        <w:tc>
          <w:tcPr>
            <w:tcW w:w="3969" w:type="dxa"/>
            <w:shd w:val="clear" w:color="auto" w:fill="F2F2F2"/>
          </w:tcPr>
          <w:p w14:paraId="781387DC" w14:textId="7C586973"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45A49">
              <w:rPr>
                <w:lang w:eastAsia="en-AU"/>
              </w:rPr>
              <w:t>Asian Development Bank</w:t>
            </w:r>
          </w:p>
        </w:tc>
      </w:tr>
      <w:tr w:rsidR="000D628C" w:rsidRPr="001E3159" w14:paraId="54B1A805" w14:textId="77777777" w:rsidTr="00187636">
        <w:trPr>
          <w:cnfStyle w:val="000000100000" w:firstRow="0" w:lastRow="0" w:firstColumn="0" w:lastColumn="0" w:oddVBand="0" w:evenVBand="0" w:oddHBand="1" w:evenHBand="0" w:firstRowFirstColumn="0" w:firstRowLastColumn="0" w:lastRowFirstColumn="0" w:lastRowLastColumn="0"/>
          <w:cantSplit/>
          <w:trHeight w:val="1245"/>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34870322" w14:textId="34916C87" w:rsidR="007D1E37" w:rsidRPr="0083216E" w:rsidRDefault="007D1E37" w:rsidP="009D0B4A">
            <w:pPr>
              <w:pStyle w:val="TableBodyCopy"/>
              <w:rPr>
                <w:lang w:eastAsia="en-AU"/>
              </w:rPr>
            </w:pPr>
            <w:r w:rsidRPr="0083216E">
              <w:rPr>
                <w:lang w:eastAsia="en-AU"/>
              </w:rPr>
              <w:t>Tina River Hydropower Transmission System</w:t>
            </w:r>
            <w:r w:rsidR="00E30EA4">
              <w:rPr>
                <w:lang w:eastAsia="en-AU"/>
              </w:rPr>
              <w:t>*</w:t>
            </w:r>
          </w:p>
        </w:tc>
        <w:tc>
          <w:tcPr>
            <w:tcW w:w="2126" w:type="dxa"/>
            <w:shd w:val="clear" w:color="auto" w:fill="D2DEE7"/>
          </w:tcPr>
          <w:p w14:paraId="3A900E36" w14:textId="047669A3"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2020</w:t>
            </w:r>
            <w:r w:rsidR="00EA3229">
              <w:rPr>
                <w:lang w:eastAsia="en-AU"/>
              </w:rPr>
              <w:t>–</w:t>
            </w:r>
            <w:r w:rsidRPr="0095719A">
              <w:rPr>
                <w:lang w:eastAsia="en-AU"/>
              </w:rPr>
              <w:t>44</w:t>
            </w:r>
          </w:p>
        </w:tc>
        <w:tc>
          <w:tcPr>
            <w:tcW w:w="3969" w:type="dxa"/>
            <w:shd w:val="clear" w:color="auto" w:fill="F2F2F2"/>
          </w:tcPr>
          <w:p w14:paraId="437E05CF" w14:textId="0F9BA32B"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Solomon Islands Government; Solomon Islands Electricity Authority</w:t>
            </w:r>
            <w:r w:rsidR="00B435E0">
              <w:rPr>
                <w:lang w:eastAsia="en-AU"/>
              </w:rPr>
              <w:t>;</w:t>
            </w:r>
            <w:r w:rsidRPr="0095719A">
              <w:rPr>
                <w:lang w:eastAsia="en-AU"/>
              </w:rPr>
              <w:t xml:space="preserve"> </w:t>
            </w:r>
            <w:r w:rsidRPr="00945A49">
              <w:rPr>
                <w:lang w:eastAsia="en-AU"/>
              </w:rPr>
              <w:t>A</w:t>
            </w:r>
            <w:r w:rsidR="00775C14" w:rsidRPr="00945A49">
              <w:rPr>
                <w:lang w:eastAsia="en-AU"/>
              </w:rPr>
              <w:t>sian</w:t>
            </w:r>
            <w:r w:rsidR="00775C14" w:rsidRPr="005D50D9">
              <w:rPr>
                <w:highlight w:val="yellow"/>
              </w:rPr>
              <w:t xml:space="preserve"> </w:t>
            </w:r>
            <w:r w:rsidRPr="00945A49">
              <w:rPr>
                <w:lang w:eastAsia="en-AU"/>
              </w:rPr>
              <w:t>D</w:t>
            </w:r>
            <w:r w:rsidR="00775C14" w:rsidRPr="00945A49">
              <w:rPr>
                <w:lang w:eastAsia="en-AU"/>
              </w:rPr>
              <w:t xml:space="preserve">evelopment </w:t>
            </w:r>
            <w:r w:rsidRPr="00945A49">
              <w:rPr>
                <w:lang w:eastAsia="en-AU"/>
              </w:rPr>
              <w:t>B</w:t>
            </w:r>
            <w:r w:rsidR="00775C14">
              <w:rPr>
                <w:lang w:eastAsia="en-AU"/>
              </w:rPr>
              <w:t>ank</w:t>
            </w:r>
            <w:r w:rsidR="00B435E0">
              <w:rPr>
                <w:lang w:eastAsia="en-AU"/>
              </w:rPr>
              <w:t>;</w:t>
            </w:r>
            <w:r w:rsidRPr="0095719A">
              <w:rPr>
                <w:lang w:eastAsia="en-AU"/>
              </w:rPr>
              <w:t xml:space="preserve"> W</w:t>
            </w:r>
            <w:r w:rsidR="00775C14">
              <w:rPr>
                <w:lang w:eastAsia="en-AU"/>
              </w:rPr>
              <w:t xml:space="preserve">orld </w:t>
            </w:r>
            <w:r w:rsidRPr="0095719A">
              <w:rPr>
                <w:lang w:eastAsia="en-AU"/>
              </w:rPr>
              <w:t>B</w:t>
            </w:r>
            <w:r w:rsidR="00775C14">
              <w:rPr>
                <w:lang w:eastAsia="en-AU"/>
              </w:rPr>
              <w:t>ank</w:t>
            </w:r>
            <w:r w:rsidR="00B435E0">
              <w:rPr>
                <w:lang w:eastAsia="en-AU"/>
              </w:rPr>
              <w:t>;</w:t>
            </w:r>
            <w:r w:rsidRPr="0095719A">
              <w:rPr>
                <w:lang w:eastAsia="en-AU"/>
              </w:rPr>
              <w:t xml:space="preserve"> G</w:t>
            </w:r>
            <w:r w:rsidR="00095C19">
              <w:rPr>
                <w:lang w:eastAsia="en-AU"/>
              </w:rPr>
              <w:t xml:space="preserve">reen </w:t>
            </w:r>
            <w:r w:rsidRPr="0095719A">
              <w:rPr>
                <w:lang w:eastAsia="en-AU"/>
              </w:rPr>
              <w:t>C</w:t>
            </w:r>
            <w:r w:rsidR="00095C19">
              <w:rPr>
                <w:lang w:eastAsia="en-AU"/>
              </w:rPr>
              <w:t xml:space="preserve">limate </w:t>
            </w:r>
            <w:r w:rsidRPr="0095719A">
              <w:rPr>
                <w:lang w:eastAsia="en-AU"/>
              </w:rPr>
              <w:t>F</w:t>
            </w:r>
            <w:r w:rsidR="00095C19">
              <w:rPr>
                <w:lang w:eastAsia="en-AU"/>
              </w:rPr>
              <w:t>und</w:t>
            </w:r>
            <w:r w:rsidR="00B435E0">
              <w:rPr>
                <w:lang w:eastAsia="en-AU"/>
              </w:rPr>
              <w:t>;</w:t>
            </w:r>
            <w:r w:rsidRPr="0095719A">
              <w:rPr>
                <w:lang w:eastAsia="en-AU"/>
              </w:rPr>
              <w:t xml:space="preserve"> Korea</w:t>
            </w:r>
            <w:r w:rsidR="00095C19">
              <w:rPr>
                <w:lang w:eastAsia="en-AU"/>
              </w:rPr>
              <w:t>n Government</w:t>
            </w:r>
            <w:r w:rsidRPr="0095719A">
              <w:rPr>
                <w:lang w:eastAsia="en-AU"/>
              </w:rPr>
              <w:t xml:space="preserve"> Economic Development Cooperation Fund</w:t>
            </w:r>
            <w:r w:rsidR="00095C19">
              <w:rPr>
                <w:lang w:eastAsia="en-AU"/>
              </w:rPr>
              <w:t>;</w:t>
            </w:r>
            <w:r w:rsidRPr="0095719A">
              <w:rPr>
                <w:lang w:eastAsia="en-AU"/>
              </w:rPr>
              <w:t xml:space="preserve"> Abu Dhabi </w:t>
            </w:r>
            <w:r w:rsidR="00095C19">
              <w:rPr>
                <w:lang w:eastAsia="en-AU"/>
              </w:rPr>
              <w:t>F</w:t>
            </w:r>
            <w:r w:rsidRPr="0095719A">
              <w:rPr>
                <w:lang w:eastAsia="en-AU"/>
              </w:rPr>
              <w:t>und for Development</w:t>
            </w:r>
          </w:p>
        </w:tc>
      </w:tr>
      <w:tr w:rsidR="000D628C" w:rsidRPr="001E3159" w14:paraId="743F0874"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3E87AF25" w14:textId="60CF6C6E" w:rsidR="007D1E37" w:rsidRPr="0083216E" w:rsidRDefault="007D1E37" w:rsidP="009D0B4A">
            <w:pPr>
              <w:pStyle w:val="TableBodyCopy"/>
              <w:rPr>
                <w:lang w:eastAsia="en-AU"/>
              </w:rPr>
            </w:pPr>
            <w:proofErr w:type="spellStart"/>
            <w:r w:rsidRPr="0083216E">
              <w:rPr>
                <w:lang w:eastAsia="en-AU"/>
              </w:rPr>
              <w:t>Sasape</w:t>
            </w:r>
            <w:proofErr w:type="spellEnd"/>
            <w:r w:rsidRPr="0083216E">
              <w:rPr>
                <w:lang w:eastAsia="en-AU"/>
              </w:rPr>
              <w:t xml:space="preserve"> Shipyard</w:t>
            </w:r>
            <w:r w:rsidR="00E30EA4" w:rsidRPr="00945A49">
              <w:rPr>
                <w:lang w:eastAsia="en-AU"/>
              </w:rPr>
              <w:t>*</w:t>
            </w:r>
          </w:p>
        </w:tc>
        <w:tc>
          <w:tcPr>
            <w:tcW w:w="2126" w:type="dxa"/>
            <w:shd w:val="clear" w:color="auto" w:fill="D2DEE7"/>
          </w:tcPr>
          <w:p w14:paraId="7656E46C" w14:textId="43082C30"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2023</w:t>
            </w:r>
            <w:r w:rsidR="00EA3229">
              <w:rPr>
                <w:lang w:eastAsia="en-AU"/>
              </w:rPr>
              <w:t>–</w:t>
            </w:r>
            <w:r w:rsidRPr="0095719A">
              <w:rPr>
                <w:lang w:eastAsia="en-AU"/>
              </w:rPr>
              <w:t>48</w:t>
            </w:r>
          </w:p>
        </w:tc>
        <w:tc>
          <w:tcPr>
            <w:tcW w:w="3969" w:type="dxa"/>
            <w:shd w:val="clear" w:color="auto" w:fill="F2F2F2"/>
          </w:tcPr>
          <w:p w14:paraId="7E85F619" w14:textId="5078749D"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 xml:space="preserve">Solomon Islands </w:t>
            </w:r>
            <w:r w:rsidR="00185805" w:rsidRPr="0095719A">
              <w:rPr>
                <w:lang w:eastAsia="en-AU"/>
              </w:rPr>
              <w:t>Shipyard</w:t>
            </w:r>
            <w:r w:rsidR="00185805">
              <w:rPr>
                <w:lang w:eastAsia="en-AU"/>
              </w:rPr>
              <w:t xml:space="preserve"> (</w:t>
            </w:r>
            <w:r w:rsidRPr="0095719A">
              <w:rPr>
                <w:lang w:eastAsia="en-AU"/>
              </w:rPr>
              <w:t xml:space="preserve">part of the </w:t>
            </w:r>
            <w:proofErr w:type="spellStart"/>
            <w:r w:rsidRPr="0095719A">
              <w:rPr>
                <w:lang w:eastAsia="en-AU"/>
              </w:rPr>
              <w:t>Silentworld</w:t>
            </w:r>
            <w:proofErr w:type="spellEnd"/>
            <w:r w:rsidRPr="0095719A">
              <w:rPr>
                <w:lang w:eastAsia="en-AU"/>
              </w:rPr>
              <w:t xml:space="preserve"> </w:t>
            </w:r>
            <w:r w:rsidR="007A5FC2">
              <w:rPr>
                <w:lang w:eastAsia="en-AU"/>
              </w:rPr>
              <w:t>g</w:t>
            </w:r>
            <w:r w:rsidRPr="0095719A">
              <w:rPr>
                <w:lang w:eastAsia="en-AU"/>
              </w:rPr>
              <w:t>roup</w:t>
            </w:r>
            <w:r w:rsidR="007A5FC2">
              <w:rPr>
                <w:lang w:eastAsia="en-AU"/>
              </w:rPr>
              <w:t>)</w:t>
            </w:r>
          </w:p>
        </w:tc>
      </w:tr>
      <w:tr w:rsidR="000D628C" w:rsidRPr="001E3159" w14:paraId="512C6FCF"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31342F38" w14:textId="107FA090" w:rsidR="007D1E37" w:rsidRPr="0083216E" w:rsidRDefault="007D1E37" w:rsidP="009D0B4A">
            <w:pPr>
              <w:pStyle w:val="TableBodyCopy"/>
              <w:rPr>
                <w:lang w:eastAsia="en-AU"/>
              </w:rPr>
            </w:pPr>
            <w:r w:rsidRPr="0083216E">
              <w:rPr>
                <w:lang w:eastAsia="en-AU"/>
              </w:rPr>
              <w:t>Fiji Transport Infrastructure Restoration Project</w:t>
            </w:r>
            <w:r w:rsidR="00E30EA4" w:rsidRPr="00945A49">
              <w:rPr>
                <w:lang w:eastAsia="en-AU"/>
              </w:rPr>
              <w:t>*</w:t>
            </w:r>
          </w:p>
        </w:tc>
        <w:tc>
          <w:tcPr>
            <w:tcW w:w="2126" w:type="dxa"/>
            <w:shd w:val="clear" w:color="auto" w:fill="D2DEE7"/>
          </w:tcPr>
          <w:p w14:paraId="3A045288" w14:textId="4F241765"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2021</w:t>
            </w:r>
            <w:r w:rsidR="00EA3229">
              <w:rPr>
                <w:lang w:eastAsia="en-AU"/>
              </w:rPr>
              <w:t>–</w:t>
            </w:r>
            <w:r w:rsidRPr="0095719A">
              <w:rPr>
                <w:lang w:eastAsia="en-AU"/>
              </w:rPr>
              <w:t>36</w:t>
            </w:r>
          </w:p>
        </w:tc>
        <w:tc>
          <w:tcPr>
            <w:tcW w:w="3969" w:type="dxa"/>
            <w:shd w:val="clear" w:color="auto" w:fill="F2F2F2"/>
          </w:tcPr>
          <w:p w14:paraId="52DF076B" w14:textId="281B2D83"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Fiji Government</w:t>
            </w:r>
            <w:r w:rsidR="007A5FC2">
              <w:rPr>
                <w:lang w:eastAsia="en-AU"/>
              </w:rPr>
              <w:t>;</w:t>
            </w:r>
            <w:r w:rsidR="007A5FC2" w:rsidRPr="0095719A">
              <w:rPr>
                <w:lang w:eastAsia="en-AU"/>
              </w:rPr>
              <w:t xml:space="preserve"> </w:t>
            </w:r>
            <w:r w:rsidRPr="0095719A">
              <w:rPr>
                <w:lang w:eastAsia="en-AU"/>
              </w:rPr>
              <w:t>Fiji Roads Authority</w:t>
            </w:r>
            <w:r w:rsidR="007A5FC2">
              <w:rPr>
                <w:lang w:eastAsia="en-AU"/>
              </w:rPr>
              <w:t>;</w:t>
            </w:r>
            <w:r w:rsidR="007A5FC2" w:rsidRPr="0095719A">
              <w:rPr>
                <w:lang w:eastAsia="en-AU"/>
              </w:rPr>
              <w:t xml:space="preserve"> </w:t>
            </w:r>
            <w:r w:rsidRPr="0095719A">
              <w:rPr>
                <w:lang w:eastAsia="en-AU"/>
              </w:rPr>
              <w:t>J</w:t>
            </w:r>
            <w:r w:rsidR="007A5FC2">
              <w:rPr>
                <w:lang w:eastAsia="en-AU"/>
              </w:rPr>
              <w:t xml:space="preserve">apan </w:t>
            </w:r>
            <w:r w:rsidRPr="0095719A">
              <w:rPr>
                <w:lang w:eastAsia="en-AU"/>
              </w:rPr>
              <w:t>I</w:t>
            </w:r>
            <w:r w:rsidR="002E5EB6">
              <w:rPr>
                <w:lang w:eastAsia="en-AU"/>
              </w:rPr>
              <w:t xml:space="preserve">nternational </w:t>
            </w:r>
            <w:r w:rsidRPr="0095719A">
              <w:rPr>
                <w:lang w:eastAsia="en-AU"/>
              </w:rPr>
              <w:t>C</w:t>
            </w:r>
            <w:r w:rsidR="002E5EB6">
              <w:rPr>
                <w:lang w:eastAsia="en-AU"/>
              </w:rPr>
              <w:t xml:space="preserve">ooperation </w:t>
            </w:r>
            <w:r w:rsidRPr="0095719A">
              <w:rPr>
                <w:lang w:eastAsia="en-AU"/>
              </w:rPr>
              <w:t>A</w:t>
            </w:r>
            <w:r w:rsidR="002E5EB6">
              <w:rPr>
                <w:lang w:eastAsia="en-AU"/>
              </w:rPr>
              <w:t>gency</w:t>
            </w:r>
          </w:p>
        </w:tc>
      </w:tr>
      <w:tr w:rsidR="000D628C" w:rsidRPr="001E3159" w14:paraId="2115A89E"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30CA2D2B" w14:textId="0B3F7DAC" w:rsidR="007D1E37" w:rsidRPr="0083216E" w:rsidRDefault="007D1E37" w:rsidP="009D0B4A">
            <w:pPr>
              <w:pStyle w:val="TableBodyCopy"/>
              <w:rPr>
                <w:lang w:eastAsia="en-AU"/>
              </w:rPr>
            </w:pPr>
            <w:r w:rsidRPr="0083216E">
              <w:rPr>
                <w:lang w:eastAsia="en-AU"/>
              </w:rPr>
              <w:t>Airports Fiji investment</w:t>
            </w:r>
            <w:r w:rsidR="00E30EA4" w:rsidRPr="00945A49">
              <w:rPr>
                <w:lang w:eastAsia="en-AU"/>
              </w:rPr>
              <w:t>*</w:t>
            </w:r>
          </w:p>
        </w:tc>
        <w:tc>
          <w:tcPr>
            <w:tcW w:w="2126" w:type="dxa"/>
            <w:shd w:val="clear" w:color="auto" w:fill="D2DEE7"/>
          </w:tcPr>
          <w:p w14:paraId="5733A3B6" w14:textId="35ADD0D5"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2021</w:t>
            </w:r>
            <w:r w:rsidR="00EA3229">
              <w:rPr>
                <w:lang w:eastAsia="en-AU"/>
              </w:rPr>
              <w:t>–</w:t>
            </w:r>
            <w:r w:rsidRPr="0095719A">
              <w:rPr>
                <w:lang w:eastAsia="en-AU"/>
              </w:rPr>
              <w:t>24</w:t>
            </w:r>
          </w:p>
        </w:tc>
        <w:tc>
          <w:tcPr>
            <w:tcW w:w="3969" w:type="dxa"/>
            <w:shd w:val="clear" w:color="auto" w:fill="F2F2F2"/>
          </w:tcPr>
          <w:p w14:paraId="731C55D4" w14:textId="683157D7"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Airports Fiji</w:t>
            </w:r>
            <w:r w:rsidR="002E5EB6">
              <w:rPr>
                <w:lang w:eastAsia="en-AU"/>
              </w:rPr>
              <w:t>;</w:t>
            </w:r>
            <w:r w:rsidR="002E5EB6" w:rsidRPr="0095719A">
              <w:rPr>
                <w:lang w:eastAsia="en-AU"/>
              </w:rPr>
              <w:t xml:space="preserve"> </w:t>
            </w:r>
            <w:r w:rsidRPr="0095719A">
              <w:rPr>
                <w:lang w:eastAsia="en-AU"/>
              </w:rPr>
              <w:t>ANZ Fiji</w:t>
            </w:r>
          </w:p>
        </w:tc>
      </w:tr>
      <w:tr w:rsidR="000D628C" w:rsidRPr="001E3159" w14:paraId="5348C66D"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56F27FF3" w14:textId="1DC4DC4B" w:rsidR="007D1E37" w:rsidRPr="0083216E" w:rsidRDefault="007D1E37" w:rsidP="009D0B4A">
            <w:pPr>
              <w:pStyle w:val="TableBodyCopy"/>
              <w:rPr>
                <w:lang w:eastAsia="en-AU"/>
              </w:rPr>
            </w:pPr>
            <w:r w:rsidRPr="0083216E">
              <w:rPr>
                <w:lang w:eastAsia="en-AU"/>
              </w:rPr>
              <w:t>Tuvalu Outer Island Maritime Infrastructure Project</w:t>
            </w:r>
            <w:r w:rsidR="00E30EA4" w:rsidRPr="00945A49">
              <w:rPr>
                <w:lang w:eastAsia="en-AU"/>
              </w:rPr>
              <w:t>*</w:t>
            </w:r>
          </w:p>
        </w:tc>
        <w:tc>
          <w:tcPr>
            <w:tcW w:w="2126" w:type="dxa"/>
            <w:shd w:val="clear" w:color="auto" w:fill="D2DEE7"/>
          </w:tcPr>
          <w:p w14:paraId="30238337" w14:textId="4803B27D"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2023</w:t>
            </w:r>
            <w:r w:rsidR="00EA3229">
              <w:rPr>
                <w:lang w:eastAsia="en-AU"/>
              </w:rPr>
              <w:t>–</w:t>
            </w:r>
            <w:r w:rsidRPr="0095719A">
              <w:rPr>
                <w:lang w:eastAsia="en-AU"/>
              </w:rPr>
              <w:t>28</w:t>
            </w:r>
          </w:p>
        </w:tc>
        <w:tc>
          <w:tcPr>
            <w:tcW w:w="3969" w:type="dxa"/>
            <w:shd w:val="clear" w:color="auto" w:fill="F2F2F2"/>
          </w:tcPr>
          <w:p w14:paraId="5D6DAB12" w14:textId="3A4E9CCB"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Tuvalu</w:t>
            </w:r>
            <w:r w:rsidR="002E5EB6" w:rsidRPr="0095719A">
              <w:rPr>
                <w:lang w:eastAsia="en-AU"/>
              </w:rPr>
              <w:t xml:space="preserve"> Government</w:t>
            </w:r>
            <w:r w:rsidR="002E5EB6">
              <w:rPr>
                <w:lang w:eastAsia="en-AU"/>
              </w:rPr>
              <w:t>;</w:t>
            </w:r>
            <w:r w:rsidRPr="0095719A">
              <w:rPr>
                <w:lang w:eastAsia="en-AU"/>
              </w:rPr>
              <w:t xml:space="preserve"> Asian Development Bank</w:t>
            </w:r>
          </w:p>
        </w:tc>
      </w:tr>
      <w:tr w:rsidR="000D628C" w:rsidRPr="001E3159" w14:paraId="690BF418"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29F12B3A" w14:textId="2443F48D" w:rsidR="007D1E37" w:rsidRPr="0083216E" w:rsidRDefault="007D1E37" w:rsidP="009D0B4A">
            <w:pPr>
              <w:pStyle w:val="TableBodyCopy"/>
              <w:rPr>
                <w:lang w:eastAsia="en-AU"/>
              </w:rPr>
            </w:pPr>
            <w:r w:rsidRPr="0083216E">
              <w:rPr>
                <w:lang w:eastAsia="en-AU"/>
              </w:rPr>
              <w:t>Tonga Nuku’alofa Port Upgrade Project</w:t>
            </w:r>
            <w:r w:rsidR="00E30EA4" w:rsidRPr="00945A49">
              <w:rPr>
                <w:lang w:eastAsia="en-AU"/>
              </w:rPr>
              <w:t>*</w:t>
            </w:r>
          </w:p>
        </w:tc>
        <w:tc>
          <w:tcPr>
            <w:tcW w:w="2126" w:type="dxa"/>
            <w:shd w:val="clear" w:color="auto" w:fill="D2DEE7"/>
          </w:tcPr>
          <w:p w14:paraId="24140B91" w14:textId="74E1DB54"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2022</w:t>
            </w:r>
            <w:r w:rsidR="00EA3229">
              <w:rPr>
                <w:lang w:eastAsia="en-AU"/>
              </w:rPr>
              <w:t>–</w:t>
            </w:r>
            <w:r w:rsidRPr="0095719A">
              <w:rPr>
                <w:lang w:eastAsia="en-AU"/>
              </w:rPr>
              <w:t>27</w:t>
            </w:r>
          </w:p>
        </w:tc>
        <w:tc>
          <w:tcPr>
            <w:tcW w:w="3969" w:type="dxa"/>
            <w:shd w:val="clear" w:color="auto" w:fill="F2F2F2"/>
          </w:tcPr>
          <w:p w14:paraId="300C75B2" w14:textId="27D02032"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Tonga</w:t>
            </w:r>
            <w:r w:rsidR="002E5EB6">
              <w:rPr>
                <w:lang w:eastAsia="en-AU"/>
              </w:rPr>
              <w:t xml:space="preserve">n Government; </w:t>
            </w:r>
            <w:r w:rsidRPr="0095719A">
              <w:rPr>
                <w:lang w:eastAsia="en-AU"/>
              </w:rPr>
              <w:t>Asian Development Bank</w:t>
            </w:r>
          </w:p>
        </w:tc>
      </w:tr>
      <w:tr w:rsidR="000D628C" w:rsidRPr="001E3159" w14:paraId="4E117172"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0AA03309" w14:textId="5E098DC0" w:rsidR="007D1E37" w:rsidRPr="0083216E" w:rsidRDefault="007D1E37" w:rsidP="009D0B4A">
            <w:pPr>
              <w:pStyle w:val="TableBodyCopy"/>
              <w:rPr>
                <w:lang w:eastAsia="en-AU"/>
              </w:rPr>
            </w:pPr>
            <w:r w:rsidRPr="0083216E">
              <w:rPr>
                <w:lang w:eastAsia="en-AU"/>
              </w:rPr>
              <w:t>Palau Solar project</w:t>
            </w:r>
            <w:r w:rsidR="00E30EA4" w:rsidRPr="00945A49">
              <w:rPr>
                <w:lang w:eastAsia="en-AU"/>
              </w:rPr>
              <w:t>*</w:t>
            </w:r>
          </w:p>
        </w:tc>
        <w:tc>
          <w:tcPr>
            <w:tcW w:w="2126" w:type="dxa"/>
            <w:shd w:val="clear" w:color="auto" w:fill="D2DEE7"/>
          </w:tcPr>
          <w:p w14:paraId="3ED28C7A" w14:textId="766FF72D"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2021</w:t>
            </w:r>
            <w:r w:rsidR="00EA3229">
              <w:rPr>
                <w:lang w:eastAsia="en-AU"/>
              </w:rPr>
              <w:t>–</w:t>
            </w:r>
            <w:r w:rsidRPr="0095719A">
              <w:rPr>
                <w:lang w:eastAsia="en-AU"/>
              </w:rPr>
              <w:t>38</w:t>
            </w:r>
          </w:p>
        </w:tc>
        <w:tc>
          <w:tcPr>
            <w:tcW w:w="3969" w:type="dxa"/>
            <w:shd w:val="clear" w:color="auto" w:fill="F2F2F2"/>
          </w:tcPr>
          <w:p w14:paraId="2E64049B" w14:textId="406A7175"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Solar Pacific Pristine Power</w:t>
            </w:r>
            <w:r w:rsidR="009F4E6A">
              <w:rPr>
                <w:lang w:eastAsia="en-AU"/>
              </w:rPr>
              <w:t>;</w:t>
            </w:r>
            <w:r w:rsidR="009F4E6A" w:rsidRPr="0095719A">
              <w:rPr>
                <w:lang w:eastAsia="en-AU"/>
              </w:rPr>
              <w:t xml:space="preserve"> </w:t>
            </w:r>
            <w:r w:rsidRPr="0095719A">
              <w:rPr>
                <w:lang w:eastAsia="en-AU"/>
              </w:rPr>
              <w:t>Palau Public Utilities Corporation</w:t>
            </w:r>
          </w:p>
        </w:tc>
      </w:tr>
      <w:tr w:rsidR="000D628C" w:rsidRPr="001E3159" w14:paraId="39CCD6EB" w14:textId="77777777" w:rsidTr="00187636">
        <w:trPr>
          <w:cantSplit/>
          <w:trHeight w:val="841"/>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0E39F2AA" w14:textId="2F8FF85C" w:rsidR="007D1E37" w:rsidRPr="0083216E" w:rsidRDefault="007D1E37" w:rsidP="009D0B4A">
            <w:pPr>
              <w:pStyle w:val="TableBodyCopy"/>
              <w:rPr>
                <w:lang w:eastAsia="en-AU"/>
              </w:rPr>
            </w:pPr>
            <w:r w:rsidRPr="0083216E">
              <w:rPr>
                <w:lang w:eastAsia="en-AU"/>
              </w:rPr>
              <w:t xml:space="preserve">Palau </w:t>
            </w:r>
            <w:r w:rsidR="009F4E6A">
              <w:rPr>
                <w:lang w:eastAsia="en-AU"/>
              </w:rPr>
              <w:t>s</w:t>
            </w:r>
            <w:r w:rsidRPr="0083216E">
              <w:rPr>
                <w:lang w:eastAsia="en-AU"/>
              </w:rPr>
              <w:t xml:space="preserve">ubmarine </w:t>
            </w:r>
            <w:r w:rsidR="009F4E6A">
              <w:rPr>
                <w:lang w:eastAsia="en-AU"/>
              </w:rPr>
              <w:t>c</w:t>
            </w:r>
            <w:r w:rsidRPr="0083216E">
              <w:rPr>
                <w:lang w:eastAsia="en-AU"/>
              </w:rPr>
              <w:t>able</w:t>
            </w:r>
            <w:r w:rsidR="009F4E6A">
              <w:rPr>
                <w:lang w:eastAsia="en-AU"/>
              </w:rPr>
              <w:t xml:space="preserve"> project</w:t>
            </w:r>
            <w:r w:rsidR="00E30EA4" w:rsidRPr="00945A49">
              <w:rPr>
                <w:lang w:eastAsia="en-AU"/>
              </w:rPr>
              <w:t>*</w:t>
            </w:r>
          </w:p>
        </w:tc>
        <w:tc>
          <w:tcPr>
            <w:tcW w:w="2126" w:type="dxa"/>
            <w:shd w:val="clear" w:color="auto" w:fill="D2DEE7"/>
          </w:tcPr>
          <w:p w14:paraId="601F2BD6" w14:textId="1C835759"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2020</w:t>
            </w:r>
            <w:r w:rsidR="00EA3229">
              <w:rPr>
                <w:lang w:eastAsia="en-AU"/>
              </w:rPr>
              <w:t>–</w:t>
            </w:r>
            <w:r w:rsidRPr="0095719A">
              <w:rPr>
                <w:lang w:eastAsia="en-AU"/>
              </w:rPr>
              <w:t>39</w:t>
            </w:r>
          </w:p>
        </w:tc>
        <w:tc>
          <w:tcPr>
            <w:tcW w:w="3969" w:type="dxa"/>
            <w:shd w:val="clear" w:color="auto" w:fill="F2F2F2"/>
          </w:tcPr>
          <w:p w14:paraId="26E1A6E8" w14:textId="10F57814"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Belau Submarine Cable Corporation</w:t>
            </w:r>
            <w:r w:rsidR="00B435E0">
              <w:rPr>
                <w:lang w:eastAsia="en-AU"/>
              </w:rPr>
              <w:t>;</w:t>
            </w:r>
            <w:r w:rsidRPr="0095719A">
              <w:rPr>
                <w:lang w:eastAsia="en-AU"/>
              </w:rPr>
              <w:t xml:space="preserve"> Palau National Government</w:t>
            </w:r>
            <w:r w:rsidR="00B435E0">
              <w:rPr>
                <w:lang w:eastAsia="en-AU"/>
              </w:rPr>
              <w:t>;</w:t>
            </w:r>
            <w:r w:rsidRPr="0095719A">
              <w:rPr>
                <w:lang w:eastAsia="en-AU"/>
              </w:rPr>
              <w:t xml:space="preserve"> Japan Government</w:t>
            </w:r>
            <w:r w:rsidR="00B556FC">
              <w:rPr>
                <w:lang w:eastAsia="en-AU"/>
              </w:rPr>
              <w:t>;</w:t>
            </w:r>
            <w:r w:rsidR="00B556FC" w:rsidRPr="0095719A">
              <w:rPr>
                <w:lang w:eastAsia="en-AU"/>
              </w:rPr>
              <w:t xml:space="preserve"> </w:t>
            </w:r>
            <w:r w:rsidRPr="0095719A">
              <w:rPr>
                <w:lang w:eastAsia="en-AU"/>
              </w:rPr>
              <w:t>United States Government</w:t>
            </w:r>
          </w:p>
        </w:tc>
      </w:tr>
      <w:tr w:rsidR="000D628C" w:rsidRPr="001E3159" w14:paraId="6B338E95"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025DB789" w14:textId="65AB207B" w:rsidR="007D1E37" w:rsidRPr="0083216E" w:rsidRDefault="007D1E37" w:rsidP="009D0B4A">
            <w:pPr>
              <w:pStyle w:val="TableBodyCopy"/>
              <w:rPr>
                <w:lang w:eastAsia="en-AU"/>
              </w:rPr>
            </w:pPr>
            <w:r w:rsidRPr="0083216E">
              <w:rPr>
                <w:lang w:eastAsia="en-AU"/>
              </w:rPr>
              <w:t>Nauru Airport Upgrade and Road Rehabilitation</w:t>
            </w:r>
            <w:r w:rsidR="009F4E6A">
              <w:rPr>
                <w:lang w:eastAsia="en-AU"/>
              </w:rPr>
              <w:t xml:space="preserve"> Project</w:t>
            </w:r>
            <w:r w:rsidRPr="0083216E">
              <w:rPr>
                <w:lang w:eastAsia="en-AU"/>
              </w:rPr>
              <w:t xml:space="preserve"> </w:t>
            </w:r>
            <w:r w:rsidR="00B435E0">
              <w:rPr>
                <w:lang w:eastAsia="en-AU"/>
              </w:rPr>
              <w:t>–</w:t>
            </w:r>
            <w:r w:rsidR="00B435E0" w:rsidRPr="0083216E">
              <w:rPr>
                <w:lang w:eastAsia="en-AU"/>
              </w:rPr>
              <w:t xml:space="preserve"> </w:t>
            </w:r>
            <w:r w:rsidR="009F4E6A" w:rsidRPr="0083216E">
              <w:rPr>
                <w:lang w:eastAsia="en-AU"/>
              </w:rPr>
              <w:t>Transport</w:t>
            </w:r>
            <w:r w:rsidR="00E30EA4" w:rsidRPr="00945A49">
              <w:rPr>
                <w:lang w:eastAsia="en-AU"/>
              </w:rPr>
              <w:t>*</w:t>
            </w:r>
          </w:p>
        </w:tc>
        <w:tc>
          <w:tcPr>
            <w:tcW w:w="2126" w:type="dxa"/>
            <w:shd w:val="clear" w:color="auto" w:fill="D2DEE7"/>
          </w:tcPr>
          <w:p w14:paraId="6056C528" w14:textId="2714C03B"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2022</w:t>
            </w:r>
            <w:r w:rsidR="00EA3229">
              <w:rPr>
                <w:lang w:eastAsia="en-AU"/>
              </w:rPr>
              <w:t>–</w:t>
            </w:r>
            <w:r w:rsidRPr="0095719A">
              <w:rPr>
                <w:lang w:eastAsia="en-AU"/>
              </w:rPr>
              <w:t>27</w:t>
            </w:r>
          </w:p>
        </w:tc>
        <w:tc>
          <w:tcPr>
            <w:tcW w:w="3969" w:type="dxa"/>
            <w:shd w:val="clear" w:color="auto" w:fill="F2F2F2"/>
          </w:tcPr>
          <w:p w14:paraId="7BD666D2" w14:textId="4040A920"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 xml:space="preserve">Nauru </w:t>
            </w:r>
            <w:r w:rsidR="009F4E6A">
              <w:rPr>
                <w:lang w:eastAsia="en-AU"/>
              </w:rPr>
              <w:t xml:space="preserve">Government </w:t>
            </w:r>
            <w:r w:rsidRPr="0095719A">
              <w:rPr>
                <w:lang w:eastAsia="en-AU"/>
              </w:rPr>
              <w:t>Department of Transport</w:t>
            </w:r>
          </w:p>
        </w:tc>
      </w:tr>
      <w:tr w:rsidR="000D628C" w:rsidRPr="001E3159" w14:paraId="6F89611E" w14:textId="77777777" w:rsidTr="00187636">
        <w:trPr>
          <w:cantSplit/>
          <w:trHeight w:val="556"/>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33F1D38E" w14:textId="0102D1E0" w:rsidR="007D1E37" w:rsidRPr="0083216E" w:rsidRDefault="007D1E37" w:rsidP="009D0B4A">
            <w:pPr>
              <w:pStyle w:val="TableBodyCopy"/>
              <w:rPr>
                <w:lang w:eastAsia="en-AU"/>
              </w:rPr>
            </w:pPr>
            <w:r w:rsidRPr="0083216E">
              <w:rPr>
                <w:lang w:eastAsia="en-AU"/>
              </w:rPr>
              <w:t xml:space="preserve">East Micronesia </w:t>
            </w:r>
            <w:r w:rsidR="00F90D82">
              <w:rPr>
                <w:lang w:eastAsia="en-AU"/>
              </w:rPr>
              <w:t>c</w:t>
            </w:r>
            <w:r w:rsidRPr="0083216E">
              <w:rPr>
                <w:lang w:eastAsia="en-AU"/>
              </w:rPr>
              <w:t xml:space="preserve">able (Kiribati, Nauru </w:t>
            </w:r>
            <w:r w:rsidR="009F4E6A">
              <w:rPr>
                <w:lang w:eastAsia="en-AU"/>
              </w:rPr>
              <w:t>and</w:t>
            </w:r>
            <w:r w:rsidR="009F4E6A" w:rsidRPr="0083216E">
              <w:rPr>
                <w:lang w:eastAsia="en-AU"/>
              </w:rPr>
              <w:t xml:space="preserve"> </w:t>
            </w:r>
            <w:r w:rsidRPr="0083216E">
              <w:rPr>
                <w:lang w:eastAsia="en-AU"/>
              </w:rPr>
              <w:t>F</w:t>
            </w:r>
            <w:r w:rsidR="002E5EB6">
              <w:rPr>
                <w:lang w:eastAsia="en-AU"/>
              </w:rPr>
              <w:t>edera</w:t>
            </w:r>
            <w:r w:rsidR="00B435E0">
              <w:rPr>
                <w:lang w:eastAsia="en-AU"/>
              </w:rPr>
              <w:t>ted</w:t>
            </w:r>
            <w:r w:rsidR="002E5EB6">
              <w:rPr>
                <w:lang w:eastAsia="en-AU"/>
              </w:rPr>
              <w:t xml:space="preserve"> </w:t>
            </w:r>
            <w:r w:rsidRPr="0083216E">
              <w:rPr>
                <w:lang w:eastAsia="en-AU"/>
              </w:rPr>
              <w:t>S</w:t>
            </w:r>
            <w:r w:rsidR="002E5EB6">
              <w:rPr>
                <w:lang w:eastAsia="en-AU"/>
              </w:rPr>
              <w:t xml:space="preserve">tates of </w:t>
            </w:r>
            <w:proofErr w:type="gramStart"/>
            <w:r w:rsidRPr="0083216E">
              <w:rPr>
                <w:lang w:eastAsia="en-AU"/>
              </w:rPr>
              <w:t>M</w:t>
            </w:r>
            <w:r w:rsidR="002E5EB6">
              <w:rPr>
                <w:lang w:eastAsia="en-AU"/>
              </w:rPr>
              <w:t>icronesia</w:t>
            </w:r>
            <w:r w:rsidRPr="00945A49">
              <w:rPr>
                <w:lang w:eastAsia="en-AU"/>
              </w:rPr>
              <w:t>)</w:t>
            </w:r>
            <w:r w:rsidR="00E30EA4" w:rsidRPr="00945A49">
              <w:rPr>
                <w:lang w:eastAsia="en-AU"/>
              </w:rPr>
              <w:t>*</w:t>
            </w:r>
            <w:proofErr w:type="gramEnd"/>
          </w:p>
        </w:tc>
        <w:tc>
          <w:tcPr>
            <w:tcW w:w="2126" w:type="dxa"/>
            <w:shd w:val="clear" w:color="auto" w:fill="D2DEE7"/>
          </w:tcPr>
          <w:p w14:paraId="5F4DB7F0" w14:textId="051EC366"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2021</w:t>
            </w:r>
            <w:r w:rsidR="00EA3229">
              <w:rPr>
                <w:lang w:eastAsia="en-AU"/>
              </w:rPr>
              <w:t>–</w:t>
            </w:r>
            <w:r w:rsidRPr="0095719A">
              <w:rPr>
                <w:lang w:eastAsia="en-AU"/>
              </w:rPr>
              <w:t>26</w:t>
            </w:r>
          </w:p>
        </w:tc>
        <w:tc>
          <w:tcPr>
            <w:tcW w:w="3969" w:type="dxa"/>
            <w:shd w:val="clear" w:color="auto" w:fill="F2F2F2"/>
          </w:tcPr>
          <w:p w14:paraId="7CAF6382" w14:textId="643A3093"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Federated States of Micronesia</w:t>
            </w:r>
            <w:r w:rsidR="00B556FC">
              <w:rPr>
                <w:lang w:eastAsia="en-AU"/>
              </w:rPr>
              <w:t xml:space="preserve"> </w:t>
            </w:r>
            <w:r w:rsidR="00B556FC" w:rsidRPr="0095719A">
              <w:rPr>
                <w:lang w:eastAsia="en-AU"/>
              </w:rPr>
              <w:t>Government</w:t>
            </w:r>
            <w:r w:rsidR="00B435E0">
              <w:rPr>
                <w:lang w:eastAsia="en-AU"/>
              </w:rPr>
              <w:t>;</w:t>
            </w:r>
            <w:r w:rsidRPr="0095719A">
              <w:rPr>
                <w:lang w:eastAsia="en-AU"/>
              </w:rPr>
              <w:t xml:space="preserve"> Nauru</w:t>
            </w:r>
            <w:r w:rsidR="005E3329">
              <w:rPr>
                <w:lang w:eastAsia="en-AU"/>
              </w:rPr>
              <w:t xml:space="preserve"> </w:t>
            </w:r>
            <w:r w:rsidR="005E3329" w:rsidRPr="0095719A">
              <w:rPr>
                <w:lang w:eastAsia="en-AU"/>
              </w:rPr>
              <w:t>Government</w:t>
            </w:r>
            <w:r w:rsidR="00B556FC">
              <w:rPr>
                <w:lang w:eastAsia="en-AU"/>
              </w:rPr>
              <w:t>;</w:t>
            </w:r>
            <w:r w:rsidR="00B556FC" w:rsidRPr="0095719A">
              <w:rPr>
                <w:lang w:eastAsia="en-AU"/>
              </w:rPr>
              <w:t xml:space="preserve"> </w:t>
            </w:r>
            <w:r w:rsidRPr="0095719A">
              <w:rPr>
                <w:lang w:eastAsia="en-AU"/>
              </w:rPr>
              <w:t>Kiribati</w:t>
            </w:r>
            <w:r w:rsidR="005E3329">
              <w:rPr>
                <w:lang w:eastAsia="en-AU"/>
              </w:rPr>
              <w:t xml:space="preserve"> </w:t>
            </w:r>
            <w:r w:rsidR="005E3329" w:rsidRPr="0095719A">
              <w:rPr>
                <w:lang w:eastAsia="en-AU"/>
              </w:rPr>
              <w:t>Government</w:t>
            </w:r>
            <w:r w:rsidR="00B556FC">
              <w:rPr>
                <w:lang w:eastAsia="en-AU"/>
              </w:rPr>
              <w:t>;</w:t>
            </w:r>
            <w:r w:rsidR="00B556FC" w:rsidRPr="0095719A">
              <w:rPr>
                <w:lang w:eastAsia="en-AU"/>
              </w:rPr>
              <w:t xml:space="preserve"> </w:t>
            </w:r>
            <w:r w:rsidRPr="0095719A">
              <w:rPr>
                <w:lang w:eastAsia="en-AU"/>
              </w:rPr>
              <w:t>Japan Government</w:t>
            </w:r>
            <w:r w:rsidR="00B556FC">
              <w:rPr>
                <w:lang w:eastAsia="en-AU"/>
              </w:rPr>
              <w:t xml:space="preserve">; </w:t>
            </w:r>
            <w:r w:rsidRPr="0095719A">
              <w:rPr>
                <w:lang w:eastAsia="en-AU"/>
              </w:rPr>
              <w:t>United States Government</w:t>
            </w:r>
            <w:r w:rsidR="00B556FC">
              <w:rPr>
                <w:lang w:eastAsia="en-AU"/>
              </w:rPr>
              <w:t>;</w:t>
            </w:r>
            <w:r w:rsidR="00B556FC" w:rsidRPr="0095719A">
              <w:rPr>
                <w:lang w:eastAsia="en-AU"/>
              </w:rPr>
              <w:t xml:space="preserve"> </w:t>
            </w:r>
            <w:r w:rsidRPr="0095719A">
              <w:rPr>
                <w:lang w:eastAsia="en-AU"/>
              </w:rPr>
              <w:t>FSM Telecommunications Cable Corporation</w:t>
            </w:r>
            <w:r w:rsidR="00B556FC">
              <w:rPr>
                <w:lang w:eastAsia="en-AU"/>
              </w:rPr>
              <w:t>;</w:t>
            </w:r>
            <w:r w:rsidR="00B556FC" w:rsidRPr="0095719A">
              <w:rPr>
                <w:lang w:eastAsia="en-AU"/>
              </w:rPr>
              <w:t xml:space="preserve"> </w:t>
            </w:r>
            <w:proofErr w:type="spellStart"/>
            <w:r w:rsidRPr="0095719A">
              <w:rPr>
                <w:lang w:eastAsia="en-AU"/>
              </w:rPr>
              <w:t>BwebwerikiNET</w:t>
            </w:r>
            <w:proofErr w:type="spellEnd"/>
            <w:r w:rsidRPr="0095719A">
              <w:rPr>
                <w:lang w:eastAsia="en-AU"/>
              </w:rPr>
              <w:t xml:space="preserve"> </w:t>
            </w:r>
            <w:r w:rsidR="001C68B4">
              <w:rPr>
                <w:lang w:eastAsia="en-AU"/>
              </w:rPr>
              <w:t>(</w:t>
            </w:r>
            <w:r w:rsidRPr="0095719A">
              <w:rPr>
                <w:lang w:eastAsia="en-AU"/>
              </w:rPr>
              <w:t>Kiribati</w:t>
            </w:r>
            <w:r w:rsidR="001C68B4">
              <w:rPr>
                <w:lang w:eastAsia="en-AU"/>
              </w:rPr>
              <w:t>)</w:t>
            </w:r>
            <w:r w:rsidR="00B556FC">
              <w:rPr>
                <w:lang w:eastAsia="en-AU"/>
              </w:rPr>
              <w:t>;</w:t>
            </w:r>
            <w:r w:rsidR="00B556FC" w:rsidRPr="0095719A">
              <w:rPr>
                <w:lang w:eastAsia="en-AU"/>
              </w:rPr>
              <w:t xml:space="preserve"> </w:t>
            </w:r>
            <w:r w:rsidRPr="0095719A">
              <w:rPr>
                <w:lang w:eastAsia="en-AU"/>
              </w:rPr>
              <w:t>Nauru Fibre Cable Corporation</w:t>
            </w:r>
            <w:r w:rsidR="00B556FC">
              <w:rPr>
                <w:lang w:eastAsia="en-AU"/>
              </w:rPr>
              <w:t>;</w:t>
            </w:r>
            <w:r w:rsidR="00B556FC" w:rsidRPr="0095719A">
              <w:rPr>
                <w:lang w:eastAsia="en-AU"/>
              </w:rPr>
              <w:t xml:space="preserve"> </w:t>
            </w:r>
            <w:r w:rsidRPr="0095719A">
              <w:rPr>
                <w:lang w:eastAsia="en-AU"/>
              </w:rPr>
              <w:t>NEC Corporation</w:t>
            </w:r>
          </w:p>
        </w:tc>
      </w:tr>
      <w:tr w:rsidR="000D628C" w:rsidRPr="00576490" w14:paraId="44791028"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045FB583" w14:textId="18A7BA0B" w:rsidR="007D1E37" w:rsidRPr="0083216E" w:rsidRDefault="007D1E37" w:rsidP="009D0B4A">
            <w:pPr>
              <w:pStyle w:val="TableBodyCopy"/>
              <w:rPr>
                <w:lang w:eastAsia="en-AU"/>
              </w:rPr>
            </w:pPr>
            <w:r w:rsidRPr="0083216E">
              <w:rPr>
                <w:lang w:eastAsia="en-AU"/>
              </w:rPr>
              <w:t xml:space="preserve">Infrastructure </w:t>
            </w:r>
            <w:r w:rsidR="00CA277D">
              <w:rPr>
                <w:lang w:eastAsia="en-AU"/>
              </w:rPr>
              <w:t>f</w:t>
            </w:r>
            <w:r w:rsidRPr="0083216E">
              <w:rPr>
                <w:lang w:eastAsia="en-AU"/>
              </w:rPr>
              <w:t xml:space="preserve">ellowships and </w:t>
            </w:r>
            <w:r w:rsidR="00CA277D">
              <w:rPr>
                <w:lang w:eastAsia="en-AU"/>
              </w:rPr>
              <w:t>e</w:t>
            </w:r>
            <w:r w:rsidRPr="0083216E">
              <w:rPr>
                <w:lang w:eastAsia="en-AU"/>
              </w:rPr>
              <w:t>ngagement</w:t>
            </w:r>
          </w:p>
        </w:tc>
        <w:tc>
          <w:tcPr>
            <w:tcW w:w="2126" w:type="dxa"/>
            <w:shd w:val="clear" w:color="auto" w:fill="D2DEE7"/>
          </w:tcPr>
          <w:p w14:paraId="66C30E92" w14:textId="759902B2"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2024</w:t>
            </w:r>
            <w:r w:rsidR="00EA3229">
              <w:rPr>
                <w:lang w:eastAsia="en-AU"/>
              </w:rPr>
              <w:t>–</w:t>
            </w:r>
            <w:r w:rsidRPr="0095719A">
              <w:rPr>
                <w:lang w:eastAsia="en-AU"/>
              </w:rPr>
              <w:t>28</w:t>
            </w:r>
          </w:p>
        </w:tc>
        <w:tc>
          <w:tcPr>
            <w:tcW w:w="3969" w:type="dxa"/>
            <w:shd w:val="clear" w:color="auto" w:fill="F2F2F2"/>
          </w:tcPr>
          <w:p w14:paraId="6412E8C7" w14:textId="0A096A8B" w:rsidR="007D1E37" w:rsidRPr="0095719A" w:rsidRDefault="00CA277D"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Not applicable</w:t>
            </w:r>
          </w:p>
        </w:tc>
      </w:tr>
      <w:tr w:rsidR="000D628C" w:rsidRPr="00576490" w14:paraId="258AD055"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736D9DA7" w14:textId="6266F11A" w:rsidR="007D1E37" w:rsidRPr="0083216E" w:rsidRDefault="007D1E37" w:rsidP="009D0B4A">
            <w:pPr>
              <w:pStyle w:val="TableBodyCopy"/>
              <w:rPr>
                <w:lang w:eastAsia="en-AU"/>
              </w:rPr>
            </w:pPr>
            <w:r w:rsidRPr="0083216E">
              <w:rPr>
                <w:lang w:eastAsia="en-AU"/>
              </w:rPr>
              <w:t>Pacific Direct Financing Fund</w:t>
            </w:r>
            <w:r w:rsidR="00CE0C76">
              <w:rPr>
                <w:lang w:eastAsia="en-AU"/>
              </w:rPr>
              <w:t xml:space="preserve"> (PDFF)</w:t>
            </w:r>
          </w:p>
        </w:tc>
        <w:tc>
          <w:tcPr>
            <w:tcW w:w="2126" w:type="dxa"/>
            <w:shd w:val="clear" w:color="auto" w:fill="D2DEE7"/>
          </w:tcPr>
          <w:p w14:paraId="4F4608AD" w14:textId="2648FDFC"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2023</w:t>
            </w:r>
            <w:r w:rsidR="00EA3229">
              <w:rPr>
                <w:lang w:eastAsia="en-AU"/>
              </w:rPr>
              <w:t>–</w:t>
            </w:r>
            <w:r w:rsidRPr="0095719A">
              <w:rPr>
                <w:lang w:eastAsia="en-AU"/>
              </w:rPr>
              <w:t>28</w:t>
            </w:r>
          </w:p>
        </w:tc>
        <w:tc>
          <w:tcPr>
            <w:tcW w:w="3969" w:type="dxa"/>
            <w:shd w:val="clear" w:color="auto" w:fill="F2F2F2"/>
          </w:tcPr>
          <w:p w14:paraId="4CC7BC2C" w14:textId="59447BD2" w:rsidR="007D1E37" w:rsidRPr="0095719A" w:rsidRDefault="00CD7352"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CB3B72">
              <w:rPr>
                <w:lang w:eastAsia="en-AU"/>
              </w:rPr>
              <w:t xml:space="preserve">Pacific </w:t>
            </w:r>
            <w:r w:rsidR="00CA277D">
              <w:rPr>
                <w:lang w:eastAsia="en-AU"/>
              </w:rPr>
              <w:t>i</w:t>
            </w:r>
            <w:r w:rsidR="00CA277D" w:rsidRPr="00CB3B72">
              <w:rPr>
                <w:lang w:eastAsia="en-AU"/>
              </w:rPr>
              <w:t xml:space="preserve">sland </w:t>
            </w:r>
            <w:r w:rsidRPr="00CB3B72">
              <w:rPr>
                <w:lang w:eastAsia="en-AU"/>
              </w:rPr>
              <w:t>governments</w:t>
            </w:r>
          </w:p>
        </w:tc>
      </w:tr>
      <w:tr w:rsidR="000D628C" w:rsidRPr="00576490" w14:paraId="60B0464B"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21689018" w14:textId="46B96EA9" w:rsidR="00CD2818" w:rsidRPr="0083216E" w:rsidRDefault="00CA277D" w:rsidP="009D0B4A">
            <w:pPr>
              <w:pStyle w:val="TableBodyCopy"/>
              <w:rPr>
                <w:lang w:eastAsia="en-AU"/>
              </w:rPr>
            </w:pPr>
            <w:r>
              <w:rPr>
                <w:lang w:eastAsia="en-AU"/>
              </w:rPr>
              <w:t xml:space="preserve">Pacific </w:t>
            </w:r>
            <w:r w:rsidR="00CE4604" w:rsidRPr="00740046">
              <w:rPr>
                <w:lang w:eastAsia="en-AU"/>
              </w:rPr>
              <w:t>Fiscal Budget Support</w:t>
            </w:r>
            <w:r w:rsidR="00CE0C76">
              <w:rPr>
                <w:lang w:eastAsia="en-AU"/>
              </w:rPr>
              <w:t xml:space="preserve"> (</w:t>
            </w:r>
            <w:r w:rsidR="00D03056">
              <w:rPr>
                <w:lang w:eastAsia="en-AU"/>
              </w:rPr>
              <w:t>FBS)</w:t>
            </w:r>
          </w:p>
        </w:tc>
        <w:tc>
          <w:tcPr>
            <w:tcW w:w="2126" w:type="dxa"/>
            <w:shd w:val="clear" w:color="auto" w:fill="D2DEE7"/>
          </w:tcPr>
          <w:p w14:paraId="436CAC87" w14:textId="334F07DF" w:rsidR="00CD2818" w:rsidRPr="0095719A" w:rsidRDefault="00DA70E6"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2020</w:t>
            </w:r>
            <w:r w:rsidR="00EA3229">
              <w:rPr>
                <w:lang w:eastAsia="en-AU"/>
              </w:rPr>
              <w:t>–</w:t>
            </w:r>
            <w:r>
              <w:rPr>
                <w:lang w:eastAsia="en-AU"/>
              </w:rPr>
              <w:t>25</w:t>
            </w:r>
          </w:p>
        </w:tc>
        <w:tc>
          <w:tcPr>
            <w:tcW w:w="3969" w:type="dxa"/>
            <w:shd w:val="clear" w:color="auto" w:fill="F2F2F2"/>
          </w:tcPr>
          <w:p w14:paraId="3B239FA5" w14:textId="79EDD505" w:rsidR="00CD2818" w:rsidRPr="00CB3B72" w:rsidRDefault="00DA70E6"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CB3B72">
              <w:rPr>
                <w:lang w:eastAsia="en-AU"/>
              </w:rPr>
              <w:t xml:space="preserve">Pacific </w:t>
            </w:r>
            <w:r w:rsidR="00CA277D">
              <w:rPr>
                <w:lang w:eastAsia="en-AU"/>
              </w:rPr>
              <w:t>i</w:t>
            </w:r>
            <w:r w:rsidR="00CA277D" w:rsidRPr="00CB3B72">
              <w:rPr>
                <w:lang w:eastAsia="en-AU"/>
              </w:rPr>
              <w:t xml:space="preserve">sland </w:t>
            </w:r>
            <w:r w:rsidRPr="00CB3B72">
              <w:rPr>
                <w:lang w:eastAsia="en-AU"/>
              </w:rPr>
              <w:t>governments</w:t>
            </w:r>
          </w:p>
        </w:tc>
      </w:tr>
      <w:tr w:rsidR="000D628C" w:rsidRPr="00576490" w14:paraId="6A08F919"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59671961" w14:textId="341206F2" w:rsidR="007D1E37" w:rsidRPr="0083216E" w:rsidRDefault="007D1E37" w:rsidP="009D0B4A">
            <w:pPr>
              <w:pStyle w:val="TableBodyCopy"/>
              <w:rPr>
                <w:lang w:eastAsia="en-AU"/>
              </w:rPr>
            </w:pPr>
            <w:r w:rsidRPr="0083216E">
              <w:rPr>
                <w:lang w:eastAsia="en-AU"/>
              </w:rPr>
              <w:t xml:space="preserve">Support for Pacific </w:t>
            </w:r>
            <w:r w:rsidR="00CA277D">
              <w:rPr>
                <w:lang w:eastAsia="en-AU"/>
              </w:rPr>
              <w:t>s</w:t>
            </w:r>
            <w:r w:rsidRPr="0083216E">
              <w:rPr>
                <w:lang w:eastAsia="en-AU"/>
              </w:rPr>
              <w:t>tatistics</w:t>
            </w:r>
          </w:p>
        </w:tc>
        <w:tc>
          <w:tcPr>
            <w:tcW w:w="2126" w:type="dxa"/>
            <w:shd w:val="clear" w:color="auto" w:fill="D2DEE7"/>
          </w:tcPr>
          <w:p w14:paraId="63458989" w14:textId="32A13B92"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2023</w:t>
            </w:r>
            <w:r w:rsidR="00EA3229">
              <w:rPr>
                <w:lang w:eastAsia="en-AU"/>
              </w:rPr>
              <w:t>–</w:t>
            </w:r>
            <w:r w:rsidRPr="0095719A">
              <w:rPr>
                <w:lang w:eastAsia="en-AU"/>
              </w:rPr>
              <w:t>27</w:t>
            </w:r>
          </w:p>
        </w:tc>
        <w:tc>
          <w:tcPr>
            <w:tcW w:w="3969" w:type="dxa"/>
            <w:shd w:val="clear" w:color="auto" w:fill="F2F2F2"/>
          </w:tcPr>
          <w:p w14:paraId="7DBA2ACD" w14:textId="208B39D3" w:rsidR="007D1E37" w:rsidRPr="0095719A" w:rsidRDefault="003D5EE9"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C5CBC">
              <w:rPr>
                <w:lang w:eastAsia="en-AU"/>
              </w:rPr>
              <w:t>Pacific Community (</w:t>
            </w:r>
            <w:r w:rsidR="007D1E37" w:rsidRPr="009C5CBC">
              <w:rPr>
                <w:lang w:eastAsia="en-AU"/>
              </w:rPr>
              <w:t>SPC</w:t>
            </w:r>
            <w:r w:rsidR="00B435E0">
              <w:rPr>
                <w:lang w:eastAsia="en-AU"/>
              </w:rPr>
              <w:t>);</w:t>
            </w:r>
            <w:r w:rsidR="007D1E37" w:rsidRPr="0095719A">
              <w:rPr>
                <w:lang w:eastAsia="en-AU"/>
              </w:rPr>
              <w:t xml:space="preserve"> Australia</w:t>
            </w:r>
            <w:r>
              <w:rPr>
                <w:lang w:eastAsia="en-AU"/>
              </w:rPr>
              <w:t>n</w:t>
            </w:r>
            <w:r w:rsidR="009C5CBC">
              <w:rPr>
                <w:lang w:eastAsia="en-AU"/>
              </w:rPr>
              <w:t xml:space="preserve"> </w:t>
            </w:r>
            <w:r w:rsidR="007D1E37" w:rsidRPr="0095719A">
              <w:rPr>
                <w:lang w:eastAsia="en-AU"/>
              </w:rPr>
              <w:t>Bureau of Statistics</w:t>
            </w:r>
          </w:p>
        </w:tc>
      </w:tr>
      <w:tr w:rsidR="000D628C" w:rsidRPr="002D2064" w14:paraId="2E114656"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75493362" w14:textId="6D8CB3AC" w:rsidR="007D1E37" w:rsidRPr="0083216E" w:rsidRDefault="007D1E37" w:rsidP="009D0B4A">
            <w:pPr>
              <w:pStyle w:val="TableBodyCopy"/>
              <w:rPr>
                <w:lang w:eastAsia="en-AU"/>
              </w:rPr>
            </w:pPr>
            <w:r w:rsidRPr="0083216E">
              <w:rPr>
                <w:lang w:eastAsia="en-AU"/>
              </w:rPr>
              <w:t xml:space="preserve">Papua New Guinea and Pacific Islands Umbrella Facility (PPIUF) </w:t>
            </w:r>
            <w:r w:rsidR="00B435E0">
              <w:rPr>
                <w:lang w:eastAsia="en-AU"/>
              </w:rPr>
              <w:t>M</w:t>
            </w:r>
            <w:r w:rsidRPr="0083216E">
              <w:rPr>
                <w:lang w:eastAsia="en-AU"/>
              </w:rPr>
              <w:t>ulti</w:t>
            </w:r>
            <w:r w:rsidR="00B435E0">
              <w:rPr>
                <w:lang w:eastAsia="en-AU"/>
              </w:rPr>
              <w:t>-D</w:t>
            </w:r>
            <w:r w:rsidRPr="0083216E">
              <w:rPr>
                <w:lang w:eastAsia="en-AU"/>
              </w:rPr>
              <w:t xml:space="preserve">onor </w:t>
            </w:r>
            <w:r w:rsidR="00B435E0">
              <w:rPr>
                <w:lang w:eastAsia="en-AU"/>
              </w:rPr>
              <w:t>T</w:t>
            </w:r>
            <w:r w:rsidRPr="0083216E">
              <w:rPr>
                <w:lang w:eastAsia="en-AU"/>
              </w:rPr>
              <w:t xml:space="preserve">rust </w:t>
            </w:r>
            <w:r w:rsidR="00B435E0">
              <w:rPr>
                <w:lang w:eastAsia="en-AU"/>
              </w:rPr>
              <w:t>F</w:t>
            </w:r>
            <w:r w:rsidRPr="0083216E">
              <w:rPr>
                <w:lang w:eastAsia="en-AU"/>
              </w:rPr>
              <w:t>und</w:t>
            </w:r>
          </w:p>
        </w:tc>
        <w:tc>
          <w:tcPr>
            <w:tcW w:w="2126" w:type="dxa"/>
            <w:shd w:val="clear" w:color="auto" w:fill="D2DEE7"/>
          </w:tcPr>
          <w:p w14:paraId="144527BF" w14:textId="6E7718B8"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2021</w:t>
            </w:r>
            <w:r w:rsidR="00EA3229">
              <w:rPr>
                <w:lang w:eastAsia="en-AU"/>
              </w:rPr>
              <w:t>–</w:t>
            </w:r>
            <w:r w:rsidRPr="0095719A">
              <w:rPr>
                <w:lang w:eastAsia="en-AU"/>
              </w:rPr>
              <w:t>31</w:t>
            </w:r>
          </w:p>
        </w:tc>
        <w:tc>
          <w:tcPr>
            <w:tcW w:w="3969" w:type="dxa"/>
            <w:shd w:val="clear" w:color="auto" w:fill="F2F2F2"/>
          </w:tcPr>
          <w:p w14:paraId="3C1288A7" w14:textId="7FCE28CE"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World Bank</w:t>
            </w:r>
            <w:r w:rsidR="00B435E0">
              <w:rPr>
                <w:lang w:eastAsia="en-AU"/>
              </w:rPr>
              <w:t>;</w:t>
            </w:r>
            <w:r w:rsidRPr="0095719A">
              <w:rPr>
                <w:lang w:eastAsia="en-AU"/>
              </w:rPr>
              <w:t xml:space="preserve"> N</w:t>
            </w:r>
            <w:r w:rsidR="003D5EE9">
              <w:rPr>
                <w:lang w:eastAsia="en-AU"/>
              </w:rPr>
              <w:t xml:space="preserve">ew </w:t>
            </w:r>
            <w:r w:rsidRPr="0095719A">
              <w:rPr>
                <w:lang w:eastAsia="en-AU"/>
              </w:rPr>
              <w:t>Z</w:t>
            </w:r>
            <w:r w:rsidR="003D5EE9">
              <w:rPr>
                <w:lang w:eastAsia="en-AU"/>
              </w:rPr>
              <w:t>ealand</w:t>
            </w:r>
            <w:r w:rsidRPr="0095719A">
              <w:rPr>
                <w:lang w:eastAsia="en-AU"/>
              </w:rPr>
              <w:t xml:space="preserve"> </w:t>
            </w:r>
            <w:r w:rsidR="00326D20">
              <w:rPr>
                <w:lang w:eastAsia="en-AU"/>
              </w:rPr>
              <w:t xml:space="preserve">Government </w:t>
            </w:r>
            <w:r w:rsidRPr="0095719A">
              <w:rPr>
                <w:lang w:eastAsia="en-AU"/>
              </w:rPr>
              <w:t>M</w:t>
            </w:r>
            <w:r w:rsidR="00326D20">
              <w:rPr>
                <w:lang w:eastAsia="en-AU"/>
              </w:rPr>
              <w:t xml:space="preserve">inistry of </w:t>
            </w:r>
            <w:r w:rsidRPr="0095719A">
              <w:rPr>
                <w:lang w:eastAsia="en-AU"/>
              </w:rPr>
              <w:t>F</w:t>
            </w:r>
            <w:r w:rsidR="00326D20">
              <w:rPr>
                <w:lang w:eastAsia="en-AU"/>
              </w:rPr>
              <w:t xml:space="preserve">oreign </w:t>
            </w:r>
            <w:r w:rsidRPr="0095719A">
              <w:rPr>
                <w:lang w:eastAsia="en-AU"/>
              </w:rPr>
              <w:t>A</w:t>
            </w:r>
            <w:r w:rsidR="00326D20">
              <w:rPr>
                <w:lang w:eastAsia="en-AU"/>
              </w:rPr>
              <w:t xml:space="preserve">ffairs and </w:t>
            </w:r>
            <w:r w:rsidRPr="0095719A">
              <w:rPr>
                <w:lang w:eastAsia="en-AU"/>
              </w:rPr>
              <w:t>T</w:t>
            </w:r>
            <w:r w:rsidR="00326D20">
              <w:rPr>
                <w:lang w:eastAsia="en-AU"/>
              </w:rPr>
              <w:t>rade</w:t>
            </w:r>
            <w:r w:rsidRPr="0095719A">
              <w:rPr>
                <w:lang w:eastAsia="en-AU"/>
              </w:rPr>
              <w:t xml:space="preserve"> </w:t>
            </w:r>
            <w:r w:rsidR="009049DF">
              <w:rPr>
                <w:lang w:eastAsia="en-AU"/>
              </w:rPr>
              <w:t>(</w:t>
            </w:r>
            <w:r w:rsidRPr="0095719A">
              <w:rPr>
                <w:lang w:eastAsia="en-AU"/>
              </w:rPr>
              <w:t>MFAT</w:t>
            </w:r>
            <w:r w:rsidR="009049DF">
              <w:rPr>
                <w:lang w:eastAsia="en-AU"/>
              </w:rPr>
              <w:t>)</w:t>
            </w:r>
          </w:p>
        </w:tc>
      </w:tr>
      <w:tr w:rsidR="000D628C" w:rsidRPr="00576490" w14:paraId="0444E7E7"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22848470" w14:textId="69FC2C06" w:rsidR="007D1E37" w:rsidRPr="0083216E" w:rsidRDefault="007D1E37" w:rsidP="009D0B4A">
            <w:pPr>
              <w:pStyle w:val="TableBodyCopy"/>
              <w:rPr>
                <w:lang w:eastAsia="en-AU"/>
              </w:rPr>
            </w:pPr>
            <w:r w:rsidRPr="0083216E">
              <w:rPr>
                <w:lang w:eastAsia="en-AU"/>
              </w:rPr>
              <w:lastRenderedPageBreak/>
              <w:t xml:space="preserve">Strengthening Pacific Public Sector Audit </w:t>
            </w:r>
            <w:r w:rsidR="008E4662">
              <w:rPr>
                <w:lang w:eastAsia="en-AU"/>
              </w:rPr>
              <w:t>I</w:t>
            </w:r>
            <w:r w:rsidRPr="0083216E">
              <w:rPr>
                <w:lang w:eastAsia="en-AU"/>
              </w:rPr>
              <w:t>nitiative</w:t>
            </w:r>
          </w:p>
        </w:tc>
        <w:tc>
          <w:tcPr>
            <w:tcW w:w="2126" w:type="dxa"/>
            <w:shd w:val="clear" w:color="auto" w:fill="D2DEE7"/>
          </w:tcPr>
          <w:p w14:paraId="50D98E49" w14:textId="0A31D2A7"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2023</w:t>
            </w:r>
            <w:r w:rsidR="00EA3229">
              <w:rPr>
                <w:lang w:eastAsia="en-AU"/>
              </w:rPr>
              <w:t>–</w:t>
            </w:r>
            <w:r w:rsidRPr="0095719A">
              <w:rPr>
                <w:lang w:eastAsia="en-AU"/>
              </w:rPr>
              <w:t>29</w:t>
            </w:r>
          </w:p>
        </w:tc>
        <w:tc>
          <w:tcPr>
            <w:tcW w:w="3969" w:type="dxa"/>
            <w:shd w:val="clear" w:color="auto" w:fill="F2F2F2"/>
          </w:tcPr>
          <w:p w14:paraId="453458F1" w14:textId="346AF66F"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Pacific Association of Supreme Audit Institutions</w:t>
            </w:r>
          </w:p>
        </w:tc>
      </w:tr>
      <w:tr w:rsidR="000D628C" w:rsidRPr="00576490" w14:paraId="4098DA70"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62812DEE" w14:textId="0CD955D6" w:rsidR="007D1E37" w:rsidRPr="0083216E" w:rsidRDefault="007D1E37" w:rsidP="009D0B4A">
            <w:pPr>
              <w:pStyle w:val="TableBodyCopy"/>
              <w:rPr>
                <w:lang w:eastAsia="en-AU"/>
              </w:rPr>
            </w:pPr>
            <w:r w:rsidRPr="0083216E">
              <w:rPr>
                <w:lang w:eastAsia="en-AU"/>
              </w:rPr>
              <w:t>Partnerships for Social Protection (P4SP)</w:t>
            </w:r>
            <w:r w:rsidR="00E30EA4">
              <w:rPr>
                <w:lang w:eastAsia="en-AU"/>
              </w:rPr>
              <w:t xml:space="preserve"> </w:t>
            </w:r>
          </w:p>
        </w:tc>
        <w:tc>
          <w:tcPr>
            <w:tcW w:w="2126" w:type="dxa"/>
            <w:shd w:val="clear" w:color="auto" w:fill="D2DEE7"/>
          </w:tcPr>
          <w:p w14:paraId="10CBF954" w14:textId="067CC8C9"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2021</w:t>
            </w:r>
            <w:r w:rsidR="00EA3229">
              <w:rPr>
                <w:lang w:eastAsia="en-AU"/>
              </w:rPr>
              <w:t>–</w:t>
            </w:r>
            <w:r w:rsidRPr="0095719A">
              <w:rPr>
                <w:lang w:eastAsia="en-AU"/>
              </w:rPr>
              <w:t>25</w:t>
            </w:r>
          </w:p>
        </w:tc>
        <w:tc>
          <w:tcPr>
            <w:tcW w:w="3969" w:type="dxa"/>
            <w:shd w:val="clear" w:color="auto" w:fill="F2F2F2"/>
          </w:tcPr>
          <w:p w14:paraId="7C28B446" w14:textId="7C2F6CEE"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 xml:space="preserve">Pacific </w:t>
            </w:r>
            <w:r w:rsidR="00531465">
              <w:rPr>
                <w:lang w:eastAsia="en-AU"/>
              </w:rPr>
              <w:t>i</w:t>
            </w:r>
            <w:r w:rsidR="00531465" w:rsidRPr="0095719A">
              <w:rPr>
                <w:lang w:eastAsia="en-AU"/>
              </w:rPr>
              <w:t xml:space="preserve">sland </w:t>
            </w:r>
            <w:r w:rsidRPr="0095719A">
              <w:rPr>
                <w:lang w:eastAsia="en-AU"/>
              </w:rPr>
              <w:t>governments</w:t>
            </w:r>
          </w:p>
        </w:tc>
      </w:tr>
      <w:tr w:rsidR="000D628C" w:rsidRPr="00033351" w14:paraId="1C283EBD"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4300E204" w14:textId="4272E337" w:rsidR="007D1E37" w:rsidRPr="0083216E" w:rsidRDefault="007D1E37" w:rsidP="009D0B4A">
            <w:pPr>
              <w:pStyle w:val="TableBodyCopy"/>
              <w:rPr>
                <w:lang w:eastAsia="en-AU"/>
              </w:rPr>
            </w:pPr>
            <w:r w:rsidRPr="0083216E">
              <w:rPr>
                <w:lang w:eastAsia="en-AU"/>
              </w:rPr>
              <w:t>Pacific Horticultural and Agricultural Market Access</w:t>
            </w:r>
            <w:r w:rsidR="00550927">
              <w:rPr>
                <w:lang w:eastAsia="en-AU"/>
              </w:rPr>
              <w:t xml:space="preserve"> Plus</w:t>
            </w:r>
            <w:r w:rsidRPr="0083216E">
              <w:rPr>
                <w:lang w:eastAsia="en-AU"/>
              </w:rPr>
              <w:t xml:space="preserve"> (PHAMA Plus</w:t>
            </w:r>
            <w:r w:rsidR="00550927">
              <w:rPr>
                <w:lang w:eastAsia="en-AU"/>
              </w:rPr>
              <w:t>) Program</w:t>
            </w:r>
          </w:p>
        </w:tc>
        <w:tc>
          <w:tcPr>
            <w:tcW w:w="2126" w:type="dxa"/>
            <w:shd w:val="clear" w:color="auto" w:fill="D2DEE7"/>
          </w:tcPr>
          <w:p w14:paraId="13EB7970" w14:textId="4C839F74"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2018</w:t>
            </w:r>
            <w:r w:rsidR="00EA3229">
              <w:rPr>
                <w:lang w:eastAsia="en-AU"/>
              </w:rPr>
              <w:t>–</w:t>
            </w:r>
            <w:r w:rsidRPr="0095719A">
              <w:rPr>
                <w:lang w:eastAsia="en-AU"/>
              </w:rPr>
              <w:t>26</w:t>
            </w:r>
          </w:p>
        </w:tc>
        <w:tc>
          <w:tcPr>
            <w:tcW w:w="3969" w:type="dxa"/>
            <w:shd w:val="clear" w:color="auto" w:fill="F2F2F2"/>
          </w:tcPr>
          <w:p w14:paraId="4B9E8A30" w14:textId="1593C7E1"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 xml:space="preserve">Pacific </w:t>
            </w:r>
            <w:r w:rsidR="00531465">
              <w:rPr>
                <w:lang w:eastAsia="en-AU"/>
              </w:rPr>
              <w:t>i</w:t>
            </w:r>
            <w:r w:rsidR="00531465" w:rsidRPr="0095719A">
              <w:rPr>
                <w:lang w:eastAsia="en-AU"/>
              </w:rPr>
              <w:t xml:space="preserve">sland </w:t>
            </w:r>
            <w:r w:rsidRPr="0095719A">
              <w:rPr>
                <w:lang w:eastAsia="en-AU"/>
              </w:rPr>
              <w:t>governments</w:t>
            </w:r>
            <w:r w:rsidR="00531465">
              <w:rPr>
                <w:lang w:eastAsia="en-AU"/>
              </w:rPr>
              <w:t>;</w:t>
            </w:r>
            <w:r w:rsidRPr="0095719A">
              <w:rPr>
                <w:lang w:eastAsia="en-AU"/>
              </w:rPr>
              <w:t xml:space="preserve"> </w:t>
            </w:r>
            <w:r w:rsidR="00531465" w:rsidRPr="0095719A">
              <w:rPr>
                <w:lang w:eastAsia="en-AU"/>
              </w:rPr>
              <w:t>N</w:t>
            </w:r>
            <w:r w:rsidR="00531465">
              <w:rPr>
                <w:lang w:eastAsia="en-AU"/>
              </w:rPr>
              <w:t xml:space="preserve">ew </w:t>
            </w:r>
            <w:r w:rsidR="00531465" w:rsidRPr="0095719A">
              <w:rPr>
                <w:lang w:eastAsia="en-AU"/>
              </w:rPr>
              <w:t>Z</w:t>
            </w:r>
            <w:r w:rsidR="00531465">
              <w:rPr>
                <w:lang w:eastAsia="en-AU"/>
              </w:rPr>
              <w:t xml:space="preserve">ealand Government </w:t>
            </w:r>
            <w:r w:rsidRPr="0095719A">
              <w:rPr>
                <w:lang w:eastAsia="en-AU"/>
              </w:rPr>
              <w:t>MFAT</w:t>
            </w:r>
            <w:r w:rsidR="00110124">
              <w:rPr>
                <w:lang w:eastAsia="en-AU"/>
              </w:rPr>
              <w:t>;</w:t>
            </w:r>
            <w:r w:rsidR="00110124" w:rsidRPr="0095719A">
              <w:rPr>
                <w:lang w:eastAsia="en-AU"/>
              </w:rPr>
              <w:t xml:space="preserve"> </w:t>
            </w:r>
            <w:r w:rsidRPr="0095719A">
              <w:rPr>
                <w:lang w:eastAsia="en-AU"/>
              </w:rPr>
              <w:t>private sector</w:t>
            </w:r>
          </w:p>
        </w:tc>
      </w:tr>
      <w:tr w:rsidR="000D628C" w:rsidRPr="00033351" w14:paraId="441CDBA4"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4EFB9055" w14:textId="77252A1C" w:rsidR="007D1E37" w:rsidRPr="0083216E" w:rsidRDefault="007D1E37" w:rsidP="009D0B4A">
            <w:pPr>
              <w:pStyle w:val="TableBodyCopy"/>
              <w:rPr>
                <w:lang w:eastAsia="en-AU"/>
              </w:rPr>
            </w:pPr>
            <w:r w:rsidRPr="0083216E">
              <w:rPr>
                <w:lang w:eastAsia="en-AU"/>
              </w:rPr>
              <w:t>Market Development Facility (MDF)</w:t>
            </w:r>
          </w:p>
        </w:tc>
        <w:tc>
          <w:tcPr>
            <w:tcW w:w="2126" w:type="dxa"/>
            <w:shd w:val="clear" w:color="auto" w:fill="D2DEE7"/>
          </w:tcPr>
          <w:p w14:paraId="23DCE525" w14:textId="6BB9D489"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2017</w:t>
            </w:r>
            <w:r w:rsidR="00EA3229">
              <w:rPr>
                <w:lang w:eastAsia="en-AU"/>
              </w:rPr>
              <w:t>–</w:t>
            </w:r>
            <w:r w:rsidRPr="0095719A">
              <w:rPr>
                <w:lang w:eastAsia="en-AU"/>
              </w:rPr>
              <w:t>27</w:t>
            </w:r>
          </w:p>
        </w:tc>
        <w:tc>
          <w:tcPr>
            <w:tcW w:w="3969" w:type="dxa"/>
            <w:shd w:val="clear" w:color="auto" w:fill="F2F2F2"/>
          </w:tcPr>
          <w:p w14:paraId="6C4F953B" w14:textId="4ED9BB7E"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 xml:space="preserve">Pacific </w:t>
            </w:r>
            <w:r w:rsidR="00085A4B">
              <w:rPr>
                <w:lang w:eastAsia="en-AU"/>
              </w:rPr>
              <w:t>i</w:t>
            </w:r>
            <w:r w:rsidRPr="0095719A">
              <w:rPr>
                <w:lang w:eastAsia="en-AU"/>
              </w:rPr>
              <w:t xml:space="preserve">sland governments, </w:t>
            </w:r>
            <w:r w:rsidR="00531465" w:rsidRPr="0095719A">
              <w:rPr>
                <w:lang w:eastAsia="en-AU"/>
              </w:rPr>
              <w:t>N</w:t>
            </w:r>
            <w:r w:rsidR="00531465">
              <w:rPr>
                <w:lang w:eastAsia="en-AU"/>
              </w:rPr>
              <w:t xml:space="preserve">ew </w:t>
            </w:r>
            <w:r w:rsidR="00531465" w:rsidRPr="0095719A">
              <w:rPr>
                <w:lang w:eastAsia="en-AU"/>
              </w:rPr>
              <w:t>Z</w:t>
            </w:r>
            <w:r w:rsidR="00531465">
              <w:rPr>
                <w:lang w:eastAsia="en-AU"/>
              </w:rPr>
              <w:t xml:space="preserve">ealand Government </w:t>
            </w:r>
            <w:r w:rsidRPr="0095719A">
              <w:rPr>
                <w:lang w:eastAsia="en-AU"/>
              </w:rPr>
              <w:t>MFAT</w:t>
            </w:r>
          </w:p>
        </w:tc>
      </w:tr>
      <w:tr w:rsidR="000D628C" w:rsidRPr="00576490" w14:paraId="0CBF4CF9"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2222E8F0" w14:textId="63067EEE" w:rsidR="007D1E37" w:rsidRPr="0083216E" w:rsidRDefault="007D1E37" w:rsidP="009D0B4A">
            <w:pPr>
              <w:pStyle w:val="TableBodyCopy"/>
              <w:rPr>
                <w:lang w:eastAsia="en-AU"/>
              </w:rPr>
            </w:pPr>
            <w:bookmarkStart w:id="18" w:name="_Hlk173938352"/>
            <w:r w:rsidRPr="0083216E">
              <w:rPr>
                <w:lang w:eastAsia="en-AU"/>
              </w:rPr>
              <w:t xml:space="preserve">Pacific Australia Labour Mobility (PALM) </w:t>
            </w:r>
            <w:r w:rsidR="00110124">
              <w:rPr>
                <w:lang w:eastAsia="en-AU"/>
              </w:rPr>
              <w:t>s</w:t>
            </w:r>
            <w:r w:rsidRPr="0083216E">
              <w:rPr>
                <w:lang w:eastAsia="en-AU"/>
              </w:rPr>
              <w:t>cheme</w:t>
            </w:r>
          </w:p>
        </w:tc>
        <w:tc>
          <w:tcPr>
            <w:tcW w:w="2126" w:type="dxa"/>
            <w:shd w:val="clear" w:color="auto" w:fill="D2DEE7"/>
          </w:tcPr>
          <w:p w14:paraId="304F082B" w14:textId="0B405086"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2017</w:t>
            </w:r>
            <w:r w:rsidR="00EA3229">
              <w:rPr>
                <w:lang w:eastAsia="en-AU"/>
              </w:rPr>
              <w:t>–</w:t>
            </w:r>
            <w:r w:rsidRPr="0095719A">
              <w:rPr>
                <w:lang w:eastAsia="en-AU"/>
              </w:rPr>
              <w:t>24</w:t>
            </w:r>
          </w:p>
        </w:tc>
        <w:tc>
          <w:tcPr>
            <w:tcW w:w="3969" w:type="dxa"/>
            <w:shd w:val="clear" w:color="auto" w:fill="F2F2F2"/>
          </w:tcPr>
          <w:p w14:paraId="62F93050" w14:textId="2604FB84" w:rsidR="007D1E37" w:rsidRPr="009D0B4A" w:rsidRDefault="00A37732" w:rsidP="009D0B4A">
            <w:pPr>
              <w:pStyle w:val="TableBodyCopy"/>
              <w:cnfStyle w:val="000000000000" w:firstRow="0" w:lastRow="0" w:firstColumn="0" w:lastColumn="0" w:oddVBand="0" w:evenVBand="0" w:oddHBand="0" w:evenHBand="0" w:firstRowFirstColumn="0" w:firstRowLastColumn="0" w:lastRowFirstColumn="0" w:lastRowLastColumn="0"/>
              <w:rPr>
                <w:rFonts w:cstheme="minorBidi"/>
                <w:lang w:eastAsia="en-AU"/>
              </w:rPr>
            </w:pPr>
            <w:r w:rsidRPr="15ACA5A5">
              <w:rPr>
                <w:rFonts w:cstheme="minorBidi"/>
                <w:lang w:eastAsia="en-AU"/>
              </w:rPr>
              <w:t xml:space="preserve">Pacific </w:t>
            </w:r>
            <w:r w:rsidR="00110124">
              <w:rPr>
                <w:rFonts w:cstheme="minorBidi"/>
                <w:lang w:eastAsia="en-AU"/>
              </w:rPr>
              <w:t>i</w:t>
            </w:r>
            <w:r w:rsidR="00110124" w:rsidRPr="15ACA5A5">
              <w:rPr>
                <w:rFonts w:cstheme="minorBidi"/>
                <w:lang w:eastAsia="en-AU"/>
              </w:rPr>
              <w:t xml:space="preserve">sland </w:t>
            </w:r>
            <w:r w:rsidRPr="15ACA5A5">
              <w:rPr>
                <w:rFonts w:cstheme="minorBidi"/>
                <w:lang w:eastAsia="en-AU"/>
              </w:rPr>
              <w:t>governments</w:t>
            </w:r>
            <w:r w:rsidR="00110124">
              <w:rPr>
                <w:rFonts w:cstheme="minorBidi"/>
                <w:lang w:eastAsia="en-AU"/>
              </w:rPr>
              <w:t>;</w:t>
            </w:r>
            <w:r w:rsidR="00110124" w:rsidRPr="15ACA5A5">
              <w:rPr>
                <w:rFonts w:cstheme="minorBidi"/>
                <w:lang w:eastAsia="en-AU"/>
              </w:rPr>
              <w:t xml:space="preserve"> </w:t>
            </w:r>
            <w:r w:rsidR="00531465" w:rsidRPr="0095719A">
              <w:rPr>
                <w:lang w:eastAsia="en-AU"/>
              </w:rPr>
              <w:t>N</w:t>
            </w:r>
            <w:r w:rsidR="00531465">
              <w:rPr>
                <w:lang w:eastAsia="en-AU"/>
              </w:rPr>
              <w:t xml:space="preserve">ew </w:t>
            </w:r>
            <w:r w:rsidR="00531465" w:rsidRPr="0095719A">
              <w:rPr>
                <w:lang w:eastAsia="en-AU"/>
              </w:rPr>
              <w:t>Z</w:t>
            </w:r>
            <w:r w:rsidR="00531465">
              <w:rPr>
                <w:lang w:eastAsia="en-AU"/>
              </w:rPr>
              <w:t>ealand</w:t>
            </w:r>
            <w:r w:rsidR="00531465" w:rsidRPr="0095719A">
              <w:rPr>
                <w:lang w:eastAsia="en-AU"/>
              </w:rPr>
              <w:t xml:space="preserve"> </w:t>
            </w:r>
            <w:r w:rsidR="00531465">
              <w:rPr>
                <w:lang w:eastAsia="en-AU"/>
              </w:rPr>
              <w:t xml:space="preserve">Government </w:t>
            </w:r>
            <w:r w:rsidRPr="15ACA5A5">
              <w:rPr>
                <w:rFonts w:cstheme="minorBidi"/>
                <w:lang w:eastAsia="en-AU"/>
              </w:rPr>
              <w:t>MFAT</w:t>
            </w:r>
            <w:r w:rsidR="00110124">
              <w:rPr>
                <w:rFonts w:cstheme="minorBidi"/>
                <w:lang w:eastAsia="en-AU"/>
              </w:rPr>
              <w:t>;</w:t>
            </w:r>
            <w:r w:rsidR="00110124" w:rsidRPr="15ACA5A5">
              <w:rPr>
                <w:rFonts w:cstheme="minorBidi"/>
                <w:lang w:eastAsia="en-AU"/>
              </w:rPr>
              <w:t xml:space="preserve"> </w:t>
            </w:r>
            <w:r w:rsidRPr="15ACA5A5">
              <w:rPr>
                <w:rFonts w:cstheme="minorBidi"/>
                <w:lang w:eastAsia="en-AU"/>
              </w:rPr>
              <w:t xml:space="preserve">Australian private sector </w:t>
            </w:r>
            <w:r w:rsidR="00FE0E4A" w:rsidRPr="15ACA5A5">
              <w:rPr>
                <w:rFonts w:cstheme="minorBidi"/>
                <w:lang w:eastAsia="en-AU"/>
              </w:rPr>
              <w:t>employers</w:t>
            </w:r>
            <w:r w:rsidR="00110124">
              <w:rPr>
                <w:rFonts w:cstheme="minorBidi"/>
                <w:lang w:eastAsia="en-AU"/>
              </w:rPr>
              <w:t>;</w:t>
            </w:r>
            <w:r w:rsidR="00110124" w:rsidRPr="15ACA5A5">
              <w:rPr>
                <w:rFonts w:cstheme="minorBidi"/>
                <w:lang w:eastAsia="en-AU"/>
              </w:rPr>
              <w:t xml:space="preserve"> </w:t>
            </w:r>
            <w:r w:rsidR="00FE0E4A" w:rsidRPr="15ACA5A5">
              <w:rPr>
                <w:rFonts w:cstheme="minorBidi"/>
                <w:lang w:eastAsia="en-AU"/>
              </w:rPr>
              <w:t>Australian</w:t>
            </w:r>
            <w:r w:rsidRPr="15ACA5A5">
              <w:rPr>
                <w:rFonts w:cstheme="minorBidi"/>
                <w:lang w:eastAsia="en-AU"/>
              </w:rPr>
              <w:t xml:space="preserve"> </w:t>
            </w:r>
            <w:r w:rsidR="0050063C" w:rsidRPr="15ACA5A5">
              <w:rPr>
                <w:rFonts w:cstheme="minorBidi"/>
                <w:lang w:eastAsia="en-AU"/>
              </w:rPr>
              <w:t>Government partners</w:t>
            </w:r>
            <w:r w:rsidRPr="15ACA5A5">
              <w:rPr>
                <w:rFonts w:cstheme="minorBidi"/>
                <w:lang w:eastAsia="en-AU"/>
              </w:rPr>
              <w:t xml:space="preserve"> (</w:t>
            </w:r>
            <w:r w:rsidR="00C938D9">
              <w:rPr>
                <w:rFonts w:cstheme="minorBidi"/>
                <w:lang w:eastAsia="en-AU"/>
              </w:rPr>
              <w:t xml:space="preserve">Department of </w:t>
            </w:r>
            <w:r w:rsidRPr="15ACA5A5">
              <w:rPr>
                <w:rFonts w:cstheme="minorBidi"/>
                <w:lang w:eastAsia="en-AU"/>
              </w:rPr>
              <w:t>Home Affairs</w:t>
            </w:r>
            <w:r w:rsidR="000D79F9">
              <w:rPr>
                <w:rFonts w:cstheme="minorBidi"/>
                <w:lang w:eastAsia="en-AU"/>
              </w:rPr>
              <w:t>;</w:t>
            </w:r>
            <w:r w:rsidRPr="15ACA5A5">
              <w:rPr>
                <w:rFonts w:cstheme="minorBidi"/>
                <w:lang w:eastAsia="en-AU"/>
              </w:rPr>
              <w:t xml:space="preserve"> </w:t>
            </w:r>
            <w:r w:rsidR="009516E1" w:rsidRPr="15ACA5A5">
              <w:rPr>
                <w:rFonts w:cstheme="minorBidi"/>
                <w:lang w:eastAsia="en-AU"/>
              </w:rPr>
              <w:t>Depa</w:t>
            </w:r>
            <w:r w:rsidR="009516E1">
              <w:rPr>
                <w:rFonts w:cstheme="minorBidi"/>
                <w:lang w:eastAsia="en-AU"/>
              </w:rPr>
              <w:t>rtment</w:t>
            </w:r>
            <w:r w:rsidRPr="15ACA5A5">
              <w:rPr>
                <w:rFonts w:cstheme="minorBidi"/>
                <w:lang w:eastAsia="en-AU"/>
              </w:rPr>
              <w:t xml:space="preserve"> of Employment and Workplace Relations</w:t>
            </w:r>
            <w:r w:rsidR="00110124" w:rsidRPr="15ACA5A5">
              <w:rPr>
                <w:rFonts w:cstheme="minorBidi"/>
                <w:lang w:eastAsia="en-AU"/>
              </w:rPr>
              <w:t>)</w:t>
            </w:r>
            <w:r w:rsidR="00110124">
              <w:rPr>
                <w:rFonts w:cstheme="minorBidi"/>
                <w:lang w:eastAsia="en-AU"/>
              </w:rPr>
              <w:t>;</w:t>
            </w:r>
            <w:r w:rsidR="00110124" w:rsidRPr="15ACA5A5">
              <w:rPr>
                <w:rFonts w:cstheme="minorBidi"/>
                <w:lang w:eastAsia="en-AU"/>
              </w:rPr>
              <w:t xml:space="preserve"> </w:t>
            </w:r>
            <w:r w:rsidRPr="15ACA5A5">
              <w:rPr>
                <w:rFonts w:cstheme="minorBidi"/>
                <w:lang w:eastAsia="en-AU"/>
              </w:rPr>
              <w:t xml:space="preserve">International </w:t>
            </w:r>
            <w:r w:rsidR="00FE0E4A" w:rsidRPr="15ACA5A5">
              <w:rPr>
                <w:rFonts w:cstheme="minorBidi"/>
                <w:lang w:eastAsia="en-AU"/>
              </w:rPr>
              <w:t>Organi</w:t>
            </w:r>
            <w:r w:rsidR="00AB34FE">
              <w:rPr>
                <w:rFonts w:cstheme="minorBidi"/>
                <w:lang w:eastAsia="en-AU"/>
              </w:rPr>
              <w:t>z</w:t>
            </w:r>
            <w:r w:rsidR="00FE0E4A" w:rsidRPr="15ACA5A5">
              <w:rPr>
                <w:rFonts w:cstheme="minorBidi"/>
                <w:lang w:eastAsia="en-AU"/>
              </w:rPr>
              <w:t>ation</w:t>
            </w:r>
            <w:r w:rsidRPr="15ACA5A5">
              <w:rPr>
                <w:rFonts w:cstheme="minorBidi"/>
                <w:lang w:eastAsia="en-AU"/>
              </w:rPr>
              <w:t xml:space="preserve"> </w:t>
            </w:r>
            <w:r w:rsidR="00AB34FE">
              <w:rPr>
                <w:rFonts w:cstheme="minorBidi"/>
                <w:lang w:eastAsia="en-AU"/>
              </w:rPr>
              <w:t>for</w:t>
            </w:r>
            <w:r w:rsidRPr="15ACA5A5">
              <w:rPr>
                <w:rFonts w:cstheme="minorBidi"/>
                <w:lang w:eastAsia="en-AU"/>
              </w:rPr>
              <w:t xml:space="preserve"> Migration</w:t>
            </w:r>
            <w:r w:rsidR="00110124">
              <w:rPr>
                <w:rFonts w:cstheme="minorBidi"/>
                <w:lang w:eastAsia="en-AU"/>
              </w:rPr>
              <w:t>;</w:t>
            </w:r>
            <w:r w:rsidR="00110124" w:rsidRPr="15ACA5A5">
              <w:rPr>
                <w:rFonts w:cstheme="minorBidi"/>
                <w:lang w:eastAsia="en-AU"/>
              </w:rPr>
              <w:t xml:space="preserve"> </w:t>
            </w:r>
            <w:r w:rsidRPr="15ACA5A5">
              <w:rPr>
                <w:rFonts w:cstheme="minorBidi"/>
                <w:lang w:eastAsia="en-AU"/>
              </w:rPr>
              <w:t xml:space="preserve">World </w:t>
            </w:r>
            <w:r w:rsidR="00185805" w:rsidRPr="15ACA5A5">
              <w:rPr>
                <w:rFonts w:cstheme="minorBidi"/>
                <w:lang w:eastAsia="en-AU"/>
              </w:rPr>
              <w:t>Bank</w:t>
            </w:r>
            <w:r w:rsidR="00185805">
              <w:rPr>
                <w:rFonts w:cstheme="minorBidi"/>
                <w:lang w:eastAsia="en-AU"/>
              </w:rPr>
              <w:t>;</w:t>
            </w:r>
            <w:r w:rsidR="00185805" w:rsidRPr="15ACA5A5">
              <w:rPr>
                <w:rFonts w:cstheme="minorBidi"/>
                <w:lang w:eastAsia="en-AU"/>
              </w:rPr>
              <w:t xml:space="preserve"> Palladium</w:t>
            </w:r>
          </w:p>
        </w:tc>
      </w:tr>
      <w:bookmarkEnd w:id="18"/>
      <w:tr w:rsidR="000D628C" w:rsidRPr="00576490" w14:paraId="62DF6848"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21F8B31E" w14:textId="189965CD" w:rsidR="007D1E37" w:rsidRPr="0083216E" w:rsidRDefault="007D1E37" w:rsidP="009D0B4A">
            <w:pPr>
              <w:pStyle w:val="TableBodyCopy"/>
              <w:rPr>
                <w:lang w:eastAsia="en-AU"/>
              </w:rPr>
            </w:pPr>
            <w:r w:rsidRPr="0083216E">
              <w:rPr>
                <w:lang w:eastAsia="en-AU"/>
              </w:rPr>
              <w:t>Australia-Pacific Partnership</w:t>
            </w:r>
            <w:r w:rsidR="0034357D">
              <w:rPr>
                <w:lang w:eastAsia="en-AU"/>
              </w:rPr>
              <w:t>s</w:t>
            </w:r>
            <w:r w:rsidRPr="0083216E">
              <w:rPr>
                <w:lang w:eastAsia="en-AU"/>
              </w:rPr>
              <w:t xml:space="preserve"> for Aviation</w:t>
            </w:r>
            <w:r w:rsidR="00C17244">
              <w:rPr>
                <w:lang w:eastAsia="en-AU"/>
              </w:rPr>
              <w:t xml:space="preserve"> Program</w:t>
            </w:r>
          </w:p>
        </w:tc>
        <w:tc>
          <w:tcPr>
            <w:tcW w:w="2126" w:type="dxa"/>
            <w:shd w:val="clear" w:color="auto" w:fill="D2DEE7"/>
          </w:tcPr>
          <w:p w14:paraId="5CFC4463" w14:textId="0AB1419D"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2023</w:t>
            </w:r>
            <w:r w:rsidR="00EA3229">
              <w:rPr>
                <w:lang w:eastAsia="en-AU"/>
              </w:rPr>
              <w:t>–</w:t>
            </w:r>
            <w:r w:rsidRPr="0095719A">
              <w:rPr>
                <w:lang w:eastAsia="en-AU"/>
              </w:rPr>
              <w:t>28</w:t>
            </w:r>
          </w:p>
        </w:tc>
        <w:tc>
          <w:tcPr>
            <w:tcW w:w="3969" w:type="dxa"/>
            <w:shd w:val="clear" w:color="auto" w:fill="F2F2F2"/>
          </w:tcPr>
          <w:p w14:paraId="0F48472E" w14:textId="3BB7B08A"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 xml:space="preserve">Australian </w:t>
            </w:r>
            <w:r w:rsidR="0034357D">
              <w:rPr>
                <w:lang w:eastAsia="en-AU"/>
              </w:rPr>
              <w:t xml:space="preserve">Government </w:t>
            </w:r>
            <w:r w:rsidRPr="0095719A">
              <w:rPr>
                <w:lang w:eastAsia="en-AU"/>
              </w:rPr>
              <w:t>Bureau of Meteorology</w:t>
            </w:r>
            <w:r w:rsidR="00B435E0">
              <w:rPr>
                <w:lang w:eastAsia="en-AU"/>
              </w:rPr>
              <w:t>;</w:t>
            </w:r>
            <w:r w:rsidRPr="0095719A">
              <w:rPr>
                <w:lang w:eastAsia="en-AU"/>
              </w:rPr>
              <w:t xml:space="preserve"> Australian</w:t>
            </w:r>
            <w:r w:rsidR="0034357D">
              <w:rPr>
                <w:lang w:eastAsia="en-AU"/>
              </w:rPr>
              <w:t xml:space="preserve"> Government</w:t>
            </w:r>
            <w:r w:rsidRPr="0095719A">
              <w:rPr>
                <w:lang w:eastAsia="en-AU"/>
              </w:rPr>
              <w:t xml:space="preserve"> Civil Aviation Safety Authority</w:t>
            </w:r>
            <w:r w:rsidR="0034357D">
              <w:rPr>
                <w:lang w:eastAsia="en-AU"/>
              </w:rPr>
              <w:t>;</w:t>
            </w:r>
            <w:r w:rsidR="0034357D" w:rsidRPr="0095719A">
              <w:rPr>
                <w:lang w:eastAsia="en-AU"/>
              </w:rPr>
              <w:t xml:space="preserve"> </w:t>
            </w:r>
            <w:r w:rsidRPr="0095719A">
              <w:rPr>
                <w:lang w:eastAsia="en-AU"/>
              </w:rPr>
              <w:t>Airservices Australia</w:t>
            </w:r>
            <w:r w:rsidR="00922D24">
              <w:rPr>
                <w:lang w:eastAsia="en-AU"/>
              </w:rPr>
              <w:t xml:space="preserve">; </w:t>
            </w:r>
            <w:r w:rsidRPr="0095719A">
              <w:rPr>
                <w:lang w:eastAsia="en-AU"/>
              </w:rPr>
              <w:t>Australian Transport Safety Bureau</w:t>
            </w:r>
          </w:p>
        </w:tc>
      </w:tr>
      <w:tr w:rsidR="000D628C" w:rsidRPr="00576490" w14:paraId="7A55CDF9"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2FB07151" w14:textId="3362E8C6" w:rsidR="007D1E37" w:rsidRPr="0083216E" w:rsidRDefault="007D1E37" w:rsidP="009D0B4A">
            <w:pPr>
              <w:pStyle w:val="TableBodyCopy"/>
              <w:rPr>
                <w:lang w:eastAsia="en-AU"/>
              </w:rPr>
            </w:pPr>
            <w:r w:rsidRPr="0083216E">
              <w:rPr>
                <w:lang w:eastAsia="en-AU"/>
              </w:rPr>
              <w:t xml:space="preserve">Partnerships for a Healthy Region </w:t>
            </w:r>
            <w:r w:rsidR="00C17244">
              <w:rPr>
                <w:lang w:eastAsia="en-AU"/>
              </w:rPr>
              <w:t>(PHR)</w:t>
            </w:r>
          </w:p>
        </w:tc>
        <w:tc>
          <w:tcPr>
            <w:tcW w:w="2126" w:type="dxa"/>
            <w:shd w:val="clear" w:color="auto" w:fill="D2DEE7"/>
          </w:tcPr>
          <w:p w14:paraId="1EF7FE21" w14:textId="7488BD0F"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2023</w:t>
            </w:r>
            <w:r w:rsidR="00EA3229">
              <w:rPr>
                <w:lang w:eastAsia="en-AU"/>
              </w:rPr>
              <w:t>–</w:t>
            </w:r>
            <w:r w:rsidRPr="0095719A">
              <w:rPr>
                <w:lang w:eastAsia="en-AU"/>
              </w:rPr>
              <w:t>27</w:t>
            </w:r>
          </w:p>
        </w:tc>
        <w:tc>
          <w:tcPr>
            <w:tcW w:w="3969" w:type="dxa"/>
            <w:shd w:val="clear" w:color="auto" w:fill="F2F2F2"/>
          </w:tcPr>
          <w:p w14:paraId="2ADCF954" w14:textId="06E78B6E" w:rsidR="007D1E37" w:rsidRPr="0095719A" w:rsidRDefault="007D1E37"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45A49">
              <w:rPr>
                <w:lang w:eastAsia="en-AU"/>
              </w:rPr>
              <w:t>SPC</w:t>
            </w:r>
            <w:r w:rsidR="00922D24">
              <w:rPr>
                <w:lang w:eastAsia="en-AU"/>
              </w:rPr>
              <w:t>;</w:t>
            </w:r>
            <w:r w:rsidR="00922D24" w:rsidRPr="0095719A">
              <w:rPr>
                <w:lang w:eastAsia="en-AU"/>
              </w:rPr>
              <w:t xml:space="preserve"> </w:t>
            </w:r>
            <w:r w:rsidRPr="0095719A">
              <w:rPr>
                <w:lang w:eastAsia="en-AU"/>
              </w:rPr>
              <w:t>Australian and international medical and research institutions</w:t>
            </w:r>
            <w:r w:rsidR="00922D24">
              <w:rPr>
                <w:lang w:eastAsia="en-AU"/>
              </w:rPr>
              <w:t>;</w:t>
            </w:r>
            <w:r w:rsidR="00922D24" w:rsidRPr="0095719A">
              <w:rPr>
                <w:lang w:eastAsia="en-AU"/>
              </w:rPr>
              <w:t xml:space="preserve"> </w:t>
            </w:r>
            <w:r w:rsidRPr="0095719A">
              <w:rPr>
                <w:lang w:eastAsia="en-AU"/>
              </w:rPr>
              <w:t>non-government organisations</w:t>
            </w:r>
            <w:r w:rsidR="00922D24">
              <w:rPr>
                <w:lang w:eastAsia="en-AU"/>
              </w:rPr>
              <w:t>;</w:t>
            </w:r>
            <w:r w:rsidR="00922D24" w:rsidRPr="0095719A">
              <w:rPr>
                <w:lang w:eastAsia="en-AU"/>
              </w:rPr>
              <w:t xml:space="preserve"> </w:t>
            </w:r>
            <w:r w:rsidRPr="0095719A">
              <w:rPr>
                <w:lang w:eastAsia="en-AU"/>
              </w:rPr>
              <w:t xml:space="preserve">Australian Government </w:t>
            </w:r>
            <w:r w:rsidR="003A4AED">
              <w:rPr>
                <w:lang w:eastAsia="en-AU"/>
              </w:rPr>
              <w:t>partners</w:t>
            </w:r>
            <w:r w:rsidR="000D79F9">
              <w:rPr>
                <w:lang w:eastAsia="en-AU"/>
              </w:rPr>
              <w:t>;</w:t>
            </w:r>
            <w:r w:rsidRPr="0095719A">
              <w:rPr>
                <w:lang w:eastAsia="en-AU"/>
              </w:rPr>
              <w:t xml:space="preserve"> multilateral partners</w:t>
            </w:r>
          </w:p>
        </w:tc>
      </w:tr>
      <w:tr w:rsidR="000D628C" w:rsidRPr="00576490" w14:paraId="392283A5"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cPr>
          <w:p w14:paraId="48CBCE14" w14:textId="67488547" w:rsidR="007D1E37" w:rsidRPr="0083216E" w:rsidRDefault="007D1E37" w:rsidP="009D0B4A">
            <w:pPr>
              <w:pStyle w:val="TableBodyCopy"/>
              <w:rPr>
                <w:lang w:eastAsia="en-AU"/>
              </w:rPr>
            </w:pPr>
            <w:r w:rsidRPr="0083216E">
              <w:rPr>
                <w:lang w:eastAsia="en-AU"/>
              </w:rPr>
              <w:t xml:space="preserve">Pacific </w:t>
            </w:r>
            <w:r w:rsidR="007F7B28">
              <w:rPr>
                <w:lang w:eastAsia="en-AU"/>
              </w:rPr>
              <w:t>r</w:t>
            </w:r>
            <w:r w:rsidRPr="0083216E">
              <w:rPr>
                <w:lang w:eastAsia="en-AU"/>
              </w:rPr>
              <w:t xml:space="preserve">egional </w:t>
            </w:r>
            <w:r w:rsidR="007F7B28">
              <w:rPr>
                <w:lang w:eastAsia="en-AU"/>
              </w:rPr>
              <w:t>h</w:t>
            </w:r>
            <w:r w:rsidRPr="0083216E">
              <w:rPr>
                <w:lang w:eastAsia="en-AU"/>
              </w:rPr>
              <w:t xml:space="preserve">ealth </w:t>
            </w:r>
            <w:r w:rsidR="007F7B28">
              <w:rPr>
                <w:lang w:eastAsia="en-AU"/>
              </w:rPr>
              <w:t>p</w:t>
            </w:r>
            <w:r w:rsidRPr="0083216E">
              <w:rPr>
                <w:lang w:eastAsia="en-AU"/>
              </w:rPr>
              <w:t>rogram</w:t>
            </w:r>
          </w:p>
        </w:tc>
        <w:tc>
          <w:tcPr>
            <w:tcW w:w="2126" w:type="dxa"/>
            <w:shd w:val="clear" w:color="auto" w:fill="D2DEE7"/>
          </w:tcPr>
          <w:p w14:paraId="4DADC296" w14:textId="642DE482"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2022</w:t>
            </w:r>
            <w:r w:rsidR="00EA3229">
              <w:rPr>
                <w:lang w:eastAsia="en-AU"/>
              </w:rPr>
              <w:t>–</w:t>
            </w:r>
            <w:r w:rsidRPr="0095719A">
              <w:rPr>
                <w:lang w:eastAsia="en-AU"/>
              </w:rPr>
              <w:t>26</w:t>
            </w:r>
          </w:p>
        </w:tc>
        <w:tc>
          <w:tcPr>
            <w:tcW w:w="3969" w:type="dxa"/>
            <w:shd w:val="clear" w:color="auto" w:fill="F2F2F2"/>
          </w:tcPr>
          <w:p w14:paraId="1E0ECEDC" w14:textId="22A05266" w:rsidR="007D1E37" w:rsidRPr="0095719A" w:rsidRDefault="007D1E3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Royal Australasian College of Surgeons</w:t>
            </w:r>
            <w:r w:rsidR="007F7B28">
              <w:rPr>
                <w:lang w:eastAsia="en-AU"/>
              </w:rPr>
              <w:t>;</w:t>
            </w:r>
            <w:r w:rsidR="007F7B28" w:rsidRPr="0095719A">
              <w:rPr>
                <w:lang w:eastAsia="en-AU"/>
              </w:rPr>
              <w:t xml:space="preserve"> </w:t>
            </w:r>
            <w:r w:rsidRPr="0095719A">
              <w:rPr>
                <w:lang w:eastAsia="en-AU"/>
              </w:rPr>
              <w:t>Fiji National University</w:t>
            </w:r>
            <w:r w:rsidR="007F7B28">
              <w:rPr>
                <w:lang w:eastAsia="en-AU"/>
              </w:rPr>
              <w:t>;</w:t>
            </w:r>
            <w:r w:rsidRPr="0095719A">
              <w:rPr>
                <w:lang w:eastAsia="en-AU"/>
              </w:rPr>
              <w:t xml:space="preserve"> </w:t>
            </w:r>
            <w:r w:rsidRPr="00945A49">
              <w:rPr>
                <w:lang w:eastAsia="en-AU"/>
              </w:rPr>
              <w:t>SPC</w:t>
            </w:r>
          </w:p>
        </w:tc>
      </w:tr>
    </w:tbl>
    <w:p w14:paraId="6806B245" w14:textId="483169C1" w:rsidR="0009021F" w:rsidRDefault="00E30EA4" w:rsidP="002F0FE0">
      <w:pPr>
        <w:pStyle w:val="Tablenote"/>
        <w:rPr>
          <w:lang w:eastAsia="en-AU"/>
        </w:rPr>
      </w:pPr>
      <w:r>
        <w:rPr>
          <w:lang w:eastAsia="en-AU"/>
        </w:rPr>
        <w:t>*</w:t>
      </w:r>
      <w:r w:rsidR="002F0FE0">
        <w:rPr>
          <w:lang w:eastAsia="en-AU"/>
        </w:rPr>
        <w:tab/>
      </w:r>
      <w:r w:rsidR="00EE5FCA">
        <w:rPr>
          <w:lang w:eastAsia="en-AU"/>
        </w:rPr>
        <w:t>Australian Infrastructure Financing Facility for the Pacific project timeframes are estimates only and subject to change, particularly for major works. These projects also can have loan or grant-and-loan financing. When a project has a loan component, the tenor of the loan is used as the estimated duration</w:t>
      </w:r>
      <w:r w:rsidR="001D7E6B">
        <w:rPr>
          <w:lang w:eastAsia="en-AU"/>
        </w:rPr>
        <w:t>.</w:t>
      </w:r>
    </w:p>
    <w:p w14:paraId="463D7ED3" w14:textId="7C4A3FCB" w:rsidR="002F0FE0" w:rsidRDefault="00695593" w:rsidP="002F0FE0">
      <w:pPr>
        <w:pStyle w:val="Tablenote"/>
        <w:rPr>
          <w:lang w:eastAsia="en-AU"/>
        </w:rPr>
      </w:pPr>
      <w:r>
        <w:rPr>
          <w:lang w:eastAsia="en-AU"/>
        </w:rPr>
        <w:t>**</w:t>
      </w:r>
      <w:r>
        <w:rPr>
          <w:lang w:eastAsia="en-AU"/>
        </w:rPr>
        <w:tab/>
      </w:r>
      <w:r w:rsidR="007F7B28">
        <w:rPr>
          <w:lang w:eastAsia="en-AU"/>
        </w:rPr>
        <w:t>This</w:t>
      </w:r>
      <w:r w:rsidR="00C0550C">
        <w:rPr>
          <w:lang w:eastAsia="en-AU"/>
        </w:rPr>
        <w:t xml:space="preserve"> </w:t>
      </w:r>
      <w:r w:rsidR="002606F7">
        <w:rPr>
          <w:lang w:eastAsia="en-AU"/>
        </w:rPr>
        <w:t>investment</w:t>
      </w:r>
      <w:r w:rsidR="00C0550C">
        <w:rPr>
          <w:lang w:eastAsia="en-AU"/>
        </w:rPr>
        <w:t xml:space="preserve"> forms</w:t>
      </w:r>
      <w:r w:rsidR="007F7B28">
        <w:rPr>
          <w:lang w:eastAsia="en-AU"/>
        </w:rPr>
        <w:t xml:space="preserve"> </w:t>
      </w:r>
      <w:r w:rsidR="002F0FE0">
        <w:rPr>
          <w:lang w:eastAsia="en-AU"/>
        </w:rPr>
        <w:t>part of Australia’s contribution to the P</w:t>
      </w:r>
      <w:r w:rsidR="00C0550C">
        <w:rPr>
          <w:lang w:eastAsia="en-AU"/>
        </w:rPr>
        <w:t xml:space="preserve">apua </w:t>
      </w:r>
      <w:r w:rsidR="002F0FE0">
        <w:rPr>
          <w:lang w:eastAsia="en-AU"/>
        </w:rPr>
        <w:t>N</w:t>
      </w:r>
      <w:r w:rsidR="00C0550C">
        <w:rPr>
          <w:lang w:eastAsia="en-AU"/>
        </w:rPr>
        <w:t xml:space="preserve">ew </w:t>
      </w:r>
      <w:r w:rsidR="002F0FE0">
        <w:rPr>
          <w:lang w:eastAsia="en-AU"/>
        </w:rPr>
        <w:t>G</w:t>
      </w:r>
      <w:r w:rsidR="00C0550C">
        <w:rPr>
          <w:lang w:eastAsia="en-AU"/>
        </w:rPr>
        <w:t>uinea</w:t>
      </w:r>
      <w:r w:rsidR="002F0FE0">
        <w:rPr>
          <w:lang w:eastAsia="en-AU"/>
        </w:rPr>
        <w:t xml:space="preserve"> Electrification Partnership</w:t>
      </w:r>
      <w:r w:rsidR="00B435E0">
        <w:rPr>
          <w:lang w:eastAsia="en-AU"/>
        </w:rPr>
        <w:t>,</w:t>
      </w:r>
      <w:r w:rsidR="002F0FE0">
        <w:rPr>
          <w:lang w:eastAsia="en-AU"/>
        </w:rPr>
        <w:t xml:space="preserve"> which is a five-year partnership between </w:t>
      </w:r>
      <w:r w:rsidR="00B435E0">
        <w:rPr>
          <w:lang w:eastAsia="en-AU"/>
        </w:rPr>
        <w:t xml:space="preserve">the </w:t>
      </w:r>
      <w:r w:rsidR="002F0FE0">
        <w:rPr>
          <w:lang w:eastAsia="en-AU"/>
        </w:rPr>
        <w:t>U</w:t>
      </w:r>
      <w:r w:rsidR="00FF1559">
        <w:rPr>
          <w:lang w:eastAsia="en-AU"/>
        </w:rPr>
        <w:t xml:space="preserve">nited </w:t>
      </w:r>
      <w:r w:rsidR="002F0FE0">
        <w:rPr>
          <w:lang w:eastAsia="en-AU"/>
        </w:rPr>
        <w:t>S</w:t>
      </w:r>
      <w:r w:rsidR="00FF1559">
        <w:rPr>
          <w:lang w:eastAsia="en-AU"/>
        </w:rPr>
        <w:t xml:space="preserve">tates </w:t>
      </w:r>
      <w:r w:rsidR="002F0FE0">
        <w:rPr>
          <w:lang w:eastAsia="en-AU"/>
        </w:rPr>
        <w:t>A</w:t>
      </w:r>
      <w:r w:rsidR="00FF1559">
        <w:rPr>
          <w:lang w:eastAsia="en-AU"/>
        </w:rPr>
        <w:t xml:space="preserve">gency for </w:t>
      </w:r>
      <w:r w:rsidR="002F0FE0">
        <w:rPr>
          <w:lang w:eastAsia="en-AU"/>
        </w:rPr>
        <w:t>I</w:t>
      </w:r>
      <w:r w:rsidR="00FF1559">
        <w:rPr>
          <w:lang w:eastAsia="en-AU"/>
        </w:rPr>
        <w:t xml:space="preserve">nternational </w:t>
      </w:r>
      <w:r w:rsidR="002F0FE0">
        <w:rPr>
          <w:lang w:eastAsia="en-AU"/>
        </w:rPr>
        <w:t>D</w:t>
      </w:r>
      <w:r w:rsidR="00FF1559">
        <w:rPr>
          <w:lang w:eastAsia="en-AU"/>
        </w:rPr>
        <w:t>evelopment</w:t>
      </w:r>
      <w:r w:rsidR="002F0FE0">
        <w:rPr>
          <w:lang w:eastAsia="en-AU"/>
        </w:rPr>
        <w:t xml:space="preserve"> and the Papua New Guinea</w:t>
      </w:r>
      <w:r w:rsidR="00FF1559">
        <w:rPr>
          <w:lang w:eastAsia="en-AU"/>
        </w:rPr>
        <w:t xml:space="preserve"> Government</w:t>
      </w:r>
      <w:r w:rsidR="002F0FE0">
        <w:rPr>
          <w:lang w:eastAsia="en-AU"/>
        </w:rPr>
        <w:t xml:space="preserve">, with support from the </w:t>
      </w:r>
      <w:r w:rsidR="0057145F">
        <w:rPr>
          <w:lang w:eastAsia="en-AU"/>
        </w:rPr>
        <w:t>g</w:t>
      </w:r>
      <w:r w:rsidR="002F0FE0">
        <w:rPr>
          <w:lang w:eastAsia="en-AU"/>
        </w:rPr>
        <w:t>overnments of other countries including Australia, Japan and New Zealand.</w:t>
      </w:r>
    </w:p>
    <w:p w14:paraId="7F5020F9" w14:textId="10FC810B" w:rsidR="00A70917" w:rsidRDefault="00A70917" w:rsidP="00CA0F64">
      <w:pPr>
        <w:rPr>
          <w:lang w:eastAsia="en-AU"/>
        </w:rPr>
      </w:pPr>
      <w:r>
        <w:rPr>
          <w:lang w:eastAsia="en-AU"/>
        </w:rPr>
        <w:t xml:space="preserve">Australian Government </w:t>
      </w:r>
      <w:r w:rsidRPr="413282F0">
        <w:rPr>
          <w:lang w:eastAsia="en-AU"/>
        </w:rPr>
        <w:t xml:space="preserve">supporting investments/activities for Objective </w:t>
      </w:r>
      <w:r>
        <w:rPr>
          <w:lang w:eastAsia="en-AU"/>
        </w:rPr>
        <w:t>4</w:t>
      </w:r>
      <w:r w:rsidR="006019D0">
        <w:rPr>
          <w:lang w:eastAsia="en-AU"/>
        </w:rPr>
        <w:t xml:space="preserve"> – Wellbeing, inclusion and equity</w:t>
      </w:r>
      <w:r w:rsidRPr="413282F0">
        <w:rPr>
          <w:lang w:eastAsia="en-AU"/>
        </w:rPr>
        <w:t xml:space="preserve"> (</w:t>
      </w:r>
      <w:r w:rsidRPr="1121DF86">
        <w:rPr>
          <w:rFonts w:eastAsia="Calibri Light"/>
        </w:rPr>
        <w:t xml:space="preserve">bilateral </w:t>
      </w:r>
      <w:r w:rsidRPr="1121DF86">
        <w:rPr>
          <w:lang w:eastAsia="en-AU"/>
        </w:rPr>
        <w:t>Official Development Assistance (ODA) as well as significant regional and global ODA</w:t>
      </w:r>
      <w:r>
        <w:rPr>
          <w:lang w:eastAsia="en-AU"/>
        </w:rPr>
        <w:t>,</w:t>
      </w:r>
      <w:r w:rsidRPr="1121DF86">
        <w:rPr>
          <w:lang w:eastAsia="en-AU"/>
        </w:rPr>
        <w:t xml:space="preserve"> and significant non</w:t>
      </w:r>
      <w:r w:rsidR="00256173">
        <w:rPr>
          <w:lang w:eastAsia="en-AU"/>
        </w:rPr>
        <w:noBreakHyphen/>
      </w:r>
      <w:r w:rsidRPr="1121DF86">
        <w:rPr>
          <w:lang w:eastAsia="en-AU"/>
        </w:rPr>
        <w:t xml:space="preserve">ODA development </w:t>
      </w:r>
      <w:r w:rsidRPr="413282F0">
        <w:rPr>
          <w:lang w:eastAsia="en-AU"/>
        </w:rPr>
        <w:t>investments</w:t>
      </w:r>
      <w:r>
        <w:rPr>
          <w:lang w:eastAsia="en-AU"/>
        </w:rPr>
        <w:t>/</w:t>
      </w:r>
      <w:r w:rsidRPr="1121DF86">
        <w:rPr>
          <w:lang w:eastAsia="en-AU"/>
        </w:rPr>
        <w:t>activities</w:t>
      </w:r>
      <w:r>
        <w:rPr>
          <w:lang w:eastAsia="en-AU"/>
        </w:rPr>
        <w:t>)</w:t>
      </w:r>
    </w:p>
    <w:tbl>
      <w:tblPr>
        <w:tblStyle w:val="ListTable3-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stralian Government supporting investments/activities for Objective 4"/>
        <w:tblDescription w:val="Investments and activities, duration and key partners"/>
      </w:tblPr>
      <w:tblGrid>
        <w:gridCol w:w="4106"/>
        <w:gridCol w:w="2126"/>
        <w:gridCol w:w="3962"/>
      </w:tblGrid>
      <w:tr w:rsidR="000A57AC" w:rsidRPr="00453DC3" w14:paraId="3B1BB203" w14:textId="77777777" w:rsidTr="00187636">
        <w:trPr>
          <w:cnfStyle w:val="100000000000" w:firstRow="1" w:lastRow="0" w:firstColumn="0" w:lastColumn="0" w:oddVBand="0" w:evenVBand="0" w:oddHBand="0" w:evenHBand="0" w:firstRowFirstColumn="0" w:firstRowLastColumn="0" w:lastRowFirstColumn="0" w:lastRowLastColumn="0"/>
          <w:cantSplit/>
          <w:trHeight w:val="300"/>
          <w:tblHeader/>
        </w:trPr>
        <w:tc>
          <w:tcPr>
            <w:cnfStyle w:val="001000000100" w:firstRow="0" w:lastRow="0" w:firstColumn="1" w:lastColumn="0" w:oddVBand="0" w:evenVBand="0" w:oddHBand="0" w:evenHBand="0" w:firstRowFirstColumn="1" w:firstRowLastColumn="0" w:lastRowFirstColumn="0" w:lastRowLastColumn="0"/>
            <w:tcW w:w="0" w:type="dxa"/>
          </w:tcPr>
          <w:p w14:paraId="13A7D49F" w14:textId="77777777" w:rsidR="000A57AC" w:rsidRPr="00B045AD" w:rsidRDefault="000A57AC" w:rsidP="00B045AD">
            <w:pPr>
              <w:pStyle w:val="TableHeading"/>
            </w:pPr>
            <w:r w:rsidRPr="00B045AD">
              <w:t>Name of investment/activity</w:t>
            </w:r>
          </w:p>
        </w:tc>
        <w:tc>
          <w:tcPr>
            <w:tcW w:w="0" w:type="dxa"/>
          </w:tcPr>
          <w:p w14:paraId="28949EF2" w14:textId="77777777" w:rsidR="000A57AC" w:rsidRPr="00B045AD" w:rsidRDefault="000A57AC" w:rsidP="00B045AD">
            <w:pPr>
              <w:pStyle w:val="TableHeading"/>
              <w:cnfStyle w:val="100000000000" w:firstRow="1" w:lastRow="0" w:firstColumn="0" w:lastColumn="0" w:oddVBand="0" w:evenVBand="0" w:oddHBand="0" w:evenHBand="0" w:firstRowFirstColumn="0" w:firstRowLastColumn="0" w:lastRowFirstColumn="0" w:lastRowLastColumn="0"/>
            </w:pPr>
            <w:r w:rsidRPr="00B045AD">
              <w:t>Duration</w:t>
            </w:r>
          </w:p>
        </w:tc>
        <w:tc>
          <w:tcPr>
            <w:tcW w:w="0" w:type="dxa"/>
          </w:tcPr>
          <w:p w14:paraId="68A272D1" w14:textId="77777777" w:rsidR="000A57AC" w:rsidRPr="00B045AD" w:rsidRDefault="000A57AC" w:rsidP="00B045AD">
            <w:pPr>
              <w:pStyle w:val="TableHeading"/>
              <w:cnfStyle w:val="100000000000" w:firstRow="1" w:lastRow="0" w:firstColumn="0" w:lastColumn="0" w:oddVBand="0" w:evenVBand="0" w:oddHBand="0" w:evenHBand="0" w:firstRowFirstColumn="0" w:firstRowLastColumn="0" w:lastRowFirstColumn="0" w:lastRowLastColumn="0"/>
            </w:pPr>
            <w:r w:rsidRPr="00B045AD">
              <w:t>Key partners</w:t>
            </w:r>
          </w:p>
        </w:tc>
      </w:tr>
      <w:tr w:rsidR="00C672AD" w:rsidRPr="00453DC3" w14:paraId="387899D3"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3089011F" w14:textId="77777777" w:rsidR="000A57AC" w:rsidRPr="0083216E" w:rsidRDefault="000A57AC" w:rsidP="009D0B4A">
            <w:pPr>
              <w:pStyle w:val="TableBodyCopy"/>
              <w:rPr>
                <w:lang w:eastAsia="en-AU"/>
              </w:rPr>
            </w:pPr>
            <w:r w:rsidRPr="0083216E">
              <w:rPr>
                <w:lang w:eastAsia="en-AU"/>
              </w:rPr>
              <w:t>Pacific Women Lead</w:t>
            </w:r>
          </w:p>
        </w:tc>
        <w:tc>
          <w:tcPr>
            <w:tcW w:w="2126" w:type="dxa"/>
            <w:shd w:val="clear" w:color="auto" w:fill="D2DEE7" w:themeFill="accent1" w:themeFillTint="33"/>
          </w:tcPr>
          <w:p w14:paraId="12FCC88C" w14:textId="537A8546" w:rsidR="000A57AC" w:rsidRPr="0095719A" w:rsidRDefault="000A57AC"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2020</w:t>
            </w:r>
            <w:r w:rsidR="004641F7">
              <w:rPr>
                <w:lang w:eastAsia="en-AU"/>
              </w:rPr>
              <w:t>–</w:t>
            </w:r>
            <w:r w:rsidRPr="0095719A">
              <w:rPr>
                <w:lang w:eastAsia="en-AU"/>
              </w:rPr>
              <w:t>29</w:t>
            </w:r>
          </w:p>
        </w:tc>
        <w:tc>
          <w:tcPr>
            <w:tcW w:w="3962" w:type="dxa"/>
            <w:shd w:val="clear" w:color="auto" w:fill="F2F2F2" w:themeFill="background1" w:themeFillShade="F2"/>
          </w:tcPr>
          <w:p w14:paraId="06A664E0" w14:textId="41EF2D7B" w:rsidR="000A57AC" w:rsidRPr="004478E2" w:rsidRDefault="00F14BD7"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Pr>
                <w:lang w:eastAsia="en-AU"/>
              </w:rPr>
              <w:t>Pacific Community (</w:t>
            </w:r>
            <w:r w:rsidR="00280498" w:rsidRPr="004478E2">
              <w:rPr>
                <w:lang w:eastAsia="en-AU"/>
              </w:rPr>
              <w:t>SPC</w:t>
            </w:r>
            <w:r>
              <w:rPr>
                <w:lang w:eastAsia="en-AU"/>
              </w:rPr>
              <w:t>);</w:t>
            </w:r>
            <w:r w:rsidR="00280498" w:rsidRPr="004478E2">
              <w:rPr>
                <w:lang w:eastAsia="en-AU"/>
              </w:rPr>
              <w:t xml:space="preserve"> Pacific Islands Forum</w:t>
            </w:r>
            <w:r w:rsidR="006E036A">
              <w:rPr>
                <w:lang w:eastAsia="en-AU"/>
              </w:rPr>
              <w:t>;</w:t>
            </w:r>
            <w:r w:rsidR="00280498" w:rsidRPr="004478E2">
              <w:rPr>
                <w:lang w:eastAsia="en-AU"/>
              </w:rPr>
              <w:t xml:space="preserve"> Pacific </w:t>
            </w:r>
            <w:r w:rsidR="000F5097">
              <w:rPr>
                <w:lang w:eastAsia="en-AU"/>
              </w:rPr>
              <w:t>w</w:t>
            </w:r>
            <w:r w:rsidR="00280498" w:rsidRPr="004478E2">
              <w:rPr>
                <w:lang w:eastAsia="en-AU"/>
              </w:rPr>
              <w:t>omen’s organisations</w:t>
            </w:r>
            <w:r>
              <w:rPr>
                <w:lang w:eastAsia="en-AU"/>
              </w:rPr>
              <w:t>;</w:t>
            </w:r>
            <w:r w:rsidRPr="004478E2">
              <w:rPr>
                <w:lang w:eastAsia="en-AU"/>
              </w:rPr>
              <w:t xml:space="preserve"> </w:t>
            </w:r>
            <w:r w:rsidR="00280498" w:rsidRPr="004478E2">
              <w:rPr>
                <w:lang w:eastAsia="en-AU"/>
              </w:rPr>
              <w:t>UN Women</w:t>
            </w:r>
          </w:p>
        </w:tc>
      </w:tr>
      <w:tr w:rsidR="00C672AD" w:rsidRPr="00453DC3" w14:paraId="0EB3BE7A"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05B21331" w14:textId="77777777" w:rsidR="000A57AC" w:rsidRPr="0083216E" w:rsidRDefault="000A57AC" w:rsidP="009D0B4A">
            <w:pPr>
              <w:pStyle w:val="TableBodyCopy"/>
              <w:rPr>
                <w:lang w:eastAsia="en-AU"/>
              </w:rPr>
            </w:pPr>
            <w:r w:rsidRPr="0083216E">
              <w:rPr>
                <w:lang w:eastAsia="en-AU"/>
              </w:rPr>
              <w:t>Supporting access to assistive technology</w:t>
            </w:r>
          </w:p>
        </w:tc>
        <w:tc>
          <w:tcPr>
            <w:tcW w:w="2126" w:type="dxa"/>
            <w:shd w:val="clear" w:color="auto" w:fill="D2DEE7" w:themeFill="accent1" w:themeFillTint="33"/>
          </w:tcPr>
          <w:p w14:paraId="1B96E29E" w14:textId="675453D7" w:rsidR="000A57AC" w:rsidRPr="0095719A" w:rsidRDefault="000A57AC"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2024</w:t>
            </w:r>
            <w:r w:rsidR="004641F7">
              <w:rPr>
                <w:lang w:eastAsia="en-AU"/>
              </w:rPr>
              <w:t>–</w:t>
            </w:r>
            <w:r w:rsidRPr="0095719A">
              <w:rPr>
                <w:lang w:eastAsia="en-AU"/>
              </w:rPr>
              <w:t>28</w:t>
            </w:r>
          </w:p>
        </w:tc>
        <w:tc>
          <w:tcPr>
            <w:tcW w:w="3962" w:type="dxa"/>
            <w:shd w:val="clear" w:color="auto" w:fill="F2F2F2" w:themeFill="background1" w:themeFillShade="F2"/>
          </w:tcPr>
          <w:p w14:paraId="06809A7F" w14:textId="06230401" w:rsidR="000A57AC" w:rsidRPr="004478E2" w:rsidRDefault="003C040B"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United Nations </w:t>
            </w:r>
            <w:r w:rsidR="003C7E96">
              <w:rPr>
                <w:lang w:eastAsia="en-AU"/>
              </w:rPr>
              <w:t>Office for Project Services</w:t>
            </w:r>
            <w:r w:rsidR="006E036A">
              <w:rPr>
                <w:lang w:eastAsia="en-AU"/>
              </w:rPr>
              <w:t>;</w:t>
            </w:r>
            <w:r w:rsidR="008773D5" w:rsidRPr="004478E2">
              <w:rPr>
                <w:lang w:eastAsia="en-AU"/>
              </w:rPr>
              <w:t xml:space="preserve"> Pacific Disability Forum</w:t>
            </w:r>
          </w:p>
        </w:tc>
      </w:tr>
      <w:tr w:rsidR="00C672AD" w:rsidRPr="00453DC3" w14:paraId="795C80E5"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209EF49C" w14:textId="311B9612" w:rsidR="000A57AC" w:rsidRPr="0083216E" w:rsidRDefault="00F14BD7" w:rsidP="009D0B4A">
            <w:pPr>
              <w:pStyle w:val="TableBodyCopy"/>
              <w:rPr>
                <w:lang w:eastAsia="en-AU"/>
              </w:rPr>
            </w:pPr>
            <w:r>
              <w:rPr>
                <w:lang w:eastAsia="en-AU"/>
              </w:rPr>
              <w:t>Support for the Pacific Community</w:t>
            </w:r>
            <w:r w:rsidRPr="0083216E">
              <w:rPr>
                <w:lang w:eastAsia="en-AU"/>
              </w:rPr>
              <w:t xml:space="preserve"> </w:t>
            </w:r>
            <w:r w:rsidR="000A57AC" w:rsidRPr="0083216E">
              <w:rPr>
                <w:lang w:eastAsia="en-AU"/>
              </w:rPr>
              <w:t xml:space="preserve">Human Rights and Social Development </w:t>
            </w:r>
            <w:r w:rsidR="00C61525">
              <w:rPr>
                <w:lang w:eastAsia="en-AU"/>
              </w:rPr>
              <w:t>Division</w:t>
            </w:r>
          </w:p>
        </w:tc>
        <w:tc>
          <w:tcPr>
            <w:tcW w:w="2126" w:type="dxa"/>
            <w:shd w:val="clear" w:color="auto" w:fill="D2DEE7" w:themeFill="accent1" w:themeFillTint="33"/>
          </w:tcPr>
          <w:p w14:paraId="0D1AD78C" w14:textId="2F0AD6BF" w:rsidR="000A57AC" w:rsidRPr="0095719A" w:rsidRDefault="000A57AC"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2022</w:t>
            </w:r>
            <w:r w:rsidR="004641F7">
              <w:rPr>
                <w:lang w:eastAsia="en-AU"/>
              </w:rPr>
              <w:t>–</w:t>
            </w:r>
            <w:r w:rsidRPr="0095719A">
              <w:rPr>
                <w:lang w:eastAsia="en-AU"/>
              </w:rPr>
              <w:t>26</w:t>
            </w:r>
          </w:p>
        </w:tc>
        <w:tc>
          <w:tcPr>
            <w:tcW w:w="3962" w:type="dxa"/>
            <w:shd w:val="clear" w:color="auto" w:fill="F2F2F2" w:themeFill="background1" w:themeFillShade="F2"/>
          </w:tcPr>
          <w:p w14:paraId="59CBC54A" w14:textId="685C7115" w:rsidR="000A57AC" w:rsidRPr="004478E2" w:rsidRDefault="008B5AAE"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4478E2">
              <w:rPr>
                <w:lang w:eastAsia="en-AU"/>
              </w:rPr>
              <w:t>SPC</w:t>
            </w:r>
          </w:p>
        </w:tc>
      </w:tr>
      <w:tr w:rsidR="00C672AD" w:rsidRPr="00453DC3" w14:paraId="7E0BAE6F"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6CC9C94D" w14:textId="77777777" w:rsidR="000A57AC" w:rsidRPr="0083216E" w:rsidRDefault="000A57AC" w:rsidP="009D0B4A">
            <w:pPr>
              <w:pStyle w:val="TableBodyCopy"/>
              <w:rPr>
                <w:lang w:eastAsia="en-AU"/>
              </w:rPr>
            </w:pPr>
            <w:r w:rsidRPr="0083216E">
              <w:rPr>
                <w:lang w:eastAsia="en-AU"/>
              </w:rPr>
              <w:lastRenderedPageBreak/>
              <w:t>Pacific Church Partnerships Program</w:t>
            </w:r>
          </w:p>
        </w:tc>
        <w:tc>
          <w:tcPr>
            <w:tcW w:w="2126" w:type="dxa"/>
            <w:shd w:val="clear" w:color="auto" w:fill="D2DEE7" w:themeFill="accent1" w:themeFillTint="33"/>
          </w:tcPr>
          <w:p w14:paraId="143C6F69" w14:textId="4DDD2ED5" w:rsidR="000A57AC" w:rsidRPr="0095719A" w:rsidRDefault="000A57AC"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2019</w:t>
            </w:r>
            <w:r w:rsidR="004641F7">
              <w:rPr>
                <w:lang w:eastAsia="en-AU"/>
              </w:rPr>
              <w:t>–</w:t>
            </w:r>
            <w:r w:rsidRPr="0095719A">
              <w:rPr>
                <w:lang w:eastAsia="en-AU"/>
              </w:rPr>
              <w:t>25</w:t>
            </w:r>
          </w:p>
        </w:tc>
        <w:tc>
          <w:tcPr>
            <w:tcW w:w="3962" w:type="dxa"/>
            <w:shd w:val="clear" w:color="auto" w:fill="F2F2F2" w:themeFill="background1" w:themeFillShade="F2"/>
          </w:tcPr>
          <w:p w14:paraId="6D8AB9ED" w14:textId="79ABD215" w:rsidR="000A57AC" w:rsidRPr="004478E2" w:rsidRDefault="00A17952"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4478E2">
              <w:rPr>
                <w:lang w:eastAsia="en-AU"/>
              </w:rPr>
              <w:t>Pacific Church Partnership Advisory Network</w:t>
            </w:r>
            <w:r w:rsidR="0085144A">
              <w:rPr>
                <w:lang w:eastAsia="en-AU"/>
              </w:rPr>
              <w:t>;</w:t>
            </w:r>
            <w:r w:rsidR="0085144A" w:rsidRPr="004478E2">
              <w:rPr>
                <w:lang w:eastAsia="en-AU"/>
              </w:rPr>
              <w:t xml:space="preserve"> </w:t>
            </w:r>
            <w:r w:rsidRPr="004478E2">
              <w:rPr>
                <w:lang w:eastAsia="en-AU"/>
              </w:rPr>
              <w:t>Pacific Australian Emerging Leaders’ Summit</w:t>
            </w:r>
            <w:r w:rsidR="0085144A">
              <w:rPr>
                <w:lang w:eastAsia="en-AU"/>
              </w:rPr>
              <w:t>;</w:t>
            </w:r>
            <w:r w:rsidR="0085144A" w:rsidRPr="004478E2">
              <w:rPr>
                <w:lang w:eastAsia="en-AU"/>
              </w:rPr>
              <w:t xml:space="preserve"> </w:t>
            </w:r>
            <w:r w:rsidRPr="004478E2">
              <w:rPr>
                <w:lang w:eastAsia="en-AU"/>
              </w:rPr>
              <w:t xml:space="preserve">Pacific </w:t>
            </w:r>
            <w:r w:rsidR="00DB0841">
              <w:rPr>
                <w:lang w:eastAsia="en-AU"/>
              </w:rPr>
              <w:t>Conference</w:t>
            </w:r>
            <w:r w:rsidR="00DB0841" w:rsidRPr="004478E2">
              <w:rPr>
                <w:lang w:eastAsia="en-AU"/>
              </w:rPr>
              <w:t xml:space="preserve"> </w:t>
            </w:r>
            <w:r w:rsidRPr="004478E2">
              <w:rPr>
                <w:lang w:eastAsia="en-AU"/>
              </w:rPr>
              <w:t>of Churches</w:t>
            </w:r>
            <w:r w:rsidR="0085144A">
              <w:rPr>
                <w:lang w:eastAsia="en-AU"/>
              </w:rPr>
              <w:t>;</w:t>
            </w:r>
            <w:r w:rsidR="0085144A" w:rsidRPr="004478E2">
              <w:rPr>
                <w:lang w:eastAsia="en-AU"/>
              </w:rPr>
              <w:t xml:space="preserve"> </w:t>
            </w:r>
            <w:proofErr w:type="spellStart"/>
            <w:r w:rsidRPr="004478E2">
              <w:rPr>
                <w:lang w:eastAsia="en-AU"/>
              </w:rPr>
              <w:t>UnitingWorld</w:t>
            </w:r>
            <w:proofErr w:type="spellEnd"/>
          </w:p>
        </w:tc>
      </w:tr>
      <w:tr w:rsidR="00C672AD" w:rsidRPr="00453DC3" w14:paraId="7B599F5A"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212FC38C" w14:textId="77777777" w:rsidR="000A57AC" w:rsidRPr="0083216E" w:rsidRDefault="000A57AC" w:rsidP="009D0B4A">
            <w:pPr>
              <w:pStyle w:val="TableBodyCopy"/>
              <w:rPr>
                <w:lang w:eastAsia="en-AU"/>
              </w:rPr>
            </w:pPr>
            <w:r w:rsidRPr="0083216E">
              <w:rPr>
                <w:lang w:eastAsia="en-AU"/>
              </w:rPr>
              <w:t>University of the South Pacific Partnership</w:t>
            </w:r>
          </w:p>
        </w:tc>
        <w:tc>
          <w:tcPr>
            <w:tcW w:w="2126" w:type="dxa"/>
            <w:shd w:val="clear" w:color="auto" w:fill="D2DEE7" w:themeFill="accent1" w:themeFillTint="33"/>
          </w:tcPr>
          <w:p w14:paraId="406DA900" w14:textId="7E656840" w:rsidR="000A57AC" w:rsidRPr="0095719A" w:rsidRDefault="000A57AC"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2019</w:t>
            </w:r>
            <w:r w:rsidR="004641F7">
              <w:rPr>
                <w:lang w:eastAsia="en-AU"/>
              </w:rPr>
              <w:t>–</w:t>
            </w:r>
            <w:r w:rsidRPr="0095719A">
              <w:rPr>
                <w:lang w:eastAsia="en-AU"/>
              </w:rPr>
              <w:t>25</w:t>
            </w:r>
          </w:p>
        </w:tc>
        <w:tc>
          <w:tcPr>
            <w:tcW w:w="3962" w:type="dxa"/>
            <w:shd w:val="clear" w:color="auto" w:fill="F2F2F2" w:themeFill="background1" w:themeFillShade="F2"/>
          </w:tcPr>
          <w:p w14:paraId="49F9485B" w14:textId="77777777" w:rsidR="000A57AC" w:rsidRPr="0095719A" w:rsidRDefault="000A57AC"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University of the South Pacific</w:t>
            </w:r>
          </w:p>
        </w:tc>
      </w:tr>
      <w:tr w:rsidR="00C672AD" w:rsidRPr="00453DC3" w14:paraId="1B1E372C" w14:textId="77777777" w:rsidTr="00187636">
        <w:trPr>
          <w:cantSplit/>
          <w:trHeight w:val="584"/>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384326CC" w14:textId="135D5B7C" w:rsidR="000A57AC" w:rsidRPr="0083216E" w:rsidRDefault="000A57AC" w:rsidP="009D0B4A">
            <w:pPr>
              <w:pStyle w:val="TableBodyCopy"/>
              <w:rPr>
                <w:lang w:eastAsia="en-AU"/>
              </w:rPr>
            </w:pPr>
            <w:r w:rsidRPr="0083216E">
              <w:rPr>
                <w:lang w:eastAsia="en-AU"/>
              </w:rPr>
              <w:t>Australia Pacific Training Coalition</w:t>
            </w:r>
          </w:p>
        </w:tc>
        <w:tc>
          <w:tcPr>
            <w:tcW w:w="2126" w:type="dxa"/>
            <w:shd w:val="clear" w:color="auto" w:fill="D2DEE7" w:themeFill="accent1" w:themeFillTint="33"/>
          </w:tcPr>
          <w:p w14:paraId="0334378E" w14:textId="7F8B5DD0" w:rsidR="000A57AC" w:rsidRPr="0095719A" w:rsidRDefault="000A57AC"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2018</w:t>
            </w:r>
            <w:r w:rsidR="004641F7">
              <w:rPr>
                <w:lang w:eastAsia="en-AU"/>
              </w:rPr>
              <w:t>–</w:t>
            </w:r>
            <w:r w:rsidRPr="0095719A">
              <w:rPr>
                <w:lang w:eastAsia="en-AU"/>
              </w:rPr>
              <w:t>25</w:t>
            </w:r>
          </w:p>
        </w:tc>
        <w:tc>
          <w:tcPr>
            <w:tcW w:w="3962" w:type="dxa"/>
            <w:shd w:val="clear" w:color="auto" w:fill="F2F2F2" w:themeFill="background1" w:themeFillShade="F2"/>
          </w:tcPr>
          <w:p w14:paraId="0543F517" w14:textId="27656F65" w:rsidR="000A57AC" w:rsidRPr="0095719A" w:rsidRDefault="00A01B01"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 xml:space="preserve">TAFE Queensland (Managing </w:t>
            </w:r>
            <w:r w:rsidR="000A57AC" w:rsidRPr="0095719A">
              <w:rPr>
                <w:lang w:eastAsia="en-AU"/>
              </w:rPr>
              <w:t>Contractor</w:t>
            </w:r>
            <w:r w:rsidR="00185805" w:rsidRPr="0095719A">
              <w:rPr>
                <w:lang w:eastAsia="en-AU"/>
              </w:rPr>
              <w:t>)</w:t>
            </w:r>
            <w:r w:rsidR="00185805">
              <w:rPr>
                <w:lang w:eastAsia="en-AU"/>
              </w:rPr>
              <w:t>;</w:t>
            </w:r>
            <w:r w:rsidR="00185805" w:rsidRPr="0095719A">
              <w:rPr>
                <w:lang w:eastAsia="en-AU"/>
              </w:rPr>
              <w:t xml:space="preserve"> Pacific</w:t>
            </w:r>
            <w:r w:rsidR="000A57AC" w:rsidRPr="0095719A">
              <w:rPr>
                <w:lang w:eastAsia="en-AU"/>
              </w:rPr>
              <w:t xml:space="preserve"> </w:t>
            </w:r>
            <w:r w:rsidR="00764D4C">
              <w:rPr>
                <w:lang w:eastAsia="en-AU"/>
              </w:rPr>
              <w:t xml:space="preserve">Technical and Further Education at University of South </w:t>
            </w:r>
            <w:r w:rsidR="00185805">
              <w:rPr>
                <w:lang w:eastAsia="en-AU"/>
              </w:rPr>
              <w:t xml:space="preserve">Pacific; </w:t>
            </w:r>
            <w:r w:rsidR="00185805" w:rsidRPr="0095719A">
              <w:rPr>
                <w:lang w:eastAsia="en-AU"/>
              </w:rPr>
              <w:t>national</w:t>
            </w:r>
            <w:r w:rsidR="000A57AC" w:rsidRPr="0095719A">
              <w:rPr>
                <w:lang w:eastAsia="en-AU"/>
              </w:rPr>
              <w:t xml:space="preserve"> training providers</w:t>
            </w:r>
          </w:p>
        </w:tc>
      </w:tr>
      <w:tr w:rsidR="00C672AD" w:rsidRPr="00453DC3" w14:paraId="7990DD5F"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713745D9" w14:textId="2FD19B3F" w:rsidR="000A57AC" w:rsidRPr="0083216E" w:rsidRDefault="000A57AC" w:rsidP="009D0B4A">
            <w:pPr>
              <w:pStyle w:val="TableBodyCopy"/>
              <w:rPr>
                <w:lang w:eastAsia="en-AU"/>
              </w:rPr>
            </w:pPr>
            <w:r w:rsidRPr="0083216E">
              <w:rPr>
                <w:lang w:eastAsia="en-AU"/>
              </w:rPr>
              <w:t>Educational Quality and Assessment Program</w:t>
            </w:r>
            <w:r w:rsidR="000F210C">
              <w:rPr>
                <w:lang w:eastAsia="en-AU"/>
              </w:rPr>
              <w:t>me</w:t>
            </w:r>
            <w:r w:rsidRPr="0083216E">
              <w:rPr>
                <w:lang w:eastAsia="en-AU"/>
              </w:rPr>
              <w:t xml:space="preserve"> (EQAP)</w:t>
            </w:r>
          </w:p>
        </w:tc>
        <w:tc>
          <w:tcPr>
            <w:tcW w:w="2126" w:type="dxa"/>
            <w:shd w:val="clear" w:color="auto" w:fill="D2DEE7" w:themeFill="accent1" w:themeFillTint="33"/>
          </w:tcPr>
          <w:p w14:paraId="707F9399" w14:textId="10E2B85A" w:rsidR="000A57AC" w:rsidRPr="0095719A" w:rsidRDefault="000A57AC"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2018</w:t>
            </w:r>
            <w:r w:rsidR="004641F7">
              <w:rPr>
                <w:lang w:eastAsia="en-AU"/>
              </w:rPr>
              <w:t>–</w:t>
            </w:r>
            <w:r w:rsidRPr="0095719A">
              <w:rPr>
                <w:lang w:eastAsia="en-AU"/>
              </w:rPr>
              <w:t>27</w:t>
            </w:r>
          </w:p>
        </w:tc>
        <w:tc>
          <w:tcPr>
            <w:tcW w:w="3962" w:type="dxa"/>
            <w:shd w:val="clear" w:color="auto" w:fill="F2F2F2" w:themeFill="background1" w:themeFillShade="F2"/>
          </w:tcPr>
          <w:p w14:paraId="694E3D41" w14:textId="77777777" w:rsidR="000A57AC" w:rsidRPr="0095719A" w:rsidRDefault="000A57AC"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SPC</w:t>
            </w:r>
          </w:p>
        </w:tc>
      </w:tr>
      <w:tr w:rsidR="00C672AD" w:rsidRPr="00453DC3" w14:paraId="3A51FE6C"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5E192D36" w14:textId="64C703D3" w:rsidR="009D791C" w:rsidRPr="0083216E" w:rsidRDefault="009D791C" w:rsidP="009D0B4A">
            <w:pPr>
              <w:pStyle w:val="TableBodyCopy"/>
              <w:rPr>
                <w:lang w:eastAsia="en-AU"/>
              </w:rPr>
            </w:pPr>
            <w:r>
              <w:rPr>
                <w:lang w:eastAsia="en-AU"/>
              </w:rPr>
              <w:t xml:space="preserve">Pacific Research Program (PRP) Phase </w:t>
            </w:r>
            <w:r w:rsidR="0049365C">
              <w:rPr>
                <w:lang w:eastAsia="en-AU"/>
              </w:rPr>
              <w:t>2</w:t>
            </w:r>
          </w:p>
        </w:tc>
        <w:tc>
          <w:tcPr>
            <w:tcW w:w="2126" w:type="dxa"/>
            <w:shd w:val="clear" w:color="auto" w:fill="D2DEE7" w:themeFill="accent1" w:themeFillTint="33"/>
          </w:tcPr>
          <w:p w14:paraId="06E862A9" w14:textId="41EA9928" w:rsidR="009D791C" w:rsidRPr="0095719A" w:rsidRDefault="000B070A"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2022</w:t>
            </w:r>
            <w:r w:rsidR="004641F7">
              <w:rPr>
                <w:lang w:eastAsia="en-AU"/>
              </w:rPr>
              <w:t>–</w:t>
            </w:r>
            <w:r>
              <w:rPr>
                <w:lang w:eastAsia="en-AU"/>
              </w:rPr>
              <w:t>26</w:t>
            </w:r>
          </w:p>
        </w:tc>
        <w:tc>
          <w:tcPr>
            <w:tcW w:w="3962" w:type="dxa"/>
            <w:shd w:val="clear" w:color="auto" w:fill="F2F2F2" w:themeFill="background1" w:themeFillShade="F2"/>
          </w:tcPr>
          <w:p w14:paraId="1C1DB268" w14:textId="600275C3" w:rsidR="009D791C" w:rsidRPr="0095719A" w:rsidRDefault="005D6E25"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497C18">
              <w:rPr>
                <w:lang w:eastAsia="en-AU"/>
              </w:rPr>
              <w:t>Australian National University</w:t>
            </w:r>
            <w:r w:rsidR="000F210C">
              <w:rPr>
                <w:lang w:eastAsia="en-AU"/>
              </w:rPr>
              <w:t>;</w:t>
            </w:r>
            <w:r w:rsidRPr="00497C18">
              <w:rPr>
                <w:lang w:eastAsia="en-AU"/>
              </w:rPr>
              <w:t xml:space="preserve"> Lowy Institute</w:t>
            </w:r>
          </w:p>
        </w:tc>
      </w:tr>
      <w:tr w:rsidR="00C672AD" w:rsidRPr="00453DC3" w14:paraId="5CAD86D6"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5929E4E7" w14:textId="596C98B3" w:rsidR="0055648F" w:rsidRDefault="0055648F" w:rsidP="009D0B4A">
            <w:pPr>
              <w:pStyle w:val="TableBodyCopy"/>
              <w:rPr>
                <w:lang w:eastAsia="en-AU"/>
              </w:rPr>
            </w:pPr>
            <w:r w:rsidRPr="0083216E">
              <w:rPr>
                <w:lang w:eastAsia="en-AU"/>
              </w:rPr>
              <w:t>Pacific Secondary School Pro</w:t>
            </w:r>
            <w:r w:rsidR="0049365C">
              <w:rPr>
                <w:lang w:eastAsia="en-AU"/>
              </w:rPr>
              <w:t>gram</w:t>
            </w:r>
          </w:p>
        </w:tc>
        <w:tc>
          <w:tcPr>
            <w:tcW w:w="2126" w:type="dxa"/>
            <w:shd w:val="clear" w:color="auto" w:fill="D2DEE7" w:themeFill="accent1" w:themeFillTint="33"/>
          </w:tcPr>
          <w:p w14:paraId="373F4F6E" w14:textId="362AE338" w:rsidR="0055648F" w:rsidRDefault="0055648F"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2021</w:t>
            </w:r>
            <w:r w:rsidR="004641F7">
              <w:rPr>
                <w:lang w:eastAsia="en-AU"/>
              </w:rPr>
              <w:t>–</w:t>
            </w:r>
            <w:r w:rsidRPr="0095719A">
              <w:rPr>
                <w:lang w:eastAsia="en-AU"/>
              </w:rPr>
              <w:t>25</w:t>
            </w:r>
          </w:p>
        </w:tc>
        <w:tc>
          <w:tcPr>
            <w:tcW w:w="3962" w:type="dxa"/>
            <w:shd w:val="clear" w:color="auto" w:fill="F2F2F2" w:themeFill="background1" w:themeFillShade="F2"/>
          </w:tcPr>
          <w:p w14:paraId="12D6FCD1" w14:textId="479AD701" w:rsidR="0055648F" w:rsidRPr="002B79ED" w:rsidRDefault="0055648F" w:rsidP="009D0B4A">
            <w:pPr>
              <w:pStyle w:val="TableBodyCopy"/>
              <w:cnfStyle w:val="000000100000" w:firstRow="0" w:lastRow="0" w:firstColumn="0" w:lastColumn="0" w:oddVBand="0" w:evenVBand="0" w:oddHBand="1" w:evenHBand="0" w:firstRowFirstColumn="0" w:firstRowLastColumn="0" w:lastRowFirstColumn="0" w:lastRowLastColumn="0"/>
              <w:rPr>
                <w:rFonts w:eastAsia="Calibri Light"/>
                <w:color w:val="222222"/>
                <w:highlight w:val="yellow"/>
              </w:rPr>
            </w:pPr>
            <w:r w:rsidRPr="0095719A">
              <w:rPr>
                <w:lang w:eastAsia="en-AU"/>
              </w:rPr>
              <w:t>World Bank</w:t>
            </w:r>
          </w:p>
        </w:tc>
      </w:tr>
      <w:tr w:rsidR="00C672AD" w:rsidRPr="00453DC3" w14:paraId="65406B79"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5DB7E13D" w14:textId="514B31C2" w:rsidR="0055648F" w:rsidRPr="0083216E" w:rsidRDefault="0055648F" w:rsidP="009D0B4A">
            <w:pPr>
              <w:pStyle w:val="TableBodyCopy"/>
              <w:rPr>
                <w:lang w:eastAsia="en-AU"/>
              </w:rPr>
            </w:pPr>
            <w:r w:rsidRPr="0083216E">
              <w:rPr>
                <w:lang w:eastAsia="en-AU"/>
              </w:rPr>
              <w:t>Global Partnership for Education</w:t>
            </w:r>
          </w:p>
        </w:tc>
        <w:tc>
          <w:tcPr>
            <w:tcW w:w="2126" w:type="dxa"/>
            <w:shd w:val="clear" w:color="auto" w:fill="D2DEE7" w:themeFill="accent1" w:themeFillTint="33"/>
          </w:tcPr>
          <w:p w14:paraId="7248C63C" w14:textId="265BAD2B" w:rsidR="0055648F" w:rsidRPr="0095719A" w:rsidRDefault="0055648F"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2021</w:t>
            </w:r>
            <w:r w:rsidR="004641F7">
              <w:rPr>
                <w:lang w:eastAsia="en-AU"/>
              </w:rPr>
              <w:t>–</w:t>
            </w:r>
            <w:r w:rsidRPr="0095719A">
              <w:rPr>
                <w:lang w:eastAsia="en-AU"/>
              </w:rPr>
              <w:t>25</w:t>
            </w:r>
          </w:p>
        </w:tc>
        <w:tc>
          <w:tcPr>
            <w:tcW w:w="3962" w:type="dxa"/>
            <w:shd w:val="clear" w:color="auto" w:fill="F2F2F2" w:themeFill="background1" w:themeFillShade="F2"/>
          </w:tcPr>
          <w:p w14:paraId="6CE9ED45" w14:textId="17240D00" w:rsidR="0055648F" w:rsidRPr="0095719A" w:rsidRDefault="0055648F"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Global Partnership for Education</w:t>
            </w:r>
            <w:r w:rsidR="00C1001E">
              <w:rPr>
                <w:lang w:eastAsia="en-AU"/>
              </w:rPr>
              <w:t xml:space="preserve">; </w:t>
            </w:r>
            <w:r w:rsidRPr="0095719A">
              <w:rPr>
                <w:lang w:eastAsia="en-AU"/>
              </w:rPr>
              <w:t>coordinating agents</w:t>
            </w:r>
            <w:r w:rsidR="00C1001E">
              <w:rPr>
                <w:lang w:eastAsia="en-AU"/>
              </w:rPr>
              <w:t xml:space="preserve">; </w:t>
            </w:r>
            <w:r w:rsidRPr="0095719A">
              <w:rPr>
                <w:lang w:eastAsia="en-AU"/>
              </w:rPr>
              <w:t>delivery agents</w:t>
            </w:r>
          </w:p>
        </w:tc>
      </w:tr>
      <w:tr w:rsidR="00C672AD" w:rsidRPr="00453DC3" w14:paraId="551AC9B0"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71264A55" w14:textId="47A9C294" w:rsidR="000A57AC" w:rsidRPr="0083216E" w:rsidRDefault="000A57AC" w:rsidP="009D0B4A">
            <w:pPr>
              <w:pStyle w:val="TableBodyCopy"/>
              <w:rPr>
                <w:lang w:eastAsia="en-AU"/>
              </w:rPr>
            </w:pPr>
            <w:r w:rsidRPr="0083216E">
              <w:rPr>
                <w:lang w:eastAsia="en-AU"/>
              </w:rPr>
              <w:t xml:space="preserve">Australia Awards Scholarship </w:t>
            </w:r>
            <w:r w:rsidR="000459C3">
              <w:rPr>
                <w:lang w:eastAsia="en-AU"/>
              </w:rPr>
              <w:t xml:space="preserve">program </w:t>
            </w:r>
            <w:r w:rsidRPr="0083216E">
              <w:rPr>
                <w:lang w:eastAsia="en-AU"/>
              </w:rPr>
              <w:t xml:space="preserve">– 2023 </w:t>
            </w:r>
            <w:r w:rsidR="00AD7EC6">
              <w:rPr>
                <w:lang w:eastAsia="en-AU"/>
              </w:rPr>
              <w:t>i</w:t>
            </w:r>
            <w:r w:rsidRPr="0083216E">
              <w:rPr>
                <w:lang w:eastAsia="en-AU"/>
              </w:rPr>
              <w:t>ntake</w:t>
            </w:r>
          </w:p>
        </w:tc>
        <w:tc>
          <w:tcPr>
            <w:tcW w:w="2126" w:type="dxa"/>
            <w:shd w:val="clear" w:color="auto" w:fill="D2DEE7" w:themeFill="accent1" w:themeFillTint="33"/>
          </w:tcPr>
          <w:p w14:paraId="64FE835B" w14:textId="0B853E88" w:rsidR="000A57AC" w:rsidRPr="0095719A" w:rsidRDefault="000A57AC"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2022</w:t>
            </w:r>
            <w:r w:rsidR="004641F7">
              <w:rPr>
                <w:lang w:eastAsia="en-AU"/>
              </w:rPr>
              <w:t>–</w:t>
            </w:r>
            <w:r w:rsidRPr="0095719A">
              <w:rPr>
                <w:lang w:eastAsia="en-AU"/>
              </w:rPr>
              <w:t>31</w:t>
            </w:r>
          </w:p>
        </w:tc>
        <w:tc>
          <w:tcPr>
            <w:tcW w:w="3962" w:type="dxa"/>
            <w:shd w:val="clear" w:color="auto" w:fill="F2F2F2" w:themeFill="background1" w:themeFillShade="F2"/>
          </w:tcPr>
          <w:p w14:paraId="13022A3B" w14:textId="0B52447E" w:rsidR="000A57AC" w:rsidRPr="0095719A" w:rsidRDefault="000A57AC"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 xml:space="preserve">Australian </w:t>
            </w:r>
            <w:r w:rsidR="00C1001E">
              <w:rPr>
                <w:lang w:eastAsia="en-AU"/>
              </w:rPr>
              <w:t>t</w:t>
            </w:r>
            <w:r w:rsidRPr="0095719A">
              <w:rPr>
                <w:lang w:eastAsia="en-AU"/>
              </w:rPr>
              <w:t xml:space="preserve">ertiary </w:t>
            </w:r>
            <w:r w:rsidR="00C1001E">
              <w:rPr>
                <w:lang w:eastAsia="en-AU"/>
              </w:rPr>
              <w:t>i</w:t>
            </w:r>
            <w:r w:rsidRPr="0095719A">
              <w:rPr>
                <w:lang w:eastAsia="en-AU"/>
              </w:rPr>
              <w:t>nstitutions</w:t>
            </w:r>
          </w:p>
        </w:tc>
      </w:tr>
      <w:tr w:rsidR="00C672AD" w:rsidRPr="00453DC3" w14:paraId="3048EACC"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7FB83DE0" w14:textId="1B496436" w:rsidR="000A57AC" w:rsidRPr="0083216E" w:rsidRDefault="000A57AC" w:rsidP="009D0B4A">
            <w:pPr>
              <w:pStyle w:val="TableBodyCopy"/>
              <w:rPr>
                <w:lang w:eastAsia="en-AU"/>
              </w:rPr>
            </w:pPr>
            <w:r w:rsidRPr="0083216E">
              <w:rPr>
                <w:lang w:eastAsia="en-AU"/>
              </w:rPr>
              <w:t xml:space="preserve">Australia Awards Scholarship </w:t>
            </w:r>
            <w:r w:rsidR="000459C3">
              <w:rPr>
                <w:lang w:eastAsia="en-AU"/>
              </w:rPr>
              <w:t>program</w:t>
            </w:r>
            <w:r w:rsidR="000459C3" w:rsidRPr="0083216E">
              <w:rPr>
                <w:lang w:eastAsia="en-AU"/>
              </w:rPr>
              <w:t xml:space="preserve"> </w:t>
            </w:r>
            <w:r w:rsidRPr="0083216E">
              <w:rPr>
                <w:lang w:eastAsia="en-AU"/>
              </w:rPr>
              <w:t xml:space="preserve">– 2024 </w:t>
            </w:r>
            <w:r w:rsidR="00AD7EC6">
              <w:rPr>
                <w:lang w:eastAsia="en-AU"/>
              </w:rPr>
              <w:t>i</w:t>
            </w:r>
            <w:r w:rsidRPr="0083216E">
              <w:rPr>
                <w:lang w:eastAsia="en-AU"/>
              </w:rPr>
              <w:t>ntake</w:t>
            </w:r>
          </w:p>
        </w:tc>
        <w:tc>
          <w:tcPr>
            <w:tcW w:w="2126" w:type="dxa"/>
            <w:shd w:val="clear" w:color="auto" w:fill="D2DEE7" w:themeFill="accent1" w:themeFillTint="33"/>
          </w:tcPr>
          <w:p w14:paraId="5A2AAB84" w14:textId="6E1A529D" w:rsidR="000A57AC" w:rsidRPr="0095719A" w:rsidRDefault="000A57AC"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2023</w:t>
            </w:r>
            <w:r w:rsidR="004641F7">
              <w:rPr>
                <w:lang w:eastAsia="en-AU"/>
              </w:rPr>
              <w:t>–</w:t>
            </w:r>
            <w:r w:rsidRPr="0095719A">
              <w:rPr>
                <w:lang w:eastAsia="en-AU"/>
              </w:rPr>
              <w:t>32</w:t>
            </w:r>
          </w:p>
        </w:tc>
        <w:tc>
          <w:tcPr>
            <w:tcW w:w="3962" w:type="dxa"/>
            <w:shd w:val="clear" w:color="auto" w:fill="F2F2F2" w:themeFill="background1" w:themeFillShade="F2"/>
          </w:tcPr>
          <w:p w14:paraId="3202CB95" w14:textId="01F0B313" w:rsidR="000A57AC" w:rsidRPr="0095719A" w:rsidRDefault="000A57AC"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95719A">
              <w:rPr>
                <w:lang w:eastAsia="en-AU"/>
              </w:rPr>
              <w:t xml:space="preserve">Australian </w:t>
            </w:r>
            <w:r w:rsidR="00C1001E">
              <w:rPr>
                <w:lang w:eastAsia="en-AU"/>
              </w:rPr>
              <w:t>t</w:t>
            </w:r>
            <w:r w:rsidRPr="0095719A">
              <w:rPr>
                <w:lang w:eastAsia="en-AU"/>
              </w:rPr>
              <w:t xml:space="preserve">ertiary </w:t>
            </w:r>
            <w:r w:rsidR="000459C3" w:rsidRPr="0095719A">
              <w:rPr>
                <w:lang w:eastAsia="en-AU"/>
              </w:rPr>
              <w:t>institutions</w:t>
            </w:r>
          </w:p>
        </w:tc>
      </w:tr>
      <w:tr w:rsidR="00C672AD" w:rsidRPr="00453DC3" w14:paraId="2BA7DBBD" w14:textId="77777777" w:rsidTr="00187636">
        <w:trPr>
          <w:cnfStyle w:val="000000100000" w:firstRow="0" w:lastRow="0" w:firstColumn="0" w:lastColumn="0" w:oddVBand="0" w:evenVBand="0" w:oddHBand="1"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1F6F4BE4" w14:textId="0A12860B" w:rsidR="00655F50" w:rsidRPr="0083216E" w:rsidRDefault="0055648F" w:rsidP="009D0B4A">
            <w:pPr>
              <w:pStyle w:val="TableBodyCopy"/>
              <w:rPr>
                <w:lang w:eastAsia="en-AU"/>
              </w:rPr>
            </w:pPr>
            <w:r w:rsidRPr="0083216E">
              <w:rPr>
                <w:lang w:eastAsia="en-AU"/>
              </w:rPr>
              <w:t>Partnerships for a Health</w:t>
            </w:r>
            <w:r w:rsidR="000459C3">
              <w:rPr>
                <w:lang w:eastAsia="en-AU"/>
              </w:rPr>
              <w:t>y</w:t>
            </w:r>
            <w:r w:rsidRPr="0083216E">
              <w:rPr>
                <w:lang w:eastAsia="en-AU"/>
              </w:rPr>
              <w:t xml:space="preserve"> Region (PHR) Phase </w:t>
            </w:r>
            <w:r w:rsidR="004125EA">
              <w:rPr>
                <w:lang w:eastAsia="en-AU"/>
              </w:rPr>
              <w:t>2</w:t>
            </w:r>
          </w:p>
        </w:tc>
        <w:tc>
          <w:tcPr>
            <w:tcW w:w="2126" w:type="dxa"/>
            <w:shd w:val="clear" w:color="auto" w:fill="D2DEE7" w:themeFill="accent1" w:themeFillTint="33"/>
          </w:tcPr>
          <w:p w14:paraId="0BBF32D0" w14:textId="03AD18F0" w:rsidR="00655F50" w:rsidRPr="0095719A" w:rsidRDefault="0055648F"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2022</w:t>
            </w:r>
            <w:r w:rsidR="004641F7">
              <w:rPr>
                <w:lang w:eastAsia="en-AU"/>
              </w:rPr>
              <w:t>–</w:t>
            </w:r>
            <w:r w:rsidRPr="0095719A">
              <w:rPr>
                <w:lang w:eastAsia="en-AU"/>
              </w:rPr>
              <w:t>26</w:t>
            </w:r>
          </w:p>
        </w:tc>
        <w:tc>
          <w:tcPr>
            <w:tcW w:w="3962" w:type="dxa"/>
            <w:shd w:val="clear" w:color="auto" w:fill="F2F2F2" w:themeFill="background1" w:themeFillShade="F2"/>
          </w:tcPr>
          <w:p w14:paraId="410D05E4" w14:textId="22A2577E" w:rsidR="00655F50" w:rsidRPr="0095719A" w:rsidRDefault="0055648F" w:rsidP="009D0B4A">
            <w:pPr>
              <w:pStyle w:val="TableBodyCopy"/>
              <w:cnfStyle w:val="000000100000" w:firstRow="0" w:lastRow="0" w:firstColumn="0" w:lastColumn="0" w:oddVBand="0" w:evenVBand="0" w:oddHBand="1" w:evenHBand="0" w:firstRowFirstColumn="0" w:firstRowLastColumn="0" w:lastRowFirstColumn="0" w:lastRowLastColumn="0"/>
              <w:rPr>
                <w:lang w:eastAsia="en-AU"/>
              </w:rPr>
            </w:pPr>
            <w:r w:rsidRPr="0095719A">
              <w:rPr>
                <w:lang w:eastAsia="en-AU"/>
              </w:rPr>
              <w:t>Australian National University</w:t>
            </w:r>
            <w:r w:rsidR="004125EA">
              <w:rPr>
                <w:lang w:eastAsia="en-AU"/>
              </w:rPr>
              <w:t>;</w:t>
            </w:r>
            <w:r w:rsidRPr="0095719A">
              <w:rPr>
                <w:lang w:eastAsia="en-AU"/>
              </w:rPr>
              <w:t xml:space="preserve"> Lowy Institute</w:t>
            </w:r>
          </w:p>
        </w:tc>
      </w:tr>
      <w:tr w:rsidR="00C672AD" w:rsidRPr="00453DC3" w14:paraId="099AF466" w14:textId="77777777" w:rsidTr="00187636">
        <w:trPr>
          <w:cantSplit/>
          <w:trHeight w:val="300"/>
        </w:trPr>
        <w:tc>
          <w:tcPr>
            <w:cnfStyle w:val="001000000000" w:firstRow="0" w:lastRow="0" w:firstColumn="1" w:lastColumn="0" w:oddVBand="0" w:evenVBand="0" w:oddHBand="0" w:evenHBand="0" w:firstRowFirstColumn="0" w:firstRowLastColumn="0" w:lastRowFirstColumn="0" w:lastRowLastColumn="0"/>
            <w:tcW w:w="4106" w:type="dxa"/>
            <w:shd w:val="clear" w:color="auto" w:fill="A5BDCF" w:themeFill="accent1" w:themeFillTint="66"/>
          </w:tcPr>
          <w:p w14:paraId="0DEB2F8D" w14:textId="3AA2BC43" w:rsidR="00A16AC8" w:rsidRPr="0083216E" w:rsidRDefault="00A16AC8" w:rsidP="009D0B4A">
            <w:pPr>
              <w:pStyle w:val="TableBodyCopy"/>
              <w:rPr>
                <w:lang w:eastAsia="en-AU"/>
              </w:rPr>
            </w:pPr>
            <w:r>
              <w:rPr>
                <w:lang w:eastAsia="en-AU"/>
              </w:rPr>
              <w:t>Pacific Regional Health Investment</w:t>
            </w:r>
          </w:p>
        </w:tc>
        <w:tc>
          <w:tcPr>
            <w:tcW w:w="2126" w:type="dxa"/>
            <w:shd w:val="clear" w:color="auto" w:fill="D2DEE7" w:themeFill="accent1" w:themeFillTint="33"/>
          </w:tcPr>
          <w:p w14:paraId="128BDD70" w14:textId="49033CB7" w:rsidR="00A16AC8" w:rsidRPr="0095719A" w:rsidRDefault="00067D98"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Pr>
                <w:lang w:eastAsia="en-AU"/>
              </w:rPr>
              <w:t>2021</w:t>
            </w:r>
            <w:r w:rsidR="004641F7">
              <w:rPr>
                <w:lang w:eastAsia="en-AU"/>
              </w:rPr>
              <w:t>–</w:t>
            </w:r>
            <w:r>
              <w:rPr>
                <w:lang w:eastAsia="en-AU"/>
              </w:rPr>
              <w:t>28</w:t>
            </w:r>
          </w:p>
        </w:tc>
        <w:tc>
          <w:tcPr>
            <w:tcW w:w="3962" w:type="dxa"/>
            <w:shd w:val="clear" w:color="auto" w:fill="F2F2F2" w:themeFill="background1" w:themeFillShade="F2"/>
          </w:tcPr>
          <w:p w14:paraId="1ABAC16B" w14:textId="085D3BA3" w:rsidR="00A16AC8" w:rsidRPr="0095719A" w:rsidRDefault="00B86BA3" w:rsidP="009D0B4A">
            <w:pPr>
              <w:pStyle w:val="TableBodyCopy"/>
              <w:cnfStyle w:val="000000000000" w:firstRow="0" w:lastRow="0" w:firstColumn="0" w:lastColumn="0" w:oddVBand="0" w:evenVBand="0" w:oddHBand="0" w:evenHBand="0" w:firstRowFirstColumn="0" w:firstRowLastColumn="0" w:lastRowFirstColumn="0" w:lastRowLastColumn="0"/>
              <w:rPr>
                <w:lang w:eastAsia="en-AU"/>
              </w:rPr>
            </w:pPr>
            <w:r w:rsidRPr="00497C18">
              <w:rPr>
                <w:lang w:eastAsia="en-AU"/>
              </w:rPr>
              <w:t xml:space="preserve">SPC </w:t>
            </w:r>
            <w:r w:rsidR="000459C3">
              <w:rPr>
                <w:lang w:eastAsia="en-AU"/>
              </w:rPr>
              <w:t>Public Health Division</w:t>
            </w:r>
            <w:r w:rsidR="006E036A">
              <w:rPr>
                <w:lang w:eastAsia="en-AU"/>
              </w:rPr>
              <w:t>;</w:t>
            </w:r>
            <w:r w:rsidRPr="00497C18">
              <w:rPr>
                <w:lang w:eastAsia="en-AU"/>
              </w:rPr>
              <w:t xml:space="preserve"> Royal Australasian College of Surgeons</w:t>
            </w:r>
            <w:r w:rsidR="000459C3">
              <w:rPr>
                <w:lang w:eastAsia="en-AU"/>
              </w:rPr>
              <w:t>;</w:t>
            </w:r>
            <w:r w:rsidRPr="00497C18">
              <w:rPr>
                <w:lang w:eastAsia="en-AU"/>
              </w:rPr>
              <w:t xml:space="preserve"> Fiji National University’s College of Medicine</w:t>
            </w:r>
            <w:r w:rsidR="000459C3">
              <w:rPr>
                <w:lang w:eastAsia="en-AU"/>
              </w:rPr>
              <w:t>;</w:t>
            </w:r>
            <w:r w:rsidR="000459C3" w:rsidRPr="00497C18">
              <w:rPr>
                <w:lang w:eastAsia="en-AU"/>
              </w:rPr>
              <w:t xml:space="preserve"> </w:t>
            </w:r>
            <w:r w:rsidRPr="00497C18">
              <w:rPr>
                <w:lang w:eastAsia="en-AU"/>
              </w:rPr>
              <w:t xml:space="preserve">Nursing </w:t>
            </w:r>
            <w:r w:rsidR="000459C3">
              <w:rPr>
                <w:lang w:eastAsia="en-AU"/>
              </w:rPr>
              <w:t>and</w:t>
            </w:r>
            <w:r w:rsidR="000459C3" w:rsidRPr="00497C18">
              <w:rPr>
                <w:lang w:eastAsia="en-AU"/>
              </w:rPr>
              <w:t xml:space="preserve"> </w:t>
            </w:r>
            <w:r w:rsidRPr="00497C18">
              <w:rPr>
                <w:lang w:eastAsia="en-AU"/>
              </w:rPr>
              <w:t>Health Sciences</w:t>
            </w:r>
            <w:r w:rsidR="00DD5397">
              <w:rPr>
                <w:lang w:eastAsia="en-AU"/>
              </w:rPr>
              <w:t>;</w:t>
            </w:r>
            <w:r w:rsidRPr="00497C18">
              <w:rPr>
                <w:lang w:eastAsia="en-AU"/>
              </w:rPr>
              <w:t xml:space="preserve"> International Planned Parenthood </w:t>
            </w:r>
            <w:r w:rsidR="00185805" w:rsidRPr="00497C18">
              <w:rPr>
                <w:lang w:eastAsia="en-AU"/>
              </w:rPr>
              <w:t>Federation</w:t>
            </w:r>
            <w:r w:rsidR="00185805">
              <w:rPr>
                <w:lang w:eastAsia="en-AU"/>
              </w:rPr>
              <w:t xml:space="preserve">; </w:t>
            </w:r>
            <w:r w:rsidR="00185805" w:rsidRPr="00497C18">
              <w:rPr>
                <w:lang w:eastAsia="en-AU"/>
              </w:rPr>
              <w:t>United</w:t>
            </w:r>
            <w:r w:rsidRPr="00497C18">
              <w:rPr>
                <w:lang w:eastAsia="en-AU"/>
              </w:rPr>
              <w:t xml:space="preserve"> Nations Children</w:t>
            </w:r>
            <w:r w:rsidR="005F1E73">
              <w:rPr>
                <w:lang w:eastAsia="en-AU"/>
              </w:rPr>
              <w:t>’</w:t>
            </w:r>
            <w:r w:rsidRPr="00497C18">
              <w:rPr>
                <w:lang w:eastAsia="en-AU"/>
              </w:rPr>
              <w:t>s Fund</w:t>
            </w:r>
          </w:p>
        </w:tc>
      </w:tr>
    </w:tbl>
    <w:p w14:paraId="10575FD2" w14:textId="77777777" w:rsidR="005A3BD1" w:rsidRPr="005D50D9" w:rsidRDefault="005A3BD1" w:rsidP="005D50D9">
      <w:pPr>
        <w:spacing w:after="0" w:line="240" w:lineRule="auto"/>
        <w:rPr>
          <w:sz w:val="20"/>
        </w:rPr>
      </w:pPr>
    </w:p>
    <w:p w14:paraId="12AD8CB9" w14:textId="557E9515" w:rsidR="00983BCA" w:rsidRDefault="00983BCA" w:rsidP="00544F6B">
      <w:pPr>
        <w:spacing w:after="0" w:line="240" w:lineRule="auto"/>
        <w:rPr>
          <w:rFonts w:eastAsia="Times New Roman" w:cs="Calibri"/>
          <w:sz w:val="20"/>
          <w:szCs w:val="20"/>
          <w:lang w:eastAsia="en-AU"/>
        </w:rPr>
        <w:sectPr w:rsidR="00983BCA" w:rsidSect="00D60322">
          <w:headerReference w:type="default" r:id="rId15"/>
          <w:footerReference w:type="default" r:id="rId16"/>
          <w:headerReference w:type="first" r:id="rId17"/>
          <w:footerReference w:type="first" r:id="rId18"/>
          <w:endnotePr>
            <w:numFmt w:val="decimal"/>
          </w:endnotePr>
          <w:pgSz w:w="11906" w:h="16838" w:code="9"/>
          <w:pgMar w:top="1418" w:right="851" w:bottom="284" w:left="851" w:header="340" w:footer="414" w:gutter="0"/>
          <w:cols w:space="708"/>
          <w:noEndnote/>
          <w:docGrid w:linePitch="360"/>
        </w:sectPr>
      </w:pPr>
    </w:p>
    <w:p w14:paraId="70FFDA40" w14:textId="77777777" w:rsidR="006B0B5C" w:rsidRDefault="00A803CC" w:rsidP="00325060">
      <w:pPr>
        <w:pStyle w:val="H2-Heading2"/>
        <w:sectPr w:rsidR="006B0B5C" w:rsidSect="00147FE1">
          <w:endnotePr>
            <w:numFmt w:val="decimal"/>
          </w:endnotePr>
          <w:pgSz w:w="11906" w:h="16838" w:code="9"/>
          <w:pgMar w:top="1418" w:right="851" w:bottom="284" w:left="851" w:header="340" w:footer="414" w:gutter="0"/>
          <w:cols w:space="708"/>
          <w:docGrid w:linePitch="360"/>
        </w:sectPr>
      </w:pPr>
      <w:r w:rsidRPr="00325060">
        <w:lastRenderedPageBreak/>
        <w:t>Endnotes</w:t>
      </w:r>
    </w:p>
    <w:p w14:paraId="3AD3D533" w14:textId="77777777" w:rsidR="00F66DA8" w:rsidRDefault="00F66DA8" w:rsidP="00691619">
      <w:pPr>
        <w:pStyle w:val="Coverphotocreditshead"/>
      </w:pPr>
      <w:r>
        <w:lastRenderedPageBreak/>
        <w:t>Cover photo credits</w:t>
      </w:r>
    </w:p>
    <w:p w14:paraId="1F5C877F" w14:textId="77777777" w:rsidR="00F66DA8" w:rsidRPr="00E452F0" w:rsidRDefault="00C836A3" w:rsidP="00547BC4">
      <w:pPr>
        <w:keepNext/>
        <w:spacing w:before="0" w:after="0"/>
        <w:rPr>
          <w:sz w:val="20"/>
          <w:szCs w:val="20"/>
        </w:rPr>
      </w:pPr>
      <w:r>
        <w:rPr>
          <w:sz w:val="20"/>
          <w:szCs w:val="20"/>
        </w:rPr>
        <w:t>Clockwise from top right</w:t>
      </w:r>
      <w:r w:rsidR="00F66DA8" w:rsidRPr="00E452F0">
        <w:rPr>
          <w:sz w:val="20"/>
          <w:szCs w:val="20"/>
        </w:rPr>
        <w:t>:</w:t>
      </w:r>
    </w:p>
    <w:p w14:paraId="2B6F97B0" w14:textId="6320E240" w:rsidR="000D219D" w:rsidRPr="00547BC4" w:rsidRDefault="000D219D" w:rsidP="00547BC4">
      <w:pPr>
        <w:pStyle w:val="NormalBullets-L1"/>
        <w:spacing w:before="0" w:after="0"/>
        <w:rPr>
          <w:sz w:val="20"/>
          <w:szCs w:val="20"/>
        </w:rPr>
      </w:pPr>
      <w:r w:rsidRPr="00547BC4">
        <w:rPr>
          <w:sz w:val="20"/>
          <w:szCs w:val="20"/>
        </w:rPr>
        <w:t>PALM workers</w:t>
      </w:r>
      <w:r w:rsidR="00D46565" w:rsidRPr="00547BC4">
        <w:rPr>
          <w:sz w:val="20"/>
          <w:szCs w:val="20"/>
        </w:rPr>
        <w:t xml:space="preserve"> </w:t>
      </w:r>
      <w:r w:rsidR="00D46565" w:rsidRPr="00547BC4">
        <w:rPr>
          <w:sz w:val="20"/>
          <w:szCs w:val="20"/>
        </w:rPr>
        <w:br/>
      </w:r>
      <w:r w:rsidRPr="00547BC4">
        <w:rPr>
          <w:sz w:val="20"/>
          <w:szCs w:val="20"/>
        </w:rPr>
        <w:t xml:space="preserve">Credit: Pacific Labour Facility </w:t>
      </w:r>
    </w:p>
    <w:p w14:paraId="7ED0DC0A" w14:textId="43843AB7" w:rsidR="000D219D" w:rsidRPr="00547BC4" w:rsidRDefault="000D219D" w:rsidP="00547BC4">
      <w:pPr>
        <w:pStyle w:val="NormalBullets-L1"/>
        <w:spacing w:before="0" w:after="0"/>
        <w:rPr>
          <w:sz w:val="20"/>
          <w:szCs w:val="20"/>
        </w:rPr>
      </w:pPr>
      <w:r w:rsidRPr="00547BC4">
        <w:rPr>
          <w:sz w:val="20"/>
          <w:szCs w:val="20"/>
        </w:rPr>
        <w:t>Fisherman in a Kiribati lagoon</w:t>
      </w:r>
      <w:r w:rsidR="00F70432" w:rsidRPr="00547BC4">
        <w:rPr>
          <w:sz w:val="20"/>
          <w:szCs w:val="20"/>
        </w:rPr>
        <w:t xml:space="preserve"> </w:t>
      </w:r>
      <w:r w:rsidR="00D46565" w:rsidRPr="00547BC4">
        <w:rPr>
          <w:sz w:val="20"/>
          <w:szCs w:val="20"/>
        </w:rPr>
        <w:br/>
      </w:r>
      <w:r w:rsidRPr="00547BC4">
        <w:rPr>
          <w:sz w:val="20"/>
          <w:szCs w:val="20"/>
        </w:rPr>
        <w:t xml:space="preserve">Credit: Quentin </w:t>
      </w:r>
      <w:proofErr w:type="spellStart"/>
      <w:r w:rsidRPr="00547BC4">
        <w:rPr>
          <w:sz w:val="20"/>
          <w:szCs w:val="20"/>
        </w:rPr>
        <w:t>Hanich</w:t>
      </w:r>
      <w:proofErr w:type="spellEnd"/>
      <w:r w:rsidRPr="00547BC4">
        <w:rPr>
          <w:sz w:val="20"/>
          <w:szCs w:val="20"/>
        </w:rPr>
        <w:t xml:space="preserve">, Australian Government Department of Foreign Affairs and Trade/Quentin </w:t>
      </w:r>
      <w:proofErr w:type="spellStart"/>
      <w:r w:rsidRPr="00547BC4">
        <w:rPr>
          <w:sz w:val="20"/>
          <w:szCs w:val="20"/>
        </w:rPr>
        <w:t>Hanich</w:t>
      </w:r>
      <w:proofErr w:type="spellEnd"/>
    </w:p>
    <w:p w14:paraId="337A95BE" w14:textId="7DCE9E47" w:rsidR="000D219D" w:rsidRPr="00547BC4" w:rsidRDefault="000D219D" w:rsidP="00547BC4">
      <w:pPr>
        <w:pStyle w:val="NormalBullets-L1"/>
        <w:spacing w:before="0" w:after="0"/>
        <w:rPr>
          <w:sz w:val="20"/>
          <w:szCs w:val="20"/>
        </w:rPr>
      </w:pPr>
      <w:r w:rsidRPr="00547BC4">
        <w:rPr>
          <w:sz w:val="20"/>
          <w:szCs w:val="20"/>
        </w:rPr>
        <w:t>Tuna for sale in Solomon Islands</w:t>
      </w:r>
      <w:r w:rsidR="00F70432" w:rsidRPr="00547BC4">
        <w:rPr>
          <w:sz w:val="20"/>
          <w:szCs w:val="20"/>
        </w:rPr>
        <w:t xml:space="preserve"> </w:t>
      </w:r>
      <w:r w:rsidR="00F70432" w:rsidRPr="00547BC4">
        <w:rPr>
          <w:sz w:val="20"/>
          <w:szCs w:val="20"/>
        </w:rPr>
        <w:br/>
      </w:r>
      <w:r w:rsidRPr="00547BC4">
        <w:rPr>
          <w:sz w:val="20"/>
          <w:szCs w:val="20"/>
        </w:rPr>
        <w:t xml:space="preserve">Credit: Filip </w:t>
      </w:r>
      <w:proofErr w:type="spellStart"/>
      <w:r w:rsidRPr="00547BC4">
        <w:rPr>
          <w:sz w:val="20"/>
          <w:szCs w:val="20"/>
        </w:rPr>
        <w:t>Milovac</w:t>
      </w:r>
      <w:proofErr w:type="spellEnd"/>
      <w:r w:rsidRPr="00547BC4">
        <w:rPr>
          <w:sz w:val="20"/>
          <w:szCs w:val="20"/>
        </w:rPr>
        <w:t>, WorldFish</w:t>
      </w:r>
    </w:p>
    <w:p w14:paraId="4CD48933" w14:textId="306CDA9D" w:rsidR="000D219D" w:rsidRPr="00547BC4" w:rsidRDefault="000D219D" w:rsidP="00547BC4">
      <w:pPr>
        <w:pStyle w:val="NormalBullets-L1"/>
        <w:spacing w:before="0" w:after="0"/>
        <w:rPr>
          <w:sz w:val="20"/>
          <w:szCs w:val="20"/>
        </w:rPr>
      </w:pPr>
      <w:r w:rsidRPr="00547BC4">
        <w:rPr>
          <w:sz w:val="20"/>
          <w:szCs w:val="20"/>
        </w:rPr>
        <w:t xml:space="preserve">Palau </w:t>
      </w:r>
      <w:r w:rsidR="002606F7" w:rsidRPr="00547BC4">
        <w:rPr>
          <w:sz w:val="20"/>
          <w:szCs w:val="20"/>
        </w:rPr>
        <w:t>Submarine</w:t>
      </w:r>
      <w:r w:rsidRPr="00547BC4">
        <w:rPr>
          <w:sz w:val="20"/>
          <w:szCs w:val="20"/>
        </w:rPr>
        <w:t xml:space="preserve"> </w:t>
      </w:r>
      <w:r w:rsidR="002606F7" w:rsidRPr="00547BC4">
        <w:rPr>
          <w:sz w:val="20"/>
          <w:szCs w:val="20"/>
        </w:rPr>
        <w:t>Cable</w:t>
      </w:r>
      <w:r w:rsidR="00F70432" w:rsidRPr="00547BC4">
        <w:rPr>
          <w:sz w:val="20"/>
          <w:szCs w:val="20"/>
        </w:rPr>
        <w:br/>
      </w:r>
      <w:r w:rsidRPr="00547BC4">
        <w:rPr>
          <w:sz w:val="20"/>
          <w:szCs w:val="20"/>
        </w:rPr>
        <w:t>Credit: Jesse Alpert/</w:t>
      </w:r>
      <w:proofErr w:type="spellStart"/>
      <w:r w:rsidRPr="00547BC4">
        <w:rPr>
          <w:sz w:val="20"/>
          <w:szCs w:val="20"/>
        </w:rPr>
        <w:t>Baelau</w:t>
      </w:r>
      <w:proofErr w:type="spellEnd"/>
      <w:r w:rsidRPr="00547BC4">
        <w:rPr>
          <w:sz w:val="20"/>
          <w:szCs w:val="20"/>
        </w:rPr>
        <w:t xml:space="preserve"> Submarine Cable Corporation</w:t>
      </w:r>
    </w:p>
    <w:p w14:paraId="4E389EFA" w14:textId="0DD821B3" w:rsidR="000D219D" w:rsidRPr="00547BC4" w:rsidRDefault="000D219D" w:rsidP="00547BC4">
      <w:pPr>
        <w:pStyle w:val="NormalBullets-L1"/>
        <w:spacing w:before="0" w:after="0"/>
        <w:rPr>
          <w:sz w:val="20"/>
          <w:szCs w:val="20"/>
        </w:rPr>
      </w:pPr>
      <w:r w:rsidRPr="00547BC4">
        <w:rPr>
          <w:sz w:val="20"/>
          <w:szCs w:val="20"/>
        </w:rPr>
        <w:t>Pacific police program</w:t>
      </w:r>
      <w:r w:rsidR="00F70432" w:rsidRPr="00547BC4">
        <w:rPr>
          <w:sz w:val="20"/>
          <w:szCs w:val="20"/>
        </w:rPr>
        <w:br/>
      </w:r>
      <w:r w:rsidRPr="00547BC4">
        <w:rPr>
          <w:sz w:val="20"/>
          <w:szCs w:val="20"/>
        </w:rPr>
        <w:t>Credit: Australian Federal Police</w:t>
      </w:r>
    </w:p>
    <w:p w14:paraId="53E7CE9A" w14:textId="4EAF5A7B" w:rsidR="009B6A22" w:rsidRPr="00547BC4" w:rsidRDefault="000D219D" w:rsidP="00547BC4">
      <w:pPr>
        <w:pStyle w:val="NormalBullets-L1"/>
        <w:spacing w:before="0" w:after="0"/>
        <w:rPr>
          <w:sz w:val="20"/>
          <w:szCs w:val="20"/>
        </w:rPr>
      </w:pPr>
      <w:r w:rsidRPr="00547BC4">
        <w:rPr>
          <w:sz w:val="20"/>
          <w:szCs w:val="20"/>
        </w:rPr>
        <w:t>Penina Pasifika</w:t>
      </w:r>
      <w:r w:rsidR="00F70432" w:rsidRPr="00547BC4">
        <w:rPr>
          <w:sz w:val="20"/>
          <w:szCs w:val="20"/>
        </w:rPr>
        <w:br/>
      </w:r>
      <w:r w:rsidRPr="00547BC4">
        <w:rPr>
          <w:sz w:val="20"/>
          <w:szCs w:val="20"/>
        </w:rPr>
        <w:t>Credit: PacificAus Sports, Australian Government Department of Foreign Affairs and Trade</w:t>
      </w:r>
      <w:bookmarkEnd w:id="0"/>
    </w:p>
    <w:sectPr w:rsidR="009B6A22" w:rsidRPr="00547BC4" w:rsidSect="006B0B5C">
      <w:endnotePr>
        <w:numFmt w:val="decimal"/>
      </w:endnotePr>
      <w:type w:val="continuous"/>
      <w:pgSz w:w="11906" w:h="16838" w:code="9"/>
      <w:pgMar w:top="1418" w:right="851" w:bottom="284" w:left="851" w:header="340"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BD29" w14:textId="77777777" w:rsidR="005C327F" w:rsidRDefault="005C327F" w:rsidP="002035B1">
      <w:pPr>
        <w:pStyle w:val="endnotespacer"/>
      </w:pPr>
    </w:p>
  </w:endnote>
  <w:endnote w:type="continuationSeparator" w:id="0">
    <w:p w14:paraId="66A5D38E" w14:textId="77777777" w:rsidR="005C327F" w:rsidRDefault="005C327F" w:rsidP="002035B1">
      <w:pPr>
        <w:pStyle w:val="endnotespacer"/>
      </w:pPr>
    </w:p>
  </w:endnote>
  <w:endnote w:type="continuationNotice" w:id="1">
    <w:p w14:paraId="7CF7DD04" w14:textId="77777777" w:rsidR="005C327F" w:rsidRPr="00390B14" w:rsidRDefault="005C327F" w:rsidP="00390B14">
      <w:pPr>
        <w:pStyle w:val="endnotespacer"/>
        <w:rPr>
          <w:lang w:val="en-US"/>
        </w:rPr>
      </w:pPr>
    </w:p>
  </w:endnote>
  <w:endnote w:id="2">
    <w:p w14:paraId="50423AC0" w14:textId="5CA75D51" w:rsidR="00337338" w:rsidRPr="005D50D9" w:rsidRDefault="00337338" w:rsidP="005D50D9">
      <w:pPr>
        <w:pStyle w:val="EndnoteText"/>
      </w:pPr>
      <w:r>
        <w:rPr>
          <w:rStyle w:val="EndnoteReference"/>
        </w:rPr>
        <w:endnoteRef/>
      </w:r>
      <w:r>
        <w:t xml:space="preserve"> </w:t>
      </w:r>
      <w:r>
        <w:rPr>
          <w:lang w:val="en-US"/>
        </w:rPr>
        <w:t xml:space="preserve">Pacific Islands Forum (PIF), </w:t>
      </w:r>
      <w:r>
        <w:rPr>
          <w:i/>
          <w:iCs/>
          <w:lang w:val="en-US"/>
        </w:rPr>
        <w:t>2050 strategy for the Blue Pacific Continent</w:t>
      </w:r>
      <w:r>
        <w:rPr>
          <w:lang w:val="en-US"/>
        </w:rPr>
        <w:t xml:space="preserve">, 2022. </w:t>
      </w:r>
      <w:r w:rsidRPr="00770141">
        <w:rPr>
          <w:lang w:val="en-US"/>
        </w:rPr>
        <w:t>https://forumsec.org/2050</w:t>
      </w:r>
    </w:p>
  </w:endnote>
  <w:endnote w:id="3">
    <w:p w14:paraId="52267E9A" w14:textId="314395BC" w:rsidR="00337338" w:rsidRPr="006202F2" w:rsidRDefault="00337338" w:rsidP="00974B1F">
      <w:pPr>
        <w:pStyle w:val="Endnotes"/>
        <w:rPr>
          <w:b/>
          <w:bCs/>
          <w:color w:val="313E48" w:themeColor="text2"/>
          <w:lang w:eastAsia="en-AU"/>
        </w:rPr>
      </w:pPr>
      <w:r w:rsidRPr="006202F2">
        <w:rPr>
          <w:rStyle w:val="EndnoteReference"/>
          <w:rFonts w:asciiTheme="minorHAnsi" w:hAnsiTheme="minorHAnsi" w:cstheme="minorHAnsi"/>
          <w:sz w:val="18"/>
          <w:szCs w:val="18"/>
        </w:rPr>
        <w:endnoteRef/>
      </w:r>
      <w:r w:rsidRPr="006202F2">
        <w:t xml:space="preserve"> </w:t>
      </w:r>
      <w:r w:rsidRPr="006202F2">
        <w:rPr>
          <w:shd w:val="clear" w:color="auto" w:fill="FFFFFF"/>
        </w:rPr>
        <w:t xml:space="preserve">Department </w:t>
      </w:r>
      <w:r>
        <w:rPr>
          <w:shd w:val="clear" w:color="auto" w:fill="FFFFFF"/>
        </w:rPr>
        <w:t>o</w:t>
      </w:r>
      <w:r w:rsidRPr="006202F2">
        <w:rPr>
          <w:shd w:val="clear" w:color="auto" w:fill="FFFFFF"/>
        </w:rPr>
        <w:t xml:space="preserve">f Foreign Affairs </w:t>
      </w:r>
      <w:r>
        <w:rPr>
          <w:shd w:val="clear" w:color="auto" w:fill="FFFFFF"/>
        </w:rPr>
        <w:t>a</w:t>
      </w:r>
      <w:r w:rsidRPr="006202F2">
        <w:rPr>
          <w:shd w:val="clear" w:color="auto" w:fill="FFFFFF"/>
        </w:rPr>
        <w:t xml:space="preserve">nd Trade, </w:t>
      </w:r>
      <w:r>
        <w:rPr>
          <w:shd w:val="clear" w:color="auto" w:fill="FFFFFF"/>
        </w:rPr>
        <w:t>Australian Centre for International Agricultural Research</w:t>
      </w:r>
      <w:r w:rsidRPr="006202F2">
        <w:rPr>
          <w:shd w:val="clear" w:color="auto" w:fill="FFFFFF"/>
        </w:rPr>
        <w:t xml:space="preserve">, </w:t>
      </w:r>
      <w:r>
        <w:rPr>
          <w:shd w:val="clear" w:color="auto" w:fill="FFFFFF"/>
        </w:rPr>
        <w:t>Australian Trade and Investment Commission,</w:t>
      </w:r>
      <w:r w:rsidRPr="006202F2">
        <w:rPr>
          <w:shd w:val="clear" w:color="auto" w:fill="FFFFFF"/>
        </w:rPr>
        <w:t xml:space="preserve"> </w:t>
      </w:r>
      <w:r>
        <w:rPr>
          <w:shd w:val="clear" w:color="auto" w:fill="FFFFFF"/>
        </w:rPr>
        <w:t>and</w:t>
      </w:r>
      <w:r w:rsidRPr="006202F2">
        <w:rPr>
          <w:shd w:val="clear" w:color="auto" w:fill="FFFFFF"/>
        </w:rPr>
        <w:t xml:space="preserve"> Export Finance Australia,</w:t>
      </w:r>
      <w:r>
        <w:rPr>
          <w:shd w:val="clear" w:color="auto" w:fill="FFFFFF"/>
        </w:rPr>
        <w:t xml:space="preserve"> </w:t>
      </w:r>
      <w:r>
        <w:rPr>
          <w:i/>
          <w:iCs/>
          <w:shd w:val="clear" w:color="auto" w:fill="FFFFFF"/>
        </w:rPr>
        <w:t>Foreign affairs and</w:t>
      </w:r>
      <w:r w:rsidRPr="00547BC4">
        <w:rPr>
          <w:i/>
          <w:iCs/>
          <w:shd w:val="clear" w:color="auto" w:fill="FFFFFF"/>
        </w:rPr>
        <w:t xml:space="preserve"> trade </w:t>
      </w:r>
      <w:r>
        <w:rPr>
          <w:i/>
          <w:iCs/>
          <w:shd w:val="clear" w:color="auto" w:fill="FFFFFF"/>
        </w:rPr>
        <w:t xml:space="preserve">portfolio submission: inquiry into Australia activating greater trade and investment </w:t>
      </w:r>
      <w:r w:rsidRPr="00547BC4">
        <w:rPr>
          <w:i/>
          <w:iCs/>
          <w:shd w:val="clear" w:color="auto" w:fill="FFFFFF"/>
        </w:rPr>
        <w:t xml:space="preserve">with </w:t>
      </w:r>
      <w:r w:rsidRPr="003753D5">
        <w:rPr>
          <w:i/>
          <w:iCs/>
          <w:shd w:val="clear" w:color="auto" w:fill="FFFFFF"/>
        </w:rPr>
        <w:t>Pacific</w:t>
      </w:r>
      <w:r w:rsidRPr="00547BC4">
        <w:rPr>
          <w:i/>
          <w:iCs/>
          <w:shd w:val="clear" w:color="auto" w:fill="FFFFFF"/>
        </w:rPr>
        <w:t xml:space="preserve"> island countries</w:t>
      </w:r>
      <w:r w:rsidRPr="006202F2">
        <w:rPr>
          <w:shd w:val="clear" w:color="auto" w:fill="FFFFFF"/>
        </w:rPr>
        <w:t xml:space="preserve">, </w:t>
      </w:r>
      <w:r>
        <w:rPr>
          <w:shd w:val="clear" w:color="auto" w:fill="FFFFFF"/>
        </w:rPr>
        <w:t>2020</w:t>
      </w:r>
      <w:r w:rsidRPr="006202F2">
        <w:rPr>
          <w:shd w:val="clear" w:color="auto" w:fill="FFFFFF"/>
        </w:rPr>
        <w:t xml:space="preserve">. </w:t>
      </w:r>
    </w:p>
  </w:endnote>
  <w:endnote w:id="4">
    <w:p w14:paraId="4418517E" w14:textId="17D71368" w:rsidR="00337338" w:rsidRPr="005D50D9" w:rsidRDefault="00337338" w:rsidP="005D50D9">
      <w:pPr>
        <w:pStyle w:val="EndnoteText"/>
      </w:pPr>
      <w:r>
        <w:rPr>
          <w:rStyle w:val="EndnoteReference"/>
        </w:rPr>
        <w:endnoteRef/>
      </w:r>
      <w:r>
        <w:t xml:space="preserve"> </w:t>
      </w:r>
      <w:r>
        <w:rPr>
          <w:lang w:val="en-US"/>
        </w:rPr>
        <w:t xml:space="preserve">PIF, </w:t>
      </w:r>
      <w:r>
        <w:rPr>
          <w:i/>
          <w:iCs/>
          <w:lang w:val="en-US"/>
        </w:rPr>
        <w:t>2050 strategy for the Blue Pacific Continent</w:t>
      </w:r>
      <w:r>
        <w:rPr>
          <w:lang w:val="en-US"/>
        </w:rPr>
        <w:t>.</w:t>
      </w:r>
    </w:p>
  </w:endnote>
  <w:endnote w:id="5">
    <w:p w14:paraId="0B2EA0BD" w14:textId="77777777" w:rsidR="00337338" w:rsidRDefault="00337338" w:rsidP="005D50D9">
      <w:pPr>
        <w:pStyle w:val="EndnoteText"/>
      </w:pPr>
      <w:r>
        <w:rPr>
          <w:rStyle w:val="EndnoteReference"/>
        </w:rPr>
        <w:endnoteRef/>
      </w:r>
      <w:r>
        <w:t xml:space="preserve"> </w:t>
      </w:r>
      <w:r w:rsidRPr="00641CD1">
        <w:t xml:space="preserve">Papua New Guinea Government Department of National Planning and Monitoring, </w:t>
      </w:r>
      <w:r w:rsidRPr="00641CD1">
        <w:rPr>
          <w:i/>
          <w:iCs/>
        </w:rPr>
        <w:t>Medium term development plan IV 2023–2027: national prosperity through growing the economy</w:t>
      </w:r>
      <w:r w:rsidRPr="00641CD1">
        <w:t>, 2023. https://mtdp.gov.pg</w:t>
      </w:r>
    </w:p>
  </w:endnote>
  <w:endnote w:id="6">
    <w:p w14:paraId="202B0C4D" w14:textId="1A34E435" w:rsidR="00337338" w:rsidRDefault="00337338" w:rsidP="005D50D9">
      <w:pPr>
        <w:pStyle w:val="EndnoteText"/>
      </w:pPr>
      <w:r>
        <w:rPr>
          <w:rStyle w:val="EndnoteReference"/>
        </w:rPr>
        <w:endnoteRef/>
      </w:r>
      <w:r>
        <w:t xml:space="preserve"> </w:t>
      </w:r>
      <w:r w:rsidRPr="00846E74">
        <w:t xml:space="preserve">Pacific Data Hub, </w:t>
      </w:r>
      <w:r w:rsidRPr="00846E74">
        <w:rPr>
          <w:i/>
          <w:iCs/>
        </w:rPr>
        <w:t>Population dashboard</w:t>
      </w:r>
      <w:r w:rsidRPr="00846E74">
        <w:t>, 2024. https://pacificdata.org/population-dashboard</w:t>
      </w:r>
    </w:p>
  </w:endnote>
  <w:endnote w:id="7">
    <w:p w14:paraId="13593176" w14:textId="230EC946" w:rsidR="00337338" w:rsidRPr="00A926BC" w:rsidRDefault="00337338" w:rsidP="005D50D9">
      <w:pPr>
        <w:pStyle w:val="EndnoteText"/>
      </w:pPr>
      <w:r>
        <w:rPr>
          <w:rStyle w:val="EndnoteReference"/>
        </w:rPr>
        <w:endnoteRef/>
      </w:r>
      <w:r>
        <w:t xml:space="preserve"> </w:t>
      </w:r>
      <w:r w:rsidRPr="00D1297B">
        <w:rPr>
          <w:lang w:val="en-US"/>
        </w:rPr>
        <w:t xml:space="preserve">PIF, </w:t>
      </w:r>
      <w:r w:rsidRPr="00D1297B">
        <w:rPr>
          <w:i/>
          <w:iCs/>
          <w:lang w:val="en-US"/>
        </w:rPr>
        <w:t>2050 strategy for the Blue Pacific Continent</w:t>
      </w:r>
      <w:r w:rsidR="00A926BC">
        <w:t>.</w:t>
      </w:r>
    </w:p>
  </w:endnote>
  <w:endnote w:id="8">
    <w:p w14:paraId="14A24711" w14:textId="05CEB572" w:rsidR="00337338" w:rsidRPr="00945A49" w:rsidRDefault="00337338" w:rsidP="005D50D9">
      <w:pPr>
        <w:pStyle w:val="EndnoteText"/>
        <w:rPr>
          <w:lang w:val="en-US"/>
        </w:rPr>
      </w:pPr>
      <w:r>
        <w:rPr>
          <w:rStyle w:val="EndnoteReference"/>
        </w:rPr>
        <w:endnoteRef/>
      </w:r>
      <w:r>
        <w:t xml:space="preserve"> </w:t>
      </w:r>
      <w:r w:rsidRPr="00484C7F">
        <w:rPr>
          <w:lang w:val="en-US"/>
        </w:rPr>
        <w:t xml:space="preserve">PIF, </w:t>
      </w:r>
      <w:r w:rsidRPr="00484C7F">
        <w:rPr>
          <w:i/>
          <w:iCs/>
          <w:lang w:val="en-US"/>
        </w:rPr>
        <w:t>2050 strategy implementation plan 2023–2030</w:t>
      </w:r>
      <w:r w:rsidRPr="00484C7F">
        <w:rPr>
          <w:lang w:val="en-US"/>
        </w:rPr>
        <w:t>, 2023.</w:t>
      </w:r>
      <w:r w:rsidRPr="005D50D9">
        <w:rPr>
          <w:lang w:val="en-US"/>
        </w:rPr>
        <w:t xml:space="preserve"> </w:t>
      </w:r>
      <w:r w:rsidRPr="00484C7F">
        <w:rPr>
          <w:lang w:val="en-US"/>
        </w:rPr>
        <w:t>https://forumsec.org/2050</w:t>
      </w:r>
    </w:p>
  </w:endnote>
  <w:endnote w:id="9">
    <w:p w14:paraId="0F1B24C0" w14:textId="6E91F7E1" w:rsidR="00337338" w:rsidRDefault="00337338">
      <w:pPr>
        <w:pStyle w:val="EndnoteText"/>
      </w:pPr>
      <w:r w:rsidRPr="008D554B">
        <w:rPr>
          <w:rStyle w:val="EndnoteReference"/>
        </w:rPr>
        <w:endnoteRef/>
      </w:r>
      <w:r w:rsidRPr="008D554B">
        <w:t xml:space="preserve"> Pacific Data Hub, </w:t>
      </w:r>
      <w:r w:rsidRPr="008D554B">
        <w:rPr>
          <w:i/>
          <w:iCs/>
        </w:rPr>
        <w:t>Fisheries and aquaculture</w:t>
      </w:r>
      <w:r w:rsidRPr="008D554B">
        <w:t>, 2024. https://pacificdata.org/topic/fisheries-and-aquaculture</w:t>
      </w:r>
    </w:p>
  </w:endnote>
  <w:endnote w:id="10">
    <w:p w14:paraId="61389D05" w14:textId="0BD27E30" w:rsidR="00337338" w:rsidRDefault="00337338" w:rsidP="005D50D9">
      <w:pPr>
        <w:pStyle w:val="EndnoteText"/>
      </w:pPr>
      <w:r>
        <w:rPr>
          <w:rStyle w:val="EndnoteReference"/>
        </w:rPr>
        <w:endnoteRef/>
      </w:r>
      <w:r>
        <w:t xml:space="preserve"> </w:t>
      </w:r>
      <w:r w:rsidRPr="00B00435">
        <w:t xml:space="preserve">Council of Regional Organisations of the Pacific, </w:t>
      </w:r>
      <w:r w:rsidRPr="00B00435">
        <w:rPr>
          <w:i/>
          <w:iCs/>
        </w:rPr>
        <w:t>Socio-economic impact assessment of COVID-19 in the Pacific region</w:t>
      </w:r>
      <w:r w:rsidRPr="00B00435">
        <w:t>, 2021. https://forumsec.org/sites/default/files/2024-03/SEIA-Report.pdf</w:t>
      </w:r>
    </w:p>
  </w:endnote>
  <w:endnote w:id="11">
    <w:p w14:paraId="2AA1EC9D" w14:textId="3D720C10" w:rsidR="00337338" w:rsidRPr="006202F2" w:rsidRDefault="00337338" w:rsidP="00974B1F">
      <w:pPr>
        <w:pStyle w:val="Endnotes"/>
      </w:pPr>
      <w:r w:rsidRPr="006202F2">
        <w:rPr>
          <w:rStyle w:val="EndnoteReference"/>
          <w:rFonts w:asciiTheme="minorHAnsi" w:hAnsiTheme="minorHAnsi" w:cstheme="minorHAnsi"/>
          <w:sz w:val="18"/>
          <w:szCs w:val="18"/>
        </w:rPr>
        <w:endnoteRef/>
      </w:r>
      <w:r w:rsidRPr="006202F2">
        <w:t xml:space="preserve"> </w:t>
      </w:r>
      <w:r>
        <w:t xml:space="preserve">Asian Development Bank (ADB), </w:t>
      </w:r>
      <w:r w:rsidRPr="002D1078">
        <w:rPr>
          <w:i/>
          <w:iCs/>
        </w:rPr>
        <w:t xml:space="preserve">Asian </w:t>
      </w:r>
      <w:r>
        <w:rPr>
          <w:i/>
          <w:iCs/>
        </w:rPr>
        <w:t>d</w:t>
      </w:r>
      <w:r w:rsidRPr="002D1078">
        <w:rPr>
          <w:i/>
          <w:iCs/>
        </w:rPr>
        <w:t xml:space="preserve">evelopment </w:t>
      </w:r>
      <w:r>
        <w:rPr>
          <w:i/>
          <w:iCs/>
        </w:rPr>
        <w:t>o</w:t>
      </w:r>
      <w:r w:rsidRPr="002D1078">
        <w:rPr>
          <w:i/>
          <w:iCs/>
        </w:rPr>
        <w:t>utlook (ADO) September 2023</w:t>
      </w:r>
      <w:r>
        <w:t xml:space="preserve">, 2023. </w:t>
      </w:r>
      <w:r w:rsidRPr="005A62C7">
        <w:t>https://www.adb.org/publications/asian-development-outlook-september-2023</w:t>
      </w:r>
    </w:p>
  </w:endnote>
  <w:endnote w:id="12">
    <w:p w14:paraId="39885540" w14:textId="7A237B46" w:rsidR="00337338" w:rsidRPr="006202F2" w:rsidRDefault="00337338" w:rsidP="00974B1F">
      <w:pPr>
        <w:pStyle w:val="Endnotes"/>
      </w:pPr>
      <w:r w:rsidRPr="006202F2">
        <w:rPr>
          <w:rStyle w:val="EndnoteReference"/>
          <w:rFonts w:asciiTheme="minorHAnsi" w:hAnsiTheme="minorHAnsi" w:cstheme="minorHAnsi"/>
          <w:sz w:val="18"/>
          <w:szCs w:val="18"/>
        </w:rPr>
        <w:endnoteRef/>
      </w:r>
      <w:r w:rsidRPr="006202F2">
        <w:t xml:space="preserve"> </w:t>
      </w:r>
      <w:r>
        <w:t xml:space="preserve">ADB, </w:t>
      </w:r>
      <w:r w:rsidRPr="00BC537A">
        <w:rPr>
          <w:i/>
          <w:iCs/>
        </w:rPr>
        <w:t xml:space="preserve">Asian </w:t>
      </w:r>
      <w:r>
        <w:rPr>
          <w:i/>
          <w:iCs/>
        </w:rPr>
        <w:t>d</w:t>
      </w:r>
      <w:r w:rsidRPr="00BC537A">
        <w:rPr>
          <w:i/>
          <w:iCs/>
        </w:rPr>
        <w:t xml:space="preserve">evelopment </w:t>
      </w:r>
      <w:r>
        <w:rPr>
          <w:i/>
          <w:iCs/>
        </w:rPr>
        <w:t>o</w:t>
      </w:r>
      <w:r w:rsidRPr="00BC537A">
        <w:rPr>
          <w:i/>
          <w:iCs/>
        </w:rPr>
        <w:t>utlook (ADO) April 2024</w:t>
      </w:r>
      <w:r>
        <w:t xml:space="preserve">, 2024. </w:t>
      </w:r>
      <w:r w:rsidRPr="00547BC4">
        <w:rPr>
          <w:rStyle w:val="EndnoteTextChar"/>
        </w:rPr>
        <w:t>https://www.adb.org/outlook/editions/april-2024</w:t>
      </w:r>
    </w:p>
  </w:endnote>
  <w:endnote w:id="13">
    <w:p w14:paraId="69F4BFE9" w14:textId="4BAF76FB" w:rsidR="00337338" w:rsidRPr="006202F2" w:rsidRDefault="00337338" w:rsidP="00974B1F">
      <w:pPr>
        <w:pStyle w:val="Endnotes"/>
      </w:pPr>
      <w:r w:rsidRPr="006202F2">
        <w:rPr>
          <w:rStyle w:val="EndnoteReference"/>
          <w:rFonts w:asciiTheme="minorHAnsi" w:hAnsiTheme="minorHAnsi" w:cstheme="minorHAnsi"/>
          <w:sz w:val="18"/>
          <w:szCs w:val="18"/>
        </w:rPr>
        <w:endnoteRef/>
      </w:r>
      <w:r w:rsidRPr="005D50D9">
        <w:rPr>
          <w:color w:val="215E9E"/>
          <w:spacing w:val="-4"/>
          <w:u w:val="single" w:color="215E9E"/>
        </w:rPr>
        <w:t xml:space="preserve"> </w:t>
      </w:r>
      <w:r w:rsidRPr="006202F2">
        <w:t>International Monetary Fund</w:t>
      </w:r>
      <w:r w:rsidR="007474E9">
        <w:t>,</w:t>
      </w:r>
      <w:r w:rsidRPr="006202F2">
        <w:t xml:space="preserve"> </w:t>
      </w:r>
      <w:r w:rsidRPr="00547BC4">
        <w:rPr>
          <w:i/>
          <w:iCs/>
        </w:rPr>
        <w:t>List of LIC DSAs for PRGT-</w:t>
      </w:r>
      <w:r w:rsidR="007474E9">
        <w:rPr>
          <w:i/>
          <w:iCs/>
        </w:rPr>
        <w:t>e</w:t>
      </w:r>
      <w:r w:rsidRPr="00547BC4">
        <w:rPr>
          <w:i/>
          <w:iCs/>
        </w:rPr>
        <w:t xml:space="preserve">ligible </w:t>
      </w:r>
      <w:r w:rsidR="007474E9">
        <w:rPr>
          <w:i/>
          <w:iCs/>
        </w:rPr>
        <w:t>c</w:t>
      </w:r>
      <w:r w:rsidRPr="00547BC4">
        <w:rPr>
          <w:i/>
          <w:iCs/>
        </w:rPr>
        <w:t xml:space="preserve">ountries </w:t>
      </w:r>
      <w:r w:rsidRPr="007474E9">
        <w:rPr>
          <w:i/>
          <w:iCs/>
        </w:rPr>
        <w:t>as of October 31</w:t>
      </w:r>
      <w:r w:rsidRPr="00547BC4">
        <w:rPr>
          <w:i/>
          <w:iCs/>
        </w:rPr>
        <w:t>, 2024</w:t>
      </w:r>
      <w:r>
        <w:t xml:space="preserve">, 2024. </w:t>
      </w:r>
      <w:r w:rsidRPr="00A70D6F">
        <w:t>https://www.imf.org/external/Pubs/ft/dsa/DSAlist.pdf</w:t>
      </w:r>
    </w:p>
  </w:endnote>
  <w:endnote w:id="14">
    <w:p w14:paraId="33AF8992" w14:textId="14F2E473" w:rsidR="00337338" w:rsidRDefault="00337338" w:rsidP="005D50D9">
      <w:pPr>
        <w:pStyle w:val="EndnoteText"/>
      </w:pPr>
      <w:r>
        <w:rPr>
          <w:rStyle w:val="EndnoteReference"/>
        </w:rPr>
        <w:endnoteRef/>
      </w:r>
      <w:r>
        <w:t xml:space="preserve"> </w:t>
      </w:r>
      <w:r w:rsidRPr="003F2C94">
        <w:t xml:space="preserve">United Nations Development Programme, </w:t>
      </w:r>
      <w:r w:rsidRPr="003F2C94">
        <w:rPr>
          <w:i/>
          <w:iCs/>
        </w:rPr>
        <w:t>2024 regional human development report: a complex landscape of progress and challenges</w:t>
      </w:r>
      <w:r w:rsidRPr="003F2C94">
        <w:t xml:space="preserve"> [media release], 5 April 2024. https://reliefweb.int/report/world/2024-regional-human-development-report-complex-landscape-progress-and-challenges-pacific-island-countries</w:t>
      </w:r>
    </w:p>
  </w:endnote>
  <w:endnote w:id="15">
    <w:p w14:paraId="124CFA36" w14:textId="25745626" w:rsidR="00337338" w:rsidRPr="006202F2" w:rsidRDefault="00337338" w:rsidP="00974B1F">
      <w:pPr>
        <w:pStyle w:val="Endnotes"/>
      </w:pPr>
      <w:r w:rsidRPr="006202F2">
        <w:rPr>
          <w:rStyle w:val="EndnoteReference"/>
          <w:rFonts w:asciiTheme="minorHAnsi" w:hAnsiTheme="minorHAnsi" w:cstheme="minorHAnsi"/>
          <w:sz w:val="18"/>
          <w:szCs w:val="18"/>
        </w:rPr>
        <w:endnoteRef/>
      </w:r>
      <w:r w:rsidRPr="006202F2">
        <w:t xml:space="preserve"> </w:t>
      </w:r>
      <w:r>
        <w:t xml:space="preserve">Pacific Community (SPC), </w:t>
      </w:r>
      <w:r>
        <w:rPr>
          <w:i/>
          <w:iCs/>
        </w:rPr>
        <w:t>Statistics for Development Division</w:t>
      </w:r>
      <w:r>
        <w:t>.</w:t>
      </w:r>
      <w:r w:rsidRPr="006202F2">
        <w:t xml:space="preserve"> </w:t>
      </w:r>
      <w:r w:rsidRPr="00547BC4">
        <w:rPr>
          <w:rStyle w:val="EndnoteTextChar"/>
        </w:rPr>
        <w:t>https://sdd.spc.int</w:t>
      </w:r>
    </w:p>
  </w:endnote>
  <w:endnote w:id="16">
    <w:p w14:paraId="4FE8615B" w14:textId="556613FE" w:rsidR="00337338" w:rsidRDefault="00337338" w:rsidP="005D50D9">
      <w:pPr>
        <w:pStyle w:val="EndnoteText"/>
      </w:pPr>
      <w:r>
        <w:rPr>
          <w:rStyle w:val="EndnoteReference"/>
        </w:rPr>
        <w:endnoteRef/>
      </w:r>
      <w:r>
        <w:t xml:space="preserve"> </w:t>
      </w:r>
      <w:r w:rsidRPr="00105EAF">
        <w:t xml:space="preserve">World Health Organization Western Pacific Region, </w:t>
      </w:r>
      <w:r w:rsidRPr="00105EAF">
        <w:rPr>
          <w:i/>
          <w:iCs/>
        </w:rPr>
        <w:t>Addressing noncommunicable diseases in the Pacific islands</w:t>
      </w:r>
      <w:r w:rsidRPr="00105EAF">
        <w:t>, 2025. https://www.who.int/westernpacific/activities/addressing-ncds-in-the-pacific</w:t>
      </w:r>
    </w:p>
  </w:endnote>
  <w:endnote w:id="17">
    <w:p w14:paraId="08585391" w14:textId="2B762E47" w:rsidR="00337338" w:rsidRPr="00945A49" w:rsidRDefault="00337338" w:rsidP="005D50D9">
      <w:pPr>
        <w:pStyle w:val="EndnoteText"/>
        <w:rPr>
          <w:lang w:val="en-US"/>
        </w:rPr>
      </w:pPr>
      <w:r>
        <w:rPr>
          <w:rStyle w:val="EndnoteReference"/>
        </w:rPr>
        <w:endnoteRef/>
      </w:r>
      <w:r>
        <w:t xml:space="preserve"> </w:t>
      </w:r>
      <w:r w:rsidRPr="006E12D2">
        <w:t xml:space="preserve">SPC, Secretariat of the Pacific Regional Environment Programme, Pacific Islands Forum Secretariat, United Nations Development Programme, United Nations Office for Disaster Risk Reduction and University of the South Pacific, </w:t>
      </w:r>
      <w:r w:rsidRPr="006E12D2">
        <w:rPr>
          <w:i/>
          <w:iCs/>
        </w:rPr>
        <w:t>Framework for resilient development in the Pacific: an integrated approach to address climate change and disaster risk management 2017–2030</w:t>
      </w:r>
      <w:r w:rsidRPr="006E12D2">
        <w:t>, 2016. https://pacificdisability.org/wp-content/uploads/2024/04/FRDP_2016_Resilient_Dev_pacific.pdf</w:t>
      </w:r>
    </w:p>
  </w:endnote>
  <w:endnote w:id="18">
    <w:p w14:paraId="01C8021A" w14:textId="7B19B6E9" w:rsidR="00337338" w:rsidRPr="00A926BC" w:rsidRDefault="00337338" w:rsidP="005D50D9">
      <w:pPr>
        <w:pStyle w:val="EndnoteText"/>
      </w:pPr>
      <w:r>
        <w:rPr>
          <w:rStyle w:val="EndnoteReference"/>
        </w:rPr>
        <w:endnoteRef/>
      </w:r>
      <w:r>
        <w:t xml:space="preserve"> </w:t>
      </w:r>
      <w:r>
        <w:rPr>
          <w:lang w:val="en-US"/>
        </w:rPr>
        <w:t xml:space="preserve">PIF, </w:t>
      </w:r>
      <w:r>
        <w:rPr>
          <w:i/>
          <w:iCs/>
          <w:lang w:val="en-US"/>
        </w:rPr>
        <w:t>2050 Strategy for the Blue Pacific Continent</w:t>
      </w:r>
      <w:r w:rsidR="00A926BC">
        <w:t>.</w:t>
      </w:r>
    </w:p>
  </w:endnote>
  <w:endnote w:id="19">
    <w:p w14:paraId="1828CE75" w14:textId="794547C2" w:rsidR="00337338" w:rsidRPr="006202F2" w:rsidRDefault="00337338" w:rsidP="00974B1F">
      <w:pPr>
        <w:pStyle w:val="Endnotes"/>
        <w:rPr>
          <w:color w:val="014429" w:themeColor="hyperlink"/>
          <w:u w:val="single"/>
        </w:rPr>
      </w:pPr>
      <w:r w:rsidRPr="006202F2">
        <w:rPr>
          <w:rStyle w:val="EndnoteReference"/>
          <w:rFonts w:asciiTheme="minorHAnsi" w:hAnsiTheme="minorHAnsi" w:cstheme="minorHAnsi"/>
          <w:sz w:val="18"/>
          <w:szCs w:val="18"/>
        </w:rPr>
        <w:endnoteRef/>
      </w:r>
      <w:r w:rsidRPr="006202F2">
        <w:t xml:space="preserve"> </w:t>
      </w:r>
      <w:r>
        <w:t>United Nations Economic and Social Commission for Asia and the Pacific,</w:t>
      </w:r>
      <w:r w:rsidRPr="006202F2">
        <w:t xml:space="preserve"> </w:t>
      </w:r>
      <w:r w:rsidRPr="006202F2">
        <w:rPr>
          <w:i/>
          <w:iCs/>
        </w:rPr>
        <w:t xml:space="preserve">Pathways to </w:t>
      </w:r>
      <w:r>
        <w:rPr>
          <w:i/>
          <w:iCs/>
        </w:rPr>
        <w:t>a</w:t>
      </w:r>
      <w:r w:rsidRPr="006202F2">
        <w:rPr>
          <w:i/>
          <w:iCs/>
        </w:rPr>
        <w:t xml:space="preserve">daptation and </w:t>
      </w:r>
      <w:r>
        <w:rPr>
          <w:i/>
          <w:iCs/>
        </w:rPr>
        <w:t>r</w:t>
      </w:r>
      <w:r w:rsidRPr="006202F2">
        <w:rPr>
          <w:i/>
          <w:iCs/>
        </w:rPr>
        <w:t>esilience in Pacific SIDS</w:t>
      </w:r>
      <w:r>
        <w:rPr>
          <w:i/>
          <w:iCs/>
        </w:rPr>
        <w:t>: subregional report</w:t>
      </w:r>
      <w:r>
        <w:t>, 2022</w:t>
      </w:r>
      <w:r w:rsidRPr="006202F2">
        <w:t>.</w:t>
      </w:r>
      <w:r>
        <w:t xml:space="preserve"> </w:t>
      </w:r>
      <w:r w:rsidRPr="007E71D3">
        <w:t>https://www.unescap.org/kp/2022/pathways-adaptation-and-resilience-pacific-sids-subregional-report</w:t>
      </w:r>
    </w:p>
  </w:endnote>
  <w:endnote w:id="20">
    <w:p w14:paraId="5FFF5948" w14:textId="25D114ED" w:rsidR="00337338" w:rsidRDefault="00337338" w:rsidP="005D50D9">
      <w:pPr>
        <w:pStyle w:val="EndnoteText"/>
      </w:pPr>
      <w:r>
        <w:rPr>
          <w:rStyle w:val="EndnoteReference"/>
        </w:rPr>
        <w:endnoteRef/>
      </w:r>
      <w:r>
        <w:t xml:space="preserve"> United Nations Development Programme Pacific Office in Fiji, </w:t>
      </w:r>
      <w:r>
        <w:rPr>
          <w:i/>
          <w:iCs/>
        </w:rPr>
        <w:t>2024 UNDP regional human development report: Pacific snapshot</w:t>
      </w:r>
      <w:r>
        <w:t xml:space="preserve">, 2024. </w:t>
      </w:r>
      <w:r w:rsidRPr="000A7B01">
        <w:t>https://www.undp.org/sites/g/files/zskgke326/files/2024-04/undp-pacific-pacific-regional-hdr-brochure-final.pdf</w:t>
      </w:r>
    </w:p>
  </w:endnote>
  <w:endnote w:id="21">
    <w:p w14:paraId="1C12FA03" w14:textId="3DDBAA21" w:rsidR="00337338" w:rsidRDefault="00337338" w:rsidP="005D50D9">
      <w:pPr>
        <w:pStyle w:val="EndnoteText"/>
      </w:pPr>
      <w:r>
        <w:rPr>
          <w:rStyle w:val="EndnoteReference"/>
        </w:rPr>
        <w:endnoteRef/>
      </w:r>
      <w:r>
        <w:t xml:space="preserve"> E Boccuzzi, </w:t>
      </w:r>
      <w:r w:rsidRPr="00DB78BC">
        <w:rPr>
          <w:i/>
          <w:iCs/>
        </w:rPr>
        <w:t>The future of work for women in the Pacific islands</w:t>
      </w:r>
      <w:r>
        <w:t xml:space="preserve">, 2021. </w:t>
      </w:r>
      <w:r w:rsidRPr="00DB78BC">
        <w:t>https://asiafoundation.org/wp-content/uploads/2024/08/The-Future-of-Work-for-Women-in-the-Pacific-Islands.updateMarch1.pdf</w:t>
      </w:r>
    </w:p>
  </w:endnote>
  <w:endnote w:id="22">
    <w:p w14:paraId="7B7CD88B" w14:textId="7E03C6D4" w:rsidR="00337338" w:rsidRPr="005D50D9" w:rsidRDefault="00337338" w:rsidP="005D50D9">
      <w:pPr>
        <w:pStyle w:val="EndnoteText"/>
      </w:pPr>
      <w:r>
        <w:rPr>
          <w:rStyle w:val="EndnoteReference"/>
        </w:rPr>
        <w:endnoteRef/>
      </w:r>
      <w:r>
        <w:t xml:space="preserve"> </w:t>
      </w:r>
      <w:r>
        <w:rPr>
          <w:lang w:val="en-US"/>
        </w:rPr>
        <w:t xml:space="preserve">PIF, </w:t>
      </w:r>
      <w:r w:rsidRPr="00923D5F">
        <w:rPr>
          <w:i/>
          <w:iCs/>
          <w:lang w:val="en-US"/>
        </w:rPr>
        <w:t>Revitalised Pacific Leaders Gender Equality Declaration</w:t>
      </w:r>
      <w:r>
        <w:rPr>
          <w:lang w:val="en-US"/>
        </w:rPr>
        <w:t xml:space="preserve">, 2023. </w:t>
      </w:r>
      <w:r w:rsidRPr="00923D5F">
        <w:rPr>
          <w:lang w:val="en-US"/>
        </w:rPr>
        <w:t>https://forumsec.org/publications/revitalised-pacific-leaders-gender-equality-declaration</w:t>
      </w:r>
    </w:p>
  </w:endnote>
  <w:endnote w:id="23">
    <w:p w14:paraId="36CEDB32" w14:textId="45314F8A" w:rsidR="00337338" w:rsidRDefault="00337338" w:rsidP="005D50D9">
      <w:pPr>
        <w:pStyle w:val="EndnoteText"/>
      </w:pPr>
      <w:r>
        <w:rPr>
          <w:rStyle w:val="EndnoteReference"/>
        </w:rPr>
        <w:endnoteRef/>
      </w:r>
      <w:r>
        <w:t xml:space="preserve"> Inter-Parliamentary Union, </w:t>
      </w:r>
      <w:r w:rsidRPr="003E02F2">
        <w:rPr>
          <w:i/>
          <w:iCs/>
        </w:rPr>
        <w:t>Monthly ranking of women in national parliaments</w:t>
      </w:r>
      <w:r>
        <w:t xml:space="preserve">, 2025. </w:t>
      </w:r>
      <w:r w:rsidRPr="00D1246E">
        <w:t>https://data.ipu.org/women-ranking/?date_year=2024&amp;date_month=12</w:t>
      </w:r>
    </w:p>
  </w:endnote>
  <w:endnote w:id="24">
    <w:p w14:paraId="618FC99C" w14:textId="248AF0F2" w:rsidR="00337338" w:rsidRDefault="00337338">
      <w:pPr>
        <w:pStyle w:val="EndnoteText"/>
      </w:pPr>
      <w:r>
        <w:rPr>
          <w:rStyle w:val="EndnoteReference"/>
        </w:rPr>
        <w:endnoteRef/>
      </w:r>
      <w:r>
        <w:t xml:space="preserve"> United Nations Population Fund Asia and the Pacific Regional Office, </w:t>
      </w:r>
      <w:r>
        <w:rPr>
          <w:i/>
          <w:iCs/>
        </w:rPr>
        <w:t>Violence against women: regional snapshot (2020) – kNOwVAWdata</w:t>
      </w:r>
      <w:r>
        <w:t xml:space="preserve">, 2020. </w:t>
      </w:r>
      <w:r w:rsidRPr="00ED7C65">
        <w:t>https://asiapacific.unfpa.org/en/publications/violence-against-women-regional-snapshot-2020-knowvawdata</w:t>
      </w:r>
    </w:p>
  </w:endnote>
  <w:endnote w:id="25">
    <w:p w14:paraId="4759E1E7" w14:textId="6303540E" w:rsidR="00337338" w:rsidRDefault="00337338" w:rsidP="00974B1F">
      <w:pPr>
        <w:pStyle w:val="Endnotes"/>
      </w:pPr>
      <w:r w:rsidRPr="006202F2">
        <w:rPr>
          <w:rStyle w:val="EndnoteReference"/>
          <w:rFonts w:asciiTheme="minorHAnsi" w:hAnsiTheme="minorHAnsi" w:cstheme="minorHAnsi"/>
          <w:sz w:val="18"/>
          <w:szCs w:val="18"/>
        </w:rPr>
        <w:endnoteRef/>
      </w:r>
      <w:r>
        <w:t xml:space="preserve"> United Nations Development Programme Pacific Office, </w:t>
      </w:r>
      <w:r w:rsidRPr="00316E2D">
        <w:rPr>
          <w:i/>
          <w:iCs/>
        </w:rPr>
        <w:t>International Women’s Day 2021 – women and climate security in the Pacific</w:t>
      </w:r>
      <w:r>
        <w:t>, 8 March 2021</w:t>
      </w:r>
      <w:r w:rsidRPr="00144D96">
        <w:t xml:space="preserve">. </w:t>
      </w:r>
      <w:r w:rsidRPr="00547BC4">
        <w:rPr>
          <w:rStyle w:val="EndnoteTextChar"/>
        </w:rPr>
        <w:t>https://www.undp.org/pacific/news/international-womens-day-2021-women-and-climate-security-pacific</w:t>
      </w:r>
    </w:p>
  </w:endnote>
  <w:endnote w:id="26">
    <w:p w14:paraId="0A9330A8" w14:textId="2D019DFB" w:rsidR="00337338" w:rsidRDefault="00337338" w:rsidP="005D50D9">
      <w:pPr>
        <w:pStyle w:val="EndnoteText"/>
      </w:pPr>
      <w:r>
        <w:rPr>
          <w:rStyle w:val="EndnoteReference"/>
        </w:rPr>
        <w:endnoteRef/>
      </w:r>
      <w:r>
        <w:t xml:space="preserve"> CBM Australia, </w:t>
      </w:r>
      <w:r w:rsidRPr="00970B10">
        <w:rPr>
          <w:i/>
          <w:iCs/>
        </w:rPr>
        <w:t>Inclusive humanitarians – partnering for better disaster preparedness and response</w:t>
      </w:r>
      <w:r>
        <w:t xml:space="preserve">, 25 June 2024. </w:t>
      </w:r>
      <w:r w:rsidRPr="00D168A4">
        <w:t>https://www.cbm.org.au/stories/inclusive-humanitarians-partnering-for-better-disaster-preparedness-and-response</w:t>
      </w:r>
    </w:p>
  </w:endnote>
  <w:endnote w:id="27">
    <w:p w14:paraId="79F2D71A" w14:textId="4F3DAE9A" w:rsidR="00337338" w:rsidRPr="00A926BC" w:rsidRDefault="00337338" w:rsidP="005D50D9">
      <w:pPr>
        <w:pStyle w:val="EndnoteText"/>
      </w:pPr>
      <w:r>
        <w:rPr>
          <w:rStyle w:val="EndnoteReference"/>
        </w:rPr>
        <w:endnoteRef/>
      </w:r>
      <w:r>
        <w:t xml:space="preserve"> </w:t>
      </w:r>
      <w:r>
        <w:rPr>
          <w:lang w:val="en-US"/>
        </w:rPr>
        <w:t xml:space="preserve">PIF, </w:t>
      </w:r>
      <w:r>
        <w:rPr>
          <w:i/>
          <w:iCs/>
          <w:lang w:val="en-US"/>
        </w:rPr>
        <w:t>2050 strategy for the Blue Pacific Continent</w:t>
      </w:r>
      <w:r w:rsidR="00A926BC">
        <w:t>.</w:t>
      </w:r>
    </w:p>
  </w:endnote>
  <w:endnote w:id="28">
    <w:p w14:paraId="242B9983" w14:textId="5AE34E50" w:rsidR="00337338" w:rsidRPr="005D50D9" w:rsidRDefault="00337338" w:rsidP="005D50D9">
      <w:pPr>
        <w:pStyle w:val="EndnoteText"/>
      </w:pPr>
      <w:r>
        <w:rPr>
          <w:rStyle w:val="EndnoteReference"/>
        </w:rPr>
        <w:endnoteRef/>
      </w:r>
      <w:r>
        <w:t xml:space="preserve"> </w:t>
      </w:r>
      <w:r>
        <w:rPr>
          <w:lang w:val="en-US"/>
        </w:rPr>
        <w:t xml:space="preserve">SPC, </w:t>
      </w:r>
      <w:r w:rsidRPr="00C15034">
        <w:rPr>
          <w:i/>
          <w:iCs/>
          <w:lang w:val="en-US"/>
        </w:rPr>
        <w:t>Strategic plan 2022–2031</w:t>
      </w:r>
      <w:r>
        <w:rPr>
          <w:lang w:val="en-US"/>
        </w:rPr>
        <w:t xml:space="preserve">, 2022. </w:t>
      </w:r>
      <w:r w:rsidRPr="00C15034">
        <w:rPr>
          <w:lang w:val="en-US"/>
        </w:rPr>
        <w:t>https://www.spc.int/strategic-plan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422053"/>
      <w:docPartObj>
        <w:docPartGallery w:val="Page Numbers (Bottom of Page)"/>
        <w:docPartUnique/>
      </w:docPartObj>
    </w:sdtPr>
    <w:sdtEndPr>
      <w:rPr>
        <w:noProof/>
      </w:rPr>
    </w:sdtEndPr>
    <w:sdtContent>
      <w:p w14:paraId="71C4C008" w14:textId="581DE933" w:rsidR="00337338" w:rsidRDefault="00337338" w:rsidP="008066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892435"/>
      <w:docPartObj>
        <w:docPartGallery w:val="Page Numbers (Bottom of Page)"/>
        <w:docPartUnique/>
      </w:docPartObj>
    </w:sdtPr>
    <w:sdtEndPr>
      <w:rPr>
        <w:noProof/>
      </w:rPr>
    </w:sdtEndPr>
    <w:sdtContent>
      <w:p w14:paraId="0B8AF623" w14:textId="2A1E102F" w:rsidR="00337338" w:rsidRDefault="00337338" w:rsidP="00F31F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501895"/>
      <w:docPartObj>
        <w:docPartGallery w:val="Page Numbers (Bottom of Page)"/>
        <w:docPartUnique/>
      </w:docPartObj>
    </w:sdtPr>
    <w:sdtEndPr>
      <w:rPr>
        <w:noProof/>
      </w:rPr>
    </w:sdtEndPr>
    <w:sdtContent>
      <w:p w14:paraId="1110D17A" w14:textId="13B49338" w:rsidR="00337338" w:rsidRDefault="00337338" w:rsidP="008066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76209"/>
      <w:docPartObj>
        <w:docPartGallery w:val="Page Numbers (Bottom of Page)"/>
        <w:docPartUnique/>
      </w:docPartObj>
    </w:sdtPr>
    <w:sdtEndPr>
      <w:rPr>
        <w:noProof/>
      </w:rPr>
    </w:sdtEndPr>
    <w:sdtContent>
      <w:p w14:paraId="2889C9A7" w14:textId="0FB6D60E" w:rsidR="00337338" w:rsidRDefault="00337338" w:rsidP="008066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B53A" w14:textId="01071BB7" w:rsidR="00337338" w:rsidRDefault="00337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BC33" w14:textId="77777777" w:rsidR="005C327F" w:rsidRDefault="005C327F" w:rsidP="00EE32FE">
      <w:pPr>
        <w:spacing w:after="0" w:line="240" w:lineRule="auto"/>
      </w:pPr>
      <w:r>
        <w:separator/>
      </w:r>
    </w:p>
  </w:footnote>
  <w:footnote w:type="continuationSeparator" w:id="0">
    <w:p w14:paraId="7BA3788B" w14:textId="77777777" w:rsidR="005C327F" w:rsidRDefault="005C327F" w:rsidP="00EE32FE">
      <w:pPr>
        <w:spacing w:after="0" w:line="240" w:lineRule="auto"/>
      </w:pPr>
      <w:r>
        <w:continuationSeparator/>
      </w:r>
    </w:p>
  </w:footnote>
  <w:footnote w:type="continuationNotice" w:id="1">
    <w:p w14:paraId="4733FCD7" w14:textId="77777777" w:rsidR="005C327F" w:rsidRDefault="005C32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EC8B" w14:textId="2B6C1A4A" w:rsidR="00337338" w:rsidRDefault="00337338" w:rsidP="005D50D9">
    <w:pPr>
      <w:pStyle w:val="Header"/>
    </w:pPr>
    <w:r>
      <w:rPr>
        <w:noProof/>
      </w:rPr>
      <w:drawing>
        <wp:anchor distT="0" distB="0" distL="114300" distR="114300" simplePos="0" relativeHeight="251658240" behindDoc="1" locked="0" layoutInCell="1" allowOverlap="1" wp14:anchorId="696B6344" wp14:editId="37FB1302">
          <wp:simplePos x="0" y="0"/>
          <wp:positionH relativeFrom="column">
            <wp:posOffset>-528955</wp:posOffset>
          </wp:positionH>
          <wp:positionV relativeFrom="paragraph">
            <wp:posOffset>-234315</wp:posOffset>
          </wp:positionV>
          <wp:extent cx="7563600" cy="10695600"/>
          <wp:effectExtent l="0" t="0" r="0" b="0"/>
          <wp:wrapNone/>
          <wp:docPr id="585760318" name="Picture 1" descr="Australian Government Department of Foreign Affairs and Trade logo. &#10;Photographs of PALM workers, fisherman in a Kiribati lagoon, tuna for sale in Solomon Islands, Palau Submarine Cable, Pacific police program, and Penina Pasifik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60318" name="Picture 1" descr="Australian Government Department of Foreign Affairs and Trade logo. &#10;Photographs of PALM workers, fisherman in a Kiribati lagoon, tuna for sale in Solomon Islands, Palau Submarine Cable, Pacific police program, and Penina Pasifika.&#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0" cy="1069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1DEA" w14:textId="1141167C" w:rsidR="00337338" w:rsidRDefault="00337338" w:rsidP="00CF17C3">
    <w:pPr>
      <w:pStyle w:val="SECCLASSIFICATION"/>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7619" w14:textId="4947D590" w:rsidR="00337338" w:rsidRPr="00CF17C3" w:rsidRDefault="00337338" w:rsidP="00CF17C3">
    <w:pPr>
      <w:pStyle w:val="SECCLASSIFICATIO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2960E" w14:textId="5C248B76" w:rsidR="00337338" w:rsidRPr="00CF17C3" w:rsidRDefault="00337338" w:rsidP="00CF17C3">
    <w:pPr>
      <w:pStyle w:val="SECCLASSIFICATION"/>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3226" w14:textId="0F5C1F2C" w:rsidR="00337338" w:rsidRDefault="00337338" w:rsidP="00CF17C3">
    <w:pPr>
      <w:pStyle w:val="SECCLASSIFICATIO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16E0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82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48A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E2C7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CCF3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7C166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F0D9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605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0AA6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1463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A16FF"/>
    <w:multiLevelType w:val="hybridMultilevel"/>
    <w:tmpl w:val="C4FC7A7C"/>
    <w:lvl w:ilvl="0" w:tplc="6E9E424E">
      <w:start w:val="1"/>
      <w:numFmt w:val="lowerLetter"/>
      <w:lvlText w:val="%1."/>
      <w:lvlJc w:val="left"/>
      <w:pPr>
        <w:ind w:left="720" w:hanging="360"/>
      </w:pPr>
      <w:rPr>
        <w:rFonts w:ascii="Calibri Light" w:eastAsia="Calibri" w:hAnsi="Calibri Light" w:cs="Calibri Ligh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06662372"/>
    <w:multiLevelType w:val="hybridMultilevel"/>
    <w:tmpl w:val="DCB0D158"/>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98155A9"/>
    <w:multiLevelType w:val="hybridMultilevel"/>
    <w:tmpl w:val="9C447A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F12974"/>
    <w:multiLevelType w:val="hybridMultilevel"/>
    <w:tmpl w:val="5210966C"/>
    <w:lvl w:ilvl="0" w:tplc="2E747226">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148A1A5C"/>
    <w:multiLevelType w:val="hybridMultilevel"/>
    <w:tmpl w:val="A0DC88CC"/>
    <w:lvl w:ilvl="0" w:tplc="FFFFFFFF">
      <w:start w:val="1"/>
      <w:numFmt w:val="lowerLetter"/>
      <w:lvlText w:val="%1."/>
      <w:lvlJc w:val="left"/>
      <w:pPr>
        <w:ind w:left="720" w:hanging="360"/>
      </w:pPr>
      <w:rPr>
        <w:rFonts w:ascii="Calibri Light" w:eastAsia="Calibri" w:hAnsi="Calibri Light" w:cs="Calibri Ligh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360" w:hanging="360"/>
      </w:pPr>
    </w:lvl>
    <w:lvl w:ilvl="4" w:tplc="FFFFFFFF">
      <w:start w:val="1"/>
      <w:numFmt w:val="lowerLetter"/>
      <w:lvlText w:val="%5."/>
      <w:lvlJc w:val="left"/>
      <w:pPr>
        <w:ind w:left="501"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start w:val="1"/>
      <w:numFmt w:val="bullet"/>
      <w:lvlText w:val="o"/>
      <w:lvlJc w:val="left"/>
      <w:pPr>
        <w:ind w:left="1592" w:hanging="360"/>
      </w:pPr>
      <w:rPr>
        <w:rFonts w:ascii="Courier New" w:hAnsi="Courier New" w:cs="Courier New" w:hint="default"/>
      </w:rPr>
    </w:lvl>
    <w:lvl w:ilvl="2" w:tplc="0C090005">
      <w:start w:val="1"/>
      <w:numFmt w:val="bullet"/>
      <w:lvlText w:val=""/>
      <w:lvlJc w:val="left"/>
      <w:pPr>
        <w:ind w:left="2312" w:hanging="360"/>
      </w:pPr>
      <w:rPr>
        <w:rFonts w:ascii="Wingdings" w:hAnsi="Wingdings" w:hint="default"/>
      </w:rPr>
    </w:lvl>
    <w:lvl w:ilvl="3" w:tplc="0C090001">
      <w:start w:val="1"/>
      <w:numFmt w:val="bullet"/>
      <w:lvlText w:val=""/>
      <w:lvlJc w:val="left"/>
      <w:pPr>
        <w:ind w:left="3032" w:hanging="360"/>
      </w:pPr>
      <w:rPr>
        <w:rFonts w:ascii="Symbol" w:hAnsi="Symbol" w:hint="default"/>
      </w:rPr>
    </w:lvl>
    <w:lvl w:ilvl="4" w:tplc="0C090003">
      <w:start w:val="1"/>
      <w:numFmt w:val="bullet"/>
      <w:lvlText w:val="o"/>
      <w:lvlJc w:val="left"/>
      <w:pPr>
        <w:ind w:left="3752" w:hanging="360"/>
      </w:pPr>
      <w:rPr>
        <w:rFonts w:ascii="Courier New" w:hAnsi="Courier New" w:cs="Courier New" w:hint="default"/>
      </w:rPr>
    </w:lvl>
    <w:lvl w:ilvl="5" w:tplc="0C090005">
      <w:start w:val="1"/>
      <w:numFmt w:val="bullet"/>
      <w:lvlText w:val=""/>
      <w:lvlJc w:val="left"/>
      <w:pPr>
        <w:ind w:left="4472" w:hanging="360"/>
      </w:pPr>
      <w:rPr>
        <w:rFonts w:ascii="Wingdings" w:hAnsi="Wingdings" w:hint="default"/>
      </w:rPr>
    </w:lvl>
    <w:lvl w:ilvl="6" w:tplc="0C090001">
      <w:start w:val="1"/>
      <w:numFmt w:val="bullet"/>
      <w:lvlText w:val=""/>
      <w:lvlJc w:val="left"/>
      <w:pPr>
        <w:ind w:left="5192" w:hanging="360"/>
      </w:pPr>
      <w:rPr>
        <w:rFonts w:ascii="Symbol" w:hAnsi="Symbol" w:hint="default"/>
      </w:rPr>
    </w:lvl>
    <w:lvl w:ilvl="7" w:tplc="0C090003">
      <w:start w:val="1"/>
      <w:numFmt w:val="bullet"/>
      <w:lvlText w:val="o"/>
      <w:lvlJc w:val="left"/>
      <w:pPr>
        <w:ind w:left="5912" w:hanging="360"/>
      </w:pPr>
      <w:rPr>
        <w:rFonts w:ascii="Courier New" w:hAnsi="Courier New" w:cs="Courier New" w:hint="default"/>
      </w:rPr>
    </w:lvl>
    <w:lvl w:ilvl="8" w:tplc="0C090005">
      <w:start w:val="1"/>
      <w:numFmt w:val="bullet"/>
      <w:lvlText w:val=""/>
      <w:lvlJc w:val="left"/>
      <w:pPr>
        <w:ind w:left="6632" w:hanging="360"/>
      </w:pPr>
      <w:rPr>
        <w:rFonts w:ascii="Wingdings" w:hAnsi="Wingdings" w:hint="default"/>
      </w:rPr>
    </w:lvl>
  </w:abstractNum>
  <w:abstractNum w:abstractNumId="16" w15:restartNumberingAfterBreak="0">
    <w:nsid w:val="18B76036"/>
    <w:multiLevelType w:val="hybridMultilevel"/>
    <w:tmpl w:val="6DE44130"/>
    <w:lvl w:ilvl="0" w:tplc="26666D98">
      <w:start w:val="1"/>
      <w:numFmt w:val="bullet"/>
      <w:lvlText w:val=""/>
      <w:lvlJc w:val="left"/>
      <w:pPr>
        <w:ind w:left="720" w:hanging="360"/>
      </w:pPr>
      <w:rPr>
        <w:rFonts w:ascii="Symbol" w:hAnsi="Symbol"/>
      </w:rPr>
    </w:lvl>
    <w:lvl w:ilvl="1" w:tplc="DCD80C1A">
      <w:start w:val="1"/>
      <w:numFmt w:val="bullet"/>
      <w:lvlText w:val=""/>
      <w:lvlJc w:val="left"/>
      <w:pPr>
        <w:ind w:left="720" w:hanging="360"/>
      </w:pPr>
      <w:rPr>
        <w:rFonts w:ascii="Symbol" w:hAnsi="Symbol"/>
      </w:rPr>
    </w:lvl>
    <w:lvl w:ilvl="2" w:tplc="84262318">
      <w:start w:val="1"/>
      <w:numFmt w:val="bullet"/>
      <w:lvlText w:val=""/>
      <w:lvlJc w:val="left"/>
      <w:pPr>
        <w:ind w:left="720" w:hanging="360"/>
      </w:pPr>
      <w:rPr>
        <w:rFonts w:ascii="Symbol" w:hAnsi="Symbol"/>
      </w:rPr>
    </w:lvl>
    <w:lvl w:ilvl="3" w:tplc="D1123782">
      <w:start w:val="1"/>
      <w:numFmt w:val="bullet"/>
      <w:lvlText w:val=""/>
      <w:lvlJc w:val="left"/>
      <w:pPr>
        <w:ind w:left="720" w:hanging="360"/>
      </w:pPr>
      <w:rPr>
        <w:rFonts w:ascii="Symbol" w:hAnsi="Symbol"/>
      </w:rPr>
    </w:lvl>
    <w:lvl w:ilvl="4" w:tplc="C90C44B6">
      <w:start w:val="1"/>
      <w:numFmt w:val="bullet"/>
      <w:lvlText w:val=""/>
      <w:lvlJc w:val="left"/>
      <w:pPr>
        <w:ind w:left="720" w:hanging="360"/>
      </w:pPr>
      <w:rPr>
        <w:rFonts w:ascii="Symbol" w:hAnsi="Symbol"/>
      </w:rPr>
    </w:lvl>
    <w:lvl w:ilvl="5" w:tplc="7B1A2A70">
      <w:start w:val="1"/>
      <w:numFmt w:val="bullet"/>
      <w:lvlText w:val=""/>
      <w:lvlJc w:val="left"/>
      <w:pPr>
        <w:ind w:left="720" w:hanging="360"/>
      </w:pPr>
      <w:rPr>
        <w:rFonts w:ascii="Symbol" w:hAnsi="Symbol"/>
      </w:rPr>
    </w:lvl>
    <w:lvl w:ilvl="6" w:tplc="909E72D4">
      <w:start w:val="1"/>
      <w:numFmt w:val="bullet"/>
      <w:lvlText w:val=""/>
      <w:lvlJc w:val="left"/>
      <w:pPr>
        <w:ind w:left="720" w:hanging="360"/>
      </w:pPr>
      <w:rPr>
        <w:rFonts w:ascii="Symbol" w:hAnsi="Symbol"/>
      </w:rPr>
    </w:lvl>
    <w:lvl w:ilvl="7" w:tplc="AF60AA80">
      <w:start w:val="1"/>
      <w:numFmt w:val="bullet"/>
      <w:lvlText w:val=""/>
      <w:lvlJc w:val="left"/>
      <w:pPr>
        <w:ind w:left="720" w:hanging="360"/>
      </w:pPr>
      <w:rPr>
        <w:rFonts w:ascii="Symbol" w:hAnsi="Symbol"/>
      </w:rPr>
    </w:lvl>
    <w:lvl w:ilvl="8" w:tplc="6E08A30A">
      <w:start w:val="1"/>
      <w:numFmt w:val="bullet"/>
      <w:lvlText w:val=""/>
      <w:lvlJc w:val="left"/>
      <w:pPr>
        <w:ind w:left="720" w:hanging="360"/>
      </w:pPr>
      <w:rPr>
        <w:rFonts w:ascii="Symbol" w:hAnsi="Symbol"/>
      </w:rPr>
    </w:lvl>
  </w:abstractNum>
  <w:abstractNum w:abstractNumId="17" w15:restartNumberingAfterBreak="0">
    <w:nsid w:val="197ADC3D"/>
    <w:multiLevelType w:val="hybridMultilevel"/>
    <w:tmpl w:val="D92ADD9E"/>
    <w:lvl w:ilvl="0" w:tplc="9C8664F4">
      <w:start w:val="1"/>
      <w:numFmt w:val="bullet"/>
      <w:lvlText w:val="-"/>
      <w:lvlJc w:val="left"/>
      <w:pPr>
        <w:ind w:left="720" w:hanging="360"/>
      </w:pPr>
      <w:rPr>
        <w:rFonts w:ascii="Aptos" w:hAnsi="Aptos" w:hint="default"/>
      </w:rPr>
    </w:lvl>
    <w:lvl w:ilvl="1" w:tplc="6E320A20">
      <w:start w:val="1"/>
      <w:numFmt w:val="bullet"/>
      <w:lvlText w:val="o"/>
      <w:lvlJc w:val="left"/>
      <w:pPr>
        <w:ind w:left="1440" w:hanging="360"/>
      </w:pPr>
      <w:rPr>
        <w:rFonts w:ascii="Courier New" w:hAnsi="Courier New" w:hint="default"/>
      </w:rPr>
    </w:lvl>
    <w:lvl w:ilvl="2" w:tplc="CA0A6766">
      <w:start w:val="1"/>
      <w:numFmt w:val="bullet"/>
      <w:lvlText w:val=""/>
      <w:lvlJc w:val="left"/>
      <w:pPr>
        <w:ind w:left="2160" w:hanging="360"/>
      </w:pPr>
      <w:rPr>
        <w:rFonts w:ascii="Wingdings" w:hAnsi="Wingdings" w:hint="default"/>
      </w:rPr>
    </w:lvl>
    <w:lvl w:ilvl="3" w:tplc="09F8EBFE">
      <w:start w:val="1"/>
      <w:numFmt w:val="bullet"/>
      <w:lvlText w:val=""/>
      <w:lvlJc w:val="left"/>
      <w:pPr>
        <w:ind w:left="2880" w:hanging="360"/>
      </w:pPr>
      <w:rPr>
        <w:rFonts w:ascii="Symbol" w:hAnsi="Symbol" w:hint="default"/>
      </w:rPr>
    </w:lvl>
    <w:lvl w:ilvl="4" w:tplc="102E36CE">
      <w:start w:val="1"/>
      <w:numFmt w:val="bullet"/>
      <w:lvlText w:val="o"/>
      <w:lvlJc w:val="left"/>
      <w:pPr>
        <w:ind w:left="3600" w:hanging="360"/>
      </w:pPr>
      <w:rPr>
        <w:rFonts w:ascii="Courier New" w:hAnsi="Courier New" w:hint="default"/>
      </w:rPr>
    </w:lvl>
    <w:lvl w:ilvl="5" w:tplc="0EB8F552">
      <w:start w:val="1"/>
      <w:numFmt w:val="bullet"/>
      <w:lvlText w:val=""/>
      <w:lvlJc w:val="left"/>
      <w:pPr>
        <w:ind w:left="4320" w:hanging="360"/>
      </w:pPr>
      <w:rPr>
        <w:rFonts w:ascii="Wingdings" w:hAnsi="Wingdings" w:hint="default"/>
      </w:rPr>
    </w:lvl>
    <w:lvl w:ilvl="6" w:tplc="E020D27C">
      <w:start w:val="1"/>
      <w:numFmt w:val="bullet"/>
      <w:lvlText w:val=""/>
      <w:lvlJc w:val="left"/>
      <w:pPr>
        <w:ind w:left="5040" w:hanging="360"/>
      </w:pPr>
      <w:rPr>
        <w:rFonts w:ascii="Symbol" w:hAnsi="Symbol" w:hint="default"/>
      </w:rPr>
    </w:lvl>
    <w:lvl w:ilvl="7" w:tplc="671CF802">
      <w:start w:val="1"/>
      <w:numFmt w:val="bullet"/>
      <w:lvlText w:val="o"/>
      <w:lvlJc w:val="left"/>
      <w:pPr>
        <w:ind w:left="5760" w:hanging="360"/>
      </w:pPr>
      <w:rPr>
        <w:rFonts w:ascii="Courier New" w:hAnsi="Courier New" w:hint="default"/>
      </w:rPr>
    </w:lvl>
    <w:lvl w:ilvl="8" w:tplc="2A4052FA">
      <w:start w:val="1"/>
      <w:numFmt w:val="bullet"/>
      <w:lvlText w:val=""/>
      <w:lvlJc w:val="left"/>
      <w:pPr>
        <w:ind w:left="6480" w:hanging="360"/>
      </w:pPr>
      <w:rPr>
        <w:rFonts w:ascii="Wingdings" w:hAnsi="Wingdings" w:hint="default"/>
      </w:rPr>
    </w:lvl>
  </w:abstractNum>
  <w:abstractNum w:abstractNumId="18" w15:restartNumberingAfterBreak="0">
    <w:nsid w:val="1DD53D2A"/>
    <w:multiLevelType w:val="hybridMultilevel"/>
    <w:tmpl w:val="957AE984"/>
    <w:lvl w:ilvl="0" w:tplc="229039E2">
      <w:start w:val="1"/>
      <w:numFmt w:val="bullet"/>
      <w:pStyle w:val="NormalBullets-L2"/>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12D7028"/>
    <w:multiLevelType w:val="hybridMultilevel"/>
    <w:tmpl w:val="0794046C"/>
    <w:lvl w:ilvl="0" w:tplc="19B0D4A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241A3DEE"/>
    <w:multiLevelType w:val="hybridMultilevel"/>
    <w:tmpl w:val="C57EEBB4"/>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48377F2"/>
    <w:multiLevelType w:val="hybridMultilevel"/>
    <w:tmpl w:val="47AE6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6B351DF"/>
    <w:multiLevelType w:val="hybridMultilevel"/>
    <w:tmpl w:val="362A4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DB53F7"/>
    <w:multiLevelType w:val="hybridMultilevel"/>
    <w:tmpl w:val="FB84AC4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81E4AC5"/>
    <w:multiLevelType w:val="hybridMultilevel"/>
    <w:tmpl w:val="5122FE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5E48C2"/>
    <w:multiLevelType w:val="hybridMultilevel"/>
    <w:tmpl w:val="DD7A2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006BAC"/>
    <w:multiLevelType w:val="hybridMultilevel"/>
    <w:tmpl w:val="253E2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C032F2D"/>
    <w:multiLevelType w:val="hybridMultilevel"/>
    <w:tmpl w:val="EC72856A"/>
    <w:lvl w:ilvl="0" w:tplc="D5C0E450">
      <w:start w:val="1"/>
      <w:numFmt w:val="decimal"/>
      <w:lvlText w:val="%1."/>
      <w:lvlJc w:val="left"/>
      <w:pPr>
        <w:ind w:left="360" w:hanging="360"/>
      </w:pPr>
      <w:rPr>
        <w:rFonts w:hint="default"/>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0266D68"/>
    <w:multiLevelType w:val="hybridMultilevel"/>
    <w:tmpl w:val="9E5A5624"/>
    <w:lvl w:ilvl="0" w:tplc="04DA5E22">
      <w:start w:val="1"/>
      <w:numFmt w:val="decimal"/>
      <w:pStyle w:val="BodycopyNumberedBullets"/>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36E47A3"/>
    <w:multiLevelType w:val="hybridMultilevel"/>
    <w:tmpl w:val="E1866DC8"/>
    <w:lvl w:ilvl="0" w:tplc="24042BE4">
      <w:start w:val="1"/>
      <w:numFmt w:val="bullet"/>
      <w:lvlText w:val=""/>
      <w:lvlJc w:val="left"/>
      <w:pPr>
        <w:ind w:left="720" w:hanging="360"/>
      </w:pPr>
      <w:rPr>
        <w:rFonts w:ascii="Symbol" w:hAnsi="Symbol"/>
      </w:rPr>
    </w:lvl>
    <w:lvl w:ilvl="1" w:tplc="0FCEA5DC">
      <w:start w:val="1"/>
      <w:numFmt w:val="bullet"/>
      <w:lvlText w:val=""/>
      <w:lvlJc w:val="left"/>
      <w:pPr>
        <w:ind w:left="720" w:hanging="360"/>
      </w:pPr>
      <w:rPr>
        <w:rFonts w:ascii="Symbol" w:hAnsi="Symbol"/>
      </w:rPr>
    </w:lvl>
    <w:lvl w:ilvl="2" w:tplc="69381FDA">
      <w:start w:val="1"/>
      <w:numFmt w:val="bullet"/>
      <w:lvlText w:val=""/>
      <w:lvlJc w:val="left"/>
      <w:pPr>
        <w:ind w:left="720" w:hanging="360"/>
      </w:pPr>
      <w:rPr>
        <w:rFonts w:ascii="Symbol" w:hAnsi="Symbol"/>
      </w:rPr>
    </w:lvl>
    <w:lvl w:ilvl="3" w:tplc="576EB132">
      <w:start w:val="1"/>
      <w:numFmt w:val="bullet"/>
      <w:lvlText w:val=""/>
      <w:lvlJc w:val="left"/>
      <w:pPr>
        <w:ind w:left="720" w:hanging="360"/>
      </w:pPr>
      <w:rPr>
        <w:rFonts w:ascii="Symbol" w:hAnsi="Symbol"/>
      </w:rPr>
    </w:lvl>
    <w:lvl w:ilvl="4" w:tplc="721AEE74">
      <w:start w:val="1"/>
      <w:numFmt w:val="bullet"/>
      <w:lvlText w:val=""/>
      <w:lvlJc w:val="left"/>
      <w:pPr>
        <w:ind w:left="720" w:hanging="360"/>
      </w:pPr>
      <w:rPr>
        <w:rFonts w:ascii="Symbol" w:hAnsi="Symbol"/>
      </w:rPr>
    </w:lvl>
    <w:lvl w:ilvl="5" w:tplc="6A7EE664">
      <w:start w:val="1"/>
      <w:numFmt w:val="bullet"/>
      <w:lvlText w:val=""/>
      <w:lvlJc w:val="left"/>
      <w:pPr>
        <w:ind w:left="720" w:hanging="360"/>
      </w:pPr>
      <w:rPr>
        <w:rFonts w:ascii="Symbol" w:hAnsi="Symbol"/>
      </w:rPr>
    </w:lvl>
    <w:lvl w:ilvl="6" w:tplc="3A56891C">
      <w:start w:val="1"/>
      <w:numFmt w:val="bullet"/>
      <w:lvlText w:val=""/>
      <w:lvlJc w:val="left"/>
      <w:pPr>
        <w:ind w:left="720" w:hanging="360"/>
      </w:pPr>
      <w:rPr>
        <w:rFonts w:ascii="Symbol" w:hAnsi="Symbol"/>
      </w:rPr>
    </w:lvl>
    <w:lvl w:ilvl="7" w:tplc="9C528966">
      <w:start w:val="1"/>
      <w:numFmt w:val="bullet"/>
      <w:lvlText w:val=""/>
      <w:lvlJc w:val="left"/>
      <w:pPr>
        <w:ind w:left="720" w:hanging="360"/>
      </w:pPr>
      <w:rPr>
        <w:rFonts w:ascii="Symbol" w:hAnsi="Symbol"/>
      </w:rPr>
    </w:lvl>
    <w:lvl w:ilvl="8" w:tplc="AAB693F8">
      <w:start w:val="1"/>
      <w:numFmt w:val="bullet"/>
      <w:lvlText w:val=""/>
      <w:lvlJc w:val="left"/>
      <w:pPr>
        <w:ind w:left="720" w:hanging="360"/>
      </w:pPr>
      <w:rPr>
        <w:rFonts w:ascii="Symbol" w:hAnsi="Symbol"/>
      </w:rPr>
    </w:lvl>
  </w:abstractNum>
  <w:abstractNum w:abstractNumId="30" w15:restartNumberingAfterBreak="0">
    <w:nsid w:val="37BB4956"/>
    <w:multiLevelType w:val="hybridMultilevel"/>
    <w:tmpl w:val="3B2083EE"/>
    <w:lvl w:ilvl="0" w:tplc="3F3E833E">
      <w:start w:val="1"/>
      <w:numFmt w:val="lowerLetter"/>
      <w:lvlText w:val="%1."/>
      <w:lvlJc w:val="left"/>
      <w:pPr>
        <w:ind w:left="434" w:hanging="360"/>
      </w:pPr>
      <w:rPr>
        <w:rFonts w:ascii="Calibri Light" w:eastAsia="Calibri" w:hAnsi="Calibri Light" w:cs="Calibri Light" w:hint="default"/>
      </w:rPr>
    </w:lvl>
    <w:lvl w:ilvl="1" w:tplc="0C090019" w:tentative="1">
      <w:start w:val="1"/>
      <w:numFmt w:val="lowerLetter"/>
      <w:lvlText w:val="%2."/>
      <w:lvlJc w:val="left"/>
      <w:pPr>
        <w:ind w:left="1154" w:hanging="360"/>
      </w:pPr>
    </w:lvl>
    <w:lvl w:ilvl="2" w:tplc="0C09001B" w:tentative="1">
      <w:start w:val="1"/>
      <w:numFmt w:val="lowerRoman"/>
      <w:lvlText w:val="%3."/>
      <w:lvlJc w:val="right"/>
      <w:pPr>
        <w:ind w:left="1874" w:hanging="180"/>
      </w:pPr>
    </w:lvl>
    <w:lvl w:ilvl="3" w:tplc="0C09000F" w:tentative="1">
      <w:start w:val="1"/>
      <w:numFmt w:val="decimal"/>
      <w:lvlText w:val="%4."/>
      <w:lvlJc w:val="left"/>
      <w:pPr>
        <w:ind w:left="2594" w:hanging="360"/>
      </w:pPr>
    </w:lvl>
    <w:lvl w:ilvl="4" w:tplc="0C090019" w:tentative="1">
      <w:start w:val="1"/>
      <w:numFmt w:val="lowerLetter"/>
      <w:lvlText w:val="%5."/>
      <w:lvlJc w:val="left"/>
      <w:pPr>
        <w:ind w:left="3314" w:hanging="360"/>
      </w:pPr>
    </w:lvl>
    <w:lvl w:ilvl="5" w:tplc="0C09001B" w:tentative="1">
      <w:start w:val="1"/>
      <w:numFmt w:val="lowerRoman"/>
      <w:lvlText w:val="%6."/>
      <w:lvlJc w:val="right"/>
      <w:pPr>
        <w:ind w:left="4034" w:hanging="180"/>
      </w:pPr>
    </w:lvl>
    <w:lvl w:ilvl="6" w:tplc="0C09000F" w:tentative="1">
      <w:start w:val="1"/>
      <w:numFmt w:val="decimal"/>
      <w:lvlText w:val="%7."/>
      <w:lvlJc w:val="left"/>
      <w:pPr>
        <w:ind w:left="4754" w:hanging="360"/>
      </w:pPr>
    </w:lvl>
    <w:lvl w:ilvl="7" w:tplc="0C090019" w:tentative="1">
      <w:start w:val="1"/>
      <w:numFmt w:val="lowerLetter"/>
      <w:lvlText w:val="%8."/>
      <w:lvlJc w:val="left"/>
      <w:pPr>
        <w:ind w:left="5474" w:hanging="360"/>
      </w:pPr>
    </w:lvl>
    <w:lvl w:ilvl="8" w:tplc="0C09001B" w:tentative="1">
      <w:start w:val="1"/>
      <w:numFmt w:val="lowerRoman"/>
      <w:lvlText w:val="%9."/>
      <w:lvlJc w:val="right"/>
      <w:pPr>
        <w:ind w:left="6194" w:hanging="180"/>
      </w:pPr>
    </w:lvl>
  </w:abstractNum>
  <w:abstractNum w:abstractNumId="31" w15:restartNumberingAfterBreak="0">
    <w:nsid w:val="38F132CE"/>
    <w:multiLevelType w:val="multilevel"/>
    <w:tmpl w:val="3B7A10DE"/>
    <w:numStyleLink w:val="BulletsList"/>
  </w:abstractNum>
  <w:abstractNum w:abstractNumId="32" w15:restartNumberingAfterBreak="0">
    <w:nsid w:val="3B555E43"/>
    <w:multiLevelType w:val="hybridMultilevel"/>
    <w:tmpl w:val="FB0A3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E4943B1"/>
    <w:multiLevelType w:val="multilevel"/>
    <w:tmpl w:val="1CCC0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64464F"/>
    <w:multiLevelType w:val="hybridMultilevel"/>
    <w:tmpl w:val="0C989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E923188"/>
    <w:multiLevelType w:val="hybridMultilevel"/>
    <w:tmpl w:val="DCDEC4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983D19"/>
    <w:multiLevelType w:val="hybridMultilevel"/>
    <w:tmpl w:val="4FC0FBBE"/>
    <w:lvl w:ilvl="0" w:tplc="6DEA0B58">
      <w:start w:val="1"/>
      <w:numFmt w:val="bullet"/>
      <w:pStyle w:val="NormalBullets-L3"/>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5731304"/>
    <w:multiLevelType w:val="hybridMultilevel"/>
    <w:tmpl w:val="4FAA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6CC48C2"/>
    <w:multiLevelType w:val="hybridMultilevel"/>
    <w:tmpl w:val="E5349C58"/>
    <w:lvl w:ilvl="0" w:tplc="7C7E5368">
      <w:start w:val="1"/>
      <w:numFmt w:val="decimal"/>
      <w:lvlText w:val="%1."/>
      <w:lvlJc w:val="left"/>
      <w:pPr>
        <w:ind w:left="720" w:hanging="360"/>
      </w:pPr>
    </w:lvl>
    <w:lvl w:ilvl="1" w:tplc="1BF4D796">
      <w:start w:val="1"/>
      <w:numFmt w:val="decimal"/>
      <w:lvlText w:val="%2."/>
      <w:lvlJc w:val="left"/>
      <w:pPr>
        <w:ind w:left="720" w:hanging="360"/>
      </w:pPr>
    </w:lvl>
    <w:lvl w:ilvl="2" w:tplc="578AB130">
      <w:start w:val="1"/>
      <w:numFmt w:val="decimal"/>
      <w:lvlText w:val="%3."/>
      <w:lvlJc w:val="left"/>
      <w:pPr>
        <w:ind w:left="720" w:hanging="360"/>
      </w:pPr>
    </w:lvl>
    <w:lvl w:ilvl="3" w:tplc="ECF075AE">
      <w:start w:val="1"/>
      <w:numFmt w:val="decimal"/>
      <w:lvlText w:val="%4."/>
      <w:lvlJc w:val="left"/>
      <w:pPr>
        <w:ind w:left="720" w:hanging="360"/>
      </w:pPr>
    </w:lvl>
    <w:lvl w:ilvl="4" w:tplc="F9D4EF56">
      <w:start w:val="1"/>
      <w:numFmt w:val="decimal"/>
      <w:lvlText w:val="%5."/>
      <w:lvlJc w:val="left"/>
      <w:pPr>
        <w:ind w:left="720" w:hanging="360"/>
      </w:pPr>
    </w:lvl>
    <w:lvl w:ilvl="5" w:tplc="38DCDEEA">
      <w:start w:val="1"/>
      <w:numFmt w:val="decimal"/>
      <w:lvlText w:val="%6."/>
      <w:lvlJc w:val="left"/>
      <w:pPr>
        <w:ind w:left="720" w:hanging="360"/>
      </w:pPr>
    </w:lvl>
    <w:lvl w:ilvl="6" w:tplc="70B2F4CE">
      <w:start w:val="1"/>
      <w:numFmt w:val="decimal"/>
      <w:lvlText w:val="%7."/>
      <w:lvlJc w:val="left"/>
      <w:pPr>
        <w:ind w:left="720" w:hanging="360"/>
      </w:pPr>
    </w:lvl>
    <w:lvl w:ilvl="7" w:tplc="0CDA73C2">
      <w:start w:val="1"/>
      <w:numFmt w:val="decimal"/>
      <w:lvlText w:val="%8."/>
      <w:lvlJc w:val="left"/>
      <w:pPr>
        <w:ind w:left="720" w:hanging="360"/>
      </w:pPr>
    </w:lvl>
    <w:lvl w:ilvl="8" w:tplc="3D6CC198">
      <w:start w:val="1"/>
      <w:numFmt w:val="decimal"/>
      <w:lvlText w:val="%9."/>
      <w:lvlJc w:val="left"/>
      <w:pPr>
        <w:ind w:left="720" w:hanging="360"/>
      </w:pPr>
    </w:lvl>
  </w:abstractNum>
  <w:abstractNum w:abstractNumId="39" w15:restartNumberingAfterBreak="0">
    <w:nsid w:val="4A915EFB"/>
    <w:multiLevelType w:val="hybridMultilevel"/>
    <w:tmpl w:val="06BA59F4"/>
    <w:lvl w:ilvl="0" w:tplc="441A0C40">
      <w:start w:val="1"/>
      <w:numFmt w:val="bullet"/>
      <w:lvlText w:val=""/>
      <w:lvlJc w:val="left"/>
      <w:pPr>
        <w:ind w:left="1280" w:hanging="360"/>
      </w:pPr>
      <w:rPr>
        <w:rFonts w:ascii="Symbol" w:hAnsi="Symbol"/>
      </w:rPr>
    </w:lvl>
    <w:lvl w:ilvl="1" w:tplc="50206890">
      <w:start w:val="1"/>
      <w:numFmt w:val="bullet"/>
      <w:lvlText w:val=""/>
      <w:lvlJc w:val="left"/>
      <w:pPr>
        <w:ind w:left="1280" w:hanging="360"/>
      </w:pPr>
      <w:rPr>
        <w:rFonts w:ascii="Symbol" w:hAnsi="Symbol"/>
      </w:rPr>
    </w:lvl>
    <w:lvl w:ilvl="2" w:tplc="E28CBDD2">
      <w:start w:val="1"/>
      <w:numFmt w:val="bullet"/>
      <w:lvlText w:val=""/>
      <w:lvlJc w:val="left"/>
      <w:pPr>
        <w:ind w:left="1280" w:hanging="360"/>
      </w:pPr>
      <w:rPr>
        <w:rFonts w:ascii="Symbol" w:hAnsi="Symbol"/>
      </w:rPr>
    </w:lvl>
    <w:lvl w:ilvl="3" w:tplc="908CB070">
      <w:start w:val="1"/>
      <w:numFmt w:val="bullet"/>
      <w:lvlText w:val=""/>
      <w:lvlJc w:val="left"/>
      <w:pPr>
        <w:ind w:left="1280" w:hanging="360"/>
      </w:pPr>
      <w:rPr>
        <w:rFonts w:ascii="Symbol" w:hAnsi="Symbol"/>
      </w:rPr>
    </w:lvl>
    <w:lvl w:ilvl="4" w:tplc="480412F4">
      <w:start w:val="1"/>
      <w:numFmt w:val="bullet"/>
      <w:lvlText w:val=""/>
      <w:lvlJc w:val="left"/>
      <w:pPr>
        <w:ind w:left="1280" w:hanging="360"/>
      </w:pPr>
      <w:rPr>
        <w:rFonts w:ascii="Symbol" w:hAnsi="Symbol"/>
      </w:rPr>
    </w:lvl>
    <w:lvl w:ilvl="5" w:tplc="5C8E1C0E">
      <w:start w:val="1"/>
      <w:numFmt w:val="bullet"/>
      <w:lvlText w:val=""/>
      <w:lvlJc w:val="left"/>
      <w:pPr>
        <w:ind w:left="1280" w:hanging="360"/>
      </w:pPr>
      <w:rPr>
        <w:rFonts w:ascii="Symbol" w:hAnsi="Symbol"/>
      </w:rPr>
    </w:lvl>
    <w:lvl w:ilvl="6" w:tplc="90463EBA">
      <w:start w:val="1"/>
      <w:numFmt w:val="bullet"/>
      <w:lvlText w:val=""/>
      <w:lvlJc w:val="left"/>
      <w:pPr>
        <w:ind w:left="1280" w:hanging="360"/>
      </w:pPr>
      <w:rPr>
        <w:rFonts w:ascii="Symbol" w:hAnsi="Symbol"/>
      </w:rPr>
    </w:lvl>
    <w:lvl w:ilvl="7" w:tplc="EDBC0396">
      <w:start w:val="1"/>
      <w:numFmt w:val="bullet"/>
      <w:lvlText w:val=""/>
      <w:lvlJc w:val="left"/>
      <w:pPr>
        <w:ind w:left="1280" w:hanging="360"/>
      </w:pPr>
      <w:rPr>
        <w:rFonts w:ascii="Symbol" w:hAnsi="Symbol"/>
      </w:rPr>
    </w:lvl>
    <w:lvl w:ilvl="8" w:tplc="FCDC2C50">
      <w:start w:val="1"/>
      <w:numFmt w:val="bullet"/>
      <w:lvlText w:val=""/>
      <w:lvlJc w:val="left"/>
      <w:pPr>
        <w:ind w:left="1280" w:hanging="360"/>
      </w:pPr>
      <w:rPr>
        <w:rFonts w:ascii="Symbol" w:hAnsi="Symbol"/>
      </w:rPr>
    </w:lvl>
  </w:abstractNum>
  <w:abstractNum w:abstractNumId="40" w15:restartNumberingAfterBreak="0">
    <w:nsid w:val="52942D10"/>
    <w:multiLevelType w:val="hybridMultilevel"/>
    <w:tmpl w:val="16C839F4"/>
    <w:lvl w:ilvl="0" w:tplc="B8D448B0">
      <w:start w:val="1"/>
      <w:numFmt w:val="bullet"/>
      <w:lvlText w:val=""/>
      <w:lvlJc w:val="left"/>
      <w:pPr>
        <w:ind w:left="720" w:hanging="360"/>
      </w:pPr>
      <w:rPr>
        <w:rFonts w:ascii="Symbol" w:hAnsi="Symbol"/>
      </w:rPr>
    </w:lvl>
    <w:lvl w:ilvl="1" w:tplc="E7205AD0">
      <w:start w:val="1"/>
      <w:numFmt w:val="bullet"/>
      <w:lvlText w:val=""/>
      <w:lvlJc w:val="left"/>
      <w:pPr>
        <w:ind w:left="720" w:hanging="360"/>
      </w:pPr>
      <w:rPr>
        <w:rFonts w:ascii="Symbol" w:hAnsi="Symbol"/>
      </w:rPr>
    </w:lvl>
    <w:lvl w:ilvl="2" w:tplc="6088BB50">
      <w:start w:val="1"/>
      <w:numFmt w:val="bullet"/>
      <w:lvlText w:val=""/>
      <w:lvlJc w:val="left"/>
      <w:pPr>
        <w:ind w:left="720" w:hanging="360"/>
      </w:pPr>
      <w:rPr>
        <w:rFonts w:ascii="Symbol" w:hAnsi="Symbol"/>
      </w:rPr>
    </w:lvl>
    <w:lvl w:ilvl="3" w:tplc="96BC3C9E">
      <w:start w:val="1"/>
      <w:numFmt w:val="bullet"/>
      <w:lvlText w:val=""/>
      <w:lvlJc w:val="left"/>
      <w:pPr>
        <w:ind w:left="720" w:hanging="360"/>
      </w:pPr>
      <w:rPr>
        <w:rFonts w:ascii="Symbol" w:hAnsi="Symbol"/>
      </w:rPr>
    </w:lvl>
    <w:lvl w:ilvl="4" w:tplc="0C7EAD32">
      <w:start w:val="1"/>
      <w:numFmt w:val="bullet"/>
      <w:lvlText w:val=""/>
      <w:lvlJc w:val="left"/>
      <w:pPr>
        <w:ind w:left="720" w:hanging="360"/>
      </w:pPr>
      <w:rPr>
        <w:rFonts w:ascii="Symbol" w:hAnsi="Symbol"/>
      </w:rPr>
    </w:lvl>
    <w:lvl w:ilvl="5" w:tplc="CAB88922">
      <w:start w:val="1"/>
      <w:numFmt w:val="bullet"/>
      <w:lvlText w:val=""/>
      <w:lvlJc w:val="left"/>
      <w:pPr>
        <w:ind w:left="720" w:hanging="360"/>
      </w:pPr>
      <w:rPr>
        <w:rFonts w:ascii="Symbol" w:hAnsi="Symbol"/>
      </w:rPr>
    </w:lvl>
    <w:lvl w:ilvl="6" w:tplc="3ECA2134">
      <w:start w:val="1"/>
      <w:numFmt w:val="bullet"/>
      <w:lvlText w:val=""/>
      <w:lvlJc w:val="left"/>
      <w:pPr>
        <w:ind w:left="720" w:hanging="360"/>
      </w:pPr>
      <w:rPr>
        <w:rFonts w:ascii="Symbol" w:hAnsi="Symbol"/>
      </w:rPr>
    </w:lvl>
    <w:lvl w:ilvl="7" w:tplc="1542EEBC">
      <w:start w:val="1"/>
      <w:numFmt w:val="bullet"/>
      <w:lvlText w:val=""/>
      <w:lvlJc w:val="left"/>
      <w:pPr>
        <w:ind w:left="720" w:hanging="360"/>
      </w:pPr>
      <w:rPr>
        <w:rFonts w:ascii="Symbol" w:hAnsi="Symbol"/>
      </w:rPr>
    </w:lvl>
    <w:lvl w:ilvl="8" w:tplc="59CA33EA">
      <w:start w:val="1"/>
      <w:numFmt w:val="bullet"/>
      <w:lvlText w:val=""/>
      <w:lvlJc w:val="left"/>
      <w:pPr>
        <w:ind w:left="720" w:hanging="360"/>
      </w:pPr>
      <w:rPr>
        <w:rFonts w:ascii="Symbol" w:hAnsi="Symbol"/>
      </w:rPr>
    </w:lvl>
  </w:abstractNum>
  <w:abstractNum w:abstractNumId="41" w15:restartNumberingAfterBreak="0">
    <w:nsid w:val="56302596"/>
    <w:multiLevelType w:val="hybridMultilevel"/>
    <w:tmpl w:val="212A8E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76B5A05"/>
    <w:multiLevelType w:val="hybridMultilevel"/>
    <w:tmpl w:val="57049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8742A08"/>
    <w:multiLevelType w:val="hybridMultilevel"/>
    <w:tmpl w:val="D9868E32"/>
    <w:lvl w:ilvl="0" w:tplc="A20C3858">
      <w:start w:val="5"/>
      <w:numFmt w:val="bullet"/>
      <w:lvlText w:val="•"/>
      <w:lvlJc w:val="left"/>
      <w:pPr>
        <w:ind w:left="717" w:hanging="360"/>
      </w:pPr>
      <w:rPr>
        <w:rFonts w:ascii="Calibri Light" w:eastAsia="Calibri" w:hAnsi="Calibri Light" w:cs="Calibri Light"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4" w15:restartNumberingAfterBreak="0">
    <w:nsid w:val="5AF37109"/>
    <w:multiLevelType w:val="hybridMultilevel"/>
    <w:tmpl w:val="549666E8"/>
    <w:lvl w:ilvl="0" w:tplc="570E1504">
      <w:start w:val="1"/>
      <w:numFmt w:val="bullet"/>
      <w:pStyle w:val="NormalBullets-L1"/>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5C742825"/>
    <w:multiLevelType w:val="hybridMultilevel"/>
    <w:tmpl w:val="BC6E46F4"/>
    <w:lvl w:ilvl="0" w:tplc="93BC2E40">
      <w:start w:val="1"/>
      <w:numFmt w:val="bullet"/>
      <w:lvlText w:val=""/>
      <w:lvlJc w:val="left"/>
      <w:pPr>
        <w:ind w:left="1840" w:hanging="360"/>
      </w:pPr>
      <w:rPr>
        <w:rFonts w:ascii="Symbol" w:hAnsi="Symbol"/>
      </w:rPr>
    </w:lvl>
    <w:lvl w:ilvl="1" w:tplc="A72E1700">
      <w:start w:val="1"/>
      <w:numFmt w:val="bullet"/>
      <w:lvlText w:val=""/>
      <w:lvlJc w:val="left"/>
      <w:pPr>
        <w:ind w:left="1840" w:hanging="360"/>
      </w:pPr>
      <w:rPr>
        <w:rFonts w:ascii="Symbol" w:hAnsi="Symbol"/>
      </w:rPr>
    </w:lvl>
    <w:lvl w:ilvl="2" w:tplc="C0D06480">
      <w:start w:val="1"/>
      <w:numFmt w:val="bullet"/>
      <w:lvlText w:val=""/>
      <w:lvlJc w:val="left"/>
      <w:pPr>
        <w:ind w:left="1840" w:hanging="360"/>
      </w:pPr>
      <w:rPr>
        <w:rFonts w:ascii="Symbol" w:hAnsi="Symbol"/>
      </w:rPr>
    </w:lvl>
    <w:lvl w:ilvl="3" w:tplc="DB921DE8">
      <w:start w:val="1"/>
      <w:numFmt w:val="bullet"/>
      <w:lvlText w:val=""/>
      <w:lvlJc w:val="left"/>
      <w:pPr>
        <w:ind w:left="1840" w:hanging="360"/>
      </w:pPr>
      <w:rPr>
        <w:rFonts w:ascii="Symbol" w:hAnsi="Symbol"/>
      </w:rPr>
    </w:lvl>
    <w:lvl w:ilvl="4" w:tplc="D8CE0476">
      <w:start w:val="1"/>
      <w:numFmt w:val="bullet"/>
      <w:lvlText w:val=""/>
      <w:lvlJc w:val="left"/>
      <w:pPr>
        <w:ind w:left="1840" w:hanging="360"/>
      </w:pPr>
      <w:rPr>
        <w:rFonts w:ascii="Symbol" w:hAnsi="Symbol"/>
      </w:rPr>
    </w:lvl>
    <w:lvl w:ilvl="5" w:tplc="76FC2908">
      <w:start w:val="1"/>
      <w:numFmt w:val="bullet"/>
      <w:lvlText w:val=""/>
      <w:lvlJc w:val="left"/>
      <w:pPr>
        <w:ind w:left="1840" w:hanging="360"/>
      </w:pPr>
      <w:rPr>
        <w:rFonts w:ascii="Symbol" w:hAnsi="Symbol"/>
      </w:rPr>
    </w:lvl>
    <w:lvl w:ilvl="6" w:tplc="74FC57C6">
      <w:start w:val="1"/>
      <w:numFmt w:val="bullet"/>
      <w:lvlText w:val=""/>
      <w:lvlJc w:val="left"/>
      <w:pPr>
        <w:ind w:left="1840" w:hanging="360"/>
      </w:pPr>
      <w:rPr>
        <w:rFonts w:ascii="Symbol" w:hAnsi="Symbol"/>
      </w:rPr>
    </w:lvl>
    <w:lvl w:ilvl="7" w:tplc="B1EEA1FC">
      <w:start w:val="1"/>
      <w:numFmt w:val="bullet"/>
      <w:lvlText w:val=""/>
      <w:lvlJc w:val="left"/>
      <w:pPr>
        <w:ind w:left="1840" w:hanging="360"/>
      </w:pPr>
      <w:rPr>
        <w:rFonts w:ascii="Symbol" w:hAnsi="Symbol"/>
      </w:rPr>
    </w:lvl>
    <w:lvl w:ilvl="8" w:tplc="E264CB88">
      <w:start w:val="1"/>
      <w:numFmt w:val="bullet"/>
      <w:lvlText w:val=""/>
      <w:lvlJc w:val="left"/>
      <w:pPr>
        <w:ind w:left="1840" w:hanging="360"/>
      </w:pPr>
      <w:rPr>
        <w:rFonts w:ascii="Symbol" w:hAnsi="Symbol"/>
      </w:rPr>
    </w:lvl>
  </w:abstractNum>
  <w:abstractNum w:abstractNumId="46" w15:restartNumberingAfterBreak="0">
    <w:nsid w:val="5D0B3F37"/>
    <w:multiLevelType w:val="hybridMultilevel"/>
    <w:tmpl w:val="D9402A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DD17402"/>
    <w:multiLevelType w:val="hybridMultilevel"/>
    <w:tmpl w:val="911C6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E192E26"/>
    <w:multiLevelType w:val="hybridMultilevel"/>
    <w:tmpl w:val="A3AEC544"/>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5FC95E71"/>
    <w:multiLevelType w:val="hybridMultilevel"/>
    <w:tmpl w:val="D8ACD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2A656B0"/>
    <w:multiLevelType w:val="hybridMultilevel"/>
    <w:tmpl w:val="F232E7AA"/>
    <w:lvl w:ilvl="0" w:tplc="EB860F3E">
      <w:start w:val="1"/>
      <w:numFmt w:val="bullet"/>
      <w:lvlText w:val=""/>
      <w:lvlJc w:val="left"/>
      <w:pPr>
        <w:ind w:left="720" w:hanging="360"/>
      </w:pPr>
      <w:rPr>
        <w:rFonts w:ascii="Symbol" w:hAnsi="Symbol"/>
      </w:rPr>
    </w:lvl>
    <w:lvl w:ilvl="1" w:tplc="015EAD4C">
      <w:start w:val="1"/>
      <w:numFmt w:val="bullet"/>
      <w:lvlText w:val=""/>
      <w:lvlJc w:val="left"/>
      <w:pPr>
        <w:ind w:left="720" w:hanging="360"/>
      </w:pPr>
      <w:rPr>
        <w:rFonts w:ascii="Symbol" w:hAnsi="Symbol"/>
      </w:rPr>
    </w:lvl>
    <w:lvl w:ilvl="2" w:tplc="D24A1EF0">
      <w:start w:val="1"/>
      <w:numFmt w:val="bullet"/>
      <w:lvlText w:val=""/>
      <w:lvlJc w:val="left"/>
      <w:pPr>
        <w:ind w:left="720" w:hanging="360"/>
      </w:pPr>
      <w:rPr>
        <w:rFonts w:ascii="Symbol" w:hAnsi="Symbol"/>
      </w:rPr>
    </w:lvl>
    <w:lvl w:ilvl="3" w:tplc="2834A584">
      <w:start w:val="1"/>
      <w:numFmt w:val="bullet"/>
      <w:lvlText w:val=""/>
      <w:lvlJc w:val="left"/>
      <w:pPr>
        <w:ind w:left="720" w:hanging="360"/>
      </w:pPr>
      <w:rPr>
        <w:rFonts w:ascii="Symbol" w:hAnsi="Symbol"/>
      </w:rPr>
    </w:lvl>
    <w:lvl w:ilvl="4" w:tplc="43F45E7E">
      <w:start w:val="1"/>
      <w:numFmt w:val="bullet"/>
      <w:lvlText w:val=""/>
      <w:lvlJc w:val="left"/>
      <w:pPr>
        <w:ind w:left="720" w:hanging="360"/>
      </w:pPr>
      <w:rPr>
        <w:rFonts w:ascii="Symbol" w:hAnsi="Symbol"/>
      </w:rPr>
    </w:lvl>
    <w:lvl w:ilvl="5" w:tplc="95568E6E">
      <w:start w:val="1"/>
      <w:numFmt w:val="bullet"/>
      <w:lvlText w:val=""/>
      <w:lvlJc w:val="left"/>
      <w:pPr>
        <w:ind w:left="720" w:hanging="360"/>
      </w:pPr>
      <w:rPr>
        <w:rFonts w:ascii="Symbol" w:hAnsi="Symbol"/>
      </w:rPr>
    </w:lvl>
    <w:lvl w:ilvl="6" w:tplc="ADFE53B6">
      <w:start w:val="1"/>
      <w:numFmt w:val="bullet"/>
      <w:lvlText w:val=""/>
      <w:lvlJc w:val="left"/>
      <w:pPr>
        <w:ind w:left="720" w:hanging="360"/>
      </w:pPr>
      <w:rPr>
        <w:rFonts w:ascii="Symbol" w:hAnsi="Symbol"/>
      </w:rPr>
    </w:lvl>
    <w:lvl w:ilvl="7" w:tplc="03169A22">
      <w:start w:val="1"/>
      <w:numFmt w:val="bullet"/>
      <w:lvlText w:val=""/>
      <w:lvlJc w:val="left"/>
      <w:pPr>
        <w:ind w:left="720" w:hanging="360"/>
      </w:pPr>
      <w:rPr>
        <w:rFonts w:ascii="Symbol" w:hAnsi="Symbol"/>
      </w:rPr>
    </w:lvl>
    <w:lvl w:ilvl="8" w:tplc="B582CC40">
      <w:start w:val="1"/>
      <w:numFmt w:val="bullet"/>
      <w:lvlText w:val=""/>
      <w:lvlJc w:val="left"/>
      <w:pPr>
        <w:ind w:left="720" w:hanging="360"/>
      </w:pPr>
      <w:rPr>
        <w:rFonts w:ascii="Symbol" w:hAnsi="Symbol"/>
      </w:rPr>
    </w:lvl>
  </w:abstractNum>
  <w:abstractNum w:abstractNumId="51" w15:restartNumberingAfterBreak="0">
    <w:nsid w:val="66E77CD8"/>
    <w:multiLevelType w:val="hybridMultilevel"/>
    <w:tmpl w:val="8B0EF8CE"/>
    <w:lvl w:ilvl="0" w:tplc="BC605E50">
      <w:start w:val="1"/>
      <w:numFmt w:val="bullet"/>
      <w:lvlText w:val=""/>
      <w:lvlJc w:val="left"/>
      <w:pPr>
        <w:ind w:left="1840" w:hanging="360"/>
      </w:pPr>
      <w:rPr>
        <w:rFonts w:ascii="Symbol" w:hAnsi="Symbol"/>
      </w:rPr>
    </w:lvl>
    <w:lvl w:ilvl="1" w:tplc="918AD726">
      <w:start w:val="1"/>
      <w:numFmt w:val="bullet"/>
      <w:lvlText w:val=""/>
      <w:lvlJc w:val="left"/>
      <w:pPr>
        <w:ind w:left="1840" w:hanging="360"/>
      </w:pPr>
      <w:rPr>
        <w:rFonts w:ascii="Symbol" w:hAnsi="Symbol"/>
      </w:rPr>
    </w:lvl>
    <w:lvl w:ilvl="2" w:tplc="46A2308C">
      <w:start w:val="1"/>
      <w:numFmt w:val="bullet"/>
      <w:lvlText w:val=""/>
      <w:lvlJc w:val="left"/>
      <w:pPr>
        <w:ind w:left="1840" w:hanging="360"/>
      </w:pPr>
      <w:rPr>
        <w:rFonts w:ascii="Symbol" w:hAnsi="Symbol"/>
      </w:rPr>
    </w:lvl>
    <w:lvl w:ilvl="3" w:tplc="DBF0388E">
      <w:start w:val="1"/>
      <w:numFmt w:val="bullet"/>
      <w:lvlText w:val=""/>
      <w:lvlJc w:val="left"/>
      <w:pPr>
        <w:ind w:left="1840" w:hanging="360"/>
      </w:pPr>
      <w:rPr>
        <w:rFonts w:ascii="Symbol" w:hAnsi="Symbol"/>
      </w:rPr>
    </w:lvl>
    <w:lvl w:ilvl="4" w:tplc="F4A8790C">
      <w:start w:val="1"/>
      <w:numFmt w:val="bullet"/>
      <w:lvlText w:val=""/>
      <w:lvlJc w:val="left"/>
      <w:pPr>
        <w:ind w:left="1840" w:hanging="360"/>
      </w:pPr>
      <w:rPr>
        <w:rFonts w:ascii="Symbol" w:hAnsi="Symbol"/>
      </w:rPr>
    </w:lvl>
    <w:lvl w:ilvl="5" w:tplc="40B6EA6C">
      <w:start w:val="1"/>
      <w:numFmt w:val="bullet"/>
      <w:lvlText w:val=""/>
      <w:lvlJc w:val="left"/>
      <w:pPr>
        <w:ind w:left="1840" w:hanging="360"/>
      </w:pPr>
      <w:rPr>
        <w:rFonts w:ascii="Symbol" w:hAnsi="Symbol"/>
      </w:rPr>
    </w:lvl>
    <w:lvl w:ilvl="6" w:tplc="BEE4C56E">
      <w:start w:val="1"/>
      <w:numFmt w:val="bullet"/>
      <w:lvlText w:val=""/>
      <w:lvlJc w:val="left"/>
      <w:pPr>
        <w:ind w:left="1840" w:hanging="360"/>
      </w:pPr>
      <w:rPr>
        <w:rFonts w:ascii="Symbol" w:hAnsi="Symbol"/>
      </w:rPr>
    </w:lvl>
    <w:lvl w:ilvl="7" w:tplc="B6BA89B6">
      <w:start w:val="1"/>
      <w:numFmt w:val="bullet"/>
      <w:lvlText w:val=""/>
      <w:lvlJc w:val="left"/>
      <w:pPr>
        <w:ind w:left="1840" w:hanging="360"/>
      </w:pPr>
      <w:rPr>
        <w:rFonts w:ascii="Symbol" w:hAnsi="Symbol"/>
      </w:rPr>
    </w:lvl>
    <w:lvl w:ilvl="8" w:tplc="76480720">
      <w:start w:val="1"/>
      <w:numFmt w:val="bullet"/>
      <w:lvlText w:val=""/>
      <w:lvlJc w:val="left"/>
      <w:pPr>
        <w:ind w:left="1840" w:hanging="360"/>
      </w:pPr>
      <w:rPr>
        <w:rFonts w:ascii="Symbol" w:hAnsi="Symbol"/>
      </w:rPr>
    </w:lvl>
  </w:abstractNum>
  <w:abstractNum w:abstractNumId="52" w15:restartNumberingAfterBreak="0">
    <w:nsid w:val="67B715CA"/>
    <w:multiLevelType w:val="hybridMultilevel"/>
    <w:tmpl w:val="2138EB8A"/>
    <w:lvl w:ilvl="0" w:tplc="D17AE248">
      <w:start w:val="1"/>
      <w:numFmt w:val="bullet"/>
      <w:lvlText w:val=""/>
      <w:lvlJc w:val="left"/>
      <w:pPr>
        <w:ind w:left="1840" w:hanging="360"/>
      </w:pPr>
      <w:rPr>
        <w:rFonts w:ascii="Symbol" w:hAnsi="Symbol"/>
      </w:rPr>
    </w:lvl>
    <w:lvl w:ilvl="1" w:tplc="6FF8F79E">
      <w:start w:val="1"/>
      <w:numFmt w:val="bullet"/>
      <w:lvlText w:val=""/>
      <w:lvlJc w:val="left"/>
      <w:pPr>
        <w:ind w:left="1840" w:hanging="360"/>
      </w:pPr>
      <w:rPr>
        <w:rFonts w:ascii="Symbol" w:hAnsi="Symbol"/>
      </w:rPr>
    </w:lvl>
    <w:lvl w:ilvl="2" w:tplc="029671D4">
      <w:start w:val="1"/>
      <w:numFmt w:val="bullet"/>
      <w:lvlText w:val=""/>
      <w:lvlJc w:val="left"/>
      <w:pPr>
        <w:ind w:left="1840" w:hanging="360"/>
      </w:pPr>
      <w:rPr>
        <w:rFonts w:ascii="Symbol" w:hAnsi="Symbol"/>
      </w:rPr>
    </w:lvl>
    <w:lvl w:ilvl="3" w:tplc="6FA8DD68">
      <w:start w:val="1"/>
      <w:numFmt w:val="bullet"/>
      <w:lvlText w:val=""/>
      <w:lvlJc w:val="left"/>
      <w:pPr>
        <w:ind w:left="1840" w:hanging="360"/>
      </w:pPr>
      <w:rPr>
        <w:rFonts w:ascii="Symbol" w:hAnsi="Symbol"/>
      </w:rPr>
    </w:lvl>
    <w:lvl w:ilvl="4" w:tplc="77520362">
      <w:start w:val="1"/>
      <w:numFmt w:val="bullet"/>
      <w:lvlText w:val=""/>
      <w:lvlJc w:val="left"/>
      <w:pPr>
        <w:ind w:left="1840" w:hanging="360"/>
      </w:pPr>
      <w:rPr>
        <w:rFonts w:ascii="Symbol" w:hAnsi="Symbol"/>
      </w:rPr>
    </w:lvl>
    <w:lvl w:ilvl="5" w:tplc="31BEAEB0">
      <w:start w:val="1"/>
      <w:numFmt w:val="bullet"/>
      <w:lvlText w:val=""/>
      <w:lvlJc w:val="left"/>
      <w:pPr>
        <w:ind w:left="1840" w:hanging="360"/>
      </w:pPr>
      <w:rPr>
        <w:rFonts w:ascii="Symbol" w:hAnsi="Symbol"/>
      </w:rPr>
    </w:lvl>
    <w:lvl w:ilvl="6" w:tplc="1DFCB9B2">
      <w:start w:val="1"/>
      <w:numFmt w:val="bullet"/>
      <w:lvlText w:val=""/>
      <w:lvlJc w:val="left"/>
      <w:pPr>
        <w:ind w:left="1840" w:hanging="360"/>
      </w:pPr>
      <w:rPr>
        <w:rFonts w:ascii="Symbol" w:hAnsi="Symbol"/>
      </w:rPr>
    </w:lvl>
    <w:lvl w:ilvl="7" w:tplc="70BAF582">
      <w:start w:val="1"/>
      <w:numFmt w:val="bullet"/>
      <w:lvlText w:val=""/>
      <w:lvlJc w:val="left"/>
      <w:pPr>
        <w:ind w:left="1840" w:hanging="360"/>
      </w:pPr>
      <w:rPr>
        <w:rFonts w:ascii="Symbol" w:hAnsi="Symbol"/>
      </w:rPr>
    </w:lvl>
    <w:lvl w:ilvl="8" w:tplc="08DE8AC6">
      <w:start w:val="1"/>
      <w:numFmt w:val="bullet"/>
      <w:lvlText w:val=""/>
      <w:lvlJc w:val="left"/>
      <w:pPr>
        <w:ind w:left="1840" w:hanging="360"/>
      </w:pPr>
      <w:rPr>
        <w:rFonts w:ascii="Symbol" w:hAnsi="Symbol"/>
      </w:rPr>
    </w:lvl>
  </w:abstractNum>
  <w:abstractNum w:abstractNumId="53" w15:restartNumberingAfterBreak="0">
    <w:nsid w:val="68B417BF"/>
    <w:multiLevelType w:val="hybridMultilevel"/>
    <w:tmpl w:val="B8CE48DA"/>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6A687382"/>
    <w:multiLevelType w:val="hybridMultilevel"/>
    <w:tmpl w:val="475AA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C1F1E0C"/>
    <w:multiLevelType w:val="hybridMultilevel"/>
    <w:tmpl w:val="D528EA6A"/>
    <w:lvl w:ilvl="0" w:tplc="9CEA30E4">
      <w:start w:val="1"/>
      <w:numFmt w:val="decimal"/>
      <w:lvlText w:val="%1."/>
      <w:lvlJc w:val="left"/>
      <w:pPr>
        <w:ind w:left="720" w:hanging="360"/>
      </w:pPr>
    </w:lvl>
    <w:lvl w:ilvl="1" w:tplc="251E6338">
      <w:start w:val="1"/>
      <w:numFmt w:val="decimal"/>
      <w:lvlText w:val="%2."/>
      <w:lvlJc w:val="left"/>
      <w:pPr>
        <w:ind w:left="720" w:hanging="360"/>
      </w:pPr>
    </w:lvl>
    <w:lvl w:ilvl="2" w:tplc="CDACDDD0">
      <w:start w:val="1"/>
      <w:numFmt w:val="decimal"/>
      <w:lvlText w:val="%3."/>
      <w:lvlJc w:val="left"/>
      <w:pPr>
        <w:ind w:left="720" w:hanging="360"/>
      </w:pPr>
    </w:lvl>
    <w:lvl w:ilvl="3" w:tplc="065C6AA2">
      <w:start w:val="1"/>
      <w:numFmt w:val="decimal"/>
      <w:lvlText w:val="%4."/>
      <w:lvlJc w:val="left"/>
      <w:pPr>
        <w:ind w:left="720" w:hanging="360"/>
      </w:pPr>
    </w:lvl>
    <w:lvl w:ilvl="4" w:tplc="2D740AAC">
      <w:start w:val="1"/>
      <w:numFmt w:val="decimal"/>
      <w:lvlText w:val="%5."/>
      <w:lvlJc w:val="left"/>
      <w:pPr>
        <w:ind w:left="720" w:hanging="360"/>
      </w:pPr>
    </w:lvl>
    <w:lvl w:ilvl="5" w:tplc="A8AC5C84">
      <w:start w:val="1"/>
      <w:numFmt w:val="decimal"/>
      <w:lvlText w:val="%6."/>
      <w:lvlJc w:val="left"/>
      <w:pPr>
        <w:ind w:left="720" w:hanging="360"/>
      </w:pPr>
    </w:lvl>
    <w:lvl w:ilvl="6" w:tplc="86CE3710">
      <w:start w:val="1"/>
      <w:numFmt w:val="decimal"/>
      <w:lvlText w:val="%7."/>
      <w:lvlJc w:val="left"/>
      <w:pPr>
        <w:ind w:left="720" w:hanging="360"/>
      </w:pPr>
    </w:lvl>
    <w:lvl w:ilvl="7" w:tplc="EA5C47D0">
      <w:start w:val="1"/>
      <w:numFmt w:val="decimal"/>
      <w:lvlText w:val="%8."/>
      <w:lvlJc w:val="left"/>
      <w:pPr>
        <w:ind w:left="720" w:hanging="360"/>
      </w:pPr>
    </w:lvl>
    <w:lvl w:ilvl="8" w:tplc="86DAD69E">
      <w:start w:val="1"/>
      <w:numFmt w:val="decimal"/>
      <w:lvlText w:val="%9."/>
      <w:lvlJc w:val="left"/>
      <w:pPr>
        <w:ind w:left="720" w:hanging="360"/>
      </w:pPr>
    </w:lvl>
  </w:abstractNum>
  <w:abstractNum w:abstractNumId="56" w15:restartNumberingAfterBreak="0">
    <w:nsid w:val="6E0B8CBA"/>
    <w:multiLevelType w:val="hybridMultilevel"/>
    <w:tmpl w:val="B8762C82"/>
    <w:lvl w:ilvl="0" w:tplc="D4D480B2">
      <w:start w:val="1"/>
      <w:numFmt w:val="bullet"/>
      <w:lvlText w:val="-"/>
      <w:lvlJc w:val="left"/>
      <w:pPr>
        <w:ind w:left="720" w:hanging="360"/>
      </w:pPr>
      <w:rPr>
        <w:rFonts w:ascii="Aptos" w:hAnsi="Aptos" w:hint="default"/>
      </w:rPr>
    </w:lvl>
    <w:lvl w:ilvl="1" w:tplc="97BEC878">
      <w:start w:val="1"/>
      <w:numFmt w:val="bullet"/>
      <w:lvlText w:val="o"/>
      <w:lvlJc w:val="left"/>
      <w:pPr>
        <w:ind w:left="1440" w:hanging="360"/>
      </w:pPr>
      <w:rPr>
        <w:rFonts w:ascii="Courier New" w:hAnsi="Courier New" w:hint="default"/>
      </w:rPr>
    </w:lvl>
    <w:lvl w:ilvl="2" w:tplc="554A7240">
      <w:start w:val="1"/>
      <w:numFmt w:val="bullet"/>
      <w:lvlText w:val=""/>
      <w:lvlJc w:val="left"/>
      <w:pPr>
        <w:ind w:left="2160" w:hanging="360"/>
      </w:pPr>
      <w:rPr>
        <w:rFonts w:ascii="Wingdings" w:hAnsi="Wingdings" w:hint="default"/>
      </w:rPr>
    </w:lvl>
    <w:lvl w:ilvl="3" w:tplc="80B41FEE">
      <w:start w:val="1"/>
      <w:numFmt w:val="bullet"/>
      <w:lvlText w:val=""/>
      <w:lvlJc w:val="left"/>
      <w:pPr>
        <w:ind w:left="2880" w:hanging="360"/>
      </w:pPr>
      <w:rPr>
        <w:rFonts w:ascii="Symbol" w:hAnsi="Symbol" w:hint="default"/>
      </w:rPr>
    </w:lvl>
    <w:lvl w:ilvl="4" w:tplc="50B491CA">
      <w:start w:val="1"/>
      <w:numFmt w:val="bullet"/>
      <w:lvlText w:val="o"/>
      <w:lvlJc w:val="left"/>
      <w:pPr>
        <w:ind w:left="3600" w:hanging="360"/>
      </w:pPr>
      <w:rPr>
        <w:rFonts w:ascii="Courier New" w:hAnsi="Courier New" w:hint="default"/>
      </w:rPr>
    </w:lvl>
    <w:lvl w:ilvl="5" w:tplc="5568E3EE">
      <w:start w:val="1"/>
      <w:numFmt w:val="bullet"/>
      <w:lvlText w:val=""/>
      <w:lvlJc w:val="left"/>
      <w:pPr>
        <w:ind w:left="4320" w:hanging="360"/>
      </w:pPr>
      <w:rPr>
        <w:rFonts w:ascii="Wingdings" w:hAnsi="Wingdings" w:hint="default"/>
      </w:rPr>
    </w:lvl>
    <w:lvl w:ilvl="6" w:tplc="B97A2A1E">
      <w:start w:val="1"/>
      <w:numFmt w:val="bullet"/>
      <w:lvlText w:val=""/>
      <w:lvlJc w:val="left"/>
      <w:pPr>
        <w:ind w:left="5040" w:hanging="360"/>
      </w:pPr>
      <w:rPr>
        <w:rFonts w:ascii="Symbol" w:hAnsi="Symbol" w:hint="default"/>
      </w:rPr>
    </w:lvl>
    <w:lvl w:ilvl="7" w:tplc="03F88C3C">
      <w:start w:val="1"/>
      <w:numFmt w:val="bullet"/>
      <w:lvlText w:val="o"/>
      <w:lvlJc w:val="left"/>
      <w:pPr>
        <w:ind w:left="5760" w:hanging="360"/>
      </w:pPr>
      <w:rPr>
        <w:rFonts w:ascii="Courier New" w:hAnsi="Courier New" w:hint="default"/>
      </w:rPr>
    </w:lvl>
    <w:lvl w:ilvl="8" w:tplc="3EDE5CDE">
      <w:start w:val="1"/>
      <w:numFmt w:val="bullet"/>
      <w:lvlText w:val=""/>
      <w:lvlJc w:val="left"/>
      <w:pPr>
        <w:ind w:left="6480" w:hanging="360"/>
      </w:pPr>
      <w:rPr>
        <w:rFonts w:ascii="Wingdings" w:hAnsi="Wingdings" w:hint="default"/>
      </w:rPr>
    </w:lvl>
  </w:abstractNum>
  <w:abstractNum w:abstractNumId="57" w15:restartNumberingAfterBreak="0">
    <w:nsid w:val="717F64ED"/>
    <w:multiLevelType w:val="hybridMultilevel"/>
    <w:tmpl w:val="F96C26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2270845"/>
    <w:multiLevelType w:val="hybridMultilevel"/>
    <w:tmpl w:val="EB8ABA16"/>
    <w:lvl w:ilvl="0" w:tplc="69E29876">
      <w:start w:val="1"/>
      <w:numFmt w:val="bullet"/>
      <w:lvlText w:val=""/>
      <w:lvlJc w:val="left"/>
      <w:pPr>
        <w:ind w:left="1840" w:hanging="360"/>
      </w:pPr>
      <w:rPr>
        <w:rFonts w:ascii="Symbol" w:hAnsi="Symbol"/>
      </w:rPr>
    </w:lvl>
    <w:lvl w:ilvl="1" w:tplc="81E0EA0C">
      <w:start w:val="1"/>
      <w:numFmt w:val="bullet"/>
      <w:lvlText w:val=""/>
      <w:lvlJc w:val="left"/>
      <w:pPr>
        <w:ind w:left="1840" w:hanging="360"/>
      </w:pPr>
      <w:rPr>
        <w:rFonts w:ascii="Symbol" w:hAnsi="Symbol"/>
      </w:rPr>
    </w:lvl>
    <w:lvl w:ilvl="2" w:tplc="91CA676A">
      <w:start w:val="1"/>
      <w:numFmt w:val="bullet"/>
      <w:lvlText w:val=""/>
      <w:lvlJc w:val="left"/>
      <w:pPr>
        <w:ind w:left="1840" w:hanging="360"/>
      </w:pPr>
      <w:rPr>
        <w:rFonts w:ascii="Symbol" w:hAnsi="Symbol"/>
      </w:rPr>
    </w:lvl>
    <w:lvl w:ilvl="3" w:tplc="A588D1F4">
      <w:start w:val="1"/>
      <w:numFmt w:val="bullet"/>
      <w:lvlText w:val=""/>
      <w:lvlJc w:val="left"/>
      <w:pPr>
        <w:ind w:left="1840" w:hanging="360"/>
      </w:pPr>
      <w:rPr>
        <w:rFonts w:ascii="Symbol" w:hAnsi="Symbol"/>
      </w:rPr>
    </w:lvl>
    <w:lvl w:ilvl="4" w:tplc="188AE9F8">
      <w:start w:val="1"/>
      <w:numFmt w:val="bullet"/>
      <w:lvlText w:val=""/>
      <w:lvlJc w:val="left"/>
      <w:pPr>
        <w:ind w:left="1840" w:hanging="360"/>
      </w:pPr>
      <w:rPr>
        <w:rFonts w:ascii="Symbol" w:hAnsi="Symbol"/>
      </w:rPr>
    </w:lvl>
    <w:lvl w:ilvl="5" w:tplc="743EEE5E">
      <w:start w:val="1"/>
      <w:numFmt w:val="bullet"/>
      <w:lvlText w:val=""/>
      <w:lvlJc w:val="left"/>
      <w:pPr>
        <w:ind w:left="1840" w:hanging="360"/>
      </w:pPr>
      <w:rPr>
        <w:rFonts w:ascii="Symbol" w:hAnsi="Symbol"/>
      </w:rPr>
    </w:lvl>
    <w:lvl w:ilvl="6" w:tplc="4AF63808">
      <w:start w:val="1"/>
      <w:numFmt w:val="bullet"/>
      <w:lvlText w:val=""/>
      <w:lvlJc w:val="left"/>
      <w:pPr>
        <w:ind w:left="1840" w:hanging="360"/>
      </w:pPr>
      <w:rPr>
        <w:rFonts w:ascii="Symbol" w:hAnsi="Symbol"/>
      </w:rPr>
    </w:lvl>
    <w:lvl w:ilvl="7" w:tplc="EB1E954C">
      <w:start w:val="1"/>
      <w:numFmt w:val="bullet"/>
      <w:lvlText w:val=""/>
      <w:lvlJc w:val="left"/>
      <w:pPr>
        <w:ind w:left="1840" w:hanging="360"/>
      </w:pPr>
      <w:rPr>
        <w:rFonts w:ascii="Symbol" w:hAnsi="Symbol"/>
      </w:rPr>
    </w:lvl>
    <w:lvl w:ilvl="8" w:tplc="F184F70C">
      <w:start w:val="1"/>
      <w:numFmt w:val="bullet"/>
      <w:lvlText w:val=""/>
      <w:lvlJc w:val="left"/>
      <w:pPr>
        <w:ind w:left="1840" w:hanging="360"/>
      </w:pPr>
      <w:rPr>
        <w:rFonts w:ascii="Symbol" w:hAnsi="Symbol"/>
      </w:rPr>
    </w:lvl>
  </w:abstractNum>
  <w:abstractNum w:abstractNumId="59"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0" w15:restartNumberingAfterBreak="0">
    <w:nsid w:val="7A113350"/>
    <w:multiLevelType w:val="hybridMultilevel"/>
    <w:tmpl w:val="65DE72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A224C08"/>
    <w:multiLevelType w:val="hybridMultilevel"/>
    <w:tmpl w:val="516AB26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2" w15:restartNumberingAfterBreak="0">
    <w:nsid w:val="7AB30A1A"/>
    <w:multiLevelType w:val="hybridMultilevel"/>
    <w:tmpl w:val="3EA49806"/>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7AD16AC0"/>
    <w:multiLevelType w:val="hybridMultilevel"/>
    <w:tmpl w:val="A0DC88CC"/>
    <w:lvl w:ilvl="0" w:tplc="FFFFFFFF">
      <w:start w:val="1"/>
      <w:numFmt w:val="lowerLetter"/>
      <w:lvlText w:val="%1."/>
      <w:lvlJc w:val="left"/>
      <w:pPr>
        <w:ind w:left="720" w:hanging="360"/>
      </w:pPr>
      <w:rPr>
        <w:rFonts w:ascii="Calibri Light" w:eastAsia="Calibri" w:hAnsi="Calibri Light" w:cs="Calibri Ligh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3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4" w15:restartNumberingAfterBreak="0">
    <w:nsid w:val="7C6C1CD3"/>
    <w:multiLevelType w:val="hybridMultilevel"/>
    <w:tmpl w:val="609E14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7E4A396A"/>
    <w:multiLevelType w:val="hybridMultilevel"/>
    <w:tmpl w:val="78889AA0"/>
    <w:lvl w:ilvl="0" w:tplc="671ADF34">
      <w:start w:val="1"/>
      <w:numFmt w:val="bullet"/>
      <w:lvlText w:val="-"/>
      <w:lvlJc w:val="left"/>
      <w:pPr>
        <w:ind w:left="720" w:hanging="360"/>
      </w:pPr>
      <w:rPr>
        <w:rFonts w:ascii="Calibri" w:eastAsia="Times New Roman" w:hAnsi="Calibri" w:cs="Calibri" w:hint="default"/>
        <w:color w:val="2222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8706305">
    <w:abstractNumId w:val="17"/>
  </w:num>
  <w:num w:numId="2" w16cid:durableId="936014553">
    <w:abstractNumId w:val="56"/>
  </w:num>
  <w:num w:numId="3" w16cid:durableId="1161889024">
    <w:abstractNumId w:val="28"/>
  </w:num>
  <w:num w:numId="4" w16cid:durableId="1866628890">
    <w:abstractNumId w:val="33"/>
  </w:num>
  <w:num w:numId="5" w16cid:durableId="1984462634">
    <w:abstractNumId w:val="15"/>
  </w:num>
  <w:num w:numId="6" w16cid:durableId="1989825878">
    <w:abstractNumId w:val="36"/>
  </w:num>
  <w:num w:numId="7" w16cid:durableId="156531316">
    <w:abstractNumId w:val="18"/>
  </w:num>
  <w:num w:numId="8" w16cid:durableId="750662043">
    <w:abstractNumId w:val="20"/>
  </w:num>
  <w:num w:numId="9" w16cid:durableId="2007780902">
    <w:abstractNumId w:val="48"/>
  </w:num>
  <w:num w:numId="10" w16cid:durableId="584151614">
    <w:abstractNumId w:val="41"/>
  </w:num>
  <w:num w:numId="11" w16cid:durableId="1680081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47818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57587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6017075">
    <w:abstractNumId w:val="62"/>
  </w:num>
  <w:num w:numId="15" w16cid:durableId="458569821">
    <w:abstractNumId w:val="64"/>
  </w:num>
  <w:num w:numId="16" w16cid:durableId="1323042512">
    <w:abstractNumId w:val="57"/>
  </w:num>
  <w:num w:numId="17" w16cid:durableId="1278027537">
    <w:abstractNumId w:val="13"/>
  </w:num>
  <w:num w:numId="18" w16cid:durableId="1910074246">
    <w:abstractNumId w:val="27"/>
  </w:num>
  <w:num w:numId="19" w16cid:durableId="818231970">
    <w:abstractNumId w:val="11"/>
  </w:num>
  <w:num w:numId="20" w16cid:durableId="1997488483">
    <w:abstractNumId w:val="53"/>
  </w:num>
  <w:num w:numId="21" w16cid:durableId="44916290">
    <w:abstractNumId w:val="21"/>
  </w:num>
  <w:num w:numId="22" w16cid:durableId="1176649064">
    <w:abstractNumId w:val="47"/>
  </w:num>
  <w:num w:numId="23" w16cid:durableId="1771007885">
    <w:abstractNumId w:val="60"/>
  </w:num>
  <w:num w:numId="24" w16cid:durableId="475727638">
    <w:abstractNumId w:val="26"/>
  </w:num>
  <w:num w:numId="25" w16cid:durableId="1002513402">
    <w:abstractNumId w:val="61"/>
  </w:num>
  <w:num w:numId="26" w16cid:durableId="1501505999">
    <w:abstractNumId w:val="23"/>
  </w:num>
  <w:num w:numId="27" w16cid:durableId="1035739990">
    <w:abstractNumId w:val="54"/>
  </w:num>
  <w:num w:numId="28" w16cid:durableId="1690763701">
    <w:abstractNumId w:val="34"/>
  </w:num>
  <w:num w:numId="29" w16cid:durableId="4863902">
    <w:abstractNumId w:val="22"/>
  </w:num>
  <w:num w:numId="30" w16cid:durableId="534662792">
    <w:abstractNumId w:val="37"/>
  </w:num>
  <w:num w:numId="31" w16cid:durableId="1987667140">
    <w:abstractNumId w:val="65"/>
  </w:num>
  <w:num w:numId="32" w16cid:durableId="2022850700">
    <w:abstractNumId w:val="25"/>
  </w:num>
  <w:num w:numId="33" w16cid:durableId="144443815">
    <w:abstractNumId w:val="59"/>
  </w:num>
  <w:num w:numId="34" w16cid:durableId="697269587">
    <w:abstractNumId w:val="31"/>
    <w:lvlOverride w:ilvl="1">
      <w:lvl w:ilvl="1">
        <w:start w:val="1"/>
        <w:numFmt w:val="bullet"/>
        <w:pStyle w:val="Bullet2"/>
        <w:lvlText w:val="–"/>
        <w:lvlJc w:val="left"/>
        <w:pPr>
          <w:ind w:left="1136" w:hanging="284"/>
        </w:pPr>
        <w:rPr>
          <w:rFonts w:ascii="Arial" w:hAnsi="Arial" w:hint="default"/>
        </w:rPr>
      </w:lvl>
    </w:lvlOverride>
  </w:num>
  <w:num w:numId="35" w16cid:durableId="1868326227">
    <w:abstractNumId w:val="33"/>
  </w:num>
  <w:num w:numId="36" w16cid:durableId="1275673123">
    <w:abstractNumId w:val="39"/>
  </w:num>
  <w:num w:numId="37" w16cid:durableId="1439914622">
    <w:abstractNumId w:val="58"/>
  </w:num>
  <w:num w:numId="38" w16cid:durableId="89130772">
    <w:abstractNumId w:val="52"/>
  </w:num>
  <w:num w:numId="39" w16cid:durableId="1643118669">
    <w:abstractNumId w:val="45"/>
  </w:num>
  <w:num w:numId="40" w16cid:durableId="1311985826">
    <w:abstractNumId w:val="51"/>
  </w:num>
  <w:num w:numId="41" w16cid:durableId="834222797">
    <w:abstractNumId w:val="42"/>
  </w:num>
  <w:num w:numId="42" w16cid:durableId="2087267321">
    <w:abstractNumId w:val="35"/>
  </w:num>
  <w:num w:numId="43" w16cid:durableId="436751606">
    <w:abstractNumId w:val="33"/>
  </w:num>
  <w:num w:numId="44" w16cid:durableId="1495801034">
    <w:abstractNumId w:val="10"/>
  </w:num>
  <w:num w:numId="45" w16cid:durableId="197672070">
    <w:abstractNumId w:val="30"/>
  </w:num>
  <w:num w:numId="46" w16cid:durableId="1057119916">
    <w:abstractNumId w:val="19"/>
  </w:num>
  <w:num w:numId="47" w16cid:durableId="1826781666">
    <w:abstractNumId w:val="29"/>
  </w:num>
  <w:num w:numId="48" w16cid:durableId="1380472705">
    <w:abstractNumId w:val="50"/>
  </w:num>
  <w:num w:numId="49" w16cid:durableId="62997242">
    <w:abstractNumId w:val="40"/>
  </w:num>
  <w:num w:numId="50" w16cid:durableId="1319575082">
    <w:abstractNumId w:val="16"/>
  </w:num>
  <w:num w:numId="51" w16cid:durableId="1017346772">
    <w:abstractNumId w:val="32"/>
  </w:num>
  <w:num w:numId="52" w16cid:durableId="822701341">
    <w:abstractNumId w:val="46"/>
  </w:num>
  <w:num w:numId="53" w16cid:durableId="1417479236">
    <w:abstractNumId w:val="24"/>
  </w:num>
  <w:num w:numId="54" w16cid:durableId="1574318058">
    <w:abstractNumId w:val="49"/>
  </w:num>
  <w:num w:numId="55" w16cid:durableId="1378898023">
    <w:abstractNumId w:val="12"/>
  </w:num>
  <w:num w:numId="56" w16cid:durableId="529758226">
    <w:abstractNumId w:val="38"/>
  </w:num>
  <w:num w:numId="57" w16cid:durableId="2123112342">
    <w:abstractNumId w:val="55"/>
  </w:num>
  <w:num w:numId="58" w16cid:durableId="931671488">
    <w:abstractNumId w:val="43"/>
  </w:num>
  <w:num w:numId="59" w16cid:durableId="418987319">
    <w:abstractNumId w:val="9"/>
  </w:num>
  <w:num w:numId="60" w16cid:durableId="644507383">
    <w:abstractNumId w:val="7"/>
  </w:num>
  <w:num w:numId="61" w16cid:durableId="830950792">
    <w:abstractNumId w:val="6"/>
  </w:num>
  <w:num w:numId="62" w16cid:durableId="471097571">
    <w:abstractNumId w:val="5"/>
  </w:num>
  <w:num w:numId="63" w16cid:durableId="497619652">
    <w:abstractNumId w:val="4"/>
  </w:num>
  <w:num w:numId="64" w16cid:durableId="1479568294">
    <w:abstractNumId w:val="8"/>
  </w:num>
  <w:num w:numId="65" w16cid:durableId="5640632">
    <w:abstractNumId w:val="3"/>
  </w:num>
  <w:num w:numId="66" w16cid:durableId="1262683064">
    <w:abstractNumId w:val="2"/>
  </w:num>
  <w:num w:numId="67" w16cid:durableId="1964572760">
    <w:abstractNumId w:val="1"/>
  </w:num>
  <w:num w:numId="68" w16cid:durableId="1487740706">
    <w:abstractNumId w:val="0"/>
  </w:num>
  <w:num w:numId="69" w16cid:durableId="1629895678">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A6"/>
    <w:rsid w:val="000006F0"/>
    <w:rsid w:val="00000796"/>
    <w:rsid w:val="0000121D"/>
    <w:rsid w:val="00001B93"/>
    <w:rsid w:val="00001F6A"/>
    <w:rsid w:val="00002624"/>
    <w:rsid w:val="00002B67"/>
    <w:rsid w:val="00003531"/>
    <w:rsid w:val="000049FA"/>
    <w:rsid w:val="00006483"/>
    <w:rsid w:val="00006AB6"/>
    <w:rsid w:val="0000709B"/>
    <w:rsid w:val="000075DF"/>
    <w:rsid w:val="000106BD"/>
    <w:rsid w:val="00010D60"/>
    <w:rsid w:val="00011684"/>
    <w:rsid w:val="00011780"/>
    <w:rsid w:val="00011808"/>
    <w:rsid w:val="00011ED9"/>
    <w:rsid w:val="000123FA"/>
    <w:rsid w:val="000127BD"/>
    <w:rsid w:val="000129F8"/>
    <w:rsid w:val="0001324F"/>
    <w:rsid w:val="000135C9"/>
    <w:rsid w:val="0001381F"/>
    <w:rsid w:val="00013BEF"/>
    <w:rsid w:val="00014838"/>
    <w:rsid w:val="00014CE1"/>
    <w:rsid w:val="00015AB5"/>
    <w:rsid w:val="00015B0B"/>
    <w:rsid w:val="00015E72"/>
    <w:rsid w:val="00015F1B"/>
    <w:rsid w:val="00016163"/>
    <w:rsid w:val="0001653F"/>
    <w:rsid w:val="0001665E"/>
    <w:rsid w:val="000175A1"/>
    <w:rsid w:val="00017656"/>
    <w:rsid w:val="00017962"/>
    <w:rsid w:val="00017979"/>
    <w:rsid w:val="00017E04"/>
    <w:rsid w:val="00020031"/>
    <w:rsid w:val="00020514"/>
    <w:rsid w:val="0002064D"/>
    <w:rsid w:val="00020665"/>
    <w:rsid w:val="00020AED"/>
    <w:rsid w:val="00020E09"/>
    <w:rsid w:val="00022AD4"/>
    <w:rsid w:val="00023C80"/>
    <w:rsid w:val="0002494A"/>
    <w:rsid w:val="000250C7"/>
    <w:rsid w:val="00025428"/>
    <w:rsid w:val="00025B30"/>
    <w:rsid w:val="00025E6D"/>
    <w:rsid w:val="0002601B"/>
    <w:rsid w:val="000264A1"/>
    <w:rsid w:val="00026621"/>
    <w:rsid w:val="00026DC4"/>
    <w:rsid w:val="000271A7"/>
    <w:rsid w:val="00027CFF"/>
    <w:rsid w:val="00030331"/>
    <w:rsid w:val="00030679"/>
    <w:rsid w:val="000326BA"/>
    <w:rsid w:val="000337BD"/>
    <w:rsid w:val="00033B7E"/>
    <w:rsid w:val="00033BBC"/>
    <w:rsid w:val="000342BA"/>
    <w:rsid w:val="000343A1"/>
    <w:rsid w:val="000355EF"/>
    <w:rsid w:val="00035852"/>
    <w:rsid w:val="000360BC"/>
    <w:rsid w:val="000363E1"/>
    <w:rsid w:val="0003705D"/>
    <w:rsid w:val="00037BC3"/>
    <w:rsid w:val="000404A2"/>
    <w:rsid w:val="00040A17"/>
    <w:rsid w:val="00040C78"/>
    <w:rsid w:val="00040CBC"/>
    <w:rsid w:val="00041507"/>
    <w:rsid w:val="000415FD"/>
    <w:rsid w:val="000418A1"/>
    <w:rsid w:val="000426F3"/>
    <w:rsid w:val="00042D1A"/>
    <w:rsid w:val="00043353"/>
    <w:rsid w:val="00043533"/>
    <w:rsid w:val="00043730"/>
    <w:rsid w:val="00043ABF"/>
    <w:rsid w:val="00043ADC"/>
    <w:rsid w:val="00043B51"/>
    <w:rsid w:val="00044501"/>
    <w:rsid w:val="000447F5"/>
    <w:rsid w:val="0004480E"/>
    <w:rsid w:val="0004484D"/>
    <w:rsid w:val="00045586"/>
    <w:rsid w:val="000459B7"/>
    <w:rsid w:val="000459C3"/>
    <w:rsid w:val="000461DB"/>
    <w:rsid w:val="00046FF1"/>
    <w:rsid w:val="00047285"/>
    <w:rsid w:val="0004778E"/>
    <w:rsid w:val="000479E4"/>
    <w:rsid w:val="00050671"/>
    <w:rsid w:val="0005074E"/>
    <w:rsid w:val="00050DD8"/>
    <w:rsid w:val="0005115C"/>
    <w:rsid w:val="00051D14"/>
    <w:rsid w:val="00052F53"/>
    <w:rsid w:val="00053103"/>
    <w:rsid w:val="00053708"/>
    <w:rsid w:val="00053B12"/>
    <w:rsid w:val="00053DB7"/>
    <w:rsid w:val="00054162"/>
    <w:rsid w:val="0005444B"/>
    <w:rsid w:val="00054A1C"/>
    <w:rsid w:val="00054D83"/>
    <w:rsid w:val="000550DD"/>
    <w:rsid w:val="00055137"/>
    <w:rsid w:val="000551E9"/>
    <w:rsid w:val="00056EF1"/>
    <w:rsid w:val="00057C99"/>
    <w:rsid w:val="00060004"/>
    <w:rsid w:val="0006064F"/>
    <w:rsid w:val="00061CF3"/>
    <w:rsid w:val="000620B6"/>
    <w:rsid w:val="00062123"/>
    <w:rsid w:val="0006320D"/>
    <w:rsid w:val="00063F01"/>
    <w:rsid w:val="0006480F"/>
    <w:rsid w:val="00065041"/>
    <w:rsid w:val="0006606F"/>
    <w:rsid w:val="00066BBE"/>
    <w:rsid w:val="0006774D"/>
    <w:rsid w:val="00067D5B"/>
    <w:rsid w:val="00067D98"/>
    <w:rsid w:val="00067EDD"/>
    <w:rsid w:val="00070578"/>
    <w:rsid w:val="000713A2"/>
    <w:rsid w:val="00071B09"/>
    <w:rsid w:val="00071B15"/>
    <w:rsid w:val="0007255E"/>
    <w:rsid w:val="0007309A"/>
    <w:rsid w:val="000735DD"/>
    <w:rsid w:val="000745F7"/>
    <w:rsid w:val="00074E94"/>
    <w:rsid w:val="00075461"/>
    <w:rsid w:val="00075664"/>
    <w:rsid w:val="000765CA"/>
    <w:rsid w:val="000774E5"/>
    <w:rsid w:val="000800EE"/>
    <w:rsid w:val="0008056E"/>
    <w:rsid w:val="00081459"/>
    <w:rsid w:val="00081557"/>
    <w:rsid w:val="0008188E"/>
    <w:rsid w:val="00081AAC"/>
    <w:rsid w:val="00081BE4"/>
    <w:rsid w:val="00081F09"/>
    <w:rsid w:val="000823F2"/>
    <w:rsid w:val="00082481"/>
    <w:rsid w:val="00082903"/>
    <w:rsid w:val="00082E9D"/>
    <w:rsid w:val="00083274"/>
    <w:rsid w:val="00083836"/>
    <w:rsid w:val="0008462A"/>
    <w:rsid w:val="00084967"/>
    <w:rsid w:val="00084B4B"/>
    <w:rsid w:val="00085055"/>
    <w:rsid w:val="00085246"/>
    <w:rsid w:val="000852CD"/>
    <w:rsid w:val="00085A4B"/>
    <w:rsid w:val="00085AC0"/>
    <w:rsid w:val="00085C3F"/>
    <w:rsid w:val="00085DD2"/>
    <w:rsid w:val="000865F8"/>
    <w:rsid w:val="00086764"/>
    <w:rsid w:val="000868C5"/>
    <w:rsid w:val="00086B09"/>
    <w:rsid w:val="00086DED"/>
    <w:rsid w:val="00086F6A"/>
    <w:rsid w:val="000871A7"/>
    <w:rsid w:val="000876DB"/>
    <w:rsid w:val="00087A66"/>
    <w:rsid w:val="00087BFD"/>
    <w:rsid w:val="0009021F"/>
    <w:rsid w:val="00090492"/>
    <w:rsid w:val="0009051D"/>
    <w:rsid w:val="0009071E"/>
    <w:rsid w:val="000907F0"/>
    <w:rsid w:val="00090C7E"/>
    <w:rsid w:val="00090CD9"/>
    <w:rsid w:val="0009144E"/>
    <w:rsid w:val="00091530"/>
    <w:rsid w:val="0009193E"/>
    <w:rsid w:val="00091A4F"/>
    <w:rsid w:val="00092485"/>
    <w:rsid w:val="0009265A"/>
    <w:rsid w:val="00092904"/>
    <w:rsid w:val="00092DE7"/>
    <w:rsid w:val="000931BC"/>
    <w:rsid w:val="00093501"/>
    <w:rsid w:val="00093FBA"/>
    <w:rsid w:val="00093FBD"/>
    <w:rsid w:val="0009401C"/>
    <w:rsid w:val="0009408A"/>
    <w:rsid w:val="000940E3"/>
    <w:rsid w:val="00094402"/>
    <w:rsid w:val="0009582E"/>
    <w:rsid w:val="000958BB"/>
    <w:rsid w:val="00095C19"/>
    <w:rsid w:val="0009601C"/>
    <w:rsid w:val="00096299"/>
    <w:rsid w:val="00097B4C"/>
    <w:rsid w:val="00097D16"/>
    <w:rsid w:val="000A037D"/>
    <w:rsid w:val="000A03A7"/>
    <w:rsid w:val="000A0578"/>
    <w:rsid w:val="000A070A"/>
    <w:rsid w:val="000A07D2"/>
    <w:rsid w:val="000A0841"/>
    <w:rsid w:val="000A099E"/>
    <w:rsid w:val="000A10BE"/>
    <w:rsid w:val="000A123C"/>
    <w:rsid w:val="000A1564"/>
    <w:rsid w:val="000A17ED"/>
    <w:rsid w:val="000A1E06"/>
    <w:rsid w:val="000A2557"/>
    <w:rsid w:val="000A3003"/>
    <w:rsid w:val="000A35CC"/>
    <w:rsid w:val="000A35EE"/>
    <w:rsid w:val="000A368F"/>
    <w:rsid w:val="000A3727"/>
    <w:rsid w:val="000A4E00"/>
    <w:rsid w:val="000A514B"/>
    <w:rsid w:val="000A533F"/>
    <w:rsid w:val="000A5398"/>
    <w:rsid w:val="000A57AC"/>
    <w:rsid w:val="000A5FC3"/>
    <w:rsid w:val="000A6797"/>
    <w:rsid w:val="000A6982"/>
    <w:rsid w:val="000A6EFC"/>
    <w:rsid w:val="000A714E"/>
    <w:rsid w:val="000A747B"/>
    <w:rsid w:val="000A792E"/>
    <w:rsid w:val="000A7B01"/>
    <w:rsid w:val="000A7D1A"/>
    <w:rsid w:val="000B011C"/>
    <w:rsid w:val="000B04E1"/>
    <w:rsid w:val="000B066A"/>
    <w:rsid w:val="000B070A"/>
    <w:rsid w:val="000B2211"/>
    <w:rsid w:val="000B2715"/>
    <w:rsid w:val="000B2DFC"/>
    <w:rsid w:val="000B2E57"/>
    <w:rsid w:val="000B495D"/>
    <w:rsid w:val="000B4E8D"/>
    <w:rsid w:val="000B4EC2"/>
    <w:rsid w:val="000B53CA"/>
    <w:rsid w:val="000B53EC"/>
    <w:rsid w:val="000B5453"/>
    <w:rsid w:val="000B5731"/>
    <w:rsid w:val="000B574C"/>
    <w:rsid w:val="000B5EF2"/>
    <w:rsid w:val="000B6D75"/>
    <w:rsid w:val="000B7565"/>
    <w:rsid w:val="000B76CE"/>
    <w:rsid w:val="000B7B34"/>
    <w:rsid w:val="000B7B85"/>
    <w:rsid w:val="000C0198"/>
    <w:rsid w:val="000C1290"/>
    <w:rsid w:val="000C166F"/>
    <w:rsid w:val="000C23FA"/>
    <w:rsid w:val="000C3886"/>
    <w:rsid w:val="000C3B23"/>
    <w:rsid w:val="000C3C88"/>
    <w:rsid w:val="000C461C"/>
    <w:rsid w:val="000C4A9A"/>
    <w:rsid w:val="000C4BA5"/>
    <w:rsid w:val="000C52E7"/>
    <w:rsid w:val="000C538D"/>
    <w:rsid w:val="000C5B9C"/>
    <w:rsid w:val="000C6FB4"/>
    <w:rsid w:val="000D01D0"/>
    <w:rsid w:val="000D0475"/>
    <w:rsid w:val="000D156D"/>
    <w:rsid w:val="000D219D"/>
    <w:rsid w:val="000D226D"/>
    <w:rsid w:val="000D22D1"/>
    <w:rsid w:val="000D3C7C"/>
    <w:rsid w:val="000D3F1A"/>
    <w:rsid w:val="000D47CF"/>
    <w:rsid w:val="000D4C6D"/>
    <w:rsid w:val="000D51D0"/>
    <w:rsid w:val="000D5320"/>
    <w:rsid w:val="000D551E"/>
    <w:rsid w:val="000D5CDF"/>
    <w:rsid w:val="000D60FF"/>
    <w:rsid w:val="000D628C"/>
    <w:rsid w:val="000D62E6"/>
    <w:rsid w:val="000D6436"/>
    <w:rsid w:val="000D69E4"/>
    <w:rsid w:val="000D6AE2"/>
    <w:rsid w:val="000D7238"/>
    <w:rsid w:val="000D7591"/>
    <w:rsid w:val="000D75A3"/>
    <w:rsid w:val="000D778B"/>
    <w:rsid w:val="000D79F9"/>
    <w:rsid w:val="000D7BE8"/>
    <w:rsid w:val="000E037A"/>
    <w:rsid w:val="000E1238"/>
    <w:rsid w:val="000E16A2"/>
    <w:rsid w:val="000E2AFA"/>
    <w:rsid w:val="000E2C9B"/>
    <w:rsid w:val="000E2DBD"/>
    <w:rsid w:val="000E2F78"/>
    <w:rsid w:val="000E3050"/>
    <w:rsid w:val="000E311A"/>
    <w:rsid w:val="000E370A"/>
    <w:rsid w:val="000E4330"/>
    <w:rsid w:val="000E4B81"/>
    <w:rsid w:val="000E54C3"/>
    <w:rsid w:val="000E5A17"/>
    <w:rsid w:val="000E5B38"/>
    <w:rsid w:val="000E6702"/>
    <w:rsid w:val="000E6BBC"/>
    <w:rsid w:val="000E795A"/>
    <w:rsid w:val="000F05CE"/>
    <w:rsid w:val="000F0AC0"/>
    <w:rsid w:val="000F0B6F"/>
    <w:rsid w:val="000F0BCB"/>
    <w:rsid w:val="000F19F4"/>
    <w:rsid w:val="000F1B27"/>
    <w:rsid w:val="000F210C"/>
    <w:rsid w:val="000F2633"/>
    <w:rsid w:val="000F2721"/>
    <w:rsid w:val="000F2737"/>
    <w:rsid w:val="000F39CB"/>
    <w:rsid w:val="000F3A8A"/>
    <w:rsid w:val="000F3D64"/>
    <w:rsid w:val="000F3ED9"/>
    <w:rsid w:val="000F4233"/>
    <w:rsid w:val="000F4623"/>
    <w:rsid w:val="000F5097"/>
    <w:rsid w:val="000F54E6"/>
    <w:rsid w:val="000F596A"/>
    <w:rsid w:val="000F5CB7"/>
    <w:rsid w:val="000F607B"/>
    <w:rsid w:val="000F62AF"/>
    <w:rsid w:val="000F6654"/>
    <w:rsid w:val="000F6E29"/>
    <w:rsid w:val="000F717B"/>
    <w:rsid w:val="000F72D2"/>
    <w:rsid w:val="000F78F7"/>
    <w:rsid w:val="000F7E36"/>
    <w:rsid w:val="001002E8"/>
    <w:rsid w:val="00100731"/>
    <w:rsid w:val="00101031"/>
    <w:rsid w:val="001015E6"/>
    <w:rsid w:val="00101C0E"/>
    <w:rsid w:val="00101D65"/>
    <w:rsid w:val="00102135"/>
    <w:rsid w:val="00103B6F"/>
    <w:rsid w:val="001046BD"/>
    <w:rsid w:val="0010475E"/>
    <w:rsid w:val="001047A1"/>
    <w:rsid w:val="001050FE"/>
    <w:rsid w:val="001058D0"/>
    <w:rsid w:val="00105A81"/>
    <w:rsid w:val="00105EAF"/>
    <w:rsid w:val="0010692A"/>
    <w:rsid w:val="0010715A"/>
    <w:rsid w:val="001071A9"/>
    <w:rsid w:val="00107338"/>
    <w:rsid w:val="00107E79"/>
    <w:rsid w:val="001100EC"/>
    <w:rsid w:val="00110124"/>
    <w:rsid w:val="0011054F"/>
    <w:rsid w:val="00110B75"/>
    <w:rsid w:val="001110D7"/>
    <w:rsid w:val="0011116C"/>
    <w:rsid w:val="001113D0"/>
    <w:rsid w:val="00111838"/>
    <w:rsid w:val="00113782"/>
    <w:rsid w:val="00113E36"/>
    <w:rsid w:val="00114641"/>
    <w:rsid w:val="00114A0C"/>
    <w:rsid w:val="00114CFF"/>
    <w:rsid w:val="001163B6"/>
    <w:rsid w:val="00116550"/>
    <w:rsid w:val="001165CF"/>
    <w:rsid w:val="00116C2B"/>
    <w:rsid w:val="00116FE0"/>
    <w:rsid w:val="001171CF"/>
    <w:rsid w:val="001172C5"/>
    <w:rsid w:val="001173D3"/>
    <w:rsid w:val="0011797B"/>
    <w:rsid w:val="00120251"/>
    <w:rsid w:val="00120514"/>
    <w:rsid w:val="00120646"/>
    <w:rsid w:val="00120BDD"/>
    <w:rsid w:val="001212AB"/>
    <w:rsid w:val="0012196A"/>
    <w:rsid w:val="00121C27"/>
    <w:rsid w:val="00122425"/>
    <w:rsid w:val="00122EA9"/>
    <w:rsid w:val="00122EDA"/>
    <w:rsid w:val="00123C73"/>
    <w:rsid w:val="0012414B"/>
    <w:rsid w:val="00124557"/>
    <w:rsid w:val="00124912"/>
    <w:rsid w:val="00124CCE"/>
    <w:rsid w:val="00125067"/>
    <w:rsid w:val="00125364"/>
    <w:rsid w:val="00125B19"/>
    <w:rsid w:val="00125EAF"/>
    <w:rsid w:val="001266B0"/>
    <w:rsid w:val="0012685D"/>
    <w:rsid w:val="00126959"/>
    <w:rsid w:val="00126A25"/>
    <w:rsid w:val="001270D9"/>
    <w:rsid w:val="001270DD"/>
    <w:rsid w:val="0012717B"/>
    <w:rsid w:val="0012792B"/>
    <w:rsid w:val="00130581"/>
    <w:rsid w:val="00130698"/>
    <w:rsid w:val="00130F08"/>
    <w:rsid w:val="00130F14"/>
    <w:rsid w:val="001313B5"/>
    <w:rsid w:val="001317FA"/>
    <w:rsid w:val="00132118"/>
    <w:rsid w:val="0013258D"/>
    <w:rsid w:val="00132693"/>
    <w:rsid w:val="00132D30"/>
    <w:rsid w:val="00132D38"/>
    <w:rsid w:val="00132DFA"/>
    <w:rsid w:val="0013322B"/>
    <w:rsid w:val="00133558"/>
    <w:rsid w:val="001335ED"/>
    <w:rsid w:val="001337BC"/>
    <w:rsid w:val="00133F53"/>
    <w:rsid w:val="00134F82"/>
    <w:rsid w:val="0013598F"/>
    <w:rsid w:val="00135D1A"/>
    <w:rsid w:val="0013689D"/>
    <w:rsid w:val="001369BF"/>
    <w:rsid w:val="00136EFD"/>
    <w:rsid w:val="001371FE"/>
    <w:rsid w:val="00137D7A"/>
    <w:rsid w:val="001400F6"/>
    <w:rsid w:val="00140343"/>
    <w:rsid w:val="001405B7"/>
    <w:rsid w:val="00140767"/>
    <w:rsid w:val="001410F3"/>
    <w:rsid w:val="0014115F"/>
    <w:rsid w:val="00141DA1"/>
    <w:rsid w:val="00141E7D"/>
    <w:rsid w:val="00142050"/>
    <w:rsid w:val="00142535"/>
    <w:rsid w:val="00142956"/>
    <w:rsid w:val="00142E01"/>
    <w:rsid w:val="00142E71"/>
    <w:rsid w:val="00143240"/>
    <w:rsid w:val="00143AF1"/>
    <w:rsid w:val="00144D96"/>
    <w:rsid w:val="001450D2"/>
    <w:rsid w:val="00145547"/>
    <w:rsid w:val="0014559A"/>
    <w:rsid w:val="00145E39"/>
    <w:rsid w:val="001461FB"/>
    <w:rsid w:val="00146495"/>
    <w:rsid w:val="00146BA1"/>
    <w:rsid w:val="00146C51"/>
    <w:rsid w:val="0014744E"/>
    <w:rsid w:val="00147789"/>
    <w:rsid w:val="00147957"/>
    <w:rsid w:val="00147FE1"/>
    <w:rsid w:val="001502BF"/>
    <w:rsid w:val="001504BC"/>
    <w:rsid w:val="001504FD"/>
    <w:rsid w:val="00150604"/>
    <w:rsid w:val="00150AC7"/>
    <w:rsid w:val="00150C1C"/>
    <w:rsid w:val="00150CD6"/>
    <w:rsid w:val="00151078"/>
    <w:rsid w:val="001511D9"/>
    <w:rsid w:val="00151C33"/>
    <w:rsid w:val="001532B3"/>
    <w:rsid w:val="00153657"/>
    <w:rsid w:val="00154B97"/>
    <w:rsid w:val="00154DCF"/>
    <w:rsid w:val="00155001"/>
    <w:rsid w:val="001551CC"/>
    <w:rsid w:val="00155413"/>
    <w:rsid w:val="00155F24"/>
    <w:rsid w:val="00156354"/>
    <w:rsid w:val="001569CA"/>
    <w:rsid w:val="00157248"/>
    <w:rsid w:val="00157287"/>
    <w:rsid w:val="001572EF"/>
    <w:rsid w:val="00157BDC"/>
    <w:rsid w:val="00157FE6"/>
    <w:rsid w:val="00160347"/>
    <w:rsid w:val="00160400"/>
    <w:rsid w:val="00160810"/>
    <w:rsid w:val="00160AF0"/>
    <w:rsid w:val="00160CB9"/>
    <w:rsid w:val="00161046"/>
    <w:rsid w:val="00161576"/>
    <w:rsid w:val="00161F52"/>
    <w:rsid w:val="00162754"/>
    <w:rsid w:val="00162ECF"/>
    <w:rsid w:val="001632B9"/>
    <w:rsid w:val="0016515B"/>
    <w:rsid w:val="00165770"/>
    <w:rsid w:val="001658E3"/>
    <w:rsid w:val="00166012"/>
    <w:rsid w:val="00167109"/>
    <w:rsid w:val="00170089"/>
    <w:rsid w:val="00170C86"/>
    <w:rsid w:val="00171E62"/>
    <w:rsid w:val="00171F8E"/>
    <w:rsid w:val="001724B1"/>
    <w:rsid w:val="00172690"/>
    <w:rsid w:val="001726BC"/>
    <w:rsid w:val="00172B8E"/>
    <w:rsid w:val="00172E1C"/>
    <w:rsid w:val="00173288"/>
    <w:rsid w:val="00173626"/>
    <w:rsid w:val="00173D81"/>
    <w:rsid w:val="00173F8D"/>
    <w:rsid w:val="0017473C"/>
    <w:rsid w:val="00174DC1"/>
    <w:rsid w:val="0017522E"/>
    <w:rsid w:val="001754FF"/>
    <w:rsid w:val="0017572A"/>
    <w:rsid w:val="00175A83"/>
    <w:rsid w:val="00175B88"/>
    <w:rsid w:val="00175D1A"/>
    <w:rsid w:val="00175DC8"/>
    <w:rsid w:val="00176181"/>
    <w:rsid w:val="00176E8A"/>
    <w:rsid w:val="0018050B"/>
    <w:rsid w:val="00180741"/>
    <w:rsid w:val="001815B0"/>
    <w:rsid w:val="00182D1B"/>
    <w:rsid w:val="00183B28"/>
    <w:rsid w:val="00183B94"/>
    <w:rsid w:val="00184471"/>
    <w:rsid w:val="0018479B"/>
    <w:rsid w:val="00184F55"/>
    <w:rsid w:val="001856C0"/>
    <w:rsid w:val="00185805"/>
    <w:rsid w:val="001858B5"/>
    <w:rsid w:val="00186024"/>
    <w:rsid w:val="001865A3"/>
    <w:rsid w:val="001869DB"/>
    <w:rsid w:val="00186FA1"/>
    <w:rsid w:val="001872E7"/>
    <w:rsid w:val="00187636"/>
    <w:rsid w:val="0018775A"/>
    <w:rsid w:val="00187EF8"/>
    <w:rsid w:val="0019024C"/>
    <w:rsid w:val="00190328"/>
    <w:rsid w:val="001903FD"/>
    <w:rsid w:val="00190B13"/>
    <w:rsid w:val="00190C72"/>
    <w:rsid w:val="00190E09"/>
    <w:rsid w:val="00190E69"/>
    <w:rsid w:val="00191A28"/>
    <w:rsid w:val="00191A7E"/>
    <w:rsid w:val="00191B9D"/>
    <w:rsid w:val="001924F8"/>
    <w:rsid w:val="00192603"/>
    <w:rsid w:val="00192A1D"/>
    <w:rsid w:val="00192B07"/>
    <w:rsid w:val="00192D7F"/>
    <w:rsid w:val="001930E8"/>
    <w:rsid w:val="00193AAF"/>
    <w:rsid w:val="00193ACC"/>
    <w:rsid w:val="00194080"/>
    <w:rsid w:val="00194B14"/>
    <w:rsid w:val="001958AE"/>
    <w:rsid w:val="00195B55"/>
    <w:rsid w:val="00195B73"/>
    <w:rsid w:val="00195EF7"/>
    <w:rsid w:val="00196C0B"/>
    <w:rsid w:val="00196CBE"/>
    <w:rsid w:val="00196E4E"/>
    <w:rsid w:val="00197706"/>
    <w:rsid w:val="001A05AE"/>
    <w:rsid w:val="001A07E8"/>
    <w:rsid w:val="001A1352"/>
    <w:rsid w:val="001A1453"/>
    <w:rsid w:val="001A1A58"/>
    <w:rsid w:val="001A1CF2"/>
    <w:rsid w:val="001A215C"/>
    <w:rsid w:val="001A2160"/>
    <w:rsid w:val="001A2932"/>
    <w:rsid w:val="001A33D5"/>
    <w:rsid w:val="001A4040"/>
    <w:rsid w:val="001A4141"/>
    <w:rsid w:val="001A41D5"/>
    <w:rsid w:val="001A42C2"/>
    <w:rsid w:val="001A4BCD"/>
    <w:rsid w:val="001A4E02"/>
    <w:rsid w:val="001A4EEB"/>
    <w:rsid w:val="001A60E6"/>
    <w:rsid w:val="001A621A"/>
    <w:rsid w:val="001A62B3"/>
    <w:rsid w:val="001A66BF"/>
    <w:rsid w:val="001A6A92"/>
    <w:rsid w:val="001A6C18"/>
    <w:rsid w:val="001A7327"/>
    <w:rsid w:val="001A7416"/>
    <w:rsid w:val="001A78C3"/>
    <w:rsid w:val="001A7BF9"/>
    <w:rsid w:val="001A7D69"/>
    <w:rsid w:val="001B0130"/>
    <w:rsid w:val="001B01D5"/>
    <w:rsid w:val="001B02F3"/>
    <w:rsid w:val="001B08F3"/>
    <w:rsid w:val="001B1D74"/>
    <w:rsid w:val="001B1F19"/>
    <w:rsid w:val="001B1FA0"/>
    <w:rsid w:val="001B543C"/>
    <w:rsid w:val="001B563E"/>
    <w:rsid w:val="001B5F88"/>
    <w:rsid w:val="001B5FD7"/>
    <w:rsid w:val="001B606A"/>
    <w:rsid w:val="001B6539"/>
    <w:rsid w:val="001B662B"/>
    <w:rsid w:val="001B706A"/>
    <w:rsid w:val="001B7276"/>
    <w:rsid w:val="001B7341"/>
    <w:rsid w:val="001B7F07"/>
    <w:rsid w:val="001C0120"/>
    <w:rsid w:val="001C0388"/>
    <w:rsid w:val="001C0821"/>
    <w:rsid w:val="001C0EBE"/>
    <w:rsid w:val="001C2942"/>
    <w:rsid w:val="001C2C11"/>
    <w:rsid w:val="001C3179"/>
    <w:rsid w:val="001C3E92"/>
    <w:rsid w:val="001C4441"/>
    <w:rsid w:val="001C48B8"/>
    <w:rsid w:val="001C52AA"/>
    <w:rsid w:val="001C5315"/>
    <w:rsid w:val="001C5EF1"/>
    <w:rsid w:val="001C6744"/>
    <w:rsid w:val="001C68B4"/>
    <w:rsid w:val="001C6986"/>
    <w:rsid w:val="001C73F8"/>
    <w:rsid w:val="001C7F37"/>
    <w:rsid w:val="001D05C0"/>
    <w:rsid w:val="001D1D7E"/>
    <w:rsid w:val="001D248E"/>
    <w:rsid w:val="001D29C1"/>
    <w:rsid w:val="001D428D"/>
    <w:rsid w:val="001D4933"/>
    <w:rsid w:val="001D4A37"/>
    <w:rsid w:val="001D4FCF"/>
    <w:rsid w:val="001D5460"/>
    <w:rsid w:val="001D5B3A"/>
    <w:rsid w:val="001D5C43"/>
    <w:rsid w:val="001D5E22"/>
    <w:rsid w:val="001D612C"/>
    <w:rsid w:val="001D6B8B"/>
    <w:rsid w:val="001D72BE"/>
    <w:rsid w:val="001D7320"/>
    <w:rsid w:val="001D7724"/>
    <w:rsid w:val="001D7CDB"/>
    <w:rsid w:val="001D7E6B"/>
    <w:rsid w:val="001D7F47"/>
    <w:rsid w:val="001E0BBC"/>
    <w:rsid w:val="001E1894"/>
    <w:rsid w:val="001E1D4B"/>
    <w:rsid w:val="001E305B"/>
    <w:rsid w:val="001E3468"/>
    <w:rsid w:val="001E4F4F"/>
    <w:rsid w:val="001E55ED"/>
    <w:rsid w:val="001E5EEB"/>
    <w:rsid w:val="001E6A94"/>
    <w:rsid w:val="001E6AA0"/>
    <w:rsid w:val="001E6DD1"/>
    <w:rsid w:val="001E6F21"/>
    <w:rsid w:val="001E71F1"/>
    <w:rsid w:val="001E7667"/>
    <w:rsid w:val="001F101F"/>
    <w:rsid w:val="001F1B69"/>
    <w:rsid w:val="001F1BA1"/>
    <w:rsid w:val="001F2323"/>
    <w:rsid w:val="001F2A5E"/>
    <w:rsid w:val="001F343C"/>
    <w:rsid w:val="001F3873"/>
    <w:rsid w:val="001F4502"/>
    <w:rsid w:val="001F459F"/>
    <w:rsid w:val="001F4974"/>
    <w:rsid w:val="001F593A"/>
    <w:rsid w:val="001F6F5F"/>
    <w:rsid w:val="001F784B"/>
    <w:rsid w:val="001F7FBD"/>
    <w:rsid w:val="00200048"/>
    <w:rsid w:val="00200315"/>
    <w:rsid w:val="00200CB4"/>
    <w:rsid w:val="0020184A"/>
    <w:rsid w:val="00201A83"/>
    <w:rsid w:val="002026D4"/>
    <w:rsid w:val="00202DC7"/>
    <w:rsid w:val="002035B1"/>
    <w:rsid w:val="002036C2"/>
    <w:rsid w:val="00203999"/>
    <w:rsid w:val="00204ACE"/>
    <w:rsid w:val="00204CAE"/>
    <w:rsid w:val="00204E2A"/>
    <w:rsid w:val="00205752"/>
    <w:rsid w:val="00205873"/>
    <w:rsid w:val="00205A37"/>
    <w:rsid w:val="00205C39"/>
    <w:rsid w:val="00206142"/>
    <w:rsid w:val="00206461"/>
    <w:rsid w:val="00207164"/>
    <w:rsid w:val="00207449"/>
    <w:rsid w:val="00207951"/>
    <w:rsid w:val="00207A48"/>
    <w:rsid w:val="00210333"/>
    <w:rsid w:val="00210C00"/>
    <w:rsid w:val="00210EC9"/>
    <w:rsid w:val="00211040"/>
    <w:rsid w:val="0021126F"/>
    <w:rsid w:val="002114D2"/>
    <w:rsid w:val="002117E0"/>
    <w:rsid w:val="00211BF4"/>
    <w:rsid w:val="0021245A"/>
    <w:rsid w:val="002124E5"/>
    <w:rsid w:val="002129FE"/>
    <w:rsid w:val="00212C86"/>
    <w:rsid w:val="00213BF2"/>
    <w:rsid w:val="00213F68"/>
    <w:rsid w:val="00214128"/>
    <w:rsid w:val="00214270"/>
    <w:rsid w:val="00214B00"/>
    <w:rsid w:val="00214CB7"/>
    <w:rsid w:val="00215889"/>
    <w:rsid w:val="00216230"/>
    <w:rsid w:val="002169EF"/>
    <w:rsid w:val="00216C3B"/>
    <w:rsid w:val="00217637"/>
    <w:rsid w:val="0021791D"/>
    <w:rsid w:val="0022001F"/>
    <w:rsid w:val="00220388"/>
    <w:rsid w:val="00220440"/>
    <w:rsid w:val="00220505"/>
    <w:rsid w:val="00221103"/>
    <w:rsid w:val="00221499"/>
    <w:rsid w:val="00221750"/>
    <w:rsid w:val="00221760"/>
    <w:rsid w:val="00221A0D"/>
    <w:rsid w:val="00221B00"/>
    <w:rsid w:val="00222DA3"/>
    <w:rsid w:val="0022354B"/>
    <w:rsid w:val="002235F2"/>
    <w:rsid w:val="00223956"/>
    <w:rsid w:val="00223EC8"/>
    <w:rsid w:val="0022410E"/>
    <w:rsid w:val="00224578"/>
    <w:rsid w:val="002246FE"/>
    <w:rsid w:val="00224C72"/>
    <w:rsid w:val="00226879"/>
    <w:rsid w:val="00227269"/>
    <w:rsid w:val="00227796"/>
    <w:rsid w:val="00227E18"/>
    <w:rsid w:val="00227E71"/>
    <w:rsid w:val="002301CF"/>
    <w:rsid w:val="0023041B"/>
    <w:rsid w:val="00230443"/>
    <w:rsid w:val="002305CC"/>
    <w:rsid w:val="00231C49"/>
    <w:rsid w:val="00232F10"/>
    <w:rsid w:val="0023326C"/>
    <w:rsid w:val="002335E9"/>
    <w:rsid w:val="00233FD0"/>
    <w:rsid w:val="002348E3"/>
    <w:rsid w:val="00234D7A"/>
    <w:rsid w:val="00234DA0"/>
    <w:rsid w:val="00234FFA"/>
    <w:rsid w:val="002352A4"/>
    <w:rsid w:val="0023534C"/>
    <w:rsid w:val="0023545C"/>
    <w:rsid w:val="00235CEF"/>
    <w:rsid w:val="002361D9"/>
    <w:rsid w:val="00236209"/>
    <w:rsid w:val="002365B8"/>
    <w:rsid w:val="00236799"/>
    <w:rsid w:val="0023755A"/>
    <w:rsid w:val="002376E2"/>
    <w:rsid w:val="00237AC0"/>
    <w:rsid w:val="00237CF4"/>
    <w:rsid w:val="00240520"/>
    <w:rsid w:val="00241054"/>
    <w:rsid w:val="00241813"/>
    <w:rsid w:val="00241AAA"/>
    <w:rsid w:val="00241D17"/>
    <w:rsid w:val="00241F12"/>
    <w:rsid w:val="00242235"/>
    <w:rsid w:val="00242B55"/>
    <w:rsid w:val="002431F6"/>
    <w:rsid w:val="002445B9"/>
    <w:rsid w:val="0024462E"/>
    <w:rsid w:val="0024484E"/>
    <w:rsid w:val="00245663"/>
    <w:rsid w:val="00245853"/>
    <w:rsid w:val="00246196"/>
    <w:rsid w:val="00246FBB"/>
    <w:rsid w:val="00247F6A"/>
    <w:rsid w:val="002502FC"/>
    <w:rsid w:val="00250907"/>
    <w:rsid w:val="0025097C"/>
    <w:rsid w:val="00250D6F"/>
    <w:rsid w:val="00250D78"/>
    <w:rsid w:val="00251025"/>
    <w:rsid w:val="00251447"/>
    <w:rsid w:val="00251472"/>
    <w:rsid w:val="00251EC8"/>
    <w:rsid w:val="002528B5"/>
    <w:rsid w:val="00252A4D"/>
    <w:rsid w:val="00253D05"/>
    <w:rsid w:val="002542D0"/>
    <w:rsid w:val="002542E5"/>
    <w:rsid w:val="002543DE"/>
    <w:rsid w:val="00254708"/>
    <w:rsid w:val="00254DE4"/>
    <w:rsid w:val="00256173"/>
    <w:rsid w:val="00256AE7"/>
    <w:rsid w:val="00256FA0"/>
    <w:rsid w:val="00257E17"/>
    <w:rsid w:val="002606E5"/>
    <w:rsid w:val="002606F7"/>
    <w:rsid w:val="00260FA0"/>
    <w:rsid w:val="0026182F"/>
    <w:rsid w:val="0026190D"/>
    <w:rsid w:val="00261CAF"/>
    <w:rsid w:val="002628BE"/>
    <w:rsid w:val="002628DF"/>
    <w:rsid w:val="00262D62"/>
    <w:rsid w:val="0026354C"/>
    <w:rsid w:val="00263571"/>
    <w:rsid w:val="002635AB"/>
    <w:rsid w:val="00263D43"/>
    <w:rsid w:val="00263EBD"/>
    <w:rsid w:val="002644EE"/>
    <w:rsid w:val="00264BE2"/>
    <w:rsid w:val="00264ECD"/>
    <w:rsid w:val="002657AB"/>
    <w:rsid w:val="00265D03"/>
    <w:rsid w:val="00266C4D"/>
    <w:rsid w:val="0026715B"/>
    <w:rsid w:val="002673E2"/>
    <w:rsid w:val="00267D4B"/>
    <w:rsid w:val="00267EB8"/>
    <w:rsid w:val="00270C59"/>
    <w:rsid w:val="0027136C"/>
    <w:rsid w:val="00271713"/>
    <w:rsid w:val="00272095"/>
    <w:rsid w:val="002733D9"/>
    <w:rsid w:val="00273CDC"/>
    <w:rsid w:val="00274406"/>
    <w:rsid w:val="00274503"/>
    <w:rsid w:val="002745A6"/>
    <w:rsid w:val="00274630"/>
    <w:rsid w:val="0027502F"/>
    <w:rsid w:val="002751CF"/>
    <w:rsid w:val="00276264"/>
    <w:rsid w:val="00276DFD"/>
    <w:rsid w:val="002770E5"/>
    <w:rsid w:val="00277CFC"/>
    <w:rsid w:val="00277DBA"/>
    <w:rsid w:val="00280498"/>
    <w:rsid w:val="002810FA"/>
    <w:rsid w:val="0028128C"/>
    <w:rsid w:val="00281550"/>
    <w:rsid w:val="00282C40"/>
    <w:rsid w:val="00282ED1"/>
    <w:rsid w:val="00283122"/>
    <w:rsid w:val="00283340"/>
    <w:rsid w:val="002836CE"/>
    <w:rsid w:val="00283A5D"/>
    <w:rsid w:val="00283F62"/>
    <w:rsid w:val="00284150"/>
    <w:rsid w:val="0028507D"/>
    <w:rsid w:val="0028519D"/>
    <w:rsid w:val="002851D4"/>
    <w:rsid w:val="002855D2"/>
    <w:rsid w:val="002855F3"/>
    <w:rsid w:val="00285924"/>
    <w:rsid w:val="0028617B"/>
    <w:rsid w:val="0028679C"/>
    <w:rsid w:val="00286BB9"/>
    <w:rsid w:val="00286C74"/>
    <w:rsid w:val="00286F2B"/>
    <w:rsid w:val="002873C3"/>
    <w:rsid w:val="00287711"/>
    <w:rsid w:val="00287987"/>
    <w:rsid w:val="00287996"/>
    <w:rsid w:val="00287DB8"/>
    <w:rsid w:val="00290377"/>
    <w:rsid w:val="002905B7"/>
    <w:rsid w:val="002907FD"/>
    <w:rsid w:val="00291082"/>
    <w:rsid w:val="002923D5"/>
    <w:rsid w:val="00292556"/>
    <w:rsid w:val="002929B1"/>
    <w:rsid w:val="00292D23"/>
    <w:rsid w:val="00292DBD"/>
    <w:rsid w:val="002933A7"/>
    <w:rsid w:val="0029395A"/>
    <w:rsid w:val="002939C7"/>
    <w:rsid w:val="00293B62"/>
    <w:rsid w:val="00293BF5"/>
    <w:rsid w:val="0029487C"/>
    <w:rsid w:val="00294F83"/>
    <w:rsid w:val="0029579E"/>
    <w:rsid w:val="002960C6"/>
    <w:rsid w:val="00296487"/>
    <w:rsid w:val="00296633"/>
    <w:rsid w:val="00297005"/>
    <w:rsid w:val="002972FB"/>
    <w:rsid w:val="002A0468"/>
    <w:rsid w:val="002A0882"/>
    <w:rsid w:val="002A0E04"/>
    <w:rsid w:val="002A1200"/>
    <w:rsid w:val="002A129C"/>
    <w:rsid w:val="002A1322"/>
    <w:rsid w:val="002A18E7"/>
    <w:rsid w:val="002A1C96"/>
    <w:rsid w:val="002A20B6"/>
    <w:rsid w:val="002A21C4"/>
    <w:rsid w:val="002A245E"/>
    <w:rsid w:val="002A259E"/>
    <w:rsid w:val="002A2649"/>
    <w:rsid w:val="002A27A5"/>
    <w:rsid w:val="002A2CCB"/>
    <w:rsid w:val="002A2D01"/>
    <w:rsid w:val="002A318D"/>
    <w:rsid w:val="002A3634"/>
    <w:rsid w:val="002A36C7"/>
    <w:rsid w:val="002A3A18"/>
    <w:rsid w:val="002A3A33"/>
    <w:rsid w:val="002A3AC1"/>
    <w:rsid w:val="002A3E9D"/>
    <w:rsid w:val="002A461F"/>
    <w:rsid w:val="002A4FDA"/>
    <w:rsid w:val="002A542F"/>
    <w:rsid w:val="002A5496"/>
    <w:rsid w:val="002A5D91"/>
    <w:rsid w:val="002A5F1E"/>
    <w:rsid w:val="002A694F"/>
    <w:rsid w:val="002A696C"/>
    <w:rsid w:val="002A6A27"/>
    <w:rsid w:val="002A6BDB"/>
    <w:rsid w:val="002A72C6"/>
    <w:rsid w:val="002A78AD"/>
    <w:rsid w:val="002B0B23"/>
    <w:rsid w:val="002B11EF"/>
    <w:rsid w:val="002B1620"/>
    <w:rsid w:val="002B2566"/>
    <w:rsid w:val="002B2CC2"/>
    <w:rsid w:val="002B37FF"/>
    <w:rsid w:val="002B3917"/>
    <w:rsid w:val="002B3D0E"/>
    <w:rsid w:val="002B3F23"/>
    <w:rsid w:val="002B3FD1"/>
    <w:rsid w:val="002B43E9"/>
    <w:rsid w:val="002B49E3"/>
    <w:rsid w:val="002B4AC0"/>
    <w:rsid w:val="002B4F40"/>
    <w:rsid w:val="002B55E3"/>
    <w:rsid w:val="002B57A0"/>
    <w:rsid w:val="002B57EB"/>
    <w:rsid w:val="002B648A"/>
    <w:rsid w:val="002B6644"/>
    <w:rsid w:val="002B68C5"/>
    <w:rsid w:val="002B6AC6"/>
    <w:rsid w:val="002B6BBD"/>
    <w:rsid w:val="002B6D9D"/>
    <w:rsid w:val="002B7058"/>
    <w:rsid w:val="002B7159"/>
    <w:rsid w:val="002B7308"/>
    <w:rsid w:val="002B7BAC"/>
    <w:rsid w:val="002B7E93"/>
    <w:rsid w:val="002C1081"/>
    <w:rsid w:val="002C1640"/>
    <w:rsid w:val="002C1745"/>
    <w:rsid w:val="002C1FDB"/>
    <w:rsid w:val="002C20DD"/>
    <w:rsid w:val="002C23D2"/>
    <w:rsid w:val="002C2662"/>
    <w:rsid w:val="002C2D08"/>
    <w:rsid w:val="002C309A"/>
    <w:rsid w:val="002C3C8B"/>
    <w:rsid w:val="002C5AF6"/>
    <w:rsid w:val="002C6B8F"/>
    <w:rsid w:val="002C6EF7"/>
    <w:rsid w:val="002C7DCF"/>
    <w:rsid w:val="002C7FF0"/>
    <w:rsid w:val="002D056B"/>
    <w:rsid w:val="002D09C6"/>
    <w:rsid w:val="002D0E4F"/>
    <w:rsid w:val="002D1078"/>
    <w:rsid w:val="002D11E8"/>
    <w:rsid w:val="002D191B"/>
    <w:rsid w:val="002D1A54"/>
    <w:rsid w:val="002D23E8"/>
    <w:rsid w:val="002D270E"/>
    <w:rsid w:val="002D2D7E"/>
    <w:rsid w:val="002D305D"/>
    <w:rsid w:val="002D4B62"/>
    <w:rsid w:val="002D4BAB"/>
    <w:rsid w:val="002D5605"/>
    <w:rsid w:val="002D5DAB"/>
    <w:rsid w:val="002D602A"/>
    <w:rsid w:val="002D6C16"/>
    <w:rsid w:val="002D6D8A"/>
    <w:rsid w:val="002E104E"/>
    <w:rsid w:val="002E18FD"/>
    <w:rsid w:val="002E1A4F"/>
    <w:rsid w:val="002E280D"/>
    <w:rsid w:val="002E2BF7"/>
    <w:rsid w:val="002E3171"/>
    <w:rsid w:val="002E322D"/>
    <w:rsid w:val="002E4787"/>
    <w:rsid w:val="002E493E"/>
    <w:rsid w:val="002E4ECE"/>
    <w:rsid w:val="002E4F26"/>
    <w:rsid w:val="002E5217"/>
    <w:rsid w:val="002E58BA"/>
    <w:rsid w:val="002E5989"/>
    <w:rsid w:val="002E5C77"/>
    <w:rsid w:val="002E5DB4"/>
    <w:rsid w:val="002E5EB6"/>
    <w:rsid w:val="002E6DFB"/>
    <w:rsid w:val="002E6F35"/>
    <w:rsid w:val="002E72A4"/>
    <w:rsid w:val="002E7CB9"/>
    <w:rsid w:val="002E7D86"/>
    <w:rsid w:val="002E7F9A"/>
    <w:rsid w:val="002F0028"/>
    <w:rsid w:val="002F0061"/>
    <w:rsid w:val="002F0928"/>
    <w:rsid w:val="002F0A03"/>
    <w:rsid w:val="002F0FE0"/>
    <w:rsid w:val="002F2332"/>
    <w:rsid w:val="002F2901"/>
    <w:rsid w:val="002F2980"/>
    <w:rsid w:val="002F42AC"/>
    <w:rsid w:val="002F4955"/>
    <w:rsid w:val="002F54E8"/>
    <w:rsid w:val="002F5C5E"/>
    <w:rsid w:val="002F5C8B"/>
    <w:rsid w:val="002F64BC"/>
    <w:rsid w:val="002F6A0E"/>
    <w:rsid w:val="002F7A80"/>
    <w:rsid w:val="00300442"/>
    <w:rsid w:val="00300B93"/>
    <w:rsid w:val="00300CF1"/>
    <w:rsid w:val="00301119"/>
    <w:rsid w:val="003012EB"/>
    <w:rsid w:val="00302B1E"/>
    <w:rsid w:val="00302CB0"/>
    <w:rsid w:val="00302CF1"/>
    <w:rsid w:val="00302E4F"/>
    <w:rsid w:val="003031CC"/>
    <w:rsid w:val="00304448"/>
    <w:rsid w:val="003044C0"/>
    <w:rsid w:val="0030455B"/>
    <w:rsid w:val="003045F1"/>
    <w:rsid w:val="00304A96"/>
    <w:rsid w:val="00306163"/>
    <w:rsid w:val="003061B7"/>
    <w:rsid w:val="003064E1"/>
    <w:rsid w:val="00307283"/>
    <w:rsid w:val="00307A88"/>
    <w:rsid w:val="00307C00"/>
    <w:rsid w:val="00307DA0"/>
    <w:rsid w:val="00310170"/>
    <w:rsid w:val="003102EB"/>
    <w:rsid w:val="003106B6"/>
    <w:rsid w:val="00312018"/>
    <w:rsid w:val="003125FE"/>
    <w:rsid w:val="00313129"/>
    <w:rsid w:val="0031334A"/>
    <w:rsid w:val="003137BE"/>
    <w:rsid w:val="00313958"/>
    <w:rsid w:val="00313DBE"/>
    <w:rsid w:val="00314489"/>
    <w:rsid w:val="00314BC3"/>
    <w:rsid w:val="00315C81"/>
    <w:rsid w:val="0031677F"/>
    <w:rsid w:val="0031687E"/>
    <w:rsid w:val="00316E2D"/>
    <w:rsid w:val="003174EC"/>
    <w:rsid w:val="00317BCA"/>
    <w:rsid w:val="00317CD2"/>
    <w:rsid w:val="00320663"/>
    <w:rsid w:val="00321CEF"/>
    <w:rsid w:val="00321E27"/>
    <w:rsid w:val="00321E37"/>
    <w:rsid w:val="003226A3"/>
    <w:rsid w:val="003228AA"/>
    <w:rsid w:val="00324385"/>
    <w:rsid w:val="0032459B"/>
    <w:rsid w:val="00324708"/>
    <w:rsid w:val="00324D51"/>
    <w:rsid w:val="00325060"/>
    <w:rsid w:val="00325333"/>
    <w:rsid w:val="00325AC2"/>
    <w:rsid w:val="00325F6C"/>
    <w:rsid w:val="00326507"/>
    <w:rsid w:val="00326D20"/>
    <w:rsid w:val="00326EBE"/>
    <w:rsid w:val="00327983"/>
    <w:rsid w:val="00327A1E"/>
    <w:rsid w:val="00330464"/>
    <w:rsid w:val="00330467"/>
    <w:rsid w:val="0033051D"/>
    <w:rsid w:val="0033057D"/>
    <w:rsid w:val="003307BF"/>
    <w:rsid w:val="0033165E"/>
    <w:rsid w:val="00331E55"/>
    <w:rsid w:val="0033233B"/>
    <w:rsid w:val="00332509"/>
    <w:rsid w:val="00332802"/>
    <w:rsid w:val="00332A5D"/>
    <w:rsid w:val="003332A4"/>
    <w:rsid w:val="00333B2D"/>
    <w:rsid w:val="00334277"/>
    <w:rsid w:val="00335D60"/>
    <w:rsid w:val="003360A8"/>
    <w:rsid w:val="003362CE"/>
    <w:rsid w:val="003372BA"/>
    <w:rsid w:val="00337338"/>
    <w:rsid w:val="003375FD"/>
    <w:rsid w:val="0034084D"/>
    <w:rsid w:val="00340A33"/>
    <w:rsid w:val="00340A4F"/>
    <w:rsid w:val="00340E7E"/>
    <w:rsid w:val="003424CA"/>
    <w:rsid w:val="00342A20"/>
    <w:rsid w:val="00342E73"/>
    <w:rsid w:val="00342F59"/>
    <w:rsid w:val="003430D0"/>
    <w:rsid w:val="0034357D"/>
    <w:rsid w:val="003437B3"/>
    <w:rsid w:val="00343902"/>
    <w:rsid w:val="0034471E"/>
    <w:rsid w:val="00344E96"/>
    <w:rsid w:val="00345EBC"/>
    <w:rsid w:val="00345FEC"/>
    <w:rsid w:val="0034668D"/>
    <w:rsid w:val="003466F5"/>
    <w:rsid w:val="00346830"/>
    <w:rsid w:val="00347B6F"/>
    <w:rsid w:val="00347BD1"/>
    <w:rsid w:val="00347C8C"/>
    <w:rsid w:val="0035082A"/>
    <w:rsid w:val="003512C2"/>
    <w:rsid w:val="003516B4"/>
    <w:rsid w:val="00351A2F"/>
    <w:rsid w:val="00351A44"/>
    <w:rsid w:val="0035235B"/>
    <w:rsid w:val="00352D35"/>
    <w:rsid w:val="003539E2"/>
    <w:rsid w:val="00353D2F"/>
    <w:rsid w:val="0035429C"/>
    <w:rsid w:val="00354F84"/>
    <w:rsid w:val="00355048"/>
    <w:rsid w:val="0035504A"/>
    <w:rsid w:val="0035523F"/>
    <w:rsid w:val="0035556E"/>
    <w:rsid w:val="003557E2"/>
    <w:rsid w:val="00355946"/>
    <w:rsid w:val="00355A4E"/>
    <w:rsid w:val="00355C0B"/>
    <w:rsid w:val="00355E28"/>
    <w:rsid w:val="00356162"/>
    <w:rsid w:val="003566AC"/>
    <w:rsid w:val="00356C61"/>
    <w:rsid w:val="00356FE3"/>
    <w:rsid w:val="00357116"/>
    <w:rsid w:val="0035733F"/>
    <w:rsid w:val="003575D6"/>
    <w:rsid w:val="00357F04"/>
    <w:rsid w:val="00360184"/>
    <w:rsid w:val="003601C4"/>
    <w:rsid w:val="00360FFB"/>
    <w:rsid w:val="003612FC"/>
    <w:rsid w:val="0036195F"/>
    <w:rsid w:val="00361DF1"/>
    <w:rsid w:val="003621EE"/>
    <w:rsid w:val="0036293F"/>
    <w:rsid w:val="003632CD"/>
    <w:rsid w:val="00363634"/>
    <w:rsid w:val="00363ABA"/>
    <w:rsid w:val="003649FA"/>
    <w:rsid w:val="00364EF4"/>
    <w:rsid w:val="0036514B"/>
    <w:rsid w:val="003652EC"/>
    <w:rsid w:val="003657F3"/>
    <w:rsid w:val="00366071"/>
    <w:rsid w:val="00366992"/>
    <w:rsid w:val="00366C43"/>
    <w:rsid w:val="00366D6D"/>
    <w:rsid w:val="00366D7E"/>
    <w:rsid w:val="00366F13"/>
    <w:rsid w:val="0036726A"/>
    <w:rsid w:val="00367931"/>
    <w:rsid w:val="00367C89"/>
    <w:rsid w:val="003708FE"/>
    <w:rsid w:val="00370BC2"/>
    <w:rsid w:val="00370EE9"/>
    <w:rsid w:val="003725BA"/>
    <w:rsid w:val="003729E2"/>
    <w:rsid w:val="00372AF8"/>
    <w:rsid w:val="00373E44"/>
    <w:rsid w:val="00374783"/>
    <w:rsid w:val="00374CEB"/>
    <w:rsid w:val="003753D5"/>
    <w:rsid w:val="00375758"/>
    <w:rsid w:val="003759B5"/>
    <w:rsid w:val="00376884"/>
    <w:rsid w:val="00376CA3"/>
    <w:rsid w:val="00377759"/>
    <w:rsid w:val="00377862"/>
    <w:rsid w:val="00377E21"/>
    <w:rsid w:val="00377F62"/>
    <w:rsid w:val="003800A0"/>
    <w:rsid w:val="003803C2"/>
    <w:rsid w:val="0038089B"/>
    <w:rsid w:val="00381723"/>
    <w:rsid w:val="00381CCB"/>
    <w:rsid w:val="00381F3F"/>
    <w:rsid w:val="0038207E"/>
    <w:rsid w:val="0038233B"/>
    <w:rsid w:val="00382510"/>
    <w:rsid w:val="00383F70"/>
    <w:rsid w:val="00384396"/>
    <w:rsid w:val="0038458C"/>
    <w:rsid w:val="0038523E"/>
    <w:rsid w:val="00385D99"/>
    <w:rsid w:val="0038620E"/>
    <w:rsid w:val="003869B0"/>
    <w:rsid w:val="00386DCF"/>
    <w:rsid w:val="0038725F"/>
    <w:rsid w:val="0038752A"/>
    <w:rsid w:val="0038767B"/>
    <w:rsid w:val="00387C92"/>
    <w:rsid w:val="00390103"/>
    <w:rsid w:val="0039097F"/>
    <w:rsid w:val="00390B14"/>
    <w:rsid w:val="00390B37"/>
    <w:rsid w:val="00390E83"/>
    <w:rsid w:val="00391D2D"/>
    <w:rsid w:val="00391D8B"/>
    <w:rsid w:val="00392791"/>
    <w:rsid w:val="00392B86"/>
    <w:rsid w:val="0039356E"/>
    <w:rsid w:val="00393C60"/>
    <w:rsid w:val="00393F59"/>
    <w:rsid w:val="003941D5"/>
    <w:rsid w:val="0039444F"/>
    <w:rsid w:val="00394858"/>
    <w:rsid w:val="00394D93"/>
    <w:rsid w:val="00394DFF"/>
    <w:rsid w:val="0039561F"/>
    <w:rsid w:val="00395D86"/>
    <w:rsid w:val="003964ED"/>
    <w:rsid w:val="00396F17"/>
    <w:rsid w:val="0039774D"/>
    <w:rsid w:val="00397D9E"/>
    <w:rsid w:val="003A00CC"/>
    <w:rsid w:val="003A09C1"/>
    <w:rsid w:val="003A1717"/>
    <w:rsid w:val="003A19FD"/>
    <w:rsid w:val="003A1CC8"/>
    <w:rsid w:val="003A28F4"/>
    <w:rsid w:val="003A2A70"/>
    <w:rsid w:val="003A2AA2"/>
    <w:rsid w:val="003A33B7"/>
    <w:rsid w:val="003A3743"/>
    <w:rsid w:val="003A3978"/>
    <w:rsid w:val="003A4AED"/>
    <w:rsid w:val="003A5095"/>
    <w:rsid w:val="003A6589"/>
    <w:rsid w:val="003A6826"/>
    <w:rsid w:val="003A71EE"/>
    <w:rsid w:val="003A74F4"/>
    <w:rsid w:val="003A7F98"/>
    <w:rsid w:val="003B00DA"/>
    <w:rsid w:val="003B0302"/>
    <w:rsid w:val="003B0447"/>
    <w:rsid w:val="003B0539"/>
    <w:rsid w:val="003B0CEE"/>
    <w:rsid w:val="003B0F04"/>
    <w:rsid w:val="003B13AD"/>
    <w:rsid w:val="003B13BA"/>
    <w:rsid w:val="003B1415"/>
    <w:rsid w:val="003B14D8"/>
    <w:rsid w:val="003B1A68"/>
    <w:rsid w:val="003B2FFB"/>
    <w:rsid w:val="003B33E8"/>
    <w:rsid w:val="003B345D"/>
    <w:rsid w:val="003B387E"/>
    <w:rsid w:val="003B3AFB"/>
    <w:rsid w:val="003B3F10"/>
    <w:rsid w:val="003B3F2F"/>
    <w:rsid w:val="003B442E"/>
    <w:rsid w:val="003B470F"/>
    <w:rsid w:val="003B4A90"/>
    <w:rsid w:val="003B4BC0"/>
    <w:rsid w:val="003B50CC"/>
    <w:rsid w:val="003B57ED"/>
    <w:rsid w:val="003B5A83"/>
    <w:rsid w:val="003B67D1"/>
    <w:rsid w:val="003B7314"/>
    <w:rsid w:val="003B7B73"/>
    <w:rsid w:val="003B7E84"/>
    <w:rsid w:val="003B7EA5"/>
    <w:rsid w:val="003B7ECA"/>
    <w:rsid w:val="003C01A1"/>
    <w:rsid w:val="003C0208"/>
    <w:rsid w:val="003C040B"/>
    <w:rsid w:val="003C085C"/>
    <w:rsid w:val="003C09FA"/>
    <w:rsid w:val="003C0D16"/>
    <w:rsid w:val="003C1437"/>
    <w:rsid w:val="003C1466"/>
    <w:rsid w:val="003C20DD"/>
    <w:rsid w:val="003C359F"/>
    <w:rsid w:val="003C3682"/>
    <w:rsid w:val="003C46B0"/>
    <w:rsid w:val="003C4B2E"/>
    <w:rsid w:val="003C4F42"/>
    <w:rsid w:val="003C5D98"/>
    <w:rsid w:val="003C60A5"/>
    <w:rsid w:val="003C662F"/>
    <w:rsid w:val="003C69F8"/>
    <w:rsid w:val="003C7187"/>
    <w:rsid w:val="003C749A"/>
    <w:rsid w:val="003C78DB"/>
    <w:rsid w:val="003C7E96"/>
    <w:rsid w:val="003D0411"/>
    <w:rsid w:val="003D0660"/>
    <w:rsid w:val="003D171F"/>
    <w:rsid w:val="003D1A56"/>
    <w:rsid w:val="003D2430"/>
    <w:rsid w:val="003D24DE"/>
    <w:rsid w:val="003D2689"/>
    <w:rsid w:val="003D2C0D"/>
    <w:rsid w:val="003D2CA8"/>
    <w:rsid w:val="003D3F49"/>
    <w:rsid w:val="003D5B27"/>
    <w:rsid w:val="003D5B86"/>
    <w:rsid w:val="003D5EE9"/>
    <w:rsid w:val="003D636D"/>
    <w:rsid w:val="003D658E"/>
    <w:rsid w:val="003D69A2"/>
    <w:rsid w:val="003D7614"/>
    <w:rsid w:val="003D7D96"/>
    <w:rsid w:val="003E02F2"/>
    <w:rsid w:val="003E15AD"/>
    <w:rsid w:val="003E1E29"/>
    <w:rsid w:val="003E25D4"/>
    <w:rsid w:val="003E266B"/>
    <w:rsid w:val="003E2A52"/>
    <w:rsid w:val="003E2BBE"/>
    <w:rsid w:val="003E2C7F"/>
    <w:rsid w:val="003E2E13"/>
    <w:rsid w:val="003E335A"/>
    <w:rsid w:val="003E338D"/>
    <w:rsid w:val="003E384C"/>
    <w:rsid w:val="003E3B3E"/>
    <w:rsid w:val="003E4000"/>
    <w:rsid w:val="003E4156"/>
    <w:rsid w:val="003E4404"/>
    <w:rsid w:val="003E4B86"/>
    <w:rsid w:val="003E4F3A"/>
    <w:rsid w:val="003E51FB"/>
    <w:rsid w:val="003E5818"/>
    <w:rsid w:val="003E5A82"/>
    <w:rsid w:val="003E5AD6"/>
    <w:rsid w:val="003E6120"/>
    <w:rsid w:val="003E63B1"/>
    <w:rsid w:val="003E681A"/>
    <w:rsid w:val="003E6986"/>
    <w:rsid w:val="003E7C37"/>
    <w:rsid w:val="003E7DBB"/>
    <w:rsid w:val="003E7F16"/>
    <w:rsid w:val="003E7FA1"/>
    <w:rsid w:val="003F121D"/>
    <w:rsid w:val="003F157B"/>
    <w:rsid w:val="003F19C6"/>
    <w:rsid w:val="003F1A7F"/>
    <w:rsid w:val="003F2396"/>
    <w:rsid w:val="003F2581"/>
    <w:rsid w:val="003F2C94"/>
    <w:rsid w:val="003F3091"/>
    <w:rsid w:val="003F30F7"/>
    <w:rsid w:val="003F32E4"/>
    <w:rsid w:val="003F3637"/>
    <w:rsid w:val="003F3E7E"/>
    <w:rsid w:val="003F4BE1"/>
    <w:rsid w:val="003F5376"/>
    <w:rsid w:val="003F632F"/>
    <w:rsid w:val="003F6652"/>
    <w:rsid w:val="003F6863"/>
    <w:rsid w:val="003F69A8"/>
    <w:rsid w:val="003F79F2"/>
    <w:rsid w:val="003F7AC5"/>
    <w:rsid w:val="00400032"/>
    <w:rsid w:val="00400880"/>
    <w:rsid w:val="00400D26"/>
    <w:rsid w:val="00400EF8"/>
    <w:rsid w:val="00401137"/>
    <w:rsid w:val="00401CB7"/>
    <w:rsid w:val="00401F27"/>
    <w:rsid w:val="00402489"/>
    <w:rsid w:val="00402A5A"/>
    <w:rsid w:val="00402B2D"/>
    <w:rsid w:val="00402BF8"/>
    <w:rsid w:val="00402C14"/>
    <w:rsid w:val="00403441"/>
    <w:rsid w:val="00403A2D"/>
    <w:rsid w:val="004045B1"/>
    <w:rsid w:val="004045FF"/>
    <w:rsid w:val="00404D70"/>
    <w:rsid w:val="0040580F"/>
    <w:rsid w:val="00405B1A"/>
    <w:rsid w:val="00405DCD"/>
    <w:rsid w:val="00405E1C"/>
    <w:rsid w:val="00406268"/>
    <w:rsid w:val="004069AD"/>
    <w:rsid w:val="00406ADD"/>
    <w:rsid w:val="00406D0B"/>
    <w:rsid w:val="00406DC8"/>
    <w:rsid w:val="0041003A"/>
    <w:rsid w:val="00410363"/>
    <w:rsid w:val="0041089F"/>
    <w:rsid w:val="00410B13"/>
    <w:rsid w:val="00410BAE"/>
    <w:rsid w:val="00410E47"/>
    <w:rsid w:val="00411A46"/>
    <w:rsid w:val="004125EA"/>
    <w:rsid w:val="004128DF"/>
    <w:rsid w:val="00412EB2"/>
    <w:rsid w:val="004136B8"/>
    <w:rsid w:val="0041376C"/>
    <w:rsid w:val="00413A55"/>
    <w:rsid w:val="00413DF8"/>
    <w:rsid w:val="004148B5"/>
    <w:rsid w:val="00414A00"/>
    <w:rsid w:val="00415CD1"/>
    <w:rsid w:val="004161CA"/>
    <w:rsid w:val="00416300"/>
    <w:rsid w:val="00416451"/>
    <w:rsid w:val="004169B9"/>
    <w:rsid w:val="00416AA0"/>
    <w:rsid w:val="00417401"/>
    <w:rsid w:val="00420153"/>
    <w:rsid w:val="00420699"/>
    <w:rsid w:val="00420FBA"/>
    <w:rsid w:val="00421066"/>
    <w:rsid w:val="004211C9"/>
    <w:rsid w:val="004211E0"/>
    <w:rsid w:val="004213C5"/>
    <w:rsid w:val="0042143A"/>
    <w:rsid w:val="004214A2"/>
    <w:rsid w:val="00421A08"/>
    <w:rsid w:val="00421D8A"/>
    <w:rsid w:val="00421DDC"/>
    <w:rsid w:val="00421DFC"/>
    <w:rsid w:val="00421E5A"/>
    <w:rsid w:val="00422805"/>
    <w:rsid w:val="004229E1"/>
    <w:rsid w:val="00422F91"/>
    <w:rsid w:val="0042325D"/>
    <w:rsid w:val="004232B3"/>
    <w:rsid w:val="0042337B"/>
    <w:rsid w:val="004234D6"/>
    <w:rsid w:val="004237AD"/>
    <w:rsid w:val="0042397E"/>
    <w:rsid w:val="00423EF6"/>
    <w:rsid w:val="00424CAA"/>
    <w:rsid w:val="00424FD7"/>
    <w:rsid w:val="004250DB"/>
    <w:rsid w:val="004253CE"/>
    <w:rsid w:val="004255BA"/>
    <w:rsid w:val="00425681"/>
    <w:rsid w:val="0042588E"/>
    <w:rsid w:val="00425EED"/>
    <w:rsid w:val="004266B7"/>
    <w:rsid w:val="00426B1B"/>
    <w:rsid w:val="00426C6A"/>
    <w:rsid w:val="00427188"/>
    <w:rsid w:val="004272FD"/>
    <w:rsid w:val="00427667"/>
    <w:rsid w:val="00427F49"/>
    <w:rsid w:val="004308FF"/>
    <w:rsid w:val="00430B7C"/>
    <w:rsid w:val="004314C3"/>
    <w:rsid w:val="0043233A"/>
    <w:rsid w:val="0043299A"/>
    <w:rsid w:val="0043306B"/>
    <w:rsid w:val="00433551"/>
    <w:rsid w:val="0043355B"/>
    <w:rsid w:val="00434209"/>
    <w:rsid w:val="00434555"/>
    <w:rsid w:val="004347BD"/>
    <w:rsid w:val="00434B3E"/>
    <w:rsid w:val="0043520E"/>
    <w:rsid w:val="00435774"/>
    <w:rsid w:val="004365CB"/>
    <w:rsid w:val="00436D31"/>
    <w:rsid w:val="00436D8B"/>
    <w:rsid w:val="00436E74"/>
    <w:rsid w:val="00437AAA"/>
    <w:rsid w:val="00437D0B"/>
    <w:rsid w:val="0044012E"/>
    <w:rsid w:val="00440444"/>
    <w:rsid w:val="00441320"/>
    <w:rsid w:val="00441659"/>
    <w:rsid w:val="00442457"/>
    <w:rsid w:val="00443026"/>
    <w:rsid w:val="00443058"/>
    <w:rsid w:val="00443303"/>
    <w:rsid w:val="0044542D"/>
    <w:rsid w:val="00445C36"/>
    <w:rsid w:val="0044604F"/>
    <w:rsid w:val="00446BB0"/>
    <w:rsid w:val="00447671"/>
    <w:rsid w:val="004477C9"/>
    <w:rsid w:val="004478E2"/>
    <w:rsid w:val="00447C76"/>
    <w:rsid w:val="00450D2B"/>
    <w:rsid w:val="00451089"/>
    <w:rsid w:val="004511B1"/>
    <w:rsid w:val="0045146F"/>
    <w:rsid w:val="00451CB9"/>
    <w:rsid w:val="00451D33"/>
    <w:rsid w:val="00451FDC"/>
    <w:rsid w:val="00452F31"/>
    <w:rsid w:val="00453C70"/>
    <w:rsid w:val="004542C9"/>
    <w:rsid w:val="00454762"/>
    <w:rsid w:val="00454AB1"/>
    <w:rsid w:val="00455085"/>
    <w:rsid w:val="0045553B"/>
    <w:rsid w:val="0045556E"/>
    <w:rsid w:val="0045572D"/>
    <w:rsid w:val="00455B00"/>
    <w:rsid w:val="00455EC9"/>
    <w:rsid w:val="00455F1E"/>
    <w:rsid w:val="00456086"/>
    <w:rsid w:val="00456786"/>
    <w:rsid w:val="00456F23"/>
    <w:rsid w:val="00457125"/>
    <w:rsid w:val="004573C7"/>
    <w:rsid w:val="00457CB2"/>
    <w:rsid w:val="00457F44"/>
    <w:rsid w:val="004605A6"/>
    <w:rsid w:val="0046093F"/>
    <w:rsid w:val="004609C6"/>
    <w:rsid w:val="00460F89"/>
    <w:rsid w:val="004610E9"/>
    <w:rsid w:val="00461608"/>
    <w:rsid w:val="00461AA9"/>
    <w:rsid w:val="0046231C"/>
    <w:rsid w:val="004625CE"/>
    <w:rsid w:val="0046392E"/>
    <w:rsid w:val="00463DEF"/>
    <w:rsid w:val="004641F7"/>
    <w:rsid w:val="00465546"/>
    <w:rsid w:val="0046568E"/>
    <w:rsid w:val="00466280"/>
    <w:rsid w:val="00466729"/>
    <w:rsid w:val="004679E2"/>
    <w:rsid w:val="00467D4F"/>
    <w:rsid w:val="00467E58"/>
    <w:rsid w:val="00467E87"/>
    <w:rsid w:val="00470107"/>
    <w:rsid w:val="0047047D"/>
    <w:rsid w:val="004706BF"/>
    <w:rsid w:val="0047075C"/>
    <w:rsid w:val="00471181"/>
    <w:rsid w:val="004714E7"/>
    <w:rsid w:val="00471B67"/>
    <w:rsid w:val="00471C4D"/>
    <w:rsid w:val="00471DF4"/>
    <w:rsid w:val="0047219B"/>
    <w:rsid w:val="0047393C"/>
    <w:rsid w:val="00473971"/>
    <w:rsid w:val="0047438A"/>
    <w:rsid w:val="00474B5C"/>
    <w:rsid w:val="004751F4"/>
    <w:rsid w:val="00475885"/>
    <w:rsid w:val="0047691A"/>
    <w:rsid w:val="00476AFD"/>
    <w:rsid w:val="00477B4F"/>
    <w:rsid w:val="004801C4"/>
    <w:rsid w:val="004805C2"/>
    <w:rsid w:val="0048063E"/>
    <w:rsid w:val="00480B8B"/>
    <w:rsid w:val="00480D6B"/>
    <w:rsid w:val="00480E34"/>
    <w:rsid w:val="00481374"/>
    <w:rsid w:val="00481396"/>
    <w:rsid w:val="00481405"/>
    <w:rsid w:val="00481708"/>
    <w:rsid w:val="004822EB"/>
    <w:rsid w:val="00482474"/>
    <w:rsid w:val="0048336E"/>
    <w:rsid w:val="00483878"/>
    <w:rsid w:val="0048412F"/>
    <w:rsid w:val="004841CA"/>
    <w:rsid w:val="004842B3"/>
    <w:rsid w:val="00484C7F"/>
    <w:rsid w:val="00485301"/>
    <w:rsid w:val="00485763"/>
    <w:rsid w:val="0048597C"/>
    <w:rsid w:val="004863C1"/>
    <w:rsid w:val="00486AC8"/>
    <w:rsid w:val="004870D9"/>
    <w:rsid w:val="004878B8"/>
    <w:rsid w:val="00487DC5"/>
    <w:rsid w:val="004905DA"/>
    <w:rsid w:val="004907C7"/>
    <w:rsid w:val="004907F1"/>
    <w:rsid w:val="00490992"/>
    <w:rsid w:val="00490D70"/>
    <w:rsid w:val="00490EC6"/>
    <w:rsid w:val="0049112E"/>
    <w:rsid w:val="00491513"/>
    <w:rsid w:val="00491DF8"/>
    <w:rsid w:val="00492132"/>
    <w:rsid w:val="004927BD"/>
    <w:rsid w:val="00492D4C"/>
    <w:rsid w:val="00492E4E"/>
    <w:rsid w:val="00493077"/>
    <w:rsid w:val="0049365C"/>
    <w:rsid w:val="004939DF"/>
    <w:rsid w:val="004947FE"/>
    <w:rsid w:val="00494B26"/>
    <w:rsid w:val="004950C6"/>
    <w:rsid w:val="004954B7"/>
    <w:rsid w:val="00495578"/>
    <w:rsid w:val="00496135"/>
    <w:rsid w:val="0049675C"/>
    <w:rsid w:val="00497C18"/>
    <w:rsid w:val="00497D0F"/>
    <w:rsid w:val="00497ED2"/>
    <w:rsid w:val="004A1269"/>
    <w:rsid w:val="004A1A87"/>
    <w:rsid w:val="004A1C77"/>
    <w:rsid w:val="004A1EC7"/>
    <w:rsid w:val="004A2485"/>
    <w:rsid w:val="004A39A3"/>
    <w:rsid w:val="004A39C4"/>
    <w:rsid w:val="004A45E2"/>
    <w:rsid w:val="004A542D"/>
    <w:rsid w:val="004A5975"/>
    <w:rsid w:val="004A6757"/>
    <w:rsid w:val="004A70CA"/>
    <w:rsid w:val="004A76DE"/>
    <w:rsid w:val="004A796A"/>
    <w:rsid w:val="004A7A8E"/>
    <w:rsid w:val="004B0275"/>
    <w:rsid w:val="004B0B92"/>
    <w:rsid w:val="004B206C"/>
    <w:rsid w:val="004B2094"/>
    <w:rsid w:val="004B2289"/>
    <w:rsid w:val="004B27ED"/>
    <w:rsid w:val="004B2B92"/>
    <w:rsid w:val="004B2CEC"/>
    <w:rsid w:val="004B300D"/>
    <w:rsid w:val="004B3C04"/>
    <w:rsid w:val="004B3C7A"/>
    <w:rsid w:val="004B4629"/>
    <w:rsid w:val="004B4E82"/>
    <w:rsid w:val="004B5080"/>
    <w:rsid w:val="004B6022"/>
    <w:rsid w:val="004B609E"/>
    <w:rsid w:val="004B6504"/>
    <w:rsid w:val="004B6863"/>
    <w:rsid w:val="004B7131"/>
    <w:rsid w:val="004B71D1"/>
    <w:rsid w:val="004B7304"/>
    <w:rsid w:val="004B786E"/>
    <w:rsid w:val="004B79EE"/>
    <w:rsid w:val="004B7DB3"/>
    <w:rsid w:val="004B7F9A"/>
    <w:rsid w:val="004C0214"/>
    <w:rsid w:val="004C04FA"/>
    <w:rsid w:val="004C0D0D"/>
    <w:rsid w:val="004C12B1"/>
    <w:rsid w:val="004C1683"/>
    <w:rsid w:val="004C1AF7"/>
    <w:rsid w:val="004C1B4B"/>
    <w:rsid w:val="004C1B67"/>
    <w:rsid w:val="004C1DB5"/>
    <w:rsid w:val="004C28FC"/>
    <w:rsid w:val="004C3BD9"/>
    <w:rsid w:val="004C3F63"/>
    <w:rsid w:val="004C43F3"/>
    <w:rsid w:val="004C5413"/>
    <w:rsid w:val="004C548F"/>
    <w:rsid w:val="004C55BE"/>
    <w:rsid w:val="004C5F7D"/>
    <w:rsid w:val="004C62E7"/>
    <w:rsid w:val="004C678A"/>
    <w:rsid w:val="004C68B3"/>
    <w:rsid w:val="004C68DA"/>
    <w:rsid w:val="004C75AB"/>
    <w:rsid w:val="004C7819"/>
    <w:rsid w:val="004C7D51"/>
    <w:rsid w:val="004D043D"/>
    <w:rsid w:val="004D05BA"/>
    <w:rsid w:val="004D0737"/>
    <w:rsid w:val="004D19B4"/>
    <w:rsid w:val="004D1D2D"/>
    <w:rsid w:val="004D1D58"/>
    <w:rsid w:val="004D1F09"/>
    <w:rsid w:val="004D22CF"/>
    <w:rsid w:val="004D2A21"/>
    <w:rsid w:val="004D300A"/>
    <w:rsid w:val="004D391E"/>
    <w:rsid w:val="004D3EEC"/>
    <w:rsid w:val="004D4890"/>
    <w:rsid w:val="004D492A"/>
    <w:rsid w:val="004D49D7"/>
    <w:rsid w:val="004D509D"/>
    <w:rsid w:val="004D538C"/>
    <w:rsid w:val="004D67CE"/>
    <w:rsid w:val="004D68AE"/>
    <w:rsid w:val="004D6A4E"/>
    <w:rsid w:val="004D6D8A"/>
    <w:rsid w:val="004D6E88"/>
    <w:rsid w:val="004D7981"/>
    <w:rsid w:val="004D7BDD"/>
    <w:rsid w:val="004D7EDD"/>
    <w:rsid w:val="004E007F"/>
    <w:rsid w:val="004E05B7"/>
    <w:rsid w:val="004E0DA5"/>
    <w:rsid w:val="004E1735"/>
    <w:rsid w:val="004E1DF2"/>
    <w:rsid w:val="004E20D2"/>
    <w:rsid w:val="004E220B"/>
    <w:rsid w:val="004E2D97"/>
    <w:rsid w:val="004E346F"/>
    <w:rsid w:val="004E390D"/>
    <w:rsid w:val="004E4E32"/>
    <w:rsid w:val="004E5682"/>
    <w:rsid w:val="004E616E"/>
    <w:rsid w:val="004E6615"/>
    <w:rsid w:val="004E669A"/>
    <w:rsid w:val="004E6A94"/>
    <w:rsid w:val="004E6AC4"/>
    <w:rsid w:val="004E6CB3"/>
    <w:rsid w:val="004E6ED5"/>
    <w:rsid w:val="004E7CB9"/>
    <w:rsid w:val="004F0042"/>
    <w:rsid w:val="004F0FBA"/>
    <w:rsid w:val="004F1426"/>
    <w:rsid w:val="004F1B4E"/>
    <w:rsid w:val="004F1EC6"/>
    <w:rsid w:val="004F2A34"/>
    <w:rsid w:val="004F356B"/>
    <w:rsid w:val="004F43F2"/>
    <w:rsid w:val="004F4662"/>
    <w:rsid w:val="004F593D"/>
    <w:rsid w:val="004F5A02"/>
    <w:rsid w:val="004F5EB0"/>
    <w:rsid w:val="004F6770"/>
    <w:rsid w:val="004F6B68"/>
    <w:rsid w:val="004F6F6A"/>
    <w:rsid w:val="004F708B"/>
    <w:rsid w:val="004F7D7E"/>
    <w:rsid w:val="005003EF"/>
    <w:rsid w:val="0050063C"/>
    <w:rsid w:val="00500C48"/>
    <w:rsid w:val="005015C5"/>
    <w:rsid w:val="00501A98"/>
    <w:rsid w:val="00501EC1"/>
    <w:rsid w:val="0050233E"/>
    <w:rsid w:val="005027D5"/>
    <w:rsid w:val="00502E52"/>
    <w:rsid w:val="005032A8"/>
    <w:rsid w:val="0050351E"/>
    <w:rsid w:val="005044EF"/>
    <w:rsid w:val="005046AA"/>
    <w:rsid w:val="00504C69"/>
    <w:rsid w:val="00505209"/>
    <w:rsid w:val="00505458"/>
    <w:rsid w:val="00505582"/>
    <w:rsid w:val="00505663"/>
    <w:rsid w:val="0050575A"/>
    <w:rsid w:val="00505916"/>
    <w:rsid w:val="00505B69"/>
    <w:rsid w:val="00505B77"/>
    <w:rsid w:val="0050633D"/>
    <w:rsid w:val="00506835"/>
    <w:rsid w:val="005068EA"/>
    <w:rsid w:val="00510353"/>
    <w:rsid w:val="0051071D"/>
    <w:rsid w:val="00510786"/>
    <w:rsid w:val="00511338"/>
    <w:rsid w:val="00511346"/>
    <w:rsid w:val="005113C8"/>
    <w:rsid w:val="00511678"/>
    <w:rsid w:val="0051234C"/>
    <w:rsid w:val="00512813"/>
    <w:rsid w:val="00513226"/>
    <w:rsid w:val="005132CF"/>
    <w:rsid w:val="00513F6A"/>
    <w:rsid w:val="00514045"/>
    <w:rsid w:val="005140D4"/>
    <w:rsid w:val="00514189"/>
    <w:rsid w:val="0051510D"/>
    <w:rsid w:val="00515656"/>
    <w:rsid w:val="00515D21"/>
    <w:rsid w:val="00515E58"/>
    <w:rsid w:val="005163BA"/>
    <w:rsid w:val="005163F4"/>
    <w:rsid w:val="00516800"/>
    <w:rsid w:val="00516B4A"/>
    <w:rsid w:val="0051702F"/>
    <w:rsid w:val="005170BB"/>
    <w:rsid w:val="00517701"/>
    <w:rsid w:val="005178A5"/>
    <w:rsid w:val="005179E3"/>
    <w:rsid w:val="00520576"/>
    <w:rsid w:val="00520BD7"/>
    <w:rsid w:val="00520C4B"/>
    <w:rsid w:val="00520D41"/>
    <w:rsid w:val="00521299"/>
    <w:rsid w:val="00521405"/>
    <w:rsid w:val="005219B0"/>
    <w:rsid w:val="0052202C"/>
    <w:rsid w:val="00522320"/>
    <w:rsid w:val="00522588"/>
    <w:rsid w:val="00523466"/>
    <w:rsid w:val="005234D7"/>
    <w:rsid w:val="005235F8"/>
    <w:rsid w:val="005236C8"/>
    <w:rsid w:val="005237DC"/>
    <w:rsid w:val="00523997"/>
    <w:rsid w:val="00523BD4"/>
    <w:rsid w:val="00523ECB"/>
    <w:rsid w:val="00524118"/>
    <w:rsid w:val="00524CD8"/>
    <w:rsid w:val="0052525C"/>
    <w:rsid w:val="005256A1"/>
    <w:rsid w:val="00525873"/>
    <w:rsid w:val="00525DF0"/>
    <w:rsid w:val="00525E48"/>
    <w:rsid w:val="0052630E"/>
    <w:rsid w:val="00526E7E"/>
    <w:rsid w:val="00527347"/>
    <w:rsid w:val="00527633"/>
    <w:rsid w:val="00527831"/>
    <w:rsid w:val="00527B97"/>
    <w:rsid w:val="00527D46"/>
    <w:rsid w:val="00530906"/>
    <w:rsid w:val="00530CC6"/>
    <w:rsid w:val="00530E07"/>
    <w:rsid w:val="00531465"/>
    <w:rsid w:val="005316FD"/>
    <w:rsid w:val="00531CCC"/>
    <w:rsid w:val="00531D8B"/>
    <w:rsid w:val="00531E82"/>
    <w:rsid w:val="005322BD"/>
    <w:rsid w:val="00532FE5"/>
    <w:rsid w:val="005337EF"/>
    <w:rsid w:val="005342E5"/>
    <w:rsid w:val="00534834"/>
    <w:rsid w:val="005349A8"/>
    <w:rsid w:val="00534BB8"/>
    <w:rsid w:val="0053594D"/>
    <w:rsid w:val="00535B98"/>
    <w:rsid w:val="005369AF"/>
    <w:rsid w:val="00536F97"/>
    <w:rsid w:val="005370AD"/>
    <w:rsid w:val="005370B3"/>
    <w:rsid w:val="005374B9"/>
    <w:rsid w:val="0053782E"/>
    <w:rsid w:val="00537BBB"/>
    <w:rsid w:val="00540233"/>
    <w:rsid w:val="005403CE"/>
    <w:rsid w:val="0054064D"/>
    <w:rsid w:val="00540992"/>
    <w:rsid w:val="00540FDE"/>
    <w:rsid w:val="00541955"/>
    <w:rsid w:val="00541A9E"/>
    <w:rsid w:val="00542175"/>
    <w:rsid w:val="0054218A"/>
    <w:rsid w:val="005427FF"/>
    <w:rsid w:val="005429C4"/>
    <w:rsid w:val="00542B58"/>
    <w:rsid w:val="00542D02"/>
    <w:rsid w:val="00542E88"/>
    <w:rsid w:val="00542F16"/>
    <w:rsid w:val="005431EE"/>
    <w:rsid w:val="00544507"/>
    <w:rsid w:val="0054464C"/>
    <w:rsid w:val="00544BC8"/>
    <w:rsid w:val="00544D9F"/>
    <w:rsid w:val="00544F6B"/>
    <w:rsid w:val="0054522A"/>
    <w:rsid w:val="00545B4F"/>
    <w:rsid w:val="00545C3A"/>
    <w:rsid w:val="00546249"/>
    <w:rsid w:val="00546994"/>
    <w:rsid w:val="00546D8A"/>
    <w:rsid w:val="005474C6"/>
    <w:rsid w:val="005475A7"/>
    <w:rsid w:val="00547765"/>
    <w:rsid w:val="00547BC4"/>
    <w:rsid w:val="00547F72"/>
    <w:rsid w:val="0055008F"/>
    <w:rsid w:val="00550781"/>
    <w:rsid w:val="00550927"/>
    <w:rsid w:val="005511AA"/>
    <w:rsid w:val="00551400"/>
    <w:rsid w:val="00552258"/>
    <w:rsid w:val="00552E65"/>
    <w:rsid w:val="00553047"/>
    <w:rsid w:val="005534CB"/>
    <w:rsid w:val="00554587"/>
    <w:rsid w:val="005546B6"/>
    <w:rsid w:val="0055514D"/>
    <w:rsid w:val="0055529C"/>
    <w:rsid w:val="00555692"/>
    <w:rsid w:val="00555C15"/>
    <w:rsid w:val="0055648F"/>
    <w:rsid w:val="0055669B"/>
    <w:rsid w:val="00556AC5"/>
    <w:rsid w:val="00557D9C"/>
    <w:rsid w:val="00557E9F"/>
    <w:rsid w:val="00560410"/>
    <w:rsid w:val="005615F3"/>
    <w:rsid w:val="00561CCE"/>
    <w:rsid w:val="00562052"/>
    <w:rsid w:val="00562680"/>
    <w:rsid w:val="005634B6"/>
    <w:rsid w:val="00563FD2"/>
    <w:rsid w:val="00564334"/>
    <w:rsid w:val="0056461B"/>
    <w:rsid w:val="005650AF"/>
    <w:rsid w:val="005650CB"/>
    <w:rsid w:val="00565C7B"/>
    <w:rsid w:val="00565F66"/>
    <w:rsid w:val="00566C4C"/>
    <w:rsid w:val="0056731D"/>
    <w:rsid w:val="005674E0"/>
    <w:rsid w:val="00567B63"/>
    <w:rsid w:val="00567BB7"/>
    <w:rsid w:val="00567F09"/>
    <w:rsid w:val="0057014F"/>
    <w:rsid w:val="005701EB"/>
    <w:rsid w:val="00570AAB"/>
    <w:rsid w:val="0057145F"/>
    <w:rsid w:val="005715D1"/>
    <w:rsid w:val="005721C0"/>
    <w:rsid w:val="00572604"/>
    <w:rsid w:val="005728A2"/>
    <w:rsid w:val="00572B56"/>
    <w:rsid w:val="00572BF4"/>
    <w:rsid w:val="0057305B"/>
    <w:rsid w:val="005730BE"/>
    <w:rsid w:val="00573A84"/>
    <w:rsid w:val="00573B3F"/>
    <w:rsid w:val="005746AF"/>
    <w:rsid w:val="0057487A"/>
    <w:rsid w:val="00574922"/>
    <w:rsid w:val="005749D4"/>
    <w:rsid w:val="00574E29"/>
    <w:rsid w:val="00575873"/>
    <w:rsid w:val="00575ED8"/>
    <w:rsid w:val="005769B9"/>
    <w:rsid w:val="00576B3C"/>
    <w:rsid w:val="00576BA7"/>
    <w:rsid w:val="00577636"/>
    <w:rsid w:val="00577DF2"/>
    <w:rsid w:val="0058063A"/>
    <w:rsid w:val="00580DC7"/>
    <w:rsid w:val="00580DCC"/>
    <w:rsid w:val="00580EAC"/>
    <w:rsid w:val="00581179"/>
    <w:rsid w:val="005820C8"/>
    <w:rsid w:val="0058214C"/>
    <w:rsid w:val="0058457F"/>
    <w:rsid w:val="00584723"/>
    <w:rsid w:val="0058526C"/>
    <w:rsid w:val="00585CCB"/>
    <w:rsid w:val="00585D87"/>
    <w:rsid w:val="0058600B"/>
    <w:rsid w:val="005864EB"/>
    <w:rsid w:val="0058652E"/>
    <w:rsid w:val="005877D7"/>
    <w:rsid w:val="00587E6C"/>
    <w:rsid w:val="00590041"/>
    <w:rsid w:val="005914BE"/>
    <w:rsid w:val="0059153E"/>
    <w:rsid w:val="0059177A"/>
    <w:rsid w:val="0059184A"/>
    <w:rsid w:val="00592631"/>
    <w:rsid w:val="00592B27"/>
    <w:rsid w:val="00592E1A"/>
    <w:rsid w:val="00593835"/>
    <w:rsid w:val="00593947"/>
    <w:rsid w:val="0059396A"/>
    <w:rsid w:val="0059397F"/>
    <w:rsid w:val="00593A44"/>
    <w:rsid w:val="00593D76"/>
    <w:rsid w:val="00593E41"/>
    <w:rsid w:val="00593EE2"/>
    <w:rsid w:val="005944DD"/>
    <w:rsid w:val="005949C3"/>
    <w:rsid w:val="005957F5"/>
    <w:rsid w:val="00597A75"/>
    <w:rsid w:val="00597A95"/>
    <w:rsid w:val="00597AA0"/>
    <w:rsid w:val="005A0E36"/>
    <w:rsid w:val="005A1DA9"/>
    <w:rsid w:val="005A1FB9"/>
    <w:rsid w:val="005A224A"/>
    <w:rsid w:val="005A274D"/>
    <w:rsid w:val="005A39DD"/>
    <w:rsid w:val="005A3BD1"/>
    <w:rsid w:val="005A4481"/>
    <w:rsid w:val="005A4602"/>
    <w:rsid w:val="005A4694"/>
    <w:rsid w:val="005A4D0A"/>
    <w:rsid w:val="005A4FD0"/>
    <w:rsid w:val="005A5415"/>
    <w:rsid w:val="005A5AEE"/>
    <w:rsid w:val="005A62C7"/>
    <w:rsid w:val="005A66F3"/>
    <w:rsid w:val="005A7113"/>
    <w:rsid w:val="005A711F"/>
    <w:rsid w:val="005A7478"/>
    <w:rsid w:val="005A7643"/>
    <w:rsid w:val="005A7A4C"/>
    <w:rsid w:val="005B0094"/>
    <w:rsid w:val="005B06F2"/>
    <w:rsid w:val="005B0A42"/>
    <w:rsid w:val="005B0D40"/>
    <w:rsid w:val="005B172C"/>
    <w:rsid w:val="005B2132"/>
    <w:rsid w:val="005B2312"/>
    <w:rsid w:val="005B24FB"/>
    <w:rsid w:val="005B2718"/>
    <w:rsid w:val="005B38FE"/>
    <w:rsid w:val="005B3BF8"/>
    <w:rsid w:val="005B3EDE"/>
    <w:rsid w:val="005B3F1B"/>
    <w:rsid w:val="005B49DE"/>
    <w:rsid w:val="005B4C92"/>
    <w:rsid w:val="005B4CB6"/>
    <w:rsid w:val="005B6782"/>
    <w:rsid w:val="005B6BE5"/>
    <w:rsid w:val="005B6F89"/>
    <w:rsid w:val="005B70A2"/>
    <w:rsid w:val="005B71B6"/>
    <w:rsid w:val="005B75E6"/>
    <w:rsid w:val="005B7865"/>
    <w:rsid w:val="005B7B67"/>
    <w:rsid w:val="005C0462"/>
    <w:rsid w:val="005C067F"/>
    <w:rsid w:val="005C1206"/>
    <w:rsid w:val="005C1967"/>
    <w:rsid w:val="005C1C75"/>
    <w:rsid w:val="005C1DA7"/>
    <w:rsid w:val="005C2814"/>
    <w:rsid w:val="005C2D80"/>
    <w:rsid w:val="005C2F75"/>
    <w:rsid w:val="005C327F"/>
    <w:rsid w:val="005C3380"/>
    <w:rsid w:val="005C3C3A"/>
    <w:rsid w:val="005C461D"/>
    <w:rsid w:val="005C48CE"/>
    <w:rsid w:val="005C5478"/>
    <w:rsid w:val="005C5C3C"/>
    <w:rsid w:val="005C616F"/>
    <w:rsid w:val="005C646F"/>
    <w:rsid w:val="005C703A"/>
    <w:rsid w:val="005C743E"/>
    <w:rsid w:val="005C7568"/>
    <w:rsid w:val="005C7665"/>
    <w:rsid w:val="005C77B0"/>
    <w:rsid w:val="005C79B2"/>
    <w:rsid w:val="005D06AA"/>
    <w:rsid w:val="005D075B"/>
    <w:rsid w:val="005D0FCA"/>
    <w:rsid w:val="005D1BC9"/>
    <w:rsid w:val="005D275A"/>
    <w:rsid w:val="005D2BC0"/>
    <w:rsid w:val="005D2ED1"/>
    <w:rsid w:val="005D3324"/>
    <w:rsid w:val="005D3D4F"/>
    <w:rsid w:val="005D3F1D"/>
    <w:rsid w:val="005D50D9"/>
    <w:rsid w:val="005D5647"/>
    <w:rsid w:val="005D57C5"/>
    <w:rsid w:val="005D64ED"/>
    <w:rsid w:val="005D6E25"/>
    <w:rsid w:val="005D6F7E"/>
    <w:rsid w:val="005D718E"/>
    <w:rsid w:val="005D7490"/>
    <w:rsid w:val="005D7D6B"/>
    <w:rsid w:val="005D7F55"/>
    <w:rsid w:val="005E0539"/>
    <w:rsid w:val="005E05FE"/>
    <w:rsid w:val="005E0E41"/>
    <w:rsid w:val="005E1A1C"/>
    <w:rsid w:val="005E282D"/>
    <w:rsid w:val="005E2B00"/>
    <w:rsid w:val="005E2BA3"/>
    <w:rsid w:val="005E3167"/>
    <w:rsid w:val="005E3329"/>
    <w:rsid w:val="005E37B2"/>
    <w:rsid w:val="005E37BD"/>
    <w:rsid w:val="005E3A2D"/>
    <w:rsid w:val="005E3F32"/>
    <w:rsid w:val="005E46E7"/>
    <w:rsid w:val="005E4999"/>
    <w:rsid w:val="005E4C6F"/>
    <w:rsid w:val="005E50A7"/>
    <w:rsid w:val="005E6905"/>
    <w:rsid w:val="005E6B23"/>
    <w:rsid w:val="005E7047"/>
    <w:rsid w:val="005E7100"/>
    <w:rsid w:val="005E7CDE"/>
    <w:rsid w:val="005E7FFE"/>
    <w:rsid w:val="005F0633"/>
    <w:rsid w:val="005F09BD"/>
    <w:rsid w:val="005F0CE2"/>
    <w:rsid w:val="005F1208"/>
    <w:rsid w:val="005F1546"/>
    <w:rsid w:val="005F1671"/>
    <w:rsid w:val="005F1B77"/>
    <w:rsid w:val="005F1E34"/>
    <w:rsid w:val="005F1E73"/>
    <w:rsid w:val="005F1FAC"/>
    <w:rsid w:val="005F242D"/>
    <w:rsid w:val="005F28AF"/>
    <w:rsid w:val="005F2EE0"/>
    <w:rsid w:val="005F2FCE"/>
    <w:rsid w:val="005F33E7"/>
    <w:rsid w:val="005F44F6"/>
    <w:rsid w:val="005F51BB"/>
    <w:rsid w:val="005F52E5"/>
    <w:rsid w:val="005F5378"/>
    <w:rsid w:val="005F5F1A"/>
    <w:rsid w:val="005F6189"/>
    <w:rsid w:val="005F7323"/>
    <w:rsid w:val="005F742A"/>
    <w:rsid w:val="005F7B84"/>
    <w:rsid w:val="005F7D9F"/>
    <w:rsid w:val="006004AB"/>
    <w:rsid w:val="00600557"/>
    <w:rsid w:val="006006FA"/>
    <w:rsid w:val="00600CFF"/>
    <w:rsid w:val="006013C1"/>
    <w:rsid w:val="00601993"/>
    <w:rsid w:val="006019D0"/>
    <w:rsid w:val="00601C97"/>
    <w:rsid w:val="006030FF"/>
    <w:rsid w:val="006031C6"/>
    <w:rsid w:val="00603C24"/>
    <w:rsid w:val="00604404"/>
    <w:rsid w:val="00604FCF"/>
    <w:rsid w:val="00605031"/>
    <w:rsid w:val="00605830"/>
    <w:rsid w:val="00605CF5"/>
    <w:rsid w:val="00605DDD"/>
    <w:rsid w:val="00605F35"/>
    <w:rsid w:val="006065E3"/>
    <w:rsid w:val="006074CD"/>
    <w:rsid w:val="006107E0"/>
    <w:rsid w:val="00610968"/>
    <w:rsid w:val="006109A4"/>
    <w:rsid w:val="00612873"/>
    <w:rsid w:val="00612EFF"/>
    <w:rsid w:val="00613398"/>
    <w:rsid w:val="00614096"/>
    <w:rsid w:val="006143BB"/>
    <w:rsid w:val="006145A9"/>
    <w:rsid w:val="00614849"/>
    <w:rsid w:val="00614EFE"/>
    <w:rsid w:val="006155C7"/>
    <w:rsid w:val="0061565E"/>
    <w:rsid w:val="00615717"/>
    <w:rsid w:val="006160D2"/>
    <w:rsid w:val="0061625C"/>
    <w:rsid w:val="00616BF4"/>
    <w:rsid w:val="00616F36"/>
    <w:rsid w:val="006171A1"/>
    <w:rsid w:val="006171BC"/>
    <w:rsid w:val="00617957"/>
    <w:rsid w:val="006202F2"/>
    <w:rsid w:val="006206BC"/>
    <w:rsid w:val="00620E3A"/>
    <w:rsid w:val="0062211E"/>
    <w:rsid w:val="006229AE"/>
    <w:rsid w:val="00622A0A"/>
    <w:rsid w:val="00622EA1"/>
    <w:rsid w:val="00623664"/>
    <w:rsid w:val="006236E8"/>
    <w:rsid w:val="0062387B"/>
    <w:rsid w:val="0062473E"/>
    <w:rsid w:val="00624FDB"/>
    <w:rsid w:val="006254BF"/>
    <w:rsid w:val="006256CF"/>
    <w:rsid w:val="006256E1"/>
    <w:rsid w:val="00625822"/>
    <w:rsid w:val="006258BB"/>
    <w:rsid w:val="006258FD"/>
    <w:rsid w:val="00626A55"/>
    <w:rsid w:val="00626FCC"/>
    <w:rsid w:val="00627325"/>
    <w:rsid w:val="00627AEB"/>
    <w:rsid w:val="00627D85"/>
    <w:rsid w:val="0063043C"/>
    <w:rsid w:val="006308E7"/>
    <w:rsid w:val="00630C25"/>
    <w:rsid w:val="00630D91"/>
    <w:rsid w:val="00631168"/>
    <w:rsid w:val="00631352"/>
    <w:rsid w:val="00631586"/>
    <w:rsid w:val="0063218D"/>
    <w:rsid w:val="006327CF"/>
    <w:rsid w:val="00632A46"/>
    <w:rsid w:val="00632DC4"/>
    <w:rsid w:val="0063305E"/>
    <w:rsid w:val="0063383D"/>
    <w:rsid w:val="0063387A"/>
    <w:rsid w:val="00633BB1"/>
    <w:rsid w:val="00633F72"/>
    <w:rsid w:val="00634617"/>
    <w:rsid w:val="0063467A"/>
    <w:rsid w:val="006347C8"/>
    <w:rsid w:val="006347D0"/>
    <w:rsid w:val="0063547C"/>
    <w:rsid w:val="006355F2"/>
    <w:rsid w:val="00635907"/>
    <w:rsid w:val="0063670B"/>
    <w:rsid w:val="00636CD0"/>
    <w:rsid w:val="00636DD9"/>
    <w:rsid w:val="006379B2"/>
    <w:rsid w:val="006404EE"/>
    <w:rsid w:val="0064058E"/>
    <w:rsid w:val="006408E4"/>
    <w:rsid w:val="00640F07"/>
    <w:rsid w:val="0064130A"/>
    <w:rsid w:val="0064184F"/>
    <w:rsid w:val="00641CD1"/>
    <w:rsid w:val="0064341B"/>
    <w:rsid w:val="00643D3A"/>
    <w:rsid w:val="00643EE2"/>
    <w:rsid w:val="006443C9"/>
    <w:rsid w:val="006449DF"/>
    <w:rsid w:val="00644D35"/>
    <w:rsid w:val="00644F70"/>
    <w:rsid w:val="00644FB8"/>
    <w:rsid w:val="00645597"/>
    <w:rsid w:val="00646F2D"/>
    <w:rsid w:val="00651426"/>
    <w:rsid w:val="00651808"/>
    <w:rsid w:val="006518ED"/>
    <w:rsid w:val="006521A5"/>
    <w:rsid w:val="00652543"/>
    <w:rsid w:val="00652B22"/>
    <w:rsid w:val="00652F3F"/>
    <w:rsid w:val="00652F4C"/>
    <w:rsid w:val="00652F70"/>
    <w:rsid w:val="00653411"/>
    <w:rsid w:val="00653437"/>
    <w:rsid w:val="0065464B"/>
    <w:rsid w:val="006546A2"/>
    <w:rsid w:val="00655408"/>
    <w:rsid w:val="006558C2"/>
    <w:rsid w:val="00655AA1"/>
    <w:rsid w:val="00655C3A"/>
    <w:rsid w:val="00655CF4"/>
    <w:rsid w:val="00655F50"/>
    <w:rsid w:val="00656173"/>
    <w:rsid w:val="006564C7"/>
    <w:rsid w:val="00657038"/>
    <w:rsid w:val="006572BE"/>
    <w:rsid w:val="00657A5C"/>
    <w:rsid w:val="00657AC8"/>
    <w:rsid w:val="00660002"/>
    <w:rsid w:val="0066008A"/>
    <w:rsid w:val="006605EC"/>
    <w:rsid w:val="00661961"/>
    <w:rsid w:val="00661D26"/>
    <w:rsid w:val="00662291"/>
    <w:rsid w:val="0066260F"/>
    <w:rsid w:val="006626E1"/>
    <w:rsid w:val="0066320B"/>
    <w:rsid w:val="006637A2"/>
    <w:rsid w:val="00663916"/>
    <w:rsid w:val="006639CA"/>
    <w:rsid w:val="00664492"/>
    <w:rsid w:val="006646E3"/>
    <w:rsid w:val="00665055"/>
    <w:rsid w:val="006653FB"/>
    <w:rsid w:val="00665CA7"/>
    <w:rsid w:val="00665E5D"/>
    <w:rsid w:val="00667651"/>
    <w:rsid w:val="00667F76"/>
    <w:rsid w:val="0067013E"/>
    <w:rsid w:val="0067063C"/>
    <w:rsid w:val="00670B2A"/>
    <w:rsid w:val="00670C20"/>
    <w:rsid w:val="00670DA3"/>
    <w:rsid w:val="00671161"/>
    <w:rsid w:val="00671538"/>
    <w:rsid w:val="00671AE1"/>
    <w:rsid w:val="00671F0C"/>
    <w:rsid w:val="00672103"/>
    <w:rsid w:val="0067211A"/>
    <w:rsid w:val="006722A3"/>
    <w:rsid w:val="0067336A"/>
    <w:rsid w:val="00673597"/>
    <w:rsid w:val="006739CD"/>
    <w:rsid w:val="00673ABF"/>
    <w:rsid w:val="00673DC7"/>
    <w:rsid w:val="00674884"/>
    <w:rsid w:val="00674D17"/>
    <w:rsid w:val="00675572"/>
    <w:rsid w:val="006756E8"/>
    <w:rsid w:val="006758FD"/>
    <w:rsid w:val="00675C46"/>
    <w:rsid w:val="00676119"/>
    <w:rsid w:val="00676E4C"/>
    <w:rsid w:val="0067774E"/>
    <w:rsid w:val="00677932"/>
    <w:rsid w:val="00677D78"/>
    <w:rsid w:val="006801FF"/>
    <w:rsid w:val="00680568"/>
    <w:rsid w:val="00680764"/>
    <w:rsid w:val="00680E80"/>
    <w:rsid w:val="0068110F"/>
    <w:rsid w:val="0068125C"/>
    <w:rsid w:val="00681DBE"/>
    <w:rsid w:val="006822C4"/>
    <w:rsid w:val="00682369"/>
    <w:rsid w:val="00682E5B"/>
    <w:rsid w:val="0068313C"/>
    <w:rsid w:val="0068367A"/>
    <w:rsid w:val="00683AE8"/>
    <w:rsid w:val="00683D41"/>
    <w:rsid w:val="006843E7"/>
    <w:rsid w:val="00684C83"/>
    <w:rsid w:val="00684EE7"/>
    <w:rsid w:val="006851C5"/>
    <w:rsid w:val="00685BD3"/>
    <w:rsid w:val="00685CCB"/>
    <w:rsid w:val="00685F08"/>
    <w:rsid w:val="00686160"/>
    <w:rsid w:val="0068689B"/>
    <w:rsid w:val="00686B8E"/>
    <w:rsid w:val="00686C1B"/>
    <w:rsid w:val="00686F2E"/>
    <w:rsid w:val="00687005"/>
    <w:rsid w:val="00687271"/>
    <w:rsid w:val="006876BA"/>
    <w:rsid w:val="00687828"/>
    <w:rsid w:val="006878DE"/>
    <w:rsid w:val="00687BE4"/>
    <w:rsid w:val="00687E16"/>
    <w:rsid w:val="00690695"/>
    <w:rsid w:val="00690D4C"/>
    <w:rsid w:val="00690DDF"/>
    <w:rsid w:val="00691619"/>
    <w:rsid w:val="00691832"/>
    <w:rsid w:val="006918D9"/>
    <w:rsid w:val="00691D7B"/>
    <w:rsid w:val="006929FD"/>
    <w:rsid w:val="00692BFF"/>
    <w:rsid w:val="00692C1B"/>
    <w:rsid w:val="006930D7"/>
    <w:rsid w:val="006938C1"/>
    <w:rsid w:val="006939E9"/>
    <w:rsid w:val="00694485"/>
    <w:rsid w:val="0069451D"/>
    <w:rsid w:val="00695593"/>
    <w:rsid w:val="006961C3"/>
    <w:rsid w:val="00696F58"/>
    <w:rsid w:val="006A008D"/>
    <w:rsid w:val="006A0146"/>
    <w:rsid w:val="006A025D"/>
    <w:rsid w:val="006A045C"/>
    <w:rsid w:val="006A07D5"/>
    <w:rsid w:val="006A10CB"/>
    <w:rsid w:val="006A1879"/>
    <w:rsid w:val="006A26A2"/>
    <w:rsid w:val="006A2995"/>
    <w:rsid w:val="006A2E91"/>
    <w:rsid w:val="006A3298"/>
    <w:rsid w:val="006A46F5"/>
    <w:rsid w:val="006A5C69"/>
    <w:rsid w:val="006A5E41"/>
    <w:rsid w:val="006A5EA4"/>
    <w:rsid w:val="006A64E9"/>
    <w:rsid w:val="006A7136"/>
    <w:rsid w:val="006A7973"/>
    <w:rsid w:val="006A7FDA"/>
    <w:rsid w:val="006B0016"/>
    <w:rsid w:val="006B007F"/>
    <w:rsid w:val="006B0B5C"/>
    <w:rsid w:val="006B135C"/>
    <w:rsid w:val="006B1B6F"/>
    <w:rsid w:val="006B20B3"/>
    <w:rsid w:val="006B218A"/>
    <w:rsid w:val="006B21C8"/>
    <w:rsid w:val="006B2637"/>
    <w:rsid w:val="006B2B12"/>
    <w:rsid w:val="006B2B86"/>
    <w:rsid w:val="006B2D5D"/>
    <w:rsid w:val="006B306A"/>
    <w:rsid w:val="006B32CA"/>
    <w:rsid w:val="006B39AA"/>
    <w:rsid w:val="006B40AC"/>
    <w:rsid w:val="006B417B"/>
    <w:rsid w:val="006B48B5"/>
    <w:rsid w:val="006B56FE"/>
    <w:rsid w:val="006B62A6"/>
    <w:rsid w:val="006B657B"/>
    <w:rsid w:val="006B746F"/>
    <w:rsid w:val="006B7B1A"/>
    <w:rsid w:val="006C0916"/>
    <w:rsid w:val="006C12BA"/>
    <w:rsid w:val="006C13E7"/>
    <w:rsid w:val="006C200A"/>
    <w:rsid w:val="006C28B6"/>
    <w:rsid w:val="006C2B02"/>
    <w:rsid w:val="006C3018"/>
    <w:rsid w:val="006C32E7"/>
    <w:rsid w:val="006C3437"/>
    <w:rsid w:val="006C3DE2"/>
    <w:rsid w:val="006C460A"/>
    <w:rsid w:val="006C461E"/>
    <w:rsid w:val="006C502D"/>
    <w:rsid w:val="006C504D"/>
    <w:rsid w:val="006C599D"/>
    <w:rsid w:val="006C5C1A"/>
    <w:rsid w:val="006C6054"/>
    <w:rsid w:val="006C63C1"/>
    <w:rsid w:val="006C6405"/>
    <w:rsid w:val="006C6527"/>
    <w:rsid w:val="006C6917"/>
    <w:rsid w:val="006C6BB7"/>
    <w:rsid w:val="006C6E8D"/>
    <w:rsid w:val="006C7090"/>
    <w:rsid w:val="006D0017"/>
    <w:rsid w:val="006D0748"/>
    <w:rsid w:val="006D0C66"/>
    <w:rsid w:val="006D0CBA"/>
    <w:rsid w:val="006D1653"/>
    <w:rsid w:val="006D1CEB"/>
    <w:rsid w:val="006D2CDF"/>
    <w:rsid w:val="006D2DFC"/>
    <w:rsid w:val="006D2F04"/>
    <w:rsid w:val="006D2F06"/>
    <w:rsid w:val="006D30A9"/>
    <w:rsid w:val="006D3BB5"/>
    <w:rsid w:val="006D3CF0"/>
    <w:rsid w:val="006D3E95"/>
    <w:rsid w:val="006D4DB4"/>
    <w:rsid w:val="006D5301"/>
    <w:rsid w:val="006D5D57"/>
    <w:rsid w:val="006D5E51"/>
    <w:rsid w:val="006D60D1"/>
    <w:rsid w:val="006D646B"/>
    <w:rsid w:val="006D74E0"/>
    <w:rsid w:val="006D75C8"/>
    <w:rsid w:val="006D7638"/>
    <w:rsid w:val="006D7C01"/>
    <w:rsid w:val="006E0248"/>
    <w:rsid w:val="006E036A"/>
    <w:rsid w:val="006E052A"/>
    <w:rsid w:val="006E06E8"/>
    <w:rsid w:val="006E0A75"/>
    <w:rsid w:val="006E118C"/>
    <w:rsid w:val="006E12D2"/>
    <w:rsid w:val="006E1391"/>
    <w:rsid w:val="006E1EB5"/>
    <w:rsid w:val="006E2600"/>
    <w:rsid w:val="006E2A3C"/>
    <w:rsid w:val="006E2B82"/>
    <w:rsid w:val="006E2C28"/>
    <w:rsid w:val="006E3B5F"/>
    <w:rsid w:val="006E4703"/>
    <w:rsid w:val="006E4AB8"/>
    <w:rsid w:val="006E536B"/>
    <w:rsid w:val="006E555E"/>
    <w:rsid w:val="006E59C2"/>
    <w:rsid w:val="006E5AF6"/>
    <w:rsid w:val="006E6525"/>
    <w:rsid w:val="006E6A98"/>
    <w:rsid w:val="006E6E39"/>
    <w:rsid w:val="006E7356"/>
    <w:rsid w:val="006E744E"/>
    <w:rsid w:val="006E7571"/>
    <w:rsid w:val="006F0242"/>
    <w:rsid w:val="006F07CE"/>
    <w:rsid w:val="006F1774"/>
    <w:rsid w:val="006F1926"/>
    <w:rsid w:val="006F1BFE"/>
    <w:rsid w:val="006F1CFB"/>
    <w:rsid w:val="006F2B74"/>
    <w:rsid w:val="006F3009"/>
    <w:rsid w:val="006F30E4"/>
    <w:rsid w:val="006F3A5A"/>
    <w:rsid w:val="006F40C8"/>
    <w:rsid w:val="006F41EB"/>
    <w:rsid w:val="006F4632"/>
    <w:rsid w:val="006F4866"/>
    <w:rsid w:val="006F4C81"/>
    <w:rsid w:val="006F5249"/>
    <w:rsid w:val="006F548F"/>
    <w:rsid w:val="006F681A"/>
    <w:rsid w:val="006F6858"/>
    <w:rsid w:val="006F68E7"/>
    <w:rsid w:val="006F6E2F"/>
    <w:rsid w:val="006F6F1D"/>
    <w:rsid w:val="006F6F2F"/>
    <w:rsid w:val="006F79F8"/>
    <w:rsid w:val="006F7C43"/>
    <w:rsid w:val="007002B4"/>
    <w:rsid w:val="0070084A"/>
    <w:rsid w:val="00700938"/>
    <w:rsid w:val="0070152A"/>
    <w:rsid w:val="00701D7D"/>
    <w:rsid w:val="00702055"/>
    <w:rsid w:val="0070206B"/>
    <w:rsid w:val="0070230F"/>
    <w:rsid w:val="00702720"/>
    <w:rsid w:val="00703296"/>
    <w:rsid w:val="00703667"/>
    <w:rsid w:val="00703D29"/>
    <w:rsid w:val="00703D89"/>
    <w:rsid w:val="00703DEB"/>
    <w:rsid w:val="00704110"/>
    <w:rsid w:val="0070492A"/>
    <w:rsid w:val="00704B1B"/>
    <w:rsid w:val="00704B85"/>
    <w:rsid w:val="00704D7F"/>
    <w:rsid w:val="00705024"/>
    <w:rsid w:val="0070575D"/>
    <w:rsid w:val="00706F3C"/>
    <w:rsid w:val="00706F78"/>
    <w:rsid w:val="0070725B"/>
    <w:rsid w:val="0071026F"/>
    <w:rsid w:val="0071043C"/>
    <w:rsid w:val="00711CDC"/>
    <w:rsid w:val="00712720"/>
    <w:rsid w:val="00712DC2"/>
    <w:rsid w:val="00713723"/>
    <w:rsid w:val="00713B13"/>
    <w:rsid w:val="00714251"/>
    <w:rsid w:val="00714678"/>
    <w:rsid w:val="007147B9"/>
    <w:rsid w:val="00714C9C"/>
    <w:rsid w:val="00715138"/>
    <w:rsid w:val="0071535E"/>
    <w:rsid w:val="007154C2"/>
    <w:rsid w:val="00715C55"/>
    <w:rsid w:val="00715CA9"/>
    <w:rsid w:val="00716570"/>
    <w:rsid w:val="007168B0"/>
    <w:rsid w:val="00717736"/>
    <w:rsid w:val="00720D5D"/>
    <w:rsid w:val="00720E46"/>
    <w:rsid w:val="00721466"/>
    <w:rsid w:val="007218F4"/>
    <w:rsid w:val="00721C91"/>
    <w:rsid w:val="00721D90"/>
    <w:rsid w:val="007223FB"/>
    <w:rsid w:val="00722797"/>
    <w:rsid w:val="0072313A"/>
    <w:rsid w:val="0072313D"/>
    <w:rsid w:val="007231C7"/>
    <w:rsid w:val="0072369A"/>
    <w:rsid w:val="007239BD"/>
    <w:rsid w:val="00723A26"/>
    <w:rsid w:val="00723A97"/>
    <w:rsid w:val="00724183"/>
    <w:rsid w:val="00724B18"/>
    <w:rsid w:val="00724EC1"/>
    <w:rsid w:val="00725322"/>
    <w:rsid w:val="007255E4"/>
    <w:rsid w:val="0072581A"/>
    <w:rsid w:val="00725AED"/>
    <w:rsid w:val="00725E34"/>
    <w:rsid w:val="007261CA"/>
    <w:rsid w:val="007262E6"/>
    <w:rsid w:val="00726693"/>
    <w:rsid w:val="00726816"/>
    <w:rsid w:val="00726FCA"/>
    <w:rsid w:val="007278B6"/>
    <w:rsid w:val="00727905"/>
    <w:rsid w:val="007308B1"/>
    <w:rsid w:val="007308CC"/>
    <w:rsid w:val="007309C4"/>
    <w:rsid w:val="00730BCD"/>
    <w:rsid w:val="00731042"/>
    <w:rsid w:val="00731368"/>
    <w:rsid w:val="007313FB"/>
    <w:rsid w:val="00731E1E"/>
    <w:rsid w:val="007321AA"/>
    <w:rsid w:val="007322A1"/>
    <w:rsid w:val="007322A3"/>
    <w:rsid w:val="00732860"/>
    <w:rsid w:val="00732DA8"/>
    <w:rsid w:val="0073386E"/>
    <w:rsid w:val="00734692"/>
    <w:rsid w:val="00734C8C"/>
    <w:rsid w:val="007350A9"/>
    <w:rsid w:val="00735502"/>
    <w:rsid w:val="007356E1"/>
    <w:rsid w:val="007358D9"/>
    <w:rsid w:val="0073622E"/>
    <w:rsid w:val="007363C1"/>
    <w:rsid w:val="00736F18"/>
    <w:rsid w:val="00737052"/>
    <w:rsid w:val="00737F1F"/>
    <w:rsid w:val="00740046"/>
    <w:rsid w:val="00740142"/>
    <w:rsid w:val="007402B7"/>
    <w:rsid w:val="007411C5"/>
    <w:rsid w:val="007412DB"/>
    <w:rsid w:val="00741BDE"/>
    <w:rsid w:val="00741CD6"/>
    <w:rsid w:val="0074236B"/>
    <w:rsid w:val="007428E3"/>
    <w:rsid w:val="00743027"/>
    <w:rsid w:val="00743090"/>
    <w:rsid w:val="007436A3"/>
    <w:rsid w:val="00743F19"/>
    <w:rsid w:val="007441CC"/>
    <w:rsid w:val="00744BFF"/>
    <w:rsid w:val="00745154"/>
    <w:rsid w:val="007454EE"/>
    <w:rsid w:val="00745775"/>
    <w:rsid w:val="00745A58"/>
    <w:rsid w:val="007468FC"/>
    <w:rsid w:val="00746B7D"/>
    <w:rsid w:val="00746D05"/>
    <w:rsid w:val="007471C3"/>
    <w:rsid w:val="007474E9"/>
    <w:rsid w:val="00747B46"/>
    <w:rsid w:val="00747C44"/>
    <w:rsid w:val="00747C5A"/>
    <w:rsid w:val="007502C6"/>
    <w:rsid w:val="00750332"/>
    <w:rsid w:val="0075080D"/>
    <w:rsid w:val="00750A86"/>
    <w:rsid w:val="007510DC"/>
    <w:rsid w:val="0075116E"/>
    <w:rsid w:val="00751507"/>
    <w:rsid w:val="00751646"/>
    <w:rsid w:val="00751F73"/>
    <w:rsid w:val="00752208"/>
    <w:rsid w:val="007525C8"/>
    <w:rsid w:val="00752637"/>
    <w:rsid w:val="007529FC"/>
    <w:rsid w:val="00752A3A"/>
    <w:rsid w:val="00752B54"/>
    <w:rsid w:val="00752D8B"/>
    <w:rsid w:val="00753464"/>
    <w:rsid w:val="00753C48"/>
    <w:rsid w:val="007545E7"/>
    <w:rsid w:val="00754AFF"/>
    <w:rsid w:val="0075544B"/>
    <w:rsid w:val="00755569"/>
    <w:rsid w:val="00756263"/>
    <w:rsid w:val="00756C88"/>
    <w:rsid w:val="00756D59"/>
    <w:rsid w:val="007571E4"/>
    <w:rsid w:val="007572C5"/>
    <w:rsid w:val="0075735F"/>
    <w:rsid w:val="007579BE"/>
    <w:rsid w:val="007602F7"/>
    <w:rsid w:val="00760E5B"/>
    <w:rsid w:val="00760E9F"/>
    <w:rsid w:val="00760FD9"/>
    <w:rsid w:val="007614FA"/>
    <w:rsid w:val="00761A59"/>
    <w:rsid w:val="00761F02"/>
    <w:rsid w:val="007630A1"/>
    <w:rsid w:val="00763497"/>
    <w:rsid w:val="00763DF6"/>
    <w:rsid w:val="00764D4C"/>
    <w:rsid w:val="00765613"/>
    <w:rsid w:val="007658AC"/>
    <w:rsid w:val="00765FD2"/>
    <w:rsid w:val="00766CF7"/>
    <w:rsid w:val="00766E6B"/>
    <w:rsid w:val="007671F8"/>
    <w:rsid w:val="0076720A"/>
    <w:rsid w:val="0076733E"/>
    <w:rsid w:val="007675FF"/>
    <w:rsid w:val="00770141"/>
    <w:rsid w:val="007706DB"/>
    <w:rsid w:val="00770BE3"/>
    <w:rsid w:val="00771945"/>
    <w:rsid w:val="00771CA0"/>
    <w:rsid w:val="007727F3"/>
    <w:rsid w:val="00773302"/>
    <w:rsid w:val="00773E3D"/>
    <w:rsid w:val="0077405B"/>
    <w:rsid w:val="00774577"/>
    <w:rsid w:val="00775412"/>
    <w:rsid w:val="00775A9C"/>
    <w:rsid w:val="00775B1E"/>
    <w:rsid w:val="00775C14"/>
    <w:rsid w:val="00776E0B"/>
    <w:rsid w:val="0077743D"/>
    <w:rsid w:val="007776C7"/>
    <w:rsid w:val="00777D63"/>
    <w:rsid w:val="00780B7B"/>
    <w:rsid w:val="00780C88"/>
    <w:rsid w:val="00780E96"/>
    <w:rsid w:val="00780FE3"/>
    <w:rsid w:val="0078142E"/>
    <w:rsid w:val="007814E9"/>
    <w:rsid w:val="0078170D"/>
    <w:rsid w:val="00781826"/>
    <w:rsid w:val="007819E7"/>
    <w:rsid w:val="00781F77"/>
    <w:rsid w:val="0078238F"/>
    <w:rsid w:val="007828ED"/>
    <w:rsid w:val="007835FD"/>
    <w:rsid w:val="007836D6"/>
    <w:rsid w:val="0078416F"/>
    <w:rsid w:val="0078437D"/>
    <w:rsid w:val="00784AD0"/>
    <w:rsid w:val="00784C26"/>
    <w:rsid w:val="00784C43"/>
    <w:rsid w:val="007854DB"/>
    <w:rsid w:val="00786845"/>
    <w:rsid w:val="007872ED"/>
    <w:rsid w:val="0078758F"/>
    <w:rsid w:val="00787DE8"/>
    <w:rsid w:val="00790001"/>
    <w:rsid w:val="00790294"/>
    <w:rsid w:val="0079063E"/>
    <w:rsid w:val="007906EF"/>
    <w:rsid w:val="00790B86"/>
    <w:rsid w:val="00791418"/>
    <w:rsid w:val="00792454"/>
    <w:rsid w:val="007928C3"/>
    <w:rsid w:val="00792B12"/>
    <w:rsid w:val="00792D1A"/>
    <w:rsid w:val="00793051"/>
    <w:rsid w:val="00793B72"/>
    <w:rsid w:val="007944FB"/>
    <w:rsid w:val="007954BD"/>
    <w:rsid w:val="00795F3C"/>
    <w:rsid w:val="0079636D"/>
    <w:rsid w:val="00796487"/>
    <w:rsid w:val="00796A05"/>
    <w:rsid w:val="0079728E"/>
    <w:rsid w:val="00797614"/>
    <w:rsid w:val="00797680"/>
    <w:rsid w:val="007977BD"/>
    <w:rsid w:val="00797A66"/>
    <w:rsid w:val="00797D02"/>
    <w:rsid w:val="00797DE4"/>
    <w:rsid w:val="007A04C2"/>
    <w:rsid w:val="007A0768"/>
    <w:rsid w:val="007A082B"/>
    <w:rsid w:val="007A0955"/>
    <w:rsid w:val="007A0997"/>
    <w:rsid w:val="007A12A7"/>
    <w:rsid w:val="007A1AB7"/>
    <w:rsid w:val="007A22B8"/>
    <w:rsid w:val="007A2433"/>
    <w:rsid w:val="007A24CE"/>
    <w:rsid w:val="007A26F6"/>
    <w:rsid w:val="007A3C3A"/>
    <w:rsid w:val="007A4016"/>
    <w:rsid w:val="007A411E"/>
    <w:rsid w:val="007A4411"/>
    <w:rsid w:val="007A4733"/>
    <w:rsid w:val="007A473A"/>
    <w:rsid w:val="007A5C13"/>
    <w:rsid w:val="007A5FC2"/>
    <w:rsid w:val="007A6373"/>
    <w:rsid w:val="007A6611"/>
    <w:rsid w:val="007A69A6"/>
    <w:rsid w:val="007A6B3D"/>
    <w:rsid w:val="007A6D27"/>
    <w:rsid w:val="007A6E64"/>
    <w:rsid w:val="007A6F36"/>
    <w:rsid w:val="007A7314"/>
    <w:rsid w:val="007A79BE"/>
    <w:rsid w:val="007A7E42"/>
    <w:rsid w:val="007B02F4"/>
    <w:rsid w:val="007B0324"/>
    <w:rsid w:val="007B078D"/>
    <w:rsid w:val="007B0B37"/>
    <w:rsid w:val="007B0F1D"/>
    <w:rsid w:val="007B1238"/>
    <w:rsid w:val="007B1FBE"/>
    <w:rsid w:val="007B2021"/>
    <w:rsid w:val="007B2C62"/>
    <w:rsid w:val="007B3043"/>
    <w:rsid w:val="007B340C"/>
    <w:rsid w:val="007B3A59"/>
    <w:rsid w:val="007B3A6B"/>
    <w:rsid w:val="007B484C"/>
    <w:rsid w:val="007B6315"/>
    <w:rsid w:val="007B6358"/>
    <w:rsid w:val="007B680B"/>
    <w:rsid w:val="007B6959"/>
    <w:rsid w:val="007B6EC9"/>
    <w:rsid w:val="007B7E34"/>
    <w:rsid w:val="007C194D"/>
    <w:rsid w:val="007C2056"/>
    <w:rsid w:val="007C30A3"/>
    <w:rsid w:val="007C324A"/>
    <w:rsid w:val="007C3510"/>
    <w:rsid w:val="007C362D"/>
    <w:rsid w:val="007C3A86"/>
    <w:rsid w:val="007C3E19"/>
    <w:rsid w:val="007C4C11"/>
    <w:rsid w:val="007C4DE6"/>
    <w:rsid w:val="007C5166"/>
    <w:rsid w:val="007C5C1D"/>
    <w:rsid w:val="007C72C3"/>
    <w:rsid w:val="007C7436"/>
    <w:rsid w:val="007C7A15"/>
    <w:rsid w:val="007C7DF1"/>
    <w:rsid w:val="007D065A"/>
    <w:rsid w:val="007D0EB4"/>
    <w:rsid w:val="007D1093"/>
    <w:rsid w:val="007D1644"/>
    <w:rsid w:val="007D1E37"/>
    <w:rsid w:val="007D21AC"/>
    <w:rsid w:val="007D23C9"/>
    <w:rsid w:val="007D27AB"/>
    <w:rsid w:val="007D27F7"/>
    <w:rsid w:val="007D2D11"/>
    <w:rsid w:val="007D34F9"/>
    <w:rsid w:val="007D3CFB"/>
    <w:rsid w:val="007D4110"/>
    <w:rsid w:val="007D474B"/>
    <w:rsid w:val="007D5168"/>
    <w:rsid w:val="007D5237"/>
    <w:rsid w:val="007D5744"/>
    <w:rsid w:val="007D5BE6"/>
    <w:rsid w:val="007D5F4A"/>
    <w:rsid w:val="007D653B"/>
    <w:rsid w:val="007D6760"/>
    <w:rsid w:val="007D699F"/>
    <w:rsid w:val="007D6A6B"/>
    <w:rsid w:val="007D7343"/>
    <w:rsid w:val="007D774B"/>
    <w:rsid w:val="007D7897"/>
    <w:rsid w:val="007D7C62"/>
    <w:rsid w:val="007E0148"/>
    <w:rsid w:val="007E0C0B"/>
    <w:rsid w:val="007E12C2"/>
    <w:rsid w:val="007E1467"/>
    <w:rsid w:val="007E16A2"/>
    <w:rsid w:val="007E1FF6"/>
    <w:rsid w:val="007E235D"/>
    <w:rsid w:val="007E28BE"/>
    <w:rsid w:val="007E2AFA"/>
    <w:rsid w:val="007E2CC4"/>
    <w:rsid w:val="007E3304"/>
    <w:rsid w:val="007E33B8"/>
    <w:rsid w:val="007E34D7"/>
    <w:rsid w:val="007E4138"/>
    <w:rsid w:val="007E4428"/>
    <w:rsid w:val="007E4FB0"/>
    <w:rsid w:val="007E50C9"/>
    <w:rsid w:val="007E546C"/>
    <w:rsid w:val="007E5672"/>
    <w:rsid w:val="007E5697"/>
    <w:rsid w:val="007E596E"/>
    <w:rsid w:val="007E65FD"/>
    <w:rsid w:val="007E689C"/>
    <w:rsid w:val="007E6C68"/>
    <w:rsid w:val="007E71D3"/>
    <w:rsid w:val="007E7A2E"/>
    <w:rsid w:val="007E7B02"/>
    <w:rsid w:val="007E7E69"/>
    <w:rsid w:val="007F0400"/>
    <w:rsid w:val="007F33F7"/>
    <w:rsid w:val="007F3D22"/>
    <w:rsid w:val="007F3FBC"/>
    <w:rsid w:val="007F4731"/>
    <w:rsid w:val="007F4902"/>
    <w:rsid w:val="007F4C2C"/>
    <w:rsid w:val="007F4E33"/>
    <w:rsid w:val="007F5124"/>
    <w:rsid w:val="007F556E"/>
    <w:rsid w:val="007F5B54"/>
    <w:rsid w:val="007F6707"/>
    <w:rsid w:val="007F6F86"/>
    <w:rsid w:val="007F7205"/>
    <w:rsid w:val="007F7350"/>
    <w:rsid w:val="007F7B28"/>
    <w:rsid w:val="00800674"/>
    <w:rsid w:val="00800E05"/>
    <w:rsid w:val="00801FAB"/>
    <w:rsid w:val="0080297F"/>
    <w:rsid w:val="008030C5"/>
    <w:rsid w:val="008036B3"/>
    <w:rsid w:val="0080373A"/>
    <w:rsid w:val="00803889"/>
    <w:rsid w:val="008040B7"/>
    <w:rsid w:val="00805810"/>
    <w:rsid w:val="00806601"/>
    <w:rsid w:val="008070A6"/>
    <w:rsid w:val="00807229"/>
    <w:rsid w:val="008078D9"/>
    <w:rsid w:val="00807D0F"/>
    <w:rsid w:val="00807FA6"/>
    <w:rsid w:val="0081040A"/>
    <w:rsid w:val="00810DD8"/>
    <w:rsid w:val="00810F99"/>
    <w:rsid w:val="008117F8"/>
    <w:rsid w:val="00812022"/>
    <w:rsid w:val="008125AA"/>
    <w:rsid w:val="0081263D"/>
    <w:rsid w:val="00812EF0"/>
    <w:rsid w:val="008138FE"/>
    <w:rsid w:val="00813FFB"/>
    <w:rsid w:val="0081428C"/>
    <w:rsid w:val="00814E21"/>
    <w:rsid w:val="00815E85"/>
    <w:rsid w:val="00816181"/>
    <w:rsid w:val="00816420"/>
    <w:rsid w:val="00816841"/>
    <w:rsid w:val="00816B7C"/>
    <w:rsid w:val="0081715A"/>
    <w:rsid w:val="00817228"/>
    <w:rsid w:val="00817C63"/>
    <w:rsid w:val="0082057E"/>
    <w:rsid w:val="00820ACF"/>
    <w:rsid w:val="008215B7"/>
    <w:rsid w:val="008219C1"/>
    <w:rsid w:val="00821AF8"/>
    <w:rsid w:val="00821DA8"/>
    <w:rsid w:val="0082244C"/>
    <w:rsid w:val="0082252B"/>
    <w:rsid w:val="00822570"/>
    <w:rsid w:val="00823086"/>
    <w:rsid w:val="008231A1"/>
    <w:rsid w:val="00823426"/>
    <w:rsid w:val="0082363D"/>
    <w:rsid w:val="008247D3"/>
    <w:rsid w:val="00824880"/>
    <w:rsid w:val="00825328"/>
    <w:rsid w:val="00826052"/>
    <w:rsid w:val="008261C4"/>
    <w:rsid w:val="008261E9"/>
    <w:rsid w:val="00826C92"/>
    <w:rsid w:val="00826E81"/>
    <w:rsid w:val="0082760A"/>
    <w:rsid w:val="00830EE6"/>
    <w:rsid w:val="00830FE4"/>
    <w:rsid w:val="00831209"/>
    <w:rsid w:val="00831596"/>
    <w:rsid w:val="0083193E"/>
    <w:rsid w:val="00831FC4"/>
    <w:rsid w:val="0083216E"/>
    <w:rsid w:val="0083236D"/>
    <w:rsid w:val="00832651"/>
    <w:rsid w:val="008339DC"/>
    <w:rsid w:val="00833CA3"/>
    <w:rsid w:val="008340E6"/>
    <w:rsid w:val="00834AAC"/>
    <w:rsid w:val="008358A4"/>
    <w:rsid w:val="00835A6E"/>
    <w:rsid w:val="00835EE9"/>
    <w:rsid w:val="008362FE"/>
    <w:rsid w:val="0083650F"/>
    <w:rsid w:val="0083681E"/>
    <w:rsid w:val="00836C26"/>
    <w:rsid w:val="00836C8C"/>
    <w:rsid w:val="00836E0E"/>
    <w:rsid w:val="008370B3"/>
    <w:rsid w:val="008370DB"/>
    <w:rsid w:val="00837236"/>
    <w:rsid w:val="008372B2"/>
    <w:rsid w:val="00840721"/>
    <w:rsid w:val="00840C2F"/>
    <w:rsid w:val="00840F30"/>
    <w:rsid w:val="00840FFE"/>
    <w:rsid w:val="00841898"/>
    <w:rsid w:val="00841E8E"/>
    <w:rsid w:val="00842438"/>
    <w:rsid w:val="00842C6E"/>
    <w:rsid w:val="00842ED3"/>
    <w:rsid w:val="008430D2"/>
    <w:rsid w:val="00843ABA"/>
    <w:rsid w:val="008440CA"/>
    <w:rsid w:val="0084417C"/>
    <w:rsid w:val="008443F0"/>
    <w:rsid w:val="008448DA"/>
    <w:rsid w:val="00844F21"/>
    <w:rsid w:val="00845374"/>
    <w:rsid w:val="008454C6"/>
    <w:rsid w:val="00845559"/>
    <w:rsid w:val="00845884"/>
    <w:rsid w:val="00845BF8"/>
    <w:rsid w:val="0084650B"/>
    <w:rsid w:val="0084687E"/>
    <w:rsid w:val="00846CED"/>
    <w:rsid w:val="00846E74"/>
    <w:rsid w:val="00847503"/>
    <w:rsid w:val="008476A8"/>
    <w:rsid w:val="00847ED6"/>
    <w:rsid w:val="00850180"/>
    <w:rsid w:val="008503AA"/>
    <w:rsid w:val="00850A1B"/>
    <w:rsid w:val="00850F79"/>
    <w:rsid w:val="008511A6"/>
    <w:rsid w:val="008512AE"/>
    <w:rsid w:val="0085144A"/>
    <w:rsid w:val="00851FF6"/>
    <w:rsid w:val="0085236D"/>
    <w:rsid w:val="008526E6"/>
    <w:rsid w:val="0085303C"/>
    <w:rsid w:val="00853135"/>
    <w:rsid w:val="0085372E"/>
    <w:rsid w:val="00853B8B"/>
    <w:rsid w:val="00853BB2"/>
    <w:rsid w:val="00853F7E"/>
    <w:rsid w:val="00855422"/>
    <w:rsid w:val="008577C1"/>
    <w:rsid w:val="0085788A"/>
    <w:rsid w:val="00857E54"/>
    <w:rsid w:val="0086018C"/>
    <w:rsid w:val="00860540"/>
    <w:rsid w:val="0086074C"/>
    <w:rsid w:val="00860F06"/>
    <w:rsid w:val="00861168"/>
    <w:rsid w:val="00861D15"/>
    <w:rsid w:val="00861EED"/>
    <w:rsid w:val="00862182"/>
    <w:rsid w:val="008625C8"/>
    <w:rsid w:val="00864345"/>
    <w:rsid w:val="0086463D"/>
    <w:rsid w:val="00864963"/>
    <w:rsid w:val="00866298"/>
    <w:rsid w:val="00866534"/>
    <w:rsid w:val="008667F0"/>
    <w:rsid w:val="008667F8"/>
    <w:rsid w:val="00866E5F"/>
    <w:rsid w:val="00866F52"/>
    <w:rsid w:val="00867468"/>
    <w:rsid w:val="00867B52"/>
    <w:rsid w:val="008701B4"/>
    <w:rsid w:val="00870307"/>
    <w:rsid w:val="00872306"/>
    <w:rsid w:val="00872B87"/>
    <w:rsid w:val="00873822"/>
    <w:rsid w:val="0087390D"/>
    <w:rsid w:val="00874D09"/>
    <w:rsid w:val="00874D75"/>
    <w:rsid w:val="00874E4F"/>
    <w:rsid w:val="00875F3F"/>
    <w:rsid w:val="008765CA"/>
    <w:rsid w:val="00876A86"/>
    <w:rsid w:val="00876B1A"/>
    <w:rsid w:val="00876C55"/>
    <w:rsid w:val="00876EE1"/>
    <w:rsid w:val="008773D5"/>
    <w:rsid w:val="00877615"/>
    <w:rsid w:val="008776D6"/>
    <w:rsid w:val="0087791E"/>
    <w:rsid w:val="00877A67"/>
    <w:rsid w:val="00877E76"/>
    <w:rsid w:val="0087A75D"/>
    <w:rsid w:val="00880075"/>
    <w:rsid w:val="0088024B"/>
    <w:rsid w:val="00880699"/>
    <w:rsid w:val="00880861"/>
    <w:rsid w:val="008811C7"/>
    <w:rsid w:val="00881929"/>
    <w:rsid w:val="00881DBB"/>
    <w:rsid w:val="00882DBB"/>
    <w:rsid w:val="00883892"/>
    <w:rsid w:val="00883B73"/>
    <w:rsid w:val="00883F77"/>
    <w:rsid w:val="00884026"/>
    <w:rsid w:val="00884420"/>
    <w:rsid w:val="00884491"/>
    <w:rsid w:val="00884A1F"/>
    <w:rsid w:val="00886374"/>
    <w:rsid w:val="008869DF"/>
    <w:rsid w:val="00887E6D"/>
    <w:rsid w:val="00890471"/>
    <w:rsid w:val="008904B9"/>
    <w:rsid w:val="008906B0"/>
    <w:rsid w:val="00890F75"/>
    <w:rsid w:val="008910C3"/>
    <w:rsid w:val="00891A10"/>
    <w:rsid w:val="00891B31"/>
    <w:rsid w:val="00891F03"/>
    <w:rsid w:val="00892908"/>
    <w:rsid w:val="008929FB"/>
    <w:rsid w:val="00892C32"/>
    <w:rsid w:val="00892DA9"/>
    <w:rsid w:val="00893299"/>
    <w:rsid w:val="008939DA"/>
    <w:rsid w:val="00893ACE"/>
    <w:rsid w:val="00893E16"/>
    <w:rsid w:val="008943B0"/>
    <w:rsid w:val="0089441D"/>
    <w:rsid w:val="0089458B"/>
    <w:rsid w:val="008946DD"/>
    <w:rsid w:val="008951F1"/>
    <w:rsid w:val="00895ADD"/>
    <w:rsid w:val="00895CCD"/>
    <w:rsid w:val="00896624"/>
    <w:rsid w:val="008968E0"/>
    <w:rsid w:val="00896EAB"/>
    <w:rsid w:val="00897F2A"/>
    <w:rsid w:val="008A0978"/>
    <w:rsid w:val="008A0A1E"/>
    <w:rsid w:val="008A0B7B"/>
    <w:rsid w:val="008A1254"/>
    <w:rsid w:val="008A1FFB"/>
    <w:rsid w:val="008A226C"/>
    <w:rsid w:val="008A27BD"/>
    <w:rsid w:val="008A3135"/>
    <w:rsid w:val="008A3146"/>
    <w:rsid w:val="008A31E8"/>
    <w:rsid w:val="008A3217"/>
    <w:rsid w:val="008A3300"/>
    <w:rsid w:val="008A371D"/>
    <w:rsid w:val="008A38D9"/>
    <w:rsid w:val="008A3CAF"/>
    <w:rsid w:val="008A3D9D"/>
    <w:rsid w:val="008A3FF6"/>
    <w:rsid w:val="008A40B0"/>
    <w:rsid w:val="008A4236"/>
    <w:rsid w:val="008A4697"/>
    <w:rsid w:val="008A472F"/>
    <w:rsid w:val="008A4772"/>
    <w:rsid w:val="008A4ADE"/>
    <w:rsid w:val="008A538C"/>
    <w:rsid w:val="008A5A7B"/>
    <w:rsid w:val="008A5C6F"/>
    <w:rsid w:val="008A64AF"/>
    <w:rsid w:val="008A671D"/>
    <w:rsid w:val="008A6F4B"/>
    <w:rsid w:val="008A6F74"/>
    <w:rsid w:val="008A73A5"/>
    <w:rsid w:val="008A742F"/>
    <w:rsid w:val="008A7B4C"/>
    <w:rsid w:val="008A7D02"/>
    <w:rsid w:val="008B06F9"/>
    <w:rsid w:val="008B0F8C"/>
    <w:rsid w:val="008B1B04"/>
    <w:rsid w:val="008B1FC9"/>
    <w:rsid w:val="008B2469"/>
    <w:rsid w:val="008B2ECA"/>
    <w:rsid w:val="008B337B"/>
    <w:rsid w:val="008B3504"/>
    <w:rsid w:val="008B3546"/>
    <w:rsid w:val="008B3932"/>
    <w:rsid w:val="008B4AA1"/>
    <w:rsid w:val="008B508D"/>
    <w:rsid w:val="008B52E0"/>
    <w:rsid w:val="008B5AAE"/>
    <w:rsid w:val="008B60BF"/>
    <w:rsid w:val="008B6C49"/>
    <w:rsid w:val="008B6DDC"/>
    <w:rsid w:val="008C00F1"/>
    <w:rsid w:val="008C069E"/>
    <w:rsid w:val="008C09BD"/>
    <w:rsid w:val="008C0AA9"/>
    <w:rsid w:val="008C0AEB"/>
    <w:rsid w:val="008C0B74"/>
    <w:rsid w:val="008C16E9"/>
    <w:rsid w:val="008C2124"/>
    <w:rsid w:val="008C2511"/>
    <w:rsid w:val="008C2D4A"/>
    <w:rsid w:val="008C3042"/>
    <w:rsid w:val="008C320E"/>
    <w:rsid w:val="008C36C8"/>
    <w:rsid w:val="008C3FED"/>
    <w:rsid w:val="008C501C"/>
    <w:rsid w:val="008C520F"/>
    <w:rsid w:val="008C5223"/>
    <w:rsid w:val="008C5546"/>
    <w:rsid w:val="008C5D30"/>
    <w:rsid w:val="008C5F4C"/>
    <w:rsid w:val="008C61D0"/>
    <w:rsid w:val="008C73A1"/>
    <w:rsid w:val="008C7912"/>
    <w:rsid w:val="008C7D3E"/>
    <w:rsid w:val="008D021E"/>
    <w:rsid w:val="008D091F"/>
    <w:rsid w:val="008D09E3"/>
    <w:rsid w:val="008D2EAA"/>
    <w:rsid w:val="008D2F6F"/>
    <w:rsid w:val="008D3015"/>
    <w:rsid w:val="008D3122"/>
    <w:rsid w:val="008D397D"/>
    <w:rsid w:val="008D4468"/>
    <w:rsid w:val="008D4B67"/>
    <w:rsid w:val="008D54AF"/>
    <w:rsid w:val="008D554B"/>
    <w:rsid w:val="008D5C8D"/>
    <w:rsid w:val="008D60CD"/>
    <w:rsid w:val="008D6DA0"/>
    <w:rsid w:val="008D6E07"/>
    <w:rsid w:val="008D6F0B"/>
    <w:rsid w:val="008E0191"/>
    <w:rsid w:val="008E03ED"/>
    <w:rsid w:val="008E14C3"/>
    <w:rsid w:val="008E1780"/>
    <w:rsid w:val="008E21C6"/>
    <w:rsid w:val="008E262B"/>
    <w:rsid w:val="008E2EF9"/>
    <w:rsid w:val="008E32D6"/>
    <w:rsid w:val="008E392F"/>
    <w:rsid w:val="008E42B7"/>
    <w:rsid w:val="008E4353"/>
    <w:rsid w:val="008E4662"/>
    <w:rsid w:val="008E4CB2"/>
    <w:rsid w:val="008E4DC5"/>
    <w:rsid w:val="008E5280"/>
    <w:rsid w:val="008E5998"/>
    <w:rsid w:val="008E632D"/>
    <w:rsid w:val="008E7816"/>
    <w:rsid w:val="008F01DB"/>
    <w:rsid w:val="008F03F7"/>
    <w:rsid w:val="008F0ADC"/>
    <w:rsid w:val="008F0AE2"/>
    <w:rsid w:val="008F0BD2"/>
    <w:rsid w:val="008F13C9"/>
    <w:rsid w:val="008F13DF"/>
    <w:rsid w:val="008F15A8"/>
    <w:rsid w:val="008F2048"/>
    <w:rsid w:val="008F2284"/>
    <w:rsid w:val="008F271F"/>
    <w:rsid w:val="008F2CD6"/>
    <w:rsid w:val="008F2E2F"/>
    <w:rsid w:val="008F303B"/>
    <w:rsid w:val="008F3239"/>
    <w:rsid w:val="008F32CF"/>
    <w:rsid w:val="008F40B4"/>
    <w:rsid w:val="008F46B4"/>
    <w:rsid w:val="008F49AE"/>
    <w:rsid w:val="008F49BD"/>
    <w:rsid w:val="008F5041"/>
    <w:rsid w:val="008F5132"/>
    <w:rsid w:val="008F566C"/>
    <w:rsid w:val="008F5B80"/>
    <w:rsid w:val="008F7173"/>
    <w:rsid w:val="008F73AA"/>
    <w:rsid w:val="008F7E6C"/>
    <w:rsid w:val="00900057"/>
    <w:rsid w:val="009004B3"/>
    <w:rsid w:val="00900637"/>
    <w:rsid w:val="00900812"/>
    <w:rsid w:val="009008DF"/>
    <w:rsid w:val="0090156F"/>
    <w:rsid w:val="00901B1E"/>
    <w:rsid w:val="00901E39"/>
    <w:rsid w:val="009022B4"/>
    <w:rsid w:val="00902305"/>
    <w:rsid w:val="00902858"/>
    <w:rsid w:val="00903F25"/>
    <w:rsid w:val="00903FCD"/>
    <w:rsid w:val="009040BA"/>
    <w:rsid w:val="0090482A"/>
    <w:rsid w:val="009049DF"/>
    <w:rsid w:val="00905519"/>
    <w:rsid w:val="009057DA"/>
    <w:rsid w:val="00905D39"/>
    <w:rsid w:val="00905F3B"/>
    <w:rsid w:val="0090698E"/>
    <w:rsid w:val="00906BC8"/>
    <w:rsid w:val="00906F83"/>
    <w:rsid w:val="009076F6"/>
    <w:rsid w:val="00907CF0"/>
    <w:rsid w:val="0091009D"/>
    <w:rsid w:val="009101BD"/>
    <w:rsid w:val="00910370"/>
    <w:rsid w:val="009107E3"/>
    <w:rsid w:val="00910C6A"/>
    <w:rsid w:val="00910E34"/>
    <w:rsid w:val="00911085"/>
    <w:rsid w:val="00911144"/>
    <w:rsid w:val="009119C1"/>
    <w:rsid w:val="00911B60"/>
    <w:rsid w:val="00911B9C"/>
    <w:rsid w:val="0091220E"/>
    <w:rsid w:val="009132FA"/>
    <w:rsid w:val="009143BE"/>
    <w:rsid w:val="009146DB"/>
    <w:rsid w:val="009148F3"/>
    <w:rsid w:val="00914F89"/>
    <w:rsid w:val="00915C71"/>
    <w:rsid w:val="00915DF5"/>
    <w:rsid w:val="009165EC"/>
    <w:rsid w:val="009167B7"/>
    <w:rsid w:val="00916B9D"/>
    <w:rsid w:val="00917EE2"/>
    <w:rsid w:val="00920479"/>
    <w:rsid w:val="00920A03"/>
    <w:rsid w:val="00920A35"/>
    <w:rsid w:val="00920C1A"/>
    <w:rsid w:val="0092133D"/>
    <w:rsid w:val="00921C3E"/>
    <w:rsid w:val="00921D5C"/>
    <w:rsid w:val="00921EE5"/>
    <w:rsid w:val="00922326"/>
    <w:rsid w:val="0092299A"/>
    <w:rsid w:val="00922D24"/>
    <w:rsid w:val="009237DE"/>
    <w:rsid w:val="00923D5F"/>
    <w:rsid w:val="00924165"/>
    <w:rsid w:val="00924D69"/>
    <w:rsid w:val="0092500E"/>
    <w:rsid w:val="009255F2"/>
    <w:rsid w:val="009256E6"/>
    <w:rsid w:val="00925726"/>
    <w:rsid w:val="00925AD2"/>
    <w:rsid w:val="0092645C"/>
    <w:rsid w:val="009271A6"/>
    <w:rsid w:val="00927422"/>
    <w:rsid w:val="00927D5D"/>
    <w:rsid w:val="00927D8A"/>
    <w:rsid w:val="00927F74"/>
    <w:rsid w:val="00930AE4"/>
    <w:rsid w:val="00930F63"/>
    <w:rsid w:val="00931089"/>
    <w:rsid w:val="009312C3"/>
    <w:rsid w:val="009312F8"/>
    <w:rsid w:val="00931408"/>
    <w:rsid w:val="00931632"/>
    <w:rsid w:val="009322FD"/>
    <w:rsid w:val="0093277A"/>
    <w:rsid w:val="0093297E"/>
    <w:rsid w:val="00932B48"/>
    <w:rsid w:val="009330C4"/>
    <w:rsid w:val="00933BDE"/>
    <w:rsid w:val="009342CF"/>
    <w:rsid w:val="009345E4"/>
    <w:rsid w:val="00934EB3"/>
    <w:rsid w:val="0093637F"/>
    <w:rsid w:val="00936ABF"/>
    <w:rsid w:val="00936C8D"/>
    <w:rsid w:val="00937932"/>
    <w:rsid w:val="00937EEE"/>
    <w:rsid w:val="0094097C"/>
    <w:rsid w:val="00941A78"/>
    <w:rsid w:val="00941BC2"/>
    <w:rsid w:val="009429CC"/>
    <w:rsid w:val="009429F6"/>
    <w:rsid w:val="0094335D"/>
    <w:rsid w:val="0094374E"/>
    <w:rsid w:val="009438DD"/>
    <w:rsid w:val="00944251"/>
    <w:rsid w:val="00944586"/>
    <w:rsid w:val="009451EB"/>
    <w:rsid w:val="00945289"/>
    <w:rsid w:val="009456FD"/>
    <w:rsid w:val="00945A49"/>
    <w:rsid w:val="00945C3D"/>
    <w:rsid w:val="00945F4D"/>
    <w:rsid w:val="009466DD"/>
    <w:rsid w:val="00946A4A"/>
    <w:rsid w:val="0094714F"/>
    <w:rsid w:val="00947C08"/>
    <w:rsid w:val="009516E1"/>
    <w:rsid w:val="00951D72"/>
    <w:rsid w:val="009521D9"/>
    <w:rsid w:val="0095222C"/>
    <w:rsid w:val="00952430"/>
    <w:rsid w:val="00952564"/>
    <w:rsid w:val="0095265C"/>
    <w:rsid w:val="0095277C"/>
    <w:rsid w:val="00953091"/>
    <w:rsid w:val="00953711"/>
    <w:rsid w:val="00953A51"/>
    <w:rsid w:val="00954208"/>
    <w:rsid w:val="00954323"/>
    <w:rsid w:val="00954E92"/>
    <w:rsid w:val="00954F29"/>
    <w:rsid w:val="00955177"/>
    <w:rsid w:val="009559EE"/>
    <w:rsid w:val="00956014"/>
    <w:rsid w:val="0095651C"/>
    <w:rsid w:val="009567C3"/>
    <w:rsid w:val="00956EBA"/>
    <w:rsid w:val="0095719A"/>
    <w:rsid w:val="0095757D"/>
    <w:rsid w:val="00957AF5"/>
    <w:rsid w:val="009610A9"/>
    <w:rsid w:val="009611F8"/>
    <w:rsid w:val="0096195D"/>
    <w:rsid w:val="00961E94"/>
    <w:rsid w:val="00962068"/>
    <w:rsid w:val="009621ED"/>
    <w:rsid w:val="0096244C"/>
    <w:rsid w:val="0096281F"/>
    <w:rsid w:val="009628BB"/>
    <w:rsid w:val="00962D83"/>
    <w:rsid w:val="00963178"/>
    <w:rsid w:val="0096348F"/>
    <w:rsid w:val="00963539"/>
    <w:rsid w:val="0096396F"/>
    <w:rsid w:val="00963B3F"/>
    <w:rsid w:val="00963F7A"/>
    <w:rsid w:val="00964408"/>
    <w:rsid w:val="00964718"/>
    <w:rsid w:val="009655E4"/>
    <w:rsid w:val="00965A02"/>
    <w:rsid w:val="00965B13"/>
    <w:rsid w:val="00966283"/>
    <w:rsid w:val="00966F0D"/>
    <w:rsid w:val="00967711"/>
    <w:rsid w:val="00967C89"/>
    <w:rsid w:val="00970005"/>
    <w:rsid w:val="00970044"/>
    <w:rsid w:val="009708AC"/>
    <w:rsid w:val="00970B10"/>
    <w:rsid w:val="00970CC2"/>
    <w:rsid w:val="009719EB"/>
    <w:rsid w:val="009724E3"/>
    <w:rsid w:val="00972991"/>
    <w:rsid w:val="00972B57"/>
    <w:rsid w:val="00973EE5"/>
    <w:rsid w:val="00973EF2"/>
    <w:rsid w:val="009743BD"/>
    <w:rsid w:val="00974916"/>
    <w:rsid w:val="0097491E"/>
    <w:rsid w:val="00974B1F"/>
    <w:rsid w:val="0097540E"/>
    <w:rsid w:val="009755BE"/>
    <w:rsid w:val="009759E2"/>
    <w:rsid w:val="00976976"/>
    <w:rsid w:val="00976B1D"/>
    <w:rsid w:val="00976CD1"/>
    <w:rsid w:val="00977543"/>
    <w:rsid w:val="00977875"/>
    <w:rsid w:val="009806C7"/>
    <w:rsid w:val="00980DC1"/>
    <w:rsid w:val="00981959"/>
    <w:rsid w:val="00981E18"/>
    <w:rsid w:val="00981E6B"/>
    <w:rsid w:val="00982256"/>
    <w:rsid w:val="00982425"/>
    <w:rsid w:val="0098288A"/>
    <w:rsid w:val="00982A35"/>
    <w:rsid w:val="00982D20"/>
    <w:rsid w:val="00982DF1"/>
    <w:rsid w:val="00983119"/>
    <w:rsid w:val="009833A2"/>
    <w:rsid w:val="0098368E"/>
    <w:rsid w:val="00983BCA"/>
    <w:rsid w:val="00985682"/>
    <w:rsid w:val="00985B42"/>
    <w:rsid w:val="00985D37"/>
    <w:rsid w:val="00985E79"/>
    <w:rsid w:val="00985F99"/>
    <w:rsid w:val="0098661B"/>
    <w:rsid w:val="009866E3"/>
    <w:rsid w:val="00986787"/>
    <w:rsid w:val="00986AB9"/>
    <w:rsid w:val="00986CC4"/>
    <w:rsid w:val="00986D4E"/>
    <w:rsid w:val="00987929"/>
    <w:rsid w:val="009879CA"/>
    <w:rsid w:val="00987BFB"/>
    <w:rsid w:val="009901C5"/>
    <w:rsid w:val="00990677"/>
    <w:rsid w:val="00990BC0"/>
    <w:rsid w:val="00991005"/>
    <w:rsid w:val="0099194A"/>
    <w:rsid w:val="00992715"/>
    <w:rsid w:val="00992C21"/>
    <w:rsid w:val="00993A45"/>
    <w:rsid w:val="00993B7A"/>
    <w:rsid w:val="00994F00"/>
    <w:rsid w:val="0099516C"/>
    <w:rsid w:val="0099583A"/>
    <w:rsid w:val="009965A0"/>
    <w:rsid w:val="00996C95"/>
    <w:rsid w:val="00997F84"/>
    <w:rsid w:val="009A015B"/>
    <w:rsid w:val="009A0458"/>
    <w:rsid w:val="009A080F"/>
    <w:rsid w:val="009A08F5"/>
    <w:rsid w:val="009A0C3C"/>
    <w:rsid w:val="009A0E35"/>
    <w:rsid w:val="009A16C8"/>
    <w:rsid w:val="009A2428"/>
    <w:rsid w:val="009A2972"/>
    <w:rsid w:val="009A37A5"/>
    <w:rsid w:val="009A4F1D"/>
    <w:rsid w:val="009A4F9A"/>
    <w:rsid w:val="009A55F6"/>
    <w:rsid w:val="009A6070"/>
    <w:rsid w:val="009A6237"/>
    <w:rsid w:val="009A6263"/>
    <w:rsid w:val="009A6355"/>
    <w:rsid w:val="009A64D3"/>
    <w:rsid w:val="009A67C4"/>
    <w:rsid w:val="009A7155"/>
    <w:rsid w:val="009A74A9"/>
    <w:rsid w:val="009B04EC"/>
    <w:rsid w:val="009B0511"/>
    <w:rsid w:val="009B0685"/>
    <w:rsid w:val="009B0CC4"/>
    <w:rsid w:val="009B116F"/>
    <w:rsid w:val="009B1656"/>
    <w:rsid w:val="009B263C"/>
    <w:rsid w:val="009B2BD9"/>
    <w:rsid w:val="009B34B6"/>
    <w:rsid w:val="009B3AFD"/>
    <w:rsid w:val="009B3B3F"/>
    <w:rsid w:val="009B3B9A"/>
    <w:rsid w:val="009B3F45"/>
    <w:rsid w:val="009B40FC"/>
    <w:rsid w:val="009B4313"/>
    <w:rsid w:val="009B4AB0"/>
    <w:rsid w:val="009B5749"/>
    <w:rsid w:val="009B590D"/>
    <w:rsid w:val="009B592A"/>
    <w:rsid w:val="009B5A61"/>
    <w:rsid w:val="009B5F11"/>
    <w:rsid w:val="009B5FAB"/>
    <w:rsid w:val="009B600B"/>
    <w:rsid w:val="009B64EB"/>
    <w:rsid w:val="009B68DE"/>
    <w:rsid w:val="009B6940"/>
    <w:rsid w:val="009B6A00"/>
    <w:rsid w:val="009B6A22"/>
    <w:rsid w:val="009B6A57"/>
    <w:rsid w:val="009B6DE2"/>
    <w:rsid w:val="009B7647"/>
    <w:rsid w:val="009B7888"/>
    <w:rsid w:val="009B7EBE"/>
    <w:rsid w:val="009C02DE"/>
    <w:rsid w:val="009C03C9"/>
    <w:rsid w:val="009C0BEB"/>
    <w:rsid w:val="009C0F8D"/>
    <w:rsid w:val="009C120A"/>
    <w:rsid w:val="009C138A"/>
    <w:rsid w:val="009C1437"/>
    <w:rsid w:val="009C22DC"/>
    <w:rsid w:val="009C2339"/>
    <w:rsid w:val="009C2720"/>
    <w:rsid w:val="009C2965"/>
    <w:rsid w:val="009C30A2"/>
    <w:rsid w:val="009C316F"/>
    <w:rsid w:val="009C4002"/>
    <w:rsid w:val="009C5A22"/>
    <w:rsid w:val="009C5CBC"/>
    <w:rsid w:val="009C5DC8"/>
    <w:rsid w:val="009C646C"/>
    <w:rsid w:val="009C68F5"/>
    <w:rsid w:val="009D0625"/>
    <w:rsid w:val="009D09FB"/>
    <w:rsid w:val="009D0B4A"/>
    <w:rsid w:val="009D0F77"/>
    <w:rsid w:val="009D1168"/>
    <w:rsid w:val="009D12FE"/>
    <w:rsid w:val="009D1442"/>
    <w:rsid w:val="009D1EAC"/>
    <w:rsid w:val="009D20AF"/>
    <w:rsid w:val="009D2245"/>
    <w:rsid w:val="009D2B96"/>
    <w:rsid w:val="009D3535"/>
    <w:rsid w:val="009D36DE"/>
    <w:rsid w:val="009D392E"/>
    <w:rsid w:val="009D3BE0"/>
    <w:rsid w:val="009D3F37"/>
    <w:rsid w:val="009D3F9A"/>
    <w:rsid w:val="009D4174"/>
    <w:rsid w:val="009D42E5"/>
    <w:rsid w:val="009D5814"/>
    <w:rsid w:val="009D5AE9"/>
    <w:rsid w:val="009D5BDD"/>
    <w:rsid w:val="009D667B"/>
    <w:rsid w:val="009D688A"/>
    <w:rsid w:val="009D71AC"/>
    <w:rsid w:val="009D791C"/>
    <w:rsid w:val="009D7B2F"/>
    <w:rsid w:val="009D7D7C"/>
    <w:rsid w:val="009E03BA"/>
    <w:rsid w:val="009E081F"/>
    <w:rsid w:val="009E0C2F"/>
    <w:rsid w:val="009E10AE"/>
    <w:rsid w:val="009E11FF"/>
    <w:rsid w:val="009E1592"/>
    <w:rsid w:val="009E1D2C"/>
    <w:rsid w:val="009E1EF4"/>
    <w:rsid w:val="009E26D2"/>
    <w:rsid w:val="009E2C39"/>
    <w:rsid w:val="009E32C7"/>
    <w:rsid w:val="009E37B7"/>
    <w:rsid w:val="009E4575"/>
    <w:rsid w:val="009E54B9"/>
    <w:rsid w:val="009E595E"/>
    <w:rsid w:val="009E5F0B"/>
    <w:rsid w:val="009E67ED"/>
    <w:rsid w:val="009E6AEF"/>
    <w:rsid w:val="009E71B0"/>
    <w:rsid w:val="009E747C"/>
    <w:rsid w:val="009F0A16"/>
    <w:rsid w:val="009F1D96"/>
    <w:rsid w:val="009F2924"/>
    <w:rsid w:val="009F2AD2"/>
    <w:rsid w:val="009F342F"/>
    <w:rsid w:val="009F3E26"/>
    <w:rsid w:val="009F44D2"/>
    <w:rsid w:val="009F4E6A"/>
    <w:rsid w:val="009F4FA5"/>
    <w:rsid w:val="009F52D3"/>
    <w:rsid w:val="009F5C64"/>
    <w:rsid w:val="009F6162"/>
    <w:rsid w:val="009F62D5"/>
    <w:rsid w:val="009F6470"/>
    <w:rsid w:val="009F6C6E"/>
    <w:rsid w:val="009F70C8"/>
    <w:rsid w:val="009F7A92"/>
    <w:rsid w:val="00A0056E"/>
    <w:rsid w:val="00A00F50"/>
    <w:rsid w:val="00A010FD"/>
    <w:rsid w:val="00A0129E"/>
    <w:rsid w:val="00A01B01"/>
    <w:rsid w:val="00A01B49"/>
    <w:rsid w:val="00A01D6E"/>
    <w:rsid w:val="00A01F3E"/>
    <w:rsid w:val="00A0204F"/>
    <w:rsid w:val="00A02546"/>
    <w:rsid w:val="00A0256D"/>
    <w:rsid w:val="00A025D3"/>
    <w:rsid w:val="00A02B7E"/>
    <w:rsid w:val="00A02B8E"/>
    <w:rsid w:val="00A0316B"/>
    <w:rsid w:val="00A032F8"/>
    <w:rsid w:val="00A036B6"/>
    <w:rsid w:val="00A04586"/>
    <w:rsid w:val="00A04590"/>
    <w:rsid w:val="00A05088"/>
    <w:rsid w:val="00A0561E"/>
    <w:rsid w:val="00A056C1"/>
    <w:rsid w:val="00A059AB"/>
    <w:rsid w:val="00A06303"/>
    <w:rsid w:val="00A06C2F"/>
    <w:rsid w:val="00A06D8F"/>
    <w:rsid w:val="00A06DE2"/>
    <w:rsid w:val="00A07100"/>
    <w:rsid w:val="00A104F9"/>
    <w:rsid w:val="00A110FE"/>
    <w:rsid w:val="00A117FB"/>
    <w:rsid w:val="00A118A6"/>
    <w:rsid w:val="00A11F6A"/>
    <w:rsid w:val="00A1280D"/>
    <w:rsid w:val="00A12982"/>
    <w:rsid w:val="00A12D37"/>
    <w:rsid w:val="00A135C8"/>
    <w:rsid w:val="00A13730"/>
    <w:rsid w:val="00A138E0"/>
    <w:rsid w:val="00A14379"/>
    <w:rsid w:val="00A14DE2"/>
    <w:rsid w:val="00A155D0"/>
    <w:rsid w:val="00A15BCE"/>
    <w:rsid w:val="00A15BEB"/>
    <w:rsid w:val="00A165AC"/>
    <w:rsid w:val="00A169AF"/>
    <w:rsid w:val="00A16AC8"/>
    <w:rsid w:val="00A16AEE"/>
    <w:rsid w:val="00A176B9"/>
    <w:rsid w:val="00A17952"/>
    <w:rsid w:val="00A17E11"/>
    <w:rsid w:val="00A20A06"/>
    <w:rsid w:val="00A21336"/>
    <w:rsid w:val="00A2240C"/>
    <w:rsid w:val="00A22930"/>
    <w:rsid w:val="00A22FA5"/>
    <w:rsid w:val="00A2331C"/>
    <w:rsid w:val="00A24043"/>
    <w:rsid w:val="00A24C48"/>
    <w:rsid w:val="00A2513E"/>
    <w:rsid w:val="00A25492"/>
    <w:rsid w:val="00A25548"/>
    <w:rsid w:val="00A25ED4"/>
    <w:rsid w:val="00A263F8"/>
    <w:rsid w:val="00A264C0"/>
    <w:rsid w:val="00A26A20"/>
    <w:rsid w:val="00A26BEC"/>
    <w:rsid w:val="00A274B2"/>
    <w:rsid w:val="00A27C8C"/>
    <w:rsid w:val="00A27D86"/>
    <w:rsid w:val="00A3021F"/>
    <w:rsid w:val="00A30540"/>
    <w:rsid w:val="00A308D5"/>
    <w:rsid w:val="00A313B2"/>
    <w:rsid w:val="00A31B18"/>
    <w:rsid w:val="00A31B6D"/>
    <w:rsid w:val="00A31ECD"/>
    <w:rsid w:val="00A3281B"/>
    <w:rsid w:val="00A3298B"/>
    <w:rsid w:val="00A337D3"/>
    <w:rsid w:val="00A33D7C"/>
    <w:rsid w:val="00A33FA5"/>
    <w:rsid w:val="00A34665"/>
    <w:rsid w:val="00A34827"/>
    <w:rsid w:val="00A34DA3"/>
    <w:rsid w:val="00A35A06"/>
    <w:rsid w:val="00A35ACD"/>
    <w:rsid w:val="00A361B4"/>
    <w:rsid w:val="00A37732"/>
    <w:rsid w:val="00A4001E"/>
    <w:rsid w:val="00A40875"/>
    <w:rsid w:val="00A40D08"/>
    <w:rsid w:val="00A42A9E"/>
    <w:rsid w:val="00A43189"/>
    <w:rsid w:val="00A439AE"/>
    <w:rsid w:val="00A43B97"/>
    <w:rsid w:val="00A43F0D"/>
    <w:rsid w:val="00A45194"/>
    <w:rsid w:val="00A457BA"/>
    <w:rsid w:val="00A46391"/>
    <w:rsid w:val="00A4657D"/>
    <w:rsid w:val="00A47A79"/>
    <w:rsid w:val="00A47C69"/>
    <w:rsid w:val="00A47DEF"/>
    <w:rsid w:val="00A50636"/>
    <w:rsid w:val="00A50668"/>
    <w:rsid w:val="00A50714"/>
    <w:rsid w:val="00A50899"/>
    <w:rsid w:val="00A515CA"/>
    <w:rsid w:val="00A51765"/>
    <w:rsid w:val="00A528AD"/>
    <w:rsid w:val="00A52CA2"/>
    <w:rsid w:val="00A537C9"/>
    <w:rsid w:val="00A53A1A"/>
    <w:rsid w:val="00A53A56"/>
    <w:rsid w:val="00A53C76"/>
    <w:rsid w:val="00A54771"/>
    <w:rsid w:val="00A54D02"/>
    <w:rsid w:val="00A54FFC"/>
    <w:rsid w:val="00A555E8"/>
    <w:rsid w:val="00A5572B"/>
    <w:rsid w:val="00A55D2B"/>
    <w:rsid w:val="00A55ED3"/>
    <w:rsid w:val="00A5683B"/>
    <w:rsid w:val="00A577D6"/>
    <w:rsid w:val="00A57B4B"/>
    <w:rsid w:val="00A57C8E"/>
    <w:rsid w:val="00A600D0"/>
    <w:rsid w:val="00A60233"/>
    <w:rsid w:val="00A60CD4"/>
    <w:rsid w:val="00A6102F"/>
    <w:rsid w:val="00A61C08"/>
    <w:rsid w:val="00A62055"/>
    <w:rsid w:val="00A623FC"/>
    <w:rsid w:val="00A6276B"/>
    <w:rsid w:val="00A634F0"/>
    <w:rsid w:val="00A63850"/>
    <w:rsid w:val="00A63F1C"/>
    <w:rsid w:val="00A64978"/>
    <w:rsid w:val="00A649F4"/>
    <w:rsid w:val="00A64DCB"/>
    <w:rsid w:val="00A65BD3"/>
    <w:rsid w:val="00A66261"/>
    <w:rsid w:val="00A66283"/>
    <w:rsid w:val="00A66C6A"/>
    <w:rsid w:val="00A700A9"/>
    <w:rsid w:val="00A70917"/>
    <w:rsid w:val="00A70D6F"/>
    <w:rsid w:val="00A70F0E"/>
    <w:rsid w:val="00A710E4"/>
    <w:rsid w:val="00A71161"/>
    <w:rsid w:val="00A712FE"/>
    <w:rsid w:val="00A71635"/>
    <w:rsid w:val="00A71CF5"/>
    <w:rsid w:val="00A71D72"/>
    <w:rsid w:val="00A71FE7"/>
    <w:rsid w:val="00A72132"/>
    <w:rsid w:val="00A72689"/>
    <w:rsid w:val="00A72D98"/>
    <w:rsid w:val="00A73C52"/>
    <w:rsid w:val="00A7479E"/>
    <w:rsid w:val="00A753B8"/>
    <w:rsid w:val="00A757DB"/>
    <w:rsid w:val="00A75AAA"/>
    <w:rsid w:val="00A75DE5"/>
    <w:rsid w:val="00A76737"/>
    <w:rsid w:val="00A7689A"/>
    <w:rsid w:val="00A76AF5"/>
    <w:rsid w:val="00A7704A"/>
    <w:rsid w:val="00A77101"/>
    <w:rsid w:val="00A77280"/>
    <w:rsid w:val="00A77D4E"/>
    <w:rsid w:val="00A803CC"/>
    <w:rsid w:val="00A8062F"/>
    <w:rsid w:val="00A80B9F"/>
    <w:rsid w:val="00A816BB"/>
    <w:rsid w:val="00A8170E"/>
    <w:rsid w:val="00A81F46"/>
    <w:rsid w:val="00A8230C"/>
    <w:rsid w:val="00A8250B"/>
    <w:rsid w:val="00A8318F"/>
    <w:rsid w:val="00A8319B"/>
    <w:rsid w:val="00A835BF"/>
    <w:rsid w:val="00A83604"/>
    <w:rsid w:val="00A83690"/>
    <w:rsid w:val="00A83E04"/>
    <w:rsid w:val="00A83E4E"/>
    <w:rsid w:val="00A84A0F"/>
    <w:rsid w:val="00A85E2C"/>
    <w:rsid w:val="00A860CE"/>
    <w:rsid w:val="00A86C41"/>
    <w:rsid w:val="00A86CED"/>
    <w:rsid w:val="00A90089"/>
    <w:rsid w:val="00A9068C"/>
    <w:rsid w:val="00A90714"/>
    <w:rsid w:val="00A90E97"/>
    <w:rsid w:val="00A91428"/>
    <w:rsid w:val="00A91468"/>
    <w:rsid w:val="00A91B71"/>
    <w:rsid w:val="00A9234A"/>
    <w:rsid w:val="00A92375"/>
    <w:rsid w:val="00A9248A"/>
    <w:rsid w:val="00A926BC"/>
    <w:rsid w:val="00A92F9C"/>
    <w:rsid w:val="00A936E2"/>
    <w:rsid w:val="00A9395E"/>
    <w:rsid w:val="00A9408C"/>
    <w:rsid w:val="00A947B9"/>
    <w:rsid w:val="00A95412"/>
    <w:rsid w:val="00A954A3"/>
    <w:rsid w:val="00A95A8D"/>
    <w:rsid w:val="00A9672A"/>
    <w:rsid w:val="00A97148"/>
    <w:rsid w:val="00AA0345"/>
    <w:rsid w:val="00AA06A2"/>
    <w:rsid w:val="00AA0AD1"/>
    <w:rsid w:val="00AA0FB9"/>
    <w:rsid w:val="00AA20A5"/>
    <w:rsid w:val="00AA2186"/>
    <w:rsid w:val="00AA21C9"/>
    <w:rsid w:val="00AA22DD"/>
    <w:rsid w:val="00AA3598"/>
    <w:rsid w:val="00AA3679"/>
    <w:rsid w:val="00AA3923"/>
    <w:rsid w:val="00AA47AF"/>
    <w:rsid w:val="00AA50A0"/>
    <w:rsid w:val="00AA523F"/>
    <w:rsid w:val="00AA584F"/>
    <w:rsid w:val="00AA5DB9"/>
    <w:rsid w:val="00AA6BEE"/>
    <w:rsid w:val="00AA6C80"/>
    <w:rsid w:val="00AA6CDC"/>
    <w:rsid w:val="00AA6E73"/>
    <w:rsid w:val="00AA7246"/>
    <w:rsid w:val="00AA7D1B"/>
    <w:rsid w:val="00AA7E26"/>
    <w:rsid w:val="00AB025F"/>
    <w:rsid w:val="00AB07BA"/>
    <w:rsid w:val="00AB0AF9"/>
    <w:rsid w:val="00AB1272"/>
    <w:rsid w:val="00AB1873"/>
    <w:rsid w:val="00AB24BA"/>
    <w:rsid w:val="00AB34FE"/>
    <w:rsid w:val="00AB3820"/>
    <w:rsid w:val="00AB3D8A"/>
    <w:rsid w:val="00AB3DA0"/>
    <w:rsid w:val="00AB4532"/>
    <w:rsid w:val="00AB480E"/>
    <w:rsid w:val="00AB49BB"/>
    <w:rsid w:val="00AB54B1"/>
    <w:rsid w:val="00AB5732"/>
    <w:rsid w:val="00AB6501"/>
    <w:rsid w:val="00AB6C59"/>
    <w:rsid w:val="00AB7283"/>
    <w:rsid w:val="00AB7575"/>
    <w:rsid w:val="00AB7624"/>
    <w:rsid w:val="00AB7FF6"/>
    <w:rsid w:val="00AC1BC1"/>
    <w:rsid w:val="00AC2025"/>
    <w:rsid w:val="00AC230F"/>
    <w:rsid w:val="00AC2392"/>
    <w:rsid w:val="00AC375C"/>
    <w:rsid w:val="00AC3F03"/>
    <w:rsid w:val="00AC3F56"/>
    <w:rsid w:val="00AC4B70"/>
    <w:rsid w:val="00AC4C58"/>
    <w:rsid w:val="00AC59DC"/>
    <w:rsid w:val="00AC5C34"/>
    <w:rsid w:val="00AC5D83"/>
    <w:rsid w:val="00AC5F7F"/>
    <w:rsid w:val="00AC6058"/>
    <w:rsid w:val="00AC61F8"/>
    <w:rsid w:val="00AC655F"/>
    <w:rsid w:val="00AC697C"/>
    <w:rsid w:val="00AC73FA"/>
    <w:rsid w:val="00AC7564"/>
    <w:rsid w:val="00AC77ED"/>
    <w:rsid w:val="00AD01C3"/>
    <w:rsid w:val="00AD07EB"/>
    <w:rsid w:val="00AD0BB2"/>
    <w:rsid w:val="00AD0D7B"/>
    <w:rsid w:val="00AD0E19"/>
    <w:rsid w:val="00AD18E9"/>
    <w:rsid w:val="00AD1EA5"/>
    <w:rsid w:val="00AD203C"/>
    <w:rsid w:val="00AD2147"/>
    <w:rsid w:val="00AD23FC"/>
    <w:rsid w:val="00AD2F1A"/>
    <w:rsid w:val="00AD31B5"/>
    <w:rsid w:val="00AD367F"/>
    <w:rsid w:val="00AD38D8"/>
    <w:rsid w:val="00AD414A"/>
    <w:rsid w:val="00AD4186"/>
    <w:rsid w:val="00AD442F"/>
    <w:rsid w:val="00AD4DA8"/>
    <w:rsid w:val="00AD51A6"/>
    <w:rsid w:val="00AD53F8"/>
    <w:rsid w:val="00AD5CBC"/>
    <w:rsid w:val="00AD5FDE"/>
    <w:rsid w:val="00AD6008"/>
    <w:rsid w:val="00AD6E09"/>
    <w:rsid w:val="00AD7B9D"/>
    <w:rsid w:val="00AD7EC6"/>
    <w:rsid w:val="00AE14D3"/>
    <w:rsid w:val="00AE1A64"/>
    <w:rsid w:val="00AE2080"/>
    <w:rsid w:val="00AE2689"/>
    <w:rsid w:val="00AE279F"/>
    <w:rsid w:val="00AE389A"/>
    <w:rsid w:val="00AE3D76"/>
    <w:rsid w:val="00AE536F"/>
    <w:rsid w:val="00AE7ABE"/>
    <w:rsid w:val="00AF01F5"/>
    <w:rsid w:val="00AF0FFC"/>
    <w:rsid w:val="00AF1ABA"/>
    <w:rsid w:val="00AF2A52"/>
    <w:rsid w:val="00AF3AEA"/>
    <w:rsid w:val="00AF570E"/>
    <w:rsid w:val="00AF59A4"/>
    <w:rsid w:val="00AF5A7B"/>
    <w:rsid w:val="00AF5BE1"/>
    <w:rsid w:val="00AF6090"/>
    <w:rsid w:val="00AF615B"/>
    <w:rsid w:val="00AF65FE"/>
    <w:rsid w:val="00AF6D8F"/>
    <w:rsid w:val="00AF70FE"/>
    <w:rsid w:val="00AF75D2"/>
    <w:rsid w:val="00AF7D49"/>
    <w:rsid w:val="00B00435"/>
    <w:rsid w:val="00B009F0"/>
    <w:rsid w:val="00B00FCE"/>
    <w:rsid w:val="00B01B5B"/>
    <w:rsid w:val="00B01BA3"/>
    <w:rsid w:val="00B02309"/>
    <w:rsid w:val="00B02482"/>
    <w:rsid w:val="00B02C1A"/>
    <w:rsid w:val="00B02DB0"/>
    <w:rsid w:val="00B02FF3"/>
    <w:rsid w:val="00B03B97"/>
    <w:rsid w:val="00B041F8"/>
    <w:rsid w:val="00B045AD"/>
    <w:rsid w:val="00B0475B"/>
    <w:rsid w:val="00B0476E"/>
    <w:rsid w:val="00B0482C"/>
    <w:rsid w:val="00B04947"/>
    <w:rsid w:val="00B04956"/>
    <w:rsid w:val="00B04E9F"/>
    <w:rsid w:val="00B050C7"/>
    <w:rsid w:val="00B05175"/>
    <w:rsid w:val="00B058ED"/>
    <w:rsid w:val="00B05C0F"/>
    <w:rsid w:val="00B06500"/>
    <w:rsid w:val="00B06753"/>
    <w:rsid w:val="00B06A18"/>
    <w:rsid w:val="00B06BD7"/>
    <w:rsid w:val="00B06CAD"/>
    <w:rsid w:val="00B072C0"/>
    <w:rsid w:val="00B0798D"/>
    <w:rsid w:val="00B079F5"/>
    <w:rsid w:val="00B07B10"/>
    <w:rsid w:val="00B07C79"/>
    <w:rsid w:val="00B103FE"/>
    <w:rsid w:val="00B10DCC"/>
    <w:rsid w:val="00B110EB"/>
    <w:rsid w:val="00B11133"/>
    <w:rsid w:val="00B11896"/>
    <w:rsid w:val="00B121C6"/>
    <w:rsid w:val="00B121EB"/>
    <w:rsid w:val="00B13037"/>
    <w:rsid w:val="00B130B4"/>
    <w:rsid w:val="00B1323F"/>
    <w:rsid w:val="00B138E2"/>
    <w:rsid w:val="00B13BD5"/>
    <w:rsid w:val="00B14551"/>
    <w:rsid w:val="00B14641"/>
    <w:rsid w:val="00B14B44"/>
    <w:rsid w:val="00B1501E"/>
    <w:rsid w:val="00B15038"/>
    <w:rsid w:val="00B15982"/>
    <w:rsid w:val="00B15FD7"/>
    <w:rsid w:val="00B16406"/>
    <w:rsid w:val="00B166B0"/>
    <w:rsid w:val="00B16914"/>
    <w:rsid w:val="00B16D86"/>
    <w:rsid w:val="00B17B76"/>
    <w:rsid w:val="00B20030"/>
    <w:rsid w:val="00B2034F"/>
    <w:rsid w:val="00B2067C"/>
    <w:rsid w:val="00B207C2"/>
    <w:rsid w:val="00B21453"/>
    <w:rsid w:val="00B215AF"/>
    <w:rsid w:val="00B21FCF"/>
    <w:rsid w:val="00B226B1"/>
    <w:rsid w:val="00B2274C"/>
    <w:rsid w:val="00B228CD"/>
    <w:rsid w:val="00B22AEA"/>
    <w:rsid w:val="00B2341E"/>
    <w:rsid w:val="00B23563"/>
    <w:rsid w:val="00B23EDC"/>
    <w:rsid w:val="00B244D1"/>
    <w:rsid w:val="00B24AF8"/>
    <w:rsid w:val="00B250DF"/>
    <w:rsid w:val="00B253E2"/>
    <w:rsid w:val="00B26375"/>
    <w:rsid w:val="00B266CC"/>
    <w:rsid w:val="00B27854"/>
    <w:rsid w:val="00B27B35"/>
    <w:rsid w:val="00B27DFC"/>
    <w:rsid w:val="00B30A9F"/>
    <w:rsid w:val="00B310CC"/>
    <w:rsid w:val="00B31FF3"/>
    <w:rsid w:val="00B32CF2"/>
    <w:rsid w:val="00B32DE2"/>
    <w:rsid w:val="00B32F2B"/>
    <w:rsid w:val="00B33961"/>
    <w:rsid w:val="00B33FEE"/>
    <w:rsid w:val="00B34803"/>
    <w:rsid w:val="00B34AB6"/>
    <w:rsid w:val="00B353EF"/>
    <w:rsid w:val="00B3557E"/>
    <w:rsid w:val="00B365F0"/>
    <w:rsid w:val="00B37105"/>
    <w:rsid w:val="00B37446"/>
    <w:rsid w:val="00B3796F"/>
    <w:rsid w:val="00B37C5F"/>
    <w:rsid w:val="00B37E98"/>
    <w:rsid w:val="00B412A5"/>
    <w:rsid w:val="00B412C7"/>
    <w:rsid w:val="00B41D41"/>
    <w:rsid w:val="00B4217A"/>
    <w:rsid w:val="00B434C8"/>
    <w:rsid w:val="00B435E0"/>
    <w:rsid w:val="00B43740"/>
    <w:rsid w:val="00B44062"/>
    <w:rsid w:val="00B44199"/>
    <w:rsid w:val="00B4422C"/>
    <w:rsid w:val="00B45400"/>
    <w:rsid w:val="00B47021"/>
    <w:rsid w:val="00B473A2"/>
    <w:rsid w:val="00B4749C"/>
    <w:rsid w:val="00B47711"/>
    <w:rsid w:val="00B47E85"/>
    <w:rsid w:val="00B47EBE"/>
    <w:rsid w:val="00B5055E"/>
    <w:rsid w:val="00B50FDF"/>
    <w:rsid w:val="00B51A87"/>
    <w:rsid w:val="00B523CF"/>
    <w:rsid w:val="00B524B0"/>
    <w:rsid w:val="00B52F21"/>
    <w:rsid w:val="00B5348D"/>
    <w:rsid w:val="00B53500"/>
    <w:rsid w:val="00B53B17"/>
    <w:rsid w:val="00B53DCB"/>
    <w:rsid w:val="00B54652"/>
    <w:rsid w:val="00B54C2A"/>
    <w:rsid w:val="00B5518C"/>
    <w:rsid w:val="00B5527E"/>
    <w:rsid w:val="00B556FC"/>
    <w:rsid w:val="00B557FE"/>
    <w:rsid w:val="00B56119"/>
    <w:rsid w:val="00B562FE"/>
    <w:rsid w:val="00B5659D"/>
    <w:rsid w:val="00B56D17"/>
    <w:rsid w:val="00B573C2"/>
    <w:rsid w:val="00B57A66"/>
    <w:rsid w:val="00B60CAB"/>
    <w:rsid w:val="00B61450"/>
    <w:rsid w:val="00B61988"/>
    <w:rsid w:val="00B61A2F"/>
    <w:rsid w:val="00B61CEA"/>
    <w:rsid w:val="00B621E1"/>
    <w:rsid w:val="00B62467"/>
    <w:rsid w:val="00B62671"/>
    <w:rsid w:val="00B63B50"/>
    <w:rsid w:val="00B63DCC"/>
    <w:rsid w:val="00B64116"/>
    <w:rsid w:val="00B64258"/>
    <w:rsid w:val="00B6438A"/>
    <w:rsid w:val="00B643A1"/>
    <w:rsid w:val="00B6454E"/>
    <w:rsid w:val="00B65701"/>
    <w:rsid w:val="00B6576B"/>
    <w:rsid w:val="00B6618A"/>
    <w:rsid w:val="00B661A8"/>
    <w:rsid w:val="00B664D6"/>
    <w:rsid w:val="00B67372"/>
    <w:rsid w:val="00B67BC5"/>
    <w:rsid w:val="00B67C60"/>
    <w:rsid w:val="00B67DAB"/>
    <w:rsid w:val="00B70AC5"/>
    <w:rsid w:val="00B70F4F"/>
    <w:rsid w:val="00B70FCA"/>
    <w:rsid w:val="00B71116"/>
    <w:rsid w:val="00B71238"/>
    <w:rsid w:val="00B71791"/>
    <w:rsid w:val="00B71831"/>
    <w:rsid w:val="00B72303"/>
    <w:rsid w:val="00B723A8"/>
    <w:rsid w:val="00B72557"/>
    <w:rsid w:val="00B7375D"/>
    <w:rsid w:val="00B737FD"/>
    <w:rsid w:val="00B73F25"/>
    <w:rsid w:val="00B746C2"/>
    <w:rsid w:val="00B74BEA"/>
    <w:rsid w:val="00B74D9B"/>
    <w:rsid w:val="00B75563"/>
    <w:rsid w:val="00B758D0"/>
    <w:rsid w:val="00B75C2C"/>
    <w:rsid w:val="00B762C3"/>
    <w:rsid w:val="00B7636A"/>
    <w:rsid w:val="00B768FE"/>
    <w:rsid w:val="00B76FFB"/>
    <w:rsid w:val="00B7721B"/>
    <w:rsid w:val="00B77A23"/>
    <w:rsid w:val="00B77CB2"/>
    <w:rsid w:val="00B8035D"/>
    <w:rsid w:val="00B80B2E"/>
    <w:rsid w:val="00B80BF3"/>
    <w:rsid w:val="00B811F7"/>
    <w:rsid w:val="00B81435"/>
    <w:rsid w:val="00B81463"/>
    <w:rsid w:val="00B817F9"/>
    <w:rsid w:val="00B81B6D"/>
    <w:rsid w:val="00B82148"/>
    <w:rsid w:val="00B829B3"/>
    <w:rsid w:val="00B82C0B"/>
    <w:rsid w:val="00B82E22"/>
    <w:rsid w:val="00B82FFB"/>
    <w:rsid w:val="00B833FC"/>
    <w:rsid w:val="00B83684"/>
    <w:rsid w:val="00B83A1A"/>
    <w:rsid w:val="00B84768"/>
    <w:rsid w:val="00B84B0D"/>
    <w:rsid w:val="00B84BC4"/>
    <w:rsid w:val="00B85A7C"/>
    <w:rsid w:val="00B85B65"/>
    <w:rsid w:val="00B85D38"/>
    <w:rsid w:val="00B8698A"/>
    <w:rsid w:val="00B86BA3"/>
    <w:rsid w:val="00B86C51"/>
    <w:rsid w:val="00B87154"/>
    <w:rsid w:val="00B90506"/>
    <w:rsid w:val="00B90ED6"/>
    <w:rsid w:val="00B911AE"/>
    <w:rsid w:val="00B9143C"/>
    <w:rsid w:val="00B915AA"/>
    <w:rsid w:val="00B91697"/>
    <w:rsid w:val="00B91887"/>
    <w:rsid w:val="00B92DA9"/>
    <w:rsid w:val="00B93C88"/>
    <w:rsid w:val="00B943F2"/>
    <w:rsid w:val="00B945E4"/>
    <w:rsid w:val="00B94D2C"/>
    <w:rsid w:val="00B94D4F"/>
    <w:rsid w:val="00B94EA5"/>
    <w:rsid w:val="00B9501C"/>
    <w:rsid w:val="00B9546F"/>
    <w:rsid w:val="00B955F2"/>
    <w:rsid w:val="00B95A00"/>
    <w:rsid w:val="00B95E86"/>
    <w:rsid w:val="00B96412"/>
    <w:rsid w:val="00B9651E"/>
    <w:rsid w:val="00B96C42"/>
    <w:rsid w:val="00B96C77"/>
    <w:rsid w:val="00B9757A"/>
    <w:rsid w:val="00B9F6AA"/>
    <w:rsid w:val="00BA01C4"/>
    <w:rsid w:val="00BA0A01"/>
    <w:rsid w:val="00BA0ABC"/>
    <w:rsid w:val="00BA1231"/>
    <w:rsid w:val="00BA16D6"/>
    <w:rsid w:val="00BA186B"/>
    <w:rsid w:val="00BA18F1"/>
    <w:rsid w:val="00BA1FA3"/>
    <w:rsid w:val="00BA2320"/>
    <w:rsid w:val="00BA25D2"/>
    <w:rsid w:val="00BA286B"/>
    <w:rsid w:val="00BA2F9D"/>
    <w:rsid w:val="00BA2FA5"/>
    <w:rsid w:val="00BA3874"/>
    <w:rsid w:val="00BA38F2"/>
    <w:rsid w:val="00BA3C44"/>
    <w:rsid w:val="00BA44BE"/>
    <w:rsid w:val="00BA4853"/>
    <w:rsid w:val="00BA6353"/>
    <w:rsid w:val="00BA750B"/>
    <w:rsid w:val="00BA7530"/>
    <w:rsid w:val="00BA7A2A"/>
    <w:rsid w:val="00BB08B6"/>
    <w:rsid w:val="00BB093F"/>
    <w:rsid w:val="00BB158C"/>
    <w:rsid w:val="00BB1846"/>
    <w:rsid w:val="00BB1881"/>
    <w:rsid w:val="00BB1A88"/>
    <w:rsid w:val="00BB1B72"/>
    <w:rsid w:val="00BB1C56"/>
    <w:rsid w:val="00BB2623"/>
    <w:rsid w:val="00BB2826"/>
    <w:rsid w:val="00BB3024"/>
    <w:rsid w:val="00BB523F"/>
    <w:rsid w:val="00BB55AA"/>
    <w:rsid w:val="00BB5C1C"/>
    <w:rsid w:val="00BB6476"/>
    <w:rsid w:val="00BB6871"/>
    <w:rsid w:val="00BB730B"/>
    <w:rsid w:val="00BB75D4"/>
    <w:rsid w:val="00BB77DF"/>
    <w:rsid w:val="00BB792E"/>
    <w:rsid w:val="00BB7BD9"/>
    <w:rsid w:val="00BB7F67"/>
    <w:rsid w:val="00BB7FD6"/>
    <w:rsid w:val="00BC0753"/>
    <w:rsid w:val="00BC1086"/>
    <w:rsid w:val="00BC108D"/>
    <w:rsid w:val="00BC1645"/>
    <w:rsid w:val="00BC1AE0"/>
    <w:rsid w:val="00BC1B68"/>
    <w:rsid w:val="00BC36A5"/>
    <w:rsid w:val="00BC39E1"/>
    <w:rsid w:val="00BC3CFF"/>
    <w:rsid w:val="00BC3E00"/>
    <w:rsid w:val="00BC3F27"/>
    <w:rsid w:val="00BC4194"/>
    <w:rsid w:val="00BC440A"/>
    <w:rsid w:val="00BC537A"/>
    <w:rsid w:val="00BC5980"/>
    <w:rsid w:val="00BC5E8B"/>
    <w:rsid w:val="00BC660B"/>
    <w:rsid w:val="00BC6D09"/>
    <w:rsid w:val="00BC6F97"/>
    <w:rsid w:val="00BC739C"/>
    <w:rsid w:val="00BC7B9F"/>
    <w:rsid w:val="00BC7BDF"/>
    <w:rsid w:val="00BC7E4F"/>
    <w:rsid w:val="00BD07B8"/>
    <w:rsid w:val="00BD22E2"/>
    <w:rsid w:val="00BD28C2"/>
    <w:rsid w:val="00BD32B7"/>
    <w:rsid w:val="00BD33B3"/>
    <w:rsid w:val="00BD391E"/>
    <w:rsid w:val="00BD3D8B"/>
    <w:rsid w:val="00BD5953"/>
    <w:rsid w:val="00BD5BCA"/>
    <w:rsid w:val="00BD634C"/>
    <w:rsid w:val="00BD66DE"/>
    <w:rsid w:val="00BD6AD2"/>
    <w:rsid w:val="00BD6DC0"/>
    <w:rsid w:val="00BD746A"/>
    <w:rsid w:val="00BE0545"/>
    <w:rsid w:val="00BE0831"/>
    <w:rsid w:val="00BE0BAC"/>
    <w:rsid w:val="00BE0D49"/>
    <w:rsid w:val="00BE145C"/>
    <w:rsid w:val="00BE165E"/>
    <w:rsid w:val="00BE1947"/>
    <w:rsid w:val="00BE352E"/>
    <w:rsid w:val="00BE36DA"/>
    <w:rsid w:val="00BE3A49"/>
    <w:rsid w:val="00BE4D19"/>
    <w:rsid w:val="00BE5EA0"/>
    <w:rsid w:val="00BE5F7A"/>
    <w:rsid w:val="00BE5FE7"/>
    <w:rsid w:val="00BE62E3"/>
    <w:rsid w:val="00BE666E"/>
    <w:rsid w:val="00BE7125"/>
    <w:rsid w:val="00BE71B5"/>
    <w:rsid w:val="00BE7339"/>
    <w:rsid w:val="00BE743F"/>
    <w:rsid w:val="00BE76BD"/>
    <w:rsid w:val="00BE7A19"/>
    <w:rsid w:val="00BE7AC2"/>
    <w:rsid w:val="00BE7B54"/>
    <w:rsid w:val="00BE7C49"/>
    <w:rsid w:val="00BF05E8"/>
    <w:rsid w:val="00BF087B"/>
    <w:rsid w:val="00BF0DFC"/>
    <w:rsid w:val="00BF0E81"/>
    <w:rsid w:val="00BF10C0"/>
    <w:rsid w:val="00BF1DF7"/>
    <w:rsid w:val="00BF3186"/>
    <w:rsid w:val="00BF34B7"/>
    <w:rsid w:val="00BF382E"/>
    <w:rsid w:val="00BF4130"/>
    <w:rsid w:val="00BF4479"/>
    <w:rsid w:val="00BF4822"/>
    <w:rsid w:val="00BF4C74"/>
    <w:rsid w:val="00BF68D0"/>
    <w:rsid w:val="00BF6CE8"/>
    <w:rsid w:val="00BF76BC"/>
    <w:rsid w:val="00BF7A50"/>
    <w:rsid w:val="00BF7DDC"/>
    <w:rsid w:val="00C00271"/>
    <w:rsid w:val="00C00DC7"/>
    <w:rsid w:val="00C01425"/>
    <w:rsid w:val="00C01D9B"/>
    <w:rsid w:val="00C02B9F"/>
    <w:rsid w:val="00C02DDF"/>
    <w:rsid w:val="00C02EE3"/>
    <w:rsid w:val="00C03101"/>
    <w:rsid w:val="00C034BB"/>
    <w:rsid w:val="00C04DA4"/>
    <w:rsid w:val="00C04F65"/>
    <w:rsid w:val="00C05230"/>
    <w:rsid w:val="00C0550C"/>
    <w:rsid w:val="00C056A6"/>
    <w:rsid w:val="00C05EC1"/>
    <w:rsid w:val="00C06213"/>
    <w:rsid w:val="00C06771"/>
    <w:rsid w:val="00C06943"/>
    <w:rsid w:val="00C072BA"/>
    <w:rsid w:val="00C07E07"/>
    <w:rsid w:val="00C1001E"/>
    <w:rsid w:val="00C10AFF"/>
    <w:rsid w:val="00C10C2C"/>
    <w:rsid w:val="00C10D83"/>
    <w:rsid w:val="00C113EE"/>
    <w:rsid w:val="00C11C76"/>
    <w:rsid w:val="00C13018"/>
    <w:rsid w:val="00C13ABB"/>
    <w:rsid w:val="00C15034"/>
    <w:rsid w:val="00C15D6E"/>
    <w:rsid w:val="00C1609D"/>
    <w:rsid w:val="00C16712"/>
    <w:rsid w:val="00C17244"/>
    <w:rsid w:val="00C17C05"/>
    <w:rsid w:val="00C20764"/>
    <w:rsid w:val="00C207D9"/>
    <w:rsid w:val="00C20983"/>
    <w:rsid w:val="00C209A3"/>
    <w:rsid w:val="00C21344"/>
    <w:rsid w:val="00C21424"/>
    <w:rsid w:val="00C214DA"/>
    <w:rsid w:val="00C21F81"/>
    <w:rsid w:val="00C2211F"/>
    <w:rsid w:val="00C222E0"/>
    <w:rsid w:val="00C22A21"/>
    <w:rsid w:val="00C22CEA"/>
    <w:rsid w:val="00C22E6E"/>
    <w:rsid w:val="00C22F08"/>
    <w:rsid w:val="00C2322E"/>
    <w:rsid w:val="00C23573"/>
    <w:rsid w:val="00C23590"/>
    <w:rsid w:val="00C24822"/>
    <w:rsid w:val="00C24DDD"/>
    <w:rsid w:val="00C24F97"/>
    <w:rsid w:val="00C2522B"/>
    <w:rsid w:val="00C2582B"/>
    <w:rsid w:val="00C25C81"/>
    <w:rsid w:val="00C25C83"/>
    <w:rsid w:val="00C25E13"/>
    <w:rsid w:val="00C26259"/>
    <w:rsid w:val="00C2655D"/>
    <w:rsid w:val="00C26657"/>
    <w:rsid w:val="00C27991"/>
    <w:rsid w:val="00C27D0C"/>
    <w:rsid w:val="00C30679"/>
    <w:rsid w:val="00C30BB9"/>
    <w:rsid w:val="00C310C3"/>
    <w:rsid w:val="00C31807"/>
    <w:rsid w:val="00C328A9"/>
    <w:rsid w:val="00C32C8A"/>
    <w:rsid w:val="00C33186"/>
    <w:rsid w:val="00C33B26"/>
    <w:rsid w:val="00C33D0B"/>
    <w:rsid w:val="00C33E99"/>
    <w:rsid w:val="00C34CE7"/>
    <w:rsid w:val="00C3524E"/>
    <w:rsid w:val="00C363D9"/>
    <w:rsid w:val="00C364D7"/>
    <w:rsid w:val="00C36CF5"/>
    <w:rsid w:val="00C36D6B"/>
    <w:rsid w:val="00C37140"/>
    <w:rsid w:val="00C379B2"/>
    <w:rsid w:val="00C37C2B"/>
    <w:rsid w:val="00C401EF"/>
    <w:rsid w:val="00C40320"/>
    <w:rsid w:val="00C403F6"/>
    <w:rsid w:val="00C406C4"/>
    <w:rsid w:val="00C40760"/>
    <w:rsid w:val="00C4123A"/>
    <w:rsid w:val="00C41816"/>
    <w:rsid w:val="00C419E4"/>
    <w:rsid w:val="00C42251"/>
    <w:rsid w:val="00C43862"/>
    <w:rsid w:val="00C43887"/>
    <w:rsid w:val="00C43DB4"/>
    <w:rsid w:val="00C44A9E"/>
    <w:rsid w:val="00C45647"/>
    <w:rsid w:val="00C45E04"/>
    <w:rsid w:val="00C464EB"/>
    <w:rsid w:val="00C4653B"/>
    <w:rsid w:val="00C4657F"/>
    <w:rsid w:val="00C47827"/>
    <w:rsid w:val="00C47D47"/>
    <w:rsid w:val="00C47D9D"/>
    <w:rsid w:val="00C500BD"/>
    <w:rsid w:val="00C50416"/>
    <w:rsid w:val="00C504AB"/>
    <w:rsid w:val="00C5052C"/>
    <w:rsid w:val="00C50F5D"/>
    <w:rsid w:val="00C512E9"/>
    <w:rsid w:val="00C51631"/>
    <w:rsid w:val="00C51D50"/>
    <w:rsid w:val="00C52112"/>
    <w:rsid w:val="00C52752"/>
    <w:rsid w:val="00C52B19"/>
    <w:rsid w:val="00C52C73"/>
    <w:rsid w:val="00C52E26"/>
    <w:rsid w:val="00C53763"/>
    <w:rsid w:val="00C537A1"/>
    <w:rsid w:val="00C54497"/>
    <w:rsid w:val="00C54C39"/>
    <w:rsid w:val="00C55081"/>
    <w:rsid w:val="00C565AA"/>
    <w:rsid w:val="00C566A8"/>
    <w:rsid w:val="00C5795B"/>
    <w:rsid w:val="00C57D7F"/>
    <w:rsid w:val="00C60B15"/>
    <w:rsid w:val="00C60EBF"/>
    <w:rsid w:val="00C60FE8"/>
    <w:rsid w:val="00C6118C"/>
    <w:rsid w:val="00C61413"/>
    <w:rsid w:val="00C61525"/>
    <w:rsid w:val="00C61996"/>
    <w:rsid w:val="00C6269A"/>
    <w:rsid w:val="00C62982"/>
    <w:rsid w:val="00C629A8"/>
    <w:rsid w:val="00C629FB"/>
    <w:rsid w:val="00C62D47"/>
    <w:rsid w:val="00C62DF3"/>
    <w:rsid w:val="00C62F75"/>
    <w:rsid w:val="00C63E30"/>
    <w:rsid w:val="00C64BF5"/>
    <w:rsid w:val="00C64CC4"/>
    <w:rsid w:val="00C64D10"/>
    <w:rsid w:val="00C65616"/>
    <w:rsid w:val="00C65AD0"/>
    <w:rsid w:val="00C66529"/>
    <w:rsid w:val="00C665B7"/>
    <w:rsid w:val="00C6671E"/>
    <w:rsid w:val="00C66B4C"/>
    <w:rsid w:val="00C66B7D"/>
    <w:rsid w:val="00C672AD"/>
    <w:rsid w:val="00C67CFD"/>
    <w:rsid w:val="00C71428"/>
    <w:rsid w:val="00C71632"/>
    <w:rsid w:val="00C71FEB"/>
    <w:rsid w:val="00C729D3"/>
    <w:rsid w:val="00C7339F"/>
    <w:rsid w:val="00C73B7B"/>
    <w:rsid w:val="00C741BF"/>
    <w:rsid w:val="00C74631"/>
    <w:rsid w:val="00C74CFE"/>
    <w:rsid w:val="00C75C2C"/>
    <w:rsid w:val="00C75F44"/>
    <w:rsid w:val="00C764C0"/>
    <w:rsid w:val="00C764C8"/>
    <w:rsid w:val="00C770A7"/>
    <w:rsid w:val="00C77FB0"/>
    <w:rsid w:val="00C8087E"/>
    <w:rsid w:val="00C809C8"/>
    <w:rsid w:val="00C80D1D"/>
    <w:rsid w:val="00C80F59"/>
    <w:rsid w:val="00C80F89"/>
    <w:rsid w:val="00C80FF6"/>
    <w:rsid w:val="00C81B98"/>
    <w:rsid w:val="00C81D6F"/>
    <w:rsid w:val="00C81F6F"/>
    <w:rsid w:val="00C835E2"/>
    <w:rsid w:val="00C836A3"/>
    <w:rsid w:val="00C83C18"/>
    <w:rsid w:val="00C84046"/>
    <w:rsid w:val="00C84794"/>
    <w:rsid w:val="00C847F9"/>
    <w:rsid w:val="00C85369"/>
    <w:rsid w:val="00C853E2"/>
    <w:rsid w:val="00C854F2"/>
    <w:rsid w:val="00C859B2"/>
    <w:rsid w:val="00C8673E"/>
    <w:rsid w:val="00C87FDA"/>
    <w:rsid w:val="00C90023"/>
    <w:rsid w:val="00C90DCA"/>
    <w:rsid w:val="00C9143B"/>
    <w:rsid w:val="00C914B2"/>
    <w:rsid w:val="00C91866"/>
    <w:rsid w:val="00C91D69"/>
    <w:rsid w:val="00C9203C"/>
    <w:rsid w:val="00C92097"/>
    <w:rsid w:val="00C921CD"/>
    <w:rsid w:val="00C92295"/>
    <w:rsid w:val="00C92D58"/>
    <w:rsid w:val="00C938D9"/>
    <w:rsid w:val="00C941A3"/>
    <w:rsid w:val="00C950D9"/>
    <w:rsid w:val="00C95209"/>
    <w:rsid w:val="00C97A68"/>
    <w:rsid w:val="00CA04AD"/>
    <w:rsid w:val="00CA06A0"/>
    <w:rsid w:val="00CA092A"/>
    <w:rsid w:val="00CA0C24"/>
    <w:rsid w:val="00CA0CCF"/>
    <w:rsid w:val="00CA0F64"/>
    <w:rsid w:val="00CA10BF"/>
    <w:rsid w:val="00CA10D9"/>
    <w:rsid w:val="00CA14E5"/>
    <w:rsid w:val="00CA1545"/>
    <w:rsid w:val="00CA22A4"/>
    <w:rsid w:val="00CA22E2"/>
    <w:rsid w:val="00CA277D"/>
    <w:rsid w:val="00CA29D7"/>
    <w:rsid w:val="00CA43D9"/>
    <w:rsid w:val="00CA44FA"/>
    <w:rsid w:val="00CA47D2"/>
    <w:rsid w:val="00CA4A8E"/>
    <w:rsid w:val="00CA4BCE"/>
    <w:rsid w:val="00CA4EC8"/>
    <w:rsid w:val="00CA4F44"/>
    <w:rsid w:val="00CA50C7"/>
    <w:rsid w:val="00CA5BA5"/>
    <w:rsid w:val="00CA66CB"/>
    <w:rsid w:val="00CA7C19"/>
    <w:rsid w:val="00CB010E"/>
    <w:rsid w:val="00CB02F9"/>
    <w:rsid w:val="00CB0372"/>
    <w:rsid w:val="00CB0699"/>
    <w:rsid w:val="00CB0827"/>
    <w:rsid w:val="00CB0F55"/>
    <w:rsid w:val="00CB2269"/>
    <w:rsid w:val="00CB2352"/>
    <w:rsid w:val="00CB2807"/>
    <w:rsid w:val="00CB34E8"/>
    <w:rsid w:val="00CB351F"/>
    <w:rsid w:val="00CB36DB"/>
    <w:rsid w:val="00CB3B72"/>
    <w:rsid w:val="00CB3C6F"/>
    <w:rsid w:val="00CB3CFC"/>
    <w:rsid w:val="00CB3E73"/>
    <w:rsid w:val="00CB4141"/>
    <w:rsid w:val="00CB466F"/>
    <w:rsid w:val="00CB4F2E"/>
    <w:rsid w:val="00CB5775"/>
    <w:rsid w:val="00CB6939"/>
    <w:rsid w:val="00CB6B92"/>
    <w:rsid w:val="00CB6E84"/>
    <w:rsid w:val="00CB7648"/>
    <w:rsid w:val="00CB7762"/>
    <w:rsid w:val="00CB7EA1"/>
    <w:rsid w:val="00CC01C3"/>
    <w:rsid w:val="00CC1034"/>
    <w:rsid w:val="00CC12A4"/>
    <w:rsid w:val="00CC1CF5"/>
    <w:rsid w:val="00CC2079"/>
    <w:rsid w:val="00CC30F1"/>
    <w:rsid w:val="00CC3343"/>
    <w:rsid w:val="00CC49CF"/>
    <w:rsid w:val="00CC4D06"/>
    <w:rsid w:val="00CC5B78"/>
    <w:rsid w:val="00CC677B"/>
    <w:rsid w:val="00CC6AAB"/>
    <w:rsid w:val="00CC6BEC"/>
    <w:rsid w:val="00CC77EC"/>
    <w:rsid w:val="00CC7AB8"/>
    <w:rsid w:val="00CD0178"/>
    <w:rsid w:val="00CD0CB1"/>
    <w:rsid w:val="00CD1DE7"/>
    <w:rsid w:val="00CD2148"/>
    <w:rsid w:val="00CD2271"/>
    <w:rsid w:val="00CD252A"/>
    <w:rsid w:val="00CD26BF"/>
    <w:rsid w:val="00CD2818"/>
    <w:rsid w:val="00CD2BB9"/>
    <w:rsid w:val="00CD3F77"/>
    <w:rsid w:val="00CD5269"/>
    <w:rsid w:val="00CD52A1"/>
    <w:rsid w:val="00CD60DB"/>
    <w:rsid w:val="00CD627C"/>
    <w:rsid w:val="00CD69D9"/>
    <w:rsid w:val="00CD6B2C"/>
    <w:rsid w:val="00CD6B7A"/>
    <w:rsid w:val="00CD6FFA"/>
    <w:rsid w:val="00CD710E"/>
    <w:rsid w:val="00CD7352"/>
    <w:rsid w:val="00CD7936"/>
    <w:rsid w:val="00CD7D3B"/>
    <w:rsid w:val="00CE0C76"/>
    <w:rsid w:val="00CE13BE"/>
    <w:rsid w:val="00CE1445"/>
    <w:rsid w:val="00CE1972"/>
    <w:rsid w:val="00CE1D1B"/>
    <w:rsid w:val="00CE2106"/>
    <w:rsid w:val="00CE2A6C"/>
    <w:rsid w:val="00CE2DC0"/>
    <w:rsid w:val="00CE3169"/>
    <w:rsid w:val="00CE3328"/>
    <w:rsid w:val="00CE3AA7"/>
    <w:rsid w:val="00CE3AAE"/>
    <w:rsid w:val="00CE3F21"/>
    <w:rsid w:val="00CE4604"/>
    <w:rsid w:val="00CE4B33"/>
    <w:rsid w:val="00CE50D1"/>
    <w:rsid w:val="00CE5C32"/>
    <w:rsid w:val="00CE5F32"/>
    <w:rsid w:val="00CE62FB"/>
    <w:rsid w:val="00CE6834"/>
    <w:rsid w:val="00CE6A4E"/>
    <w:rsid w:val="00CE78A2"/>
    <w:rsid w:val="00CE7F51"/>
    <w:rsid w:val="00CF00BC"/>
    <w:rsid w:val="00CF01DF"/>
    <w:rsid w:val="00CF05FA"/>
    <w:rsid w:val="00CF07C7"/>
    <w:rsid w:val="00CF0A31"/>
    <w:rsid w:val="00CF0CF8"/>
    <w:rsid w:val="00CF0FB2"/>
    <w:rsid w:val="00CF17C3"/>
    <w:rsid w:val="00CF2790"/>
    <w:rsid w:val="00CF2B31"/>
    <w:rsid w:val="00CF2BE4"/>
    <w:rsid w:val="00CF46BF"/>
    <w:rsid w:val="00CF537F"/>
    <w:rsid w:val="00CF5457"/>
    <w:rsid w:val="00CF571F"/>
    <w:rsid w:val="00CF5D07"/>
    <w:rsid w:val="00CF5EDA"/>
    <w:rsid w:val="00CF689E"/>
    <w:rsid w:val="00CF755A"/>
    <w:rsid w:val="00CF7B8A"/>
    <w:rsid w:val="00CFE4AE"/>
    <w:rsid w:val="00D00527"/>
    <w:rsid w:val="00D0098F"/>
    <w:rsid w:val="00D00CC2"/>
    <w:rsid w:val="00D01FC7"/>
    <w:rsid w:val="00D02099"/>
    <w:rsid w:val="00D02345"/>
    <w:rsid w:val="00D0266A"/>
    <w:rsid w:val="00D02670"/>
    <w:rsid w:val="00D02C3B"/>
    <w:rsid w:val="00D02F8C"/>
    <w:rsid w:val="00D03056"/>
    <w:rsid w:val="00D031C7"/>
    <w:rsid w:val="00D03603"/>
    <w:rsid w:val="00D03896"/>
    <w:rsid w:val="00D038F2"/>
    <w:rsid w:val="00D03CF7"/>
    <w:rsid w:val="00D0472C"/>
    <w:rsid w:val="00D04D3D"/>
    <w:rsid w:val="00D04F30"/>
    <w:rsid w:val="00D05212"/>
    <w:rsid w:val="00D05846"/>
    <w:rsid w:val="00D05986"/>
    <w:rsid w:val="00D0637D"/>
    <w:rsid w:val="00D06472"/>
    <w:rsid w:val="00D0784B"/>
    <w:rsid w:val="00D078DA"/>
    <w:rsid w:val="00D07D38"/>
    <w:rsid w:val="00D07E9A"/>
    <w:rsid w:val="00D07FAB"/>
    <w:rsid w:val="00D111E5"/>
    <w:rsid w:val="00D115A0"/>
    <w:rsid w:val="00D11C7D"/>
    <w:rsid w:val="00D12081"/>
    <w:rsid w:val="00D1246E"/>
    <w:rsid w:val="00D128F2"/>
    <w:rsid w:val="00D1297B"/>
    <w:rsid w:val="00D12A97"/>
    <w:rsid w:val="00D13437"/>
    <w:rsid w:val="00D1378E"/>
    <w:rsid w:val="00D13902"/>
    <w:rsid w:val="00D13998"/>
    <w:rsid w:val="00D13AA6"/>
    <w:rsid w:val="00D13AD1"/>
    <w:rsid w:val="00D15498"/>
    <w:rsid w:val="00D15C8A"/>
    <w:rsid w:val="00D15F93"/>
    <w:rsid w:val="00D16793"/>
    <w:rsid w:val="00D168A4"/>
    <w:rsid w:val="00D16980"/>
    <w:rsid w:val="00D16997"/>
    <w:rsid w:val="00D176E6"/>
    <w:rsid w:val="00D17813"/>
    <w:rsid w:val="00D20980"/>
    <w:rsid w:val="00D20E56"/>
    <w:rsid w:val="00D20EAD"/>
    <w:rsid w:val="00D2129F"/>
    <w:rsid w:val="00D218D8"/>
    <w:rsid w:val="00D21C9A"/>
    <w:rsid w:val="00D22D7D"/>
    <w:rsid w:val="00D22FBF"/>
    <w:rsid w:val="00D23DA9"/>
    <w:rsid w:val="00D2434C"/>
    <w:rsid w:val="00D2480E"/>
    <w:rsid w:val="00D24AED"/>
    <w:rsid w:val="00D24B2C"/>
    <w:rsid w:val="00D24D54"/>
    <w:rsid w:val="00D24E0E"/>
    <w:rsid w:val="00D25BB8"/>
    <w:rsid w:val="00D25EB8"/>
    <w:rsid w:val="00D26255"/>
    <w:rsid w:val="00D2717D"/>
    <w:rsid w:val="00D2737F"/>
    <w:rsid w:val="00D276D5"/>
    <w:rsid w:val="00D2794E"/>
    <w:rsid w:val="00D27A22"/>
    <w:rsid w:val="00D30121"/>
    <w:rsid w:val="00D3061E"/>
    <w:rsid w:val="00D30BCB"/>
    <w:rsid w:val="00D30CD7"/>
    <w:rsid w:val="00D31426"/>
    <w:rsid w:val="00D31902"/>
    <w:rsid w:val="00D31A9A"/>
    <w:rsid w:val="00D328E2"/>
    <w:rsid w:val="00D32FCF"/>
    <w:rsid w:val="00D3421D"/>
    <w:rsid w:val="00D34F04"/>
    <w:rsid w:val="00D35B88"/>
    <w:rsid w:val="00D35EFF"/>
    <w:rsid w:val="00D36002"/>
    <w:rsid w:val="00D36547"/>
    <w:rsid w:val="00D3725C"/>
    <w:rsid w:val="00D37706"/>
    <w:rsid w:val="00D37ED3"/>
    <w:rsid w:val="00D40496"/>
    <w:rsid w:val="00D406D3"/>
    <w:rsid w:val="00D40F2A"/>
    <w:rsid w:val="00D40FDE"/>
    <w:rsid w:val="00D412EA"/>
    <w:rsid w:val="00D4153A"/>
    <w:rsid w:val="00D427A4"/>
    <w:rsid w:val="00D42AF3"/>
    <w:rsid w:val="00D42E99"/>
    <w:rsid w:val="00D432AC"/>
    <w:rsid w:val="00D432B2"/>
    <w:rsid w:val="00D435AD"/>
    <w:rsid w:val="00D4377F"/>
    <w:rsid w:val="00D43874"/>
    <w:rsid w:val="00D43C53"/>
    <w:rsid w:val="00D43D98"/>
    <w:rsid w:val="00D43DDE"/>
    <w:rsid w:val="00D441E8"/>
    <w:rsid w:val="00D44C8B"/>
    <w:rsid w:val="00D4525A"/>
    <w:rsid w:val="00D4558D"/>
    <w:rsid w:val="00D45691"/>
    <w:rsid w:val="00D46565"/>
    <w:rsid w:val="00D47493"/>
    <w:rsid w:val="00D474FD"/>
    <w:rsid w:val="00D478D7"/>
    <w:rsid w:val="00D47CD1"/>
    <w:rsid w:val="00D500F3"/>
    <w:rsid w:val="00D5048F"/>
    <w:rsid w:val="00D507C7"/>
    <w:rsid w:val="00D508EA"/>
    <w:rsid w:val="00D5113A"/>
    <w:rsid w:val="00D5127F"/>
    <w:rsid w:val="00D512CD"/>
    <w:rsid w:val="00D518CD"/>
    <w:rsid w:val="00D519FD"/>
    <w:rsid w:val="00D5235B"/>
    <w:rsid w:val="00D52722"/>
    <w:rsid w:val="00D53C23"/>
    <w:rsid w:val="00D54579"/>
    <w:rsid w:val="00D549AF"/>
    <w:rsid w:val="00D54F2D"/>
    <w:rsid w:val="00D55205"/>
    <w:rsid w:val="00D56062"/>
    <w:rsid w:val="00D56E4E"/>
    <w:rsid w:val="00D60322"/>
    <w:rsid w:val="00D60408"/>
    <w:rsid w:val="00D60C36"/>
    <w:rsid w:val="00D60CC2"/>
    <w:rsid w:val="00D60F34"/>
    <w:rsid w:val="00D610B2"/>
    <w:rsid w:val="00D61186"/>
    <w:rsid w:val="00D615D3"/>
    <w:rsid w:val="00D61774"/>
    <w:rsid w:val="00D61C32"/>
    <w:rsid w:val="00D61C37"/>
    <w:rsid w:val="00D62098"/>
    <w:rsid w:val="00D623A6"/>
    <w:rsid w:val="00D629FE"/>
    <w:rsid w:val="00D63287"/>
    <w:rsid w:val="00D63451"/>
    <w:rsid w:val="00D63A39"/>
    <w:rsid w:val="00D64B59"/>
    <w:rsid w:val="00D653FE"/>
    <w:rsid w:val="00D654D0"/>
    <w:rsid w:val="00D65BBE"/>
    <w:rsid w:val="00D65C5C"/>
    <w:rsid w:val="00D66282"/>
    <w:rsid w:val="00D66B25"/>
    <w:rsid w:val="00D66CED"/>
    <w:rsid w:val="00D66F81"/>
    <w:rsid w:val="00D67C6C"/>
    <w:rsid w:val="00D67D81"/>
    <w:rsid w:val="00D70319"/>
    <w:rsid w:val="00D7112C"/>
    <w:rsid w:val="00D715BC"/>
    <w:rsid w:val="00D718F7"/>
    <w:rsid w:val="00D71A4C"/>
    <w:rsid w:val="00D72582"/>
    <w:rsid w:val="00D725C8"/>
    <w:rsid w:val="00D7270A"/>
    <w:rsid w:val="00D72EA9"/>
    <w:rsid w:val="00D735B9"/>
    <w:rsid w:val="00D7417E"/>
    <w:rsid w:val="00D7497F"/>
    <w:rsid w:val="00D74A68"/>
    <w:rsid w:val="00D74FF5"/>
    <w:rsid w:val="00D75373"/>
    <w:rsid w:val="00D754B7"/>
    <w:rsid w:val="00D75603"/>
    <w:rsid w:val="00D75B03"/>
    <w:rsid w:val="00D7670A"/>
    <w:rsid w:val="00D76DE2"/>
    <w:rsid w:val="00D77054"/>
    <w:rsid w:val="00D7754D"/>
    <w:rsid w:val="00D77588"/>
    <w:rsid w:val="00D77703"/>
    <w:rsid w:val="00D77705"/>
    <w:rsid w:val="00D77984"/>
    <w:rsid w:val="00D803A8"/>
    <w:rsid w:val="00D807BE"/>
    <w:rsid w:val="00D808B0"/>
    <w:rsid w:val="00D80ABF"/>
    <w:rsid w:val="00D8125D"/>
    <w:rsid w:val="00D815A1"/>
    <w:rsid w:val="00D818C2"/>
    <w:rsid w:val="00D81C8F"/>
    <w:rsid w:val="00D822C8"/>
    <w:rsid w:val="00D82CE1"/>
    <w:rsid w:val="00D84059"/>
    <w:rsid w:val="00D84B09"/>
    <w:rsid w:val="00D857BC"/>
    <w:rsid w:val="00D85989"/>
    <w:rsid w:val="00D86033"/>
    <w:rsid w:val="00D872C4"/>
    <w:rsid w:val="00D87A0D"/>
    <w:rsid w:val="00D9079F"/>
    <w:rsid w:val="00D90C84"/>
    <w:rsid w:val="00D90F54"/>
    <w:rsid w:val="00D91465"/>
    <w:rsid w:val="00D91CFE"/>
    <w:rsid w:val="00D93078"/>
    <w:rsid w:val="00D93347"/>
    <w:rsid w:val="00D93542"/>
    <w:rsid w:val="00D940FC"/>
    <w:rsid w:val="00D949AC"/>
    <w:rsid w:val="00D94A24"/>
    <w:rsid w:val="00D94A50"/>
    <w:rsid w:val="00D955A8"/>
    <w:rsid w:val="00D95BD9"/>
    <w:rsid w:val="00D95C04"/>
    <w:rsid w:val="00D96370"/>
    <w:rsid w:val="00D968B4"/>
    <w:rsid w:val="00D968B6"/>
    <w:rsid w:val="00D96B5B"/>
    <w:rsid w:val="00D96C6D"/>
    <w:rsid w:val="00D96F33"/>
    <w:rsid w:val="00DA072F"/>
    <w:rsid w:val="00DA0898"/>
    <w:rsid w:val="00DA11A7"/>
    <w:rsid w:val="00DA16A9"/>
    <w:rsid w:val="00DA1BBA"/>
    <w:rsid w:val="00DA213C"/>
    <w:rsid w:val="00DA276C"/>
    <w:rsid w:val="00DA2E63"/>
    <w:rsid w:val="00DA2EBE"/>
    <w:rsid w:val="00DA355F"/>
    <w:rsid w:val="00DA3998"/>
    <w:rsid w:val="00DA3FF6"/>
    <w:rsid w:val="00DA4079"/>
    <w:rsid w:val="00DA4601"/>
    <w:rsid w:val="00DA4B26"/>
    <w:rsid w:val="00DA5116"/>
    <w:rsid w:val="00DA6024"/>
    <w:rsid w:val="00DA605D"/>
    <w:rsid w:val="00DA620F"/>
    <w:rsid w:val="00DA6E2F"/>
    <w:rsid w:val="00DA70E6"/>
    <w:rsid w:val="00DA746B"/>
    <w:rsid w:val="00DA7B55"/>
    <w:rsid w:val="00DA7C41"/>
    <w:rsid w:val="00DA7E6C"/>
    <w:rsid w:val="00DB0184"/>
    <w:rsid w:val="00DB0841"/>
    <w:rsid w:val="00DB08EB"/>
    <w:rsid w:val="00DB10C5"/>
    <w:rsid w:val="00DB10E8"/>
    <w:rsid w:val="00DB13E9"/>
    <w:rsid w:val="00DB1FD8"/>
    <w:rsid w:val="00DB29E1"/>
    <w:rsid w:val="00DB29E5"/>
    <w:rsid w:val="00DB3A48"/>
    <w:rsid w:val="00DB406C"/>
    <w:rsid w:val="00DB51D2"/>
    <w:rsid w:val="00DB5353"/>
    <w:rsid w:val="00DB6096"/>
    <w:rsid w:val="00DB671C"/>
    <w:rsid w:val="00DB67C0"/>
    <w:rsid w:val="00DB67F9"/>
    <w:rsid w:val="00DB6A24"/>
    <w:rsid w:val="00DB6E17"/>
    <w:rsid w:val="00DB7132"/>
    <w:rsid w:val="00DB74EC"/>
    <w:rsid w:val="00DB760D"/>
    <w:rsid w:val="00DB78BC"/>
    <w:rsid w:val="00DB7B5E"/>
    <w:rsid w:val="00DC01BC"/>
    <w:rsid w:val="00DC0424"/>
    <w:rsid w:val="00DC0742"/>
    <w:rsid w:val="00DC0B4A"/>
    <w:rsid w:val="00DC0B59"/>
    <w:rsid w:val="00DC0E1B"/>
    <w:rsid w:val="00DC10AC"/>
    <w:rsid w:val="00DC1433"/>
    <w:rsid w:val="00DC1655"/>
    <w:rsid w:val="00DC185C"/>
    <w:rsid w:val="00DC2DDE"/>
    <w:rsid w:val="00DC316E"/>
    <w:rsid w:val="00DC3887"/>
    <w:rsid w:val="00DC3FA2"/>
    <w:rsid w:val="00DC41A4"/>
    <w:rsid w:val="00DC48C8"/>
    <w:rsid w:val="00DC4A13"/>
    <w:rsid w:val="00DC4A50"/>
    <w:rsid w:val="00DC4E49"/>
    <w:rsid w:val="00DC4F5F"/>
    <w:rsid w:val="00DC5CFF"/>
    <w:rsid w:val="00DC63D8"/>
    <w:rsid w:val="00DC6776"/>
    <w:rsid w:val="00DC6EA6"/>
    <w:rsid w:val="00DC7175"/>
    <w:rsid w:val="00DC7856"/>
    <w:rsid w:val="00DC7B09"/>
    <w:rsid w:val="00DC7D43"/>
    <w:rsid w:val="00DC7F2B"/>
    <w:rsid w:val="00DD07C9"/>
    <w:rsid w:val="00DD0FC9"/>
    <w:rsid w:val="00DD14E6"/>
    <w:rsid w:val="00DD17F5"/>
    <w:rsid w:val="00DD1DCD"/>
    <w:rsid w:val="00DD210B"/>
    <w:rsid w:val="00DD33B7"/>
    <w:rsid w:val="00DD3A71"/>
    <w:rsid w:val="00DD3C41"/>
    <w:rsid w:val="00DD4A06"/>
    <w:rsid w:val="00DD4A6E"/>
    <w:rsid w:val="00DD4B39"/>
    <w:rsid w:val="00DD4BD7"/>
    <w:rsid w:val="00DD4D7A"/>
    <w:rsid w:val="00DD5397"/>
    <w:rsid w:val="00DD58AD"/>
    <w:rsid w:val="00DD59C9"/>
    <w:rsid w:val="00DD5B2F"/>
    <w:rsid w:val="00DD6141"/>
    <w:rsid w:val="00DD6792"/>
    <w:rsid w:val="00DD6C59"/>
    <w:rsid w:val="00DD6DDB"/>
    <w:rsid w:val="00DD71E4"/>
    <w:rsid w:val="00DD76B2"/>
    <w:rsid w:val="00DD7724"/>
    <w:rsid w:val="00DD7A32"/>
    <w:rsid w:val="00DD7BD5"/>
    <w:rsid w:val="00DD7C04"/>
    <w:rsid w:val="00DE00BF"/>
    <w:rsid w:val="00DE0D41"/>
    <w:rsid w:val="00DE0D64"/>
    <w:rsid w:val="00DE13D9"/>
    <w:rsid w:val="00DE1648"/>
    <w:rsid w:val="00DE1AF9"/>
    <w:rsid w:val="00DE1E4D"/>
    <w:rsid w:val="00DE2B72"/>
    <w:rsid w:val="00DE3186"/>
    <w:rsid w:val="00DE344B"/>
    <w:rsid w:val="00DE3A80"/>
    <w:rsid w:val="00DE3D47"/>
    <w:rsid w:val="00DE434A"/>
    <w:rsid w:val="00DE4E77"/>
    <w:rsid w:val="00DE4FF4"/>
    <w:rsid w:val="00DE5240"/>
    <w:rsid w:val="00DE5580"/>
    <w:rsid w:val="00DE57A6"/>
    <w:rsid w:val="00DE584D"/>
    <w:rsid w:val="00DE6106"/>
    <w:rsid w:val="00DE746C"/>
    <w:rsid w:val="00DF0126"/>
    <w:rsid w:val="00DF09C1"/>
    <w:rsid w:val="00DF0B2D"/>
    <w:rsid w:val="00DF0D66"/>
    <w:rsid w:val="00DF17A0"/>
    <w:rsid w:val="00DF192C"/>
    <w:rsid w:val="00DF1BFA"/>
    <w:rsid w:val="00DF22E6"/>
    <w:rsid w:val="00DF2D84"/>
    <w:rsid w:val="00DF3012"/>
    <w:rsid w:val="00DF3021"/>
    <w:rsid w:val="00DF3036"/>
    <w:rsid w:val="00DF3061"/>
    <w:rsid w:val="00DF312D"/>
    <w:rsid w:val="00DF3C0A"/>
    <w:rsid w:val="00DF49B5"/>
    <w:rsid w:val="00DF5360"/>
    <w:rsid w:val="00DF5F02"/>
    <w:rsid w:val="00DF6330"/>
    <w:rsid w:val="00DF6516"/>
    <w:rsid w:val="00DF6928"/>
    <w:rsid w:val="00DF79EE"/>
    <w:rsid w:val="00DF7B95"/>
    <w:rsid w:val="00DF7FD3"/>
    <w:rsid w:val="00E009D6"/>
    <w:rsid w:val="00E00EA1"/>
    <w:rsid w:val="00E00FD2"/>
    <w:rsid w:val="00E018FB"/>
    <w:rsid w:val="00E01B54"/>
    <w:rsid w:val="00E021DC"/>
    <w:rsid w:val="00E02977"/>
    <w:rsid w:val="00E02C8B"/>
    <w:rsid w:val="00E039CE"/>
    <w:rsid w:val="00E039F4"/>
    <w:rsid w:val="00E04092"/>
    <w:rsid w:val="00E041FC"/>
    <w:rsid w:val="00E04358"/>
    <w:rsid w:val="00E04945"/>
    <w:rsid w:val="00E04D1F"/>
    <w:rsid w:val="00E04E50"/>
    <w:rsid w:val="00E04EDD"/>
    <w:rsid w:val="00E05312"/>
    <w:rsid w:val="00E05936"/>
    <w:rsid w:val="00E0636B"/>
    <w:rsid w:val="00E06C10"/>
    <w:rsid w:val="00E07155"/>
    <w:rsid w:val="00E07384"/>
    <w:rsid w:val="00E0760E"/>
    <w:rsid w:val="00E0787B"/>
    <w:rsid w:val="00E113E3"/>
    <w:rsid w:val="00E1189C"/>
    <w:rsid w:val="00E11A37"/>
    <w:rsid w:val="00E11C3E"/>
    <w:rsid w:val="00E12028"/>
    <w:rsid w:val="00E1292A"/>
    <w:rsid w:val="00E12B9C"/>
    <w:rsid w:val="00E1429E"/>
    <w:rsid w:val="00E1460F"/>
    <w:rsid w:val="00E14857"/>
    <w:rsid w:val="00E14C52"/>
    <w:rsid w:val="00E14E80"/>
    <w:rsid w:val="00E1538B"/>
    <w:rsid w:val="00E16869"/>
    <w:rsid w:val="00E17603"/>
    <w:rsid w:val="00E20289"/>
    <w:rsid w:val="00E20A50"/>
    <w:rsid w:val="00E21F0F"/>
    <w:rsid w:val="00E22459"/>
    <w:rsid w:val="00E22476"/>
    <w:rsid w:val="00E230F5"/>
    <w:rsid w:val="00E24319"/>
    <w:rsid w:val="00E24ABC"/>
    <w:rsid w:val="00E24BD5"/>
    <w:rsid w:val="00E24F65"/>
    <w:rsid w:val="00E254B9"/>
    <w:rsid w:val="00E25589"/>
    <w:rsid w:val="00E257DC"/>
    <w:rsid w:val="00E25926"/>
    <w:rsid w:val="00E267C0"/>
    <w:rsid w:val="00E26943"/>
    <w:rsid w:val="00E26C11"/>
    <w:rsid w:val="00E26CAA"/>
    <w:rsid w:val="00E2704F"/>
    <w:rsid w:val="00E27B33"/>
    <w:rsid w:val="00E27C9F"/>
    <w:rsid w:val="00E27D18"/>
    <w:rsid w:val="00E30EA4"/>
    <w:rsid w:val="00E30EC7"/>
    <w:rsid w:val="00E30FF3"/>
    <w:rsid w:val="00E310D0"/>
    <w:rsid w:val="00E315F4"/>
    <w:rsid w:val="00E31A38"/>
    <w:rsid w:val="00E31D5D"/>
    <w:rsid w:val="00E31EF6"/>
    <w:rsid w:val="00E32D1C"/>
    <w:rsid w:val="00E32E65"/>
    <w:rsid w:val="00E330B3"/>
    <w:rsid w:val="00E337EC"/>
    <w:rsid w:val="00E33D59"/>
    <w:rsid w:val="00E33D5F"/>
    <w:rsid w:val="00E34558"/>
    <w:rsid w:val="00E346C2"/>
    <w:rsid w:val="00E3499C"/>
    <w:rsid w:val="00E34C87"/>
    <w:rsid w:val="00E34D15"/>
    <w:rsid w:val="00E363E8"/>
    <w:rsid w:val="00E36E4D"/>
    <w:rsid w:val="00E36F6E"/>
    <w:rsid w:val="00E37370"/>
    <w:rsid w:val="00E37684"/>
    <w:rsid w:val="00E378F0"/>
    <w:rsid w:val="00E401ED"/>
    <w:rsid w:val="00E40520"/>
    <w:rsid w:val="00E40C2C"/>
    <w:rsid w:val="00E41163"/>
    <w:rsid w:val="00E41421"/>
    <w:rsid w:val="00E41526"/>
    <w:rsid w:val="00E4170C"/>
    <w:rsid w:val="00E41D15"/>
    <w:rsid w:val="00E42596"/>
    <w:rsid w:val="00E432EF"/>
    <w:rsid w:val="00E43A61"/>
    <w:rsid w:val="00E43B72"/>
    <w:rsid w:val="00E43B8F"/>
    <w:rsid w:val="00E43CFE"/>
    <w:rsid w:val="00E44137"/>
    <w:rsid w:val="00E44401"/>
    <w:rsid w:val="00E445B9"/>
    <w:rsid w:val="00E44B81"/>
    <w:rsid w:val="00E45CB8"/>
    <w:rsid w:val="00E46104"/>
    <w:rsid w:val="00E46650"/>
    <w:rsid w:val="00E467A3"/>
    <w:rsid w:val="00E470B5"/>
    <w:rsid w:val="00E4763A"/>
    <w:rsid w:val="00E477FC"/>
    <w:rsid w:val="00E5017C"/>
    <w:rsid w:val="00E5091C"/>
    <w:rsid w:val="00E513DB"/>
    <w:rsid w:val="00E5280B"/>
    <w:rsid w:val="00E53213"/>
    <w:rsid w:val="00E532A1"/>
    <w:rsid w:val="00E53307"/>
    <w:rsid w:val="00E539FC"/>
    <w:rsid w:val="00E53DB0"/>
    <w:rsid w:val="00E5450E"/>
    <w:rsid w:val="00E54AE3"/>
    <w:rsid w:val="00E54E4C"/>
    <w:rsid w:val="00E55305"/>
    <w:rsid w:val="00E553EF"/>
    <w:rsid w:val="00E55F1A"/>
    <w:rsid w:val="00E563CB"/>
    <w:rsid w:val="00E565E4"/>
    <w:rsid w:val="00E56677"/>
    <w:rsid w:val="00E568C5"/>
    <w:rsid w:val="00E57078"/>
    <w:rsid w:val="00E5784B"/>
    <w:rsid w:val="00E57CB1"/>
    <w:rsid w:val="00E57DE5"/>
    <w:rsid w:val="00E60C94"/>
    <w:rsid w:val="00E61675"/>
    <w:rsid w:val="00E616DD"/>
    <w:rsid w:val="00E62432"/>
    <w:rsid w:val="00E6265F"/>
    <w:rsid w:val="00E62A37"/>
    <w:rsid w:val="00E62CA3"/>
    <w:rsid w:val="00E6362B"/>
    <w:rsid w:val="00E6373C"/>
    <w:rsid w:val="00E63AA8"/>
    <w:rsid w:val="00E63F57"/>
    <w:rsid w:val="00E64792"/>
    <w:rsid w:val="00E6487E"/>
    <w:rsid w:val="00E65186"/>
    <w:rsid w:val="00E65D69"/>
    <w:rsid w:val="00E66C7A"/>
    <w:rsid w:val="00E6732E"/>
    <w:rsid w:val="00E673FA"/>
    <w:rsid w:val="00E67426"/>
    <w:rsid w:val="00E678F4"/>
    <w:rsid w:val="00E70489"/>
    <w:rsid w:val="00E70629"/>
    <w:rsid w:val="00E710C3"/>
    <w:rsid w:val="00E71116"/>
    <w:rsid w:val="00E711FF"/>
    <w:rsid w:val="00E71492"/>
    <w:rsid w:val="00E715F5"/>
    <w:rsid w:val="00E71690"/>
    <w:rsid w:val="00E71766"/>
    <w:rsid w:val="00E71C5D"/>
    <w:rsid w:val="00E71D85"/>
    <w:rsid w:val="00E7255A"/>
    <w:rsid w:val="00E72C7F"/>
    <w:rsid w:val="00E72D2E"/>
    <w:rsid w:val="00E72DF7"/>
    <w:rsid w:val="00E72E47"/>
    <w:rsid w:val="00E7353B"/>
    <w:rsid w:val="00E7373D"/>
    <w:rsid w:val="00E737AF"/>
    <w:rsid w:val="00E73CF5"/>
    <w:rsid w:val="00E73F5C"/>
    <w:rsid w:val="00E7406D"/>
    <w:rsid w:val="00E743D8"/>
    <w:rsid w:val="00E74DBA"/>
    <w:rsid w:val="00E75EF8"/>
    <w:rsid w:val="00E76678"/>
    <w:rsid w:val="00E7675F"/>
    <w:rsid w:val="00E7678B"/>
    <w:rsid w:val="00E76803"/>
    <w:rsid w:val="00E768E5"/>
    <w:rsid w:val="00E76BB5"/>
    <w:rsid w:val="00E76F98"/>
    <w:rsid w:val="00E7706E"/>
    <w:rsid w:val="00E77387"/>
    <w:rsid w:val="00E7759F"/>
    <w:rsid w:val="00E77CB7"/>
    <w:rsid w:val="00E800A5"/>
    <w:rsid w:val="00E8032F"/>
    <w:rsid w:val="00E81913"/>
    <w:rsid w:val="00E81BC4"/>
    <w:rsid w:val="00E82498"/>
    <w:rsid w:val="00E82603"/>
    <w:rsid w:val="00E826D3"/>
    <w:rsid w:val="00E826D8"/>
    <w:rsid w:val="00E8287D"/>
    <w:rsid w:val="00E82CB3"/>
    <w:rsid w:val="00E83477"/>
    <w:rsid w:val="00E83638"/>
    <w:rsid w:val="00E83E5F"/>
    <w:rsid w:val="00E8439F"/>
    <w:rsid w:val="00E84487"/>
    <w:rsid w:val="00E8614E"/>
    <w:rsid w:val="00E86628"/>
    <w:rsid w:val="00E8669E"/>
    <w:rsid w:val="00E87957"/>
    <w:rsid w:val="00E87F11"/>
    <w:rsid w:val="00E912EB"/>
    <w:rsid w:val="00E91403"/>
    <w:rsid w:val="00E917DF"/>
    <w:rsid w:val="00E91B51"/>
    <w:rsid w:val="00E91C33"/>
    <w:rsid w:val="00E91C55"/>
    <w:rsid w:val="00E91E65"/>
    <w:rsid w:val="00E930CA"/>
    <w:rsid w:val="00E931B3"/>
    <w:rsid w:val="00E94432"/>
    <w:rsid w:val="00E9446B"/>
    <w:rsid w:val="00E94603"/>
    <w:rsid w:val="00E94900"/>
    <w:rsid w:val="00E94D42"/>
    <w:rsid w:val="00E95847"/>
    <w:rsid w:val="00E9587B"/>
    <w:rsid w:val="00E9640B"/>
    <w:rsid w:val="00E96857"/>
    <w:rsid w:val="00E96AEB"/>
    <w:rsid w:val="00E96BEC"/>
    <w:rsid w:val="00E96F04"/>
    <w:rsid w:val="00E97099"/>
    <w:rsid w:val="00E973B2"/>
    <w:rsid w:val="00EA0805"/>
    <w:rsid w:val="00EA095C"/>
    <w:rsid w:val="00EA0BCB"/>
    <w:rsid w:val="00EA0F73"/>
    <w:rsid w:val="00EA13EC"/>
    <w:rsid w:val="00EA3229"/>
    <w:rsid w:val="00EA32B8"/>
    <w:rsid w:val="00EA3987"/>
    <w:rsid w:val="00EA4180"/>
    <w:rsid w:val="00EA468E"/>
    <w:rsid w:val="00EA6E18"/>
    <w:rsid w:val="00EA7184"/>
    <w:rsid w:val="00EA7E41"/>
    <w:rsid w:val="00EA7FB0"/>
    <w:rsid w:val="00EB06A0"/>
    <w:rsid w:val="00EB09FB"/>
    <w:rsid w:val="00EB1176"/>
    <w:rsid w:val="00EB1971"/>
    <w:rsid w:val="00EB221C"/>
    <w:rsid w:val="00EB27AC"/>
    <w:rsid w:val="00EB3216"/>
    <w:rsid w:val="00EB3680"/>
    <w:rsid w:val="00EB40F3"/>
    <w:rsid w:val="00EB4441"/>
    <w:rsid w:val="00EB45A6"/>
    <w:rsid w:val="00EB47D4"/>
    <w:rsid w:val="00EB4B1E"/>
    <w:rsid w:val="00EB5059"/>
    <w:rsid w:val="00EB5115"/>
    <w:rsid w:val="00EB5A61"/>
    <w:rsid w:val="00EB610F"/>
    <w:rsid w:val="00EB6A96"/>
    <w:rsid w:val="00EB6C88"/>
    <w:rsid w:val="00EB7086"/>
    <w:rsid w:val="00EB79E1"/>
    <w:rsid w:val="00EB7DEE"/>
    <w:rsid w:val="00EB7FE8"/>
    <w:rsid w:val="00EC0904"/>
    <w:rsid w:val="00EC0CA8"/>
    <w:rsid w:val="00EC1201"/>
    <w:rsid w:val="00EC1229"/>
    <w:rsid w:val="00EC12D6"/>
    <w:rsid w:val="00EC23C7"/>
    <w:rsid w:val="00EC2A4F"/>
    <w:rsid w:val="00EC2F4F"/>
    <w:rsid w:val="00EC3755"/>
    <w:rsid w:val="00EC3C2B"/>
    <w:rsid w:val="00EC3F8A"/>
    <w:rsid w:val="00EC4397"/>
    <w:rsid w:val="00EC445F"/>
    <w:rsid w:val="00EC4487"/>
    <w:rsid w:val="00EC505F"/>
    <w:rsid w:val="00EC53A6"/>
    <w:rsid w:val="00EC60DF"/>
    <w:rsid w:val="00EC60FE"/>
    <w:rsid w:val="00EC65E9"/>
    <w:rsid w:val="00EC7CAD"/>
    <w:rsid w:val="00EC7CB2"/>
    <w:rsid w:val="00ED04CE"/>
    <w:rsid w:val="00ED074C"/>
    <w:rsid w:val="00ED150B"/>
    <w:rsid w:val="00ED19A3"/>
    <w:rsid w:val="00ED1BC3"/>
    <w:rsid w:val="00ED1D6E"/>
    <w:rsid w:val="00ED2011"/>
    <w:rsid w:val="00ED217D"/>
    <w:rsid w:val="00ED2301"/>
    <w:rsid w:val="00ED250F"/>
    <w:rsid w:val="00ED265E"/>
    <w:rsid w:val="00ED2BDA"/>
    <w:rsid w:val="00ED316B"/>
    <w:rsid w:val="00ED3546"/>
    <w:rsid w:val="00ED38B9"/>
    <w:rsid w:val="00ED3D08"/>
    <w:rsid w:val="00ED3F39"/>
    <w:rsid w:val="00ED4053"/>
    <w:rsid w:val="00ED427A"/>
    <w:rsid w:val="00ED4749"/>
    <w:rsid w:val="00ED4B19"/>
    <w:rsid w:val="00ED5284"/>
    <w:rsid w:val="00ED5310"/>
    <w:rsid w:val="00ED564F"/>
    <w:rsid w:val="00ED6616"/>
    <w:rsid w:val="00ED7614"/>
    <w:rsid w:val="00ED79D0"/>
    <w:rsid w:val="00ED7B78"/>
    <w:rsid w:val="00ED7C65"/>
    <w:rsid w:val="00ED7E7F"/>
    <w:rsid w:val="00EE094F"/>
    <w:rsid w:val="00EE0A5D"/>
    <w:rsid w:val="00EE100C"/>
    <w:rsid w:val="00EE1085"/>
    <w:rsid w:val="00EE12A4"/>
    <w:rsid w:val="00EE1537"/>
    <w:rsid w:val="00EE1B2E"/>
    <w:rsid w:val="00EE1BFA"/>
    <w:rsid w:val="00EE1FC2"/>
    <w:rsid w:val="00EE271C"/>
    <w:rsid w:val="00EE275A"/>
    <w:rsid w:val="00EE2F19"/>
    <w:rsid w:val="00EE32FE"/>
    <w:rsid w:val="00EE4460"/>
    <w:rsid w:val="00EE457A"/>
    <w:rsid w:val="00EE4D77"/>
    <w:rsid w:val="00EE5DAE"/>
    <w:rsid w:val="00EE5E7B"/>
    <w:rsid w:val="00EE5FCA"/>
    <w:rsid w:val="00EE685B"/>
    <w:rsid w:val="00EE6EB1"/>
    <w:rsid w:val="00EE7437"/>
    <w:rsid w:val="00EF002A"/>
    <w:rsid w:val="00EF0B4D"/>
    <w:rsid w:val="00EF0C5D"/>
    <w:rsid w:val="00EF1299"/>
    <w:rsid w:val="00EF1544"/>
    <w:rsid w:val="00EF1AC9"/>
    <w:rsid w:val="00EF1E25"/>
    <w:rsid w:val="00EF246A"/>
    <w:rsid w:val="00EF3A30"/>
    <w:rsid w:val="00EF4F09"/>
    <w:rsid w:val="00EF50E3"/>
    <w:rsid w:val="00EF530F"/>
    <w:rsid w:val="00EF5417"/>
    <w:rsid w:val="00EF5692"/>
    <w:rsid w:val="00EF5CB2"/>
    <w:rsid w:val="00EF5F5D"/>
    <w:rsid w:val="00EF663B"/>
    <w:rsid w:val="00EF669A"/>
    <w:rsid w:val="00EF69EA"/>
    <w:rsid w:val="00EF6CB9"/>
    <w:rsid w:val="00EF6CD0"/>
    <w:rsid w:val="00EF7102"/>
    <w:rsid w:val="00EF73EE"/>
    <w:rsid w:val="00EF74E0"/>
    <w:rsid w:val="00EF7CF0"/>
    <w:rsid w:val="00EF7F67"/>
    <w:rsid w:val="00F00205"/>
    <w:rsid w:val="00F00633"/>
    <w:rsid w:val="00F012D3"/>
    <w:rsid w:val="00F01F4E"/>
    <w:rsid w:val="00F02446"/>
    <w:rsid w:val="00F02876"/>
    <w:rsid w:val="00F02B96"/>
    <w:rsid w:val="00F02BBF"/>
    <w:rsid w:val="00F0352B"/>
    <w:rsid w:val="00F03996"/>
    <w:rsid w:val="00F03AA7"/>
    <w:rsid w:val="00F040B4"/>
    <w:rsid w:val="00F04486"/>
    <w:rsid w:val="00F046E9"/>
    <w:rsid w:val="00F04907"/>
    <w:rsid w:val="00F04DD6"/>
    <w:rsid w:val="00F0625B"/>
    <w:rsid w:val="00F06443"/>
    <w:rsid w:val="00F0688A"/>
    <w:rsid w:val="00F06AAE"/>
    <w:rsid w:val="00F07703"/>
    <w:rsid w:val="00F10312"/>
    <w:rsid w:val="00F105EF"/>
    <w:rsid w:val="00F10A80"/>
    <w:rsid w:val="00F10C19"/>
    <w:rsid w:val="00F10D4F"/>
    <w:rsid w:val="00F10DA1"/>
    <w:rsid w:val="00F11655"/>
    <w:rsid w:val="00F116F8"/>
    <w:rsid w:val="00F119EF"/>
    <w:rsid w:val="00F11DC8"/>
    <w:rsid w:val="00F1202A"/>
    <w:rsid w:val="00F126F0"/>
    <w:rsid w:val="00F13873"/>
    <w:rsid w:val="00F14786"/>
    <w:rsid w:val="00F1486C"/>
    <w:rsid w:val="00F149A1"/>
    <w:rsid w:val="00F14BD7"/>
    <w:rsid w:val="00F15371"/>
    <w:rsid w:val="00F15447"/>
    <w:rsid w:val="00F1544C"/>
    <w:rsid w:val="00F155C9"/>
    <w:rsid w:val="00F1570A"/>
    <w:rsid w:val="00F157FB"/>
    <w:rsid w:val="00F15978"/>
    <w:rsid w:val="00F15D65"/>
    <w:rsid w:val="00F165C9"/>
    <w:rsid w:val="00F16709"/>
    <w:rsid w:val="00F16A59"/>
    <w:rsid w:val="00F171A6"/>
    <w:rsid w:val="00F172DD"/>
    <w:rsid w:val="00F178EC"/>
    <w:rsid w:val="00F179D4"/>
    <w:rsid w:val="00F179EB"/>
    <w:rsid w:val="00F20A2D"/>
    <w:rsid w:val="00F20FCF"/>
    <w:rsid w:val="00F22203"/>
    <w:rsid w:val="00F22B66"/>
    <w:rsid w:val="00F23A06"/>
    <w:rsid w:val="00F2423D"/>
    <w:rsid w:val="00F245B6"/>
    <w:rsid w:val="00F247C8"/>
    <w:rsid w:val="00F2483E"/>
    <w:rsid w:val="00F25184"/>
    <w:rsid w:val="00F251B5"/>
    <w:rsid w:val="00F257CE"/>
    <w:rsid w:val="00F259FD"/>
    <w:rsid w:val="00F260E1"/>
    <w:rsid w:val="00F2658D"/>
    <w:rsid w:val="00F26AC2"/>
    <w:rsid w:val="00F26B21"/>
    <w:rsid w:val="00F27389"/>
    <w:rsid w:val="00F30073"/>
    <w:rsid w:val="00F305DB"/>
    <w:rsid w:val="00F30E19"/>
    <w:rsid w:val="00F31F4C"/>
    <w:rsid w:val="00F325EE"/>
    <w:rsid w:val="00F32E0C"/>
    <w:rsid w:val="00F335DB"/>
    <w:rsid w:val="00F33A4D"/>
    <w:rsid w:val="00F34367"/>
    <w:rsid w:val="00F344D5"/>
    <w:rsid w:val="00F35FBD"/>
    <w:rsid w:val="00F36288"/>
    <w:rsid w:val="00F365D9"/>
    <w:rsid w:val="00F3681E"/>
    <w:rsid w:val="00F36B51"/>
    <w:rsid w:val="00F379CE"/>
    <w:rsid w:val="00F40849"/>
    <w:rsid w:val="00F40C7A"/>
    <w:rsid w:val="00F40C8A"/>
    <w:rsid w:val="00F411F0"/>
    <w:rsid w:val="00F42B50"/>
    <w:rsid w:val="00F42D11"/>
    <w:rsid w:val="00F43001"/>
    <w:rsid w:val="00F430E0"/>
    <w:rsid w:val="00F430E8"/>
    <w:rsid w:val="00F43358"/>
    <w:rsid w:val="00F43D42"/>
    <w:rsid w:val="00F44044"/>
    <w:rsid w:val="00F44238"/>
    <w:rsid w:val="00F44366"/>
    <w:rsid w:val="00F4450E"/>
    <w:rsid w:val="00F44A68"/>
    <w:rsid w:val="00F44E6F"/>
    <w:rsid w:val="00F44EE5"/>
    <w:rsid w:val="00F451A4"/>
    <w:rsid w:val="00F45232"/>
    <w:rsid w:val="00F45315"/>
    <w:rsid w:val="00F458D2"/>
    <w:rsid w:val="00F45CC8"/>
    <w:rsid w:val="00F45D0F"/>
    <w:rsid w:val="00F45D61"/>
    <w:rsid w:val="00F466A2"/>
    <w:rsid w:val="00F46EF3"/>
    <w:rsid w:val="00F474F0"/>
    <w:rsid w:val="00F47A16"/>
    <w:rsid w:val="00F47E27"/>
    <w:rsid w:val="00F50A55"/>
    <w:rsid w:val="00F50FA0"/>
    <w:rsid w:val="00F515B6"/>
    <w:rsid w:val="00F51620"/>
    <w:rsid w:val="00F5163F"/>
    <w:rsid w:val="00F51B2E"/>
    <w:rsid w:val="00F529D3"/>
    <w:rsid w:val="00F52FA3"/>
    <w:rsid w:val="00F53718"/>
    <w:rsid w:val="00F53946"/>
    <w:rsid w:val="00F53AC6"/>
    <w:rsid w:val="00F53EE9"/>
    <w:rsid w:val="00F53FDA"/>
    <w:rsid w:val="00F5470E"/>
    <w:rsid w:val="00F54D7B"/>
    <w:rsid w:val="00F54EBB"/>
    <w:rsid w:val="00F54F79"/>
    <w:rsid w:val="00F55995"/>
    <w:rsid w:val="00F560B5"/>
    <w:rsid w:val="00F560C3"/>
    <w:rsid w:val="00F56714"/>
    <w:rsid w:val="00F56D6F"/>
    <w:rsid w:val="00F57251"/>
    <w:rsid w:val="00F57E3F"/>
    <w:rsid w:val="00F602DB"/>
    <w:rsid w:val="00F60C25"/>
    <w:rsid w:val="00F60D53"/>
    <w:rsid w:val="00F61CDA"/>
    <w:rsid w:val="00F61F87"/>
    <w:rsid w:val="00F627C5"/>
    <w:rsid w:val="00F62920"/>
    <w:rsid w:val="00F62925"/>
    <w:rsid w:val="00F62A09"/>
    <w:rsid w:val="00F62CAC"/>
    <w:rsid w:val="00F63247"/>
    <w:rsid w:val="00F63776"/>
    <w:rsid w:val="00F6385F"/>
    <w:rsid w:val="00F642A0"/>
    <w:rsid w:val="00F64501"/>
    <w:rsid w:val="00F64D88"/>
    <w:rsid w:val="00F65088"/>
    <w:rsid w:val="00F65100"/>
    <w:rsid w:val="00F653DB"/>
    <w:rsid w:val="00F6546B"/>
    <w:rsid w:val="00F654FF"/>
    <w:rsid w:val="00F655B8"/>
    <w:rsid w:val="00F65AF3"/>
    <w:rsid w:val="00F65B2E"/>
    <w:rsid w:val="00F664D4"/>
    <w:rsid w:val="00F66DA8"/>
    <w:rsid w:val="00F67D3F"/>
    <w:rsid w:val="00F67DA3"/>
    <w:rsid w:val="00F7017E"/>
    <w:rsid w:val="00F701FD"/>
    <w:rsid w:val="00F70221"/>
    <w:rsid w:val="00F70432"/>
    <w:rsid w:val="00F70893"/>
    <w:rsid w:val="00F7097B"/>
    <w:rsid w:val="00F7177E"/>
    <w:rsid w:val="00F717E1"/>
    <w:rsid w:val="00F71BB8"/>
    <w:rsid w:val="00F71DBE"/>
    <w:rsid w:val="00F72228"/>
    <w:rsid w:val="00F7234B"/>
    <w:rsid w:val="00F724DC"/>
    <w:rsid w:val="00F7266F"/>
    <w:rsid w:val="00F73E9A"/>
    <w:rsid w:val="00F74437"/>
    <w:rsid w:val="00F745B2"/>
    <w:rsid w:val="00F74685"/>
    <w:rsid w:val="00F74BD3"/>
    <w:rsid w:val="00F75850"/>
    <w:rsid w:val="00F76863"/>
    <w:rsid w:val="00F76E51"/>
    <w:rsid w:val="00F778C2"/>
    <w:rsid w:val="00F77B07"/>
    <w:rsid w:val="00F77DAF"/>
    <w:rsid w:val="00F77F05"/>
    <w:rsid w:val="00F80599"/>
    <w:rsid w:val="00F809A1"/>
    <w:rsid w:val="00F813AA"/>
    <w:rsid w:val="00F81436"/>
    <w:rsid w:val="00F81646"/>
    <w:rsid w:val="00F81C2A"/>
    <w:rsid w:val="00F82167"/>
    <w:rsid w:val="00F83D19"/>
    <w:rsid w:val="00F84B7D"/>
    <w:rsid w:val="00F84BBF"/>
    <w:rsid w:val="00F84D9B"/>
    <w:rsid w:val="00F851AA"/>
    <w:rsid w:val="00F85B50"/>
    <w:rsid w:val="00F85B5E"/>
    <w:rsid w:val="00F861E9"/>
    <w:rsid w:val="00F86E8B"/>
    <w:rsid w:val="00F87ECE"/>
    <w:rsid w:val="00F90277"/>
    <w:rsid w:val="00F907C4"/>
    <w:rsid w:val="00F90A83"/>
    <w:rsid w:val="00F90BE7"/>
    <w:rsid w:val="00F90D82"/>
    <w:rsid w:val="00F91038"/>
    <w:rsid w:val="00F91A32"/>
    <w:rsid w:val="00F91D40"/>
    <w:rsid w:val="00F91DB8"/>
    <w:rsid w:val="00F92A7F"/>
    <w:rsid w:val="00F92FA5"/>
    <w:rsid w:val="00F93311"/>
    <w:rsid w:val="00F93336"/>
    <w:rsid w:val="00F93554"/>
    <w:rsid w:val="00F938EE"/>
    <w:rsid w:val="00F93E3B"/>
    <w:rsid w:val="00F94901"/>
    <w:rsid w:val="00F94B2C"/>
    <w:rsid w:val="00F94DBB"/>
    <w:rsid w:val="00F959C3"/>
    <w:rsid w:val="00F963A6"/>
    <w:rsid w:val="00F96675"/>
    <w:rsid w:val="00F969C0"/>
    <w:rsid w:val="00F96E17"/>
    <w:rsid w:val="00F96ED7"/>
    <w:rsid w:val="00F97428"/>
    <w:rsid w:val="00F9789D"/>
    <w:rsid w:val="00F97B9F"/>
    <w:rsid w:val="00FA05DA"/>
    <w:rsid w:val="00FA0B12"/>
    <w:rsid w:val="00FA0BAD"/>
    <w:rsid w:val="00FA1122"/>
    <w:rsid w:val="00FA1350"/>
    <w:rsid w:val="00FA2169"/>
    <w:rsid w:val="00FA2275"/>
    <w:rsid w:val="00FA28F4"/>
    <w:rsid w:val="00FA40BD"/>
    <w:rsid w:val="00FA4224"/>
    <w:rsid w:val="00FA44B5"/>
    <w:rsid w:val="00FA4A37"/>
    <w:rsid w:val="00FA6B7E"/>
    <w:rsid w:val="00FA7721"/>
    <w:rsid w:val="00FA77A7"/>
    <w:rsid w:val="00FA7B0A"/>
    <w:rsid w:val="00FB08C1"/>
    <w:rsid w:val="00FB0AFE"/>
    <w:rsid w:val="00FB12A6"/>
    <w:rsid w:val="00FB14C1"/>
    <w:rsid w:val="00FB2103"/>
    <w:rsid w:val="00FB3423"/>
    <w:rsid w:val="00FB367F"/>
    <w:rsid w:val="00FB4778"/>
    <w:rsid w:val="00FB4779"/>
    <w:rsid w:val="00FB4A82"/>
    <w:rsid w:val="00FB4AB0"/>
    <w:rsid w:val="00FB4F59"/>
    <w:rsid w:val="00FB54A4"/>
    <w:rsid w:val="00FB579D"/>
    <w:rsid w:val="00FB5B16"/>
    <w:rsid w:val="00FB5B18"/>
    <w:rsid w:val="00FB683C"/>
    <w:rsid w:val="00FB6E64"/>
    <w:rsid w:val="00FB6EED"/>
    <w:rsid w:val="00FB7082"/>
    <w:rsid w:val="00FB7100"/>
    <w:rsid w:val="00FB74B6"/>
    <w:rsid w:val="00FB7922"/>
    <w:rsid w:val="00FB7E0C"/>
    <w:rsid w:val="00FC0217"/>
    <w:rsid w:val="00FC02B8"/>
    <w:rsid w:val="00FC057F"/>
    <w:rsid w:val="00FC0891"/>
    <w:rsid w:val="00FC12D2"/>
    <w:rsid w:val="00FC183C"/>
    <w:rsid w:val="00FC195E"/>
    <w:rsid w:val="00FC1C51"/>
    <w:rsid w:val="00FC20D7"/>
    <w:rsid w:val="00FC230E"/>
    <w:rsid w:val="00FC244F"/>
    <w:rsid w:val="00FC2C29"/>
    <w:rsid w:val="00FC3D87"/>
    <w:rsid w:val="00FC4691"/>
    <w:rsid w:val="00FC4B7A"/>
    <w:rsid w:val="00FC4C65"/>
    <w:rsid w:val="00FC54B9"/>
    <w:rsid w:val="00FC60A3"/>
    <w:rsid w:val="00FC6845"/>
    <w:rsid w:val="00FC688F"/>
    <w:rsid w:val="00FC6BCA"/>
    <w:rsid w:val="00FC6C44"/>
    <w:rsid w:val="00FC78D1"/>
    <w:rsid w:val="00FC7A7E"/>
    <w:rsid w:val="00FC7B42"/>
    <w:rsid w:val="00FD0070"/>
    <w:rsid w:val="00FD05A9"/>
    <w:rsid w:val="00FD08AD"/>
    <w:rsid w:val="00FD1B82"/>
    <w:rsid w:val="00FD1DDB"/>
    <w:rsid w:val="00FD30D4"/>
    <w:rsid w:val="00FD3589"/>
    <w:rsid w:val="00FD3F8C"/>
    <w:rsid w:val="00FD4E09"/>
    <w:rsid w:val="00FD4EBA"/>
    <w:rsid w:val="00FD65F4"/>
    <w:rsid w:val="00FD6AC7"/>
    <w:rsid w:val="00FE0041"/>
    <w:rsid w:val="00FE015C"/>
    <w:rsid w:val="00FE0E4A"/>
    <w:rsid w:val="00FE19C7"/>
    <w:rsid w:val="00FE2D8E"/>
    <w:rsid w:val="00FE3E94"/>
    <w:rsid w:val="00FE48C6"/>
    <w:rsid w:val="00FE4AD5"/>
    <w:rsid w:val="00FE4B32"/>
    <w:rsid w:val="00FE5095"/>
    <w:rsid w:val="00FE5611"/>
    <w:rsid w:val="00FE5F2E"/>
    <w:rsid w:val="00FE62EC"/>
    <w:rsid w:val="00FE6359"/>
    <w:rsid w:val="00FE6A2B"/>
    <w:rsid w:val="00FE6ED6"/>
    <w:rsid w:val="00FE7559"/>
    <w:rsid w:val="00FF07F7"/>
    <w:rsid w:val="00FF08FC"/>
    <w:rsid w:val="00FF1241"/>
    <w:rsid w:val="00FF14DD"/>
    <w:rsid w:val="00FF1559"/>
    <w:rsid w:val="00FF17B4"/>
    <w:rsid w:val="00FF1DD1"/>
    <w:rsid w:val="00FF1DDF"/>
    <w:rsid w:val="00FF2250"/>
    <w:rsid w:val="00FF23C4"/>
    <w:rsid w:val="00FF28E5"/>
    <w:rsid w:val="00FF2DCD"/>
    <w:rsid w:val="00FF35E9"/>
    <w:rsid w:val="00FF3C62"/>
    <w:rsid w:val="00FF3DB0"/>
    <w:rsid w:val="00FF3F42"/>
    <w:rsid w:val="00FF4374"/>
    <w:rsid w:val="00FF4863"/>
    <w:rsid w:val="00FF4DB8"/>
    <w:rsid w:val="00FF52B1"/>
    <w:rsid w:val="00FF5424"/>
    <w:rsid w:val="00FF5D1A"/>
    <w:rsid w:val="00FF5DF9"/>
    <w:rsid w:val="00FF699B"/>
    <w:rsid w:val="00FF6ABE"/>
    <w:rsid w:val="00FF6F1E"/>
    <w:rsid w:val="00FF779C"/>
    <w:rsid w:val="00FF7A1A"/>
    <w:rsid w:val="00FF7C4B"/>
    <w:rsid w:val="011EDD8D"/>
    <w:rsid w:val="01240174"/>
    <w:rsid w:val="01489EE8"/>
    <w:rsid w:val="017215FD"/>
    <w:rsid w:val="01B3CC80"/>
    <w:rsid w:val="01D6FF29"/>
    <w:rsid w:val="01E0D814"/>
    <w:rsid w:val="01E3F191"/>
    <w:rsid w:val="02438A56"/>
    <w:rsid w:val="026AE1C0"/>
    <w:rsid w:val="0287B2BF"/>
    <w:rsid w:val="0288B927"/>
    <w:rsid w:val="02BFD1D5"/>
    <w:rsid w:val="02CF1BC0"/>
    <w:rsid w:val="0302BB40"/>
    <w:rsid w:val="033C7E3D"/>
    <w:rsid w:val="036D68DA"/>
    <w:rsid w:val="037141C2"/>
    <w:rsid w:val="0376BE0B"/>
    <w:rsid w:val="0394907A"/>
    <w:rsid w:val="03BF481F"/>
    <w:rsid w:val="03D517E7"/>
    <w:rsid w:val="03E3068E"/>
    <w:rsid w:val="040ED931"/>
    <w:rsid w:val="0443C277"/>
    <w:rsid w:val="04636089"/>
    <w:rsid w:val="048DECDB"/>
    <w:rsid w:val="049B43CF"/>
    <w:rsid w:val="0518A01B"/>
    <w:rsid w:val="0542C58D"/>
    <w:rsid w:val="05476D47"/>
    <w:rsid w:val="05A43880"/>
    <w:rsid w:val="05B62548"/>
    <w:rsid w:val="05D1D7B9"/>
    <w:rsid w:val="05E06998"/>
    <w:rsid w:val="0635B316"/>
    <w:rsid w:val="0651280F"/>
    <w:rsid w:val="06539DF5"/>
    <w:rsid w:val="06549C69"/>
    <w:rsid w:val="07114CED"/>
    <w:rsid w:val="071674EA"/>
    <w:rsid w:val="072BC057"/>
    <w:rsid w:val="074523AE"/>
    <w:rsid w:val="076F3136"/>
    <w:rsid w:val="07948070"/>
    <w:rsid w:val="07C35341"/>
    <w:rsid w:val="07D43267"/>
    <w:rsid w:val="07FA9B4E"/>
    <w:rsid w:val="0843C877"/>
    <w:rsid w:val="08894DEC"/>
    <w:rsid w:val="08C3586B"/>
    <w:rsid w:val="08C79C24"/>
    <w:rsid w:val="090141A8"/>
    <w:rsid w:val="094618EF"/>
    <w:rsid w:val="09A78BFD"/>
    <w:rsid w:val="09B92044"/>
    <w:rsid w:val="09E95B59"/>
    <w:rsid w:val="0A186DEF"/>
    <w:rsid w:val="0A49CB47"/>
    <w:rsid w:val="0A919862"/>
    <w:rsid w:val="0AAB5BDF"/>
    <w:rsid w:val="0ACAE3BA"/>
    <w:rsid w:val="0AF18283"/>
    <w:rsid w:val="0B08AA71"/>
    <w:rsid w:val="0B2A9DB6"/>
    <w:rsid w:val="0B5DC2AC"/>
    <w:rsid w:val="0B798E4B"/>
    <w:rsid w:val="0B9FC8CE"/>
    <w:rsid w:val="0BC24E53"/>
    <w:rsid w:val="0BD1D77A"/>
    <w:rsid w:val="0BE59BA8"/>
    <w:rsid w:val="0C608DAD"/>
    <w:rsid w:val="0C66B41B"/>
    <w:rsid w:val="0C6EA1A1"/>
    <w:rsid w:val="0C710127"/>
    <w:rsid w:val="0C7584DB"/>
    <w:rsid w:val="0C7E6A20"/>
    <w:rsid w:val="0CD014EC"/>
    <w:rsid w:val="0D352470"/>
    <w:rsid w:val="0DA48DDB"/>
    <w:rsid w:val="0DF5FE43"/>
    <w:rsid w:val="0E02847C"/>
    <w:rsid w:val="0E52D21E"/>
    <w:rsid w:val="0E77E61E"/>
    <w:rsid w:val="0E84A5AE"/>
    <w:rsid w:val="0E89946B"/>
    <w:rsid w:val="0F4415AE"/>
    <w:rsid w:val="0F9E54DD"/>
    <w:rsid w:val="0FBF6A28"/>
    <w:rsid w:val="0FD0533C"/>
    <w:rsid w:val="0FEE8090"/>
    <w:rsid w:val="0FF2903C"/>
    <w:rsid w:val="1043D2D4"/>
    <w:rsid w:val="106EAE75"/>
    <w:rsid w:val="106FD5BD"/>
    <w:rsid w:val="108AE1FE"/>
    <w:rsid w:val="1097D2AF"/>
    <w:rsid w:val="10E314C7"/>
    <w:rsid w:val="10F0ADC1"/>
    <w:rsid w:val="1113EF20"/>
    <w:rsid w:val="1121DF86"/>
    <w:rsid w:val="1141A446"/>
    <w:rsid w:val="1165B21A"/>
    <w:rsid w:val="118F8C97"/>
    <w:rsid w:val="11DE9B27"/>
    <w:rsid w:val="11FF9114"/>
    <w:rsid w:val="120B8CE1"/>
    <w:rsid w:val="1280B318"/>
    <w:rsid w:val="12895C61"/>
    <w:rsid w:val="129BAEA2"/>
    <w:rsid w:val="129F34AE"/>
    <w:rsid w:val="12B1AF62"/>
    <w:rsid w:val="12B63147"/>
    <w:rsid w:val="12D755EE"/>
    <w:rsid w:val="12EBB074"/>
    <w:rsid w:val="13010B32"/>
    <w:rsid w:val="130D5720"/>
    <w:rsid w:val="13272647"/>
    <w:rsid w:val="13621D9C"/>
    <w:rsid w:val="137B8668"/>
    <w:rsid w:val="13805004"/>
    <w:rsid w:val="13853522"/>
    <w:rsid w:val="138614E6"/>
    <w:rsid w:val="13A0CE69"/>
    <w:rsid w:val="13D6D51A"/>
    <w:rsid w:val="13D8B3A6"/>
    <w:rsid w:val="13F9C8DB"/>
    <w:rsid w:val="146A0535"/>
    <w:rsid w:val="14B0454D"/>
    <w:rsid w:val="14F4F1F1"/>
    <w:rsid w:val="15227879"/>
    <w:rsid w:val="15469A79"/>
    <w:rsid w:val="15517300"/>
    <w:rsid w:val="15548B6D"/>
    <w:rsid w:val="1594B184"/>
    <w:rsid w:val="15B853DA"/>
    <w:rsid w:val="15BCA945"/>
    <w:rsid w:val="15C2B2C5"/>
    <w:rsid w:val="15D61A4A"/>
    <w:rsid w:val="15D8B09D"/>
    <w:rsid w:val="15FDE68B"/>
    <w:rsid w:val="16806EBE"/>
    <w:rsid w:val="16A4DF33"/>
    <w:rsid w:val="16ED4BE8"/>
    <w:rsid w:val="16FCBC11"/>
    <w:rsid w:val="1745DC23"/>
    <w:rsid w:val="17964684"/>
    <w:rsid w:val="1797EC3A"/>
    <w:rsid w:val="17A4A29F"/>
    <w:rsid w:val="17A4EB73"/>
    <w:rsid w:val="17B291C0"/>
    <w:rsid w:val="17EF94C7"/>
    <w:rsid w:val="1807533D"/>
    <w:rsid w:val="182BA56D"/>
    <w:rsid w:val="189EC57A"/>
    <w:rsid w:val="18D804A0"/>
    <w:rsid w:val="18E394B1"/>
    <w:rsid w:val="1900DFEC"/>
    <w:rsid w:val="19150593"/>
    <w:rsid w:val="193216E5"/>
    <w:rsid w:val="194E6221"/>
    <w:rsid w:val="195ADB9A"/>
    <w:rsid w:val="1981C05A"/>
    <w:rsid w:val="19A7483A"/>
    <w:rsid w:val="19E3B78F"/>
    <w:rsid w:val="1A2B5682"/>
    <w:rsid w:val="1A32E23B"/>
    <w:rsid w:val="1A3A2655"/>
    <w:rsid w:val="1A414CE0"/>
    <w:rsid w:val="1A928BF9"/>
    <w:rsid w:val="1A98B8B0"/>
    <w:rsid w:val="1AB84228"/>
    <w:rsid w:val="1AC05A25"/>
    <w:rsid w:val="1ADB5546"/>
    <w:rsid w:val="1AEEADF0"/>
    <w:rsid w:val="1AF9F6C5"/>
    <w:rsid w:val="1B00EDAD"/>
    <w:rsid w:val="1B5C1B4F"/>
    <w:rsid w:val="1B5DD9C8"/>
    <w:rsid w:val="1B7A3359"/>
    <w:rsid w:val="1BB71589"/>
    <w:rsid w:val="1BCEB29C"/>
    <w:rsid w:val="1C1B3573"/>
    <w:rsid w:val="1C4BDC5D"/>
    <w:rsid w:val="1C8365C5"/>
    <w:rsid w:val="1C8F1277"/>
    <w:rsid w:val="1C9C15E7"/>
    <w:rsid w:val="1CC305EA"/>
    <w:rsid w:val="1CCFB02A"/>
    <w:rsid w:val="1CDD6537"/>
    <w:rsid w:val="1D2A41FD"/>
    <w:rsid w:val="1D30E365"/>
    <w:rsid w:val="1D686456"/>
    <w:rsid w:val="1D78DF2A"/>
    <w:rsid w:val="1DAB272C"/>
    <w:rsid w:val="1DC136F6"/>
    <w:rsid w:val="1DCD114E"/>
    <w:rsid w:val="1DD650EB"/>
    <w:rsid w:val="1E0C18F4"/>
    <w:rsid w:val="1E2668FE"/>
    <w:rsid w:val="1E2992ED"/>
    <w:rsid w:val="1E2B24CB"/>
    <w:rsid w:val="1E4286C7"/>
    <w:rsid w:val="1E722A69"/>
    <w:rsid w:val="1E745F27"/>
    <w:rsid w:val="1EB14E74"/>
    <w:rsid w:val="1EB23D9C"/>
    <w:rsid w:val="1F289FDB"/>
    <w:rsid w:val="1F4AAA64"/>
    <w:rsid w:val="1F56FD6D"/>
    <w:rsid w:val="1F677650"/>
    <w:rsid w:val="1FA482B6"/>
    <w:rsid w:val="1FBF714F"/>
    <w:rsid w:val="1FFAA3F6"/>
    <w:rsid w:val="1FFCFF56"/>
    <w:rsid w:val="20251CA2"/>
    <w:rsid w:val="20279C08"/>
    <w:rsid w:val="2037D285"/>
    <w:rsid w:val="2082FF59"/>
    <w:rsid w:val="2086D318"/>
    <w:rsid w:val="208E428F"/>
    <w:rsid w:val="20ECEE3C"/>
    <w:rsid w:val="20F9D037"/>
    <w:rsid w:val="21215A1F"/>
    <w:rsid w:val="2125DC3A"/>
    <w:rsid w:val="212FF08E"/>
    <w:rsid w:val="217ED35F"/>
    <w:rsid w:val="2196770D"/>
    <w:rsid w:val="21BE0606"/>
    <w:rsid w:val="21C116AF"/>
    <w:rsid w:val="21C6B53B"/>
    <w:rsid w:val="21EA09DB"/>
    <w:rsid w:val="21EEC974"/>
    <w:rsid w:val="2216791C"/>
    <w:rsid w:val="226D85CE"/>
    <w:rsid w:val="2288B16D"/>
    <w:rsid w:val="22C5DB63"/>
    <w:rsid w:val="22E2792B"/>
    <w:rsid w:val="22EC3CB3"/>
    <w:rsid w:val="22EDBFB8"/>
    <w:rsid w:val="23063FE7"/>
    <w:rsid w:val="230EB83D"/>
    <w:rsid w:val="2314FFC0"/>
    <w:rsid w:val="2340E513"/>
    <w:rsid w:val="2351E3E4"/>
    <w:rsid w:val="23B4EA5F"/>
    <w:rsid w:val="23B7E1FC"/>
    <w:rsid w:val="23D2ADA4"/>
    <w:rsid w:val="23E110BB"/>
    <w:rsid w:val="24076E68"/>
    <w:rsid w:val="243BDE11"/>
    <w:rsid w:val="2456706A"/>
    <w:rsid w:val="24619B0D"/>
    <w:rsid w:val="248CE59F"/>
    <w:rsid w:val="24922EC4"/>
    <w:rsid w:val="24B54177"/>
    <w:rsid w:val="2501D321"/>
    <w:rsid w:val="2510EDF0"/>
    <w:rsid w:val="2513C3E3"/>
    <w:rsid w:val="251F9BAE"/>
    <w:rsid w:val="2550BAC0"/>
    <w:rsid w:val="259D957E"/>
    <w:rsid w:val="259E26BC"/>
    <w:rsid w:val="25AB2842"/>
    <w:rsid w:val="25FB16E5"/>
    <w:rsid w:val="2622F498"/>
    <w:rsid w:val="262A22A2"/>
    <w:rsid w:val="263DD748"/>
    <w:rsid w:val="2650D21A"/>
    <w:rsid w:val="267D3C4E"/>
    <w:rsid w:val="26AEA6C9"/>
    <w:rsid w:val="26B0DBDB"/>
    <w:rsid w:val="26E12470"/>
    <w:rsid w:val="270775AF"/>
    <w:rsid w:val="2707796A"/>
    <w:rsid w:val="2714B2E8"/>
    <w:rsid w:val="2726AF60"/>
    <w:rsid w:val="27424BB0"/>
    <w:rsid w:val="27550904"/>
    <w:rsid w:val="2777542E"/>
    <w:rsid w:val="277C13D0"/>
    <w:rsid w:val="27B41966"/>
    <w:rsid w:val="2825648D"/>
    <w:rsid w:val="284B04C0"/>
    <w:rsid w:val="28625F4E"/>
    <w:rsid w:val="28FF3F73"/>
    <w:rsid w:val="29886095"/>
    <w:rsid w:val="29AF8B56"/>
    <w:rsid w:val="29C134EE"/>
    <w:rsid w:val="29DA7421"/>
    <w:rsid w:val="29EE12FE"/>
    <w:rsid w:val="29EEE3A7"/>
    <w:rsid w:val="29F595BE"/>
    <w:rsid w:val="2A0A0226"/>
    <w:rsid w:val="2A51E1E3"/>
    <w:rsid w:val="2A60C43E"/>
    <w:rsid w:val="2A73A5A7"/>
    <w:rsid w:val="2A8659D2"/>
    <w:rsid w:val="2AA0E608"/>
    <w:rsid w:val="2AB1D95D"/>
    <w:rsid w:val="2AB31179"/>
    <w:rsid w:val="2ABC14C9"/>
    <w:rsid w:val="2AEE34C9"/>
    <w:rsid w:val="2B2430F6"/>
    <w:rsid w:val="2B3F25C9"/>
    <w:rsid w:val="2B54027F"/>
    <w:rsid w:val="2B9524E5"/>
    <w:rsid w:val="2BC897E4"/>
    <w:rsid w:val="2C118444"/>
    <w:rsid w:val="2C27780B"/>
    <w:rsid w:val="2CBC53CE"/>
    <w:rsid w:val="2CE0B830"/>
    <w:rsid w:val="2CFB7E00"/>
    <w:rsid w:val="2CFCBF32"/>
    <w:rsid w:val="2D59F1F3"/>
    <w:rsid w:val="2D84AF27"/>
    <w:rsid w:val="2E200BE9"/>
    <w:rsid w:val="2E25D58B"/>
    <w:rsid w:val="2E5BD1B8"/>
    <w:rsid w:val="2E6946BE"/>
    <w:rsid w:val="2E8C6555"/>
    <w:rsid w:val="2EBE6E8A"/>
    <w:rsid w:val="2ECDEC8A"/>
    <w:rsid w:val="2F1EBD85"/>
    <w:rsid w:val="2F2D6AFE"/>
    <w:rsid w:val="2F6EE00E"/>
    <w:rsid w:val="2F8F9E04"/>
    <w:rsid w:val="2FD917D7"/>
    <w:rsid w:val="2FDDD3CD"/>
    <w:rsid w:val="302C522A"/>
    <w:rsid w:val="302D39E2"/>
    <w:rsid w:val="307C357E"/>
    <w:rsid w:val="30B2DD30"/>
    <w:rsid w:val="31134EDF"/>
    <w:rsid w:val="3128C09B"/>
    <w:rsid w:val="313B4D88"/>
    <w:rsid w:val="3160C530"/>
    <w:rsid w:val="31660630"/>
    <w:rsid w:val="322795E8"/>
    <w:rsid w:val="32427F05"/>
    <w:rsid w:val="3263CC52"/>
    <w:rsid w:val="326E1D00"/>
    <w:rsid w:val="3281ADF1"/>
    <w:rsid w:val="32B51A03"/>
    <w:rsid w:val="32D7DF2A"/>
    <w:rsid w:val="32DCC54D"/>
    <w:rsid w:val="32E20034"/>
    <w:rsid w:val="331949DE"/>
    <w:rsid w:val="3328CB18"/>
    <w:rsid w:val="3332AE3B"/>
    <w:rsid w:val="33498EA4"/>
    <w:rsid w:val="3377C90D"/>
    <w:rsid w:val="3384E355"/>
    <w:rsid w:val="33859125"/>
    <w:rsid w:val="34210A96"/>
    <w:rsid w:val="3433A1C9"/>
    <w:rsid w:val="345D68E9"/>
    <w:rsid w:val="346EAAAA"/>
    <w:rsid w:val="3495170F"/>
    <w:rsid w:val="34B0A38D"/>
    <w:rsid w:val="34E09441"/>
    <w:rsid w:val="34E79CF6"/>
    <w:rsid w:val="3501939F"/>
    <w:rsid w:val="3521E17C"/>
    <w:rsid w:val="3547CD03"/>
    <w:rsid w:val="3586B68B"/>
    <w:rsid w:val="35925211"/>
    <w:rsid w:val="35B3E65C"/>
    <w:rsid w:val="360819C7"/>
    <w:rsid w:val="36630522"/>
    <w:rsid w:val="36B27B9A"/>
    <w:rsid w:val="36CB4309"/>
    <w:rsid w:val="370E05A4"/>
    <w:rsid w:val="3727C458"/>
    <w:rsid w:val="37365A5D"/>
    <w:rsid w:val="373C28BB"/>
    <w:rsid w:val="375590CE"/>
    <w:rsid w:val="37B03670"/>
    <w:rsid w:val="3815763D"/>
    <w:rsid w:val="3821F7A9"/>
    <w:rsid w:val="382A7EE4"/>
    <w:rsid w:val="385215FF"/>
    <w:rsid w:val="387EEF63"/>
    <w:rsid w:val="388A563A"/>
    <w:rsid w:val="38935A33"/>
    <w:rsid w:val="38CFD482"/>
    <w:rsid w:val="38FD169A"/>
    <w:rsid w:val="3920EEB6"/>
    <w:rsid w:val="3935E752"/>
    <w:rsid w:val="393F8D19"/>
    <w:rsid w:val="39688832"/>
    <w:rsid w:val="396DEA4C"/>
    <w:rsid w:val="398E19F3"/>
    <w:rsid w:val="39AE6A55"/>
    <w:rsid w:val="39C6C24F"/>
    <w:rsid w:val="3A1FD0B2"/>
    <w:rsid w:val="3A4CC8A7"/>
    <w:rsid w:val="3A4E44D5"/>
    <w:rsid w:val="3A8890FF"/>
    <w:rsid w:val="3A90306E"/>
    <w:rsid w:val="3ABAB91E"/>
    <w:rsid w:val="3ABFF80B"/>
    <w:rsid w:val="3ACCD5EC"/>
    <w:rsid w:val="3AE5941B"/>
    <w:rsid w:val="3B010EB3"/>
    <w:rsid w:val="3B41109F"/>
    <w:rsid w:val="3B44DD1D"/>
    <w:rsid w:val="3B4F1396"/>
    <w:rsid w:val="3B58B114"/>
    <w:rsid w:val="3B6CBA13"/>
    <w:rsid w:val="3B7FD247"/>
    <w:rsid w:val="3B86C5F6"/>
    <w:rsid w:val="3B8C33B2"/>
    <w:rsid w:val="3B9DF388"/>
    <w:rsid w:val="3BD977C7"/>
    <w:rsid w:val="3BDE0D94"/>
    <w:rsid w:val="3BFD9E6A"/>
    <w:rsid w:val="3C87FB53"/>
    <w:rsid w:val="3C927794"/>
    <w:rsid w:val="3CC7B7F2"/>
    <w:rsid w:val="3CE5615E"/>
    <w:rsid w:val="3CF99CB8"/>
    <w:rsid w:val="3D7CCC44"/>
    <w:rsid w:val="3D9211FF"/>
    <w:rsid w:val="3DE97039"/>
    <w:rsid w:val="3DFF4CAC"/>
    <w:rsid w:val="3E08CD7A"/>
    <w:rsid w:val="3E135C89"/>
    <w:rsid w:val="3E421DEE"/>
    <w:rsid w:val="3E70CB0C"/>
    <w:rsid w:val="3EAB856E"/>
    <w:rsid w:val="3ECB2DB2"/>
    <w:rsid w:val="3EF46240"/>
    <w:rsid w:val="3EF6FF27"/>
    <w:rsid w:val="3F189CA5"/>
    <w:rsid w:val="3F5CDB23"/>
    <w:rsid w:val="3F5E77C6"/>
    <w:rsid w:val="3FA4E27F"/>
    <w:rsid w:val="3FD4C342"/>
    <w:rsid w:val="3FE54222"/>
    <w:rsid w:val="3FF4013C"/>
    <w:rsid w:val="4038808D"/>
    <w:rsid w:val="404D7F60"/>
    <w:rsid w:val="4052101D"/>
    <w:rsid w:val="40C1C348"/>
    <w:rsid w:val="411D81D2"/>
    <w:rsid w:val="413282F0"/>
    <w:rsid w:val="414D7B52"/>
    <w:rsid w:val="4159DB3D"/>
    <w:rsid w:val="41BE5C13"/>
    <w:rsid w:val="41C3C167"/>
    <w:rsid w:val="41F820A2"/>
    <w:rsid w:val="4204A30C"/>
    <w:rsid w:val="42462AB6"/>
    <w:rsid w:val="42A50D5C"/>
    <w:rsid w:val="42B0AD55"/>
    <w:rsid w:val="42FF5056"/>
    <w:rsid w:val="4314E796"/>
    <w:rsid w:val="43B63052"/>
    <w:rsid w:val="43C663B3"/>
    <w:rsid w:val="43E1B0EE"/>
    <w:rsid w:val="43F60E6E"/>
    <w:rsid w:val="440B580A"/>
    <w:rsid w:val="4449D62A"/>
    <w:rsid w:val="44A09114"/>
    <w:rsid w:val="44C5A34C"/>
    <w:rsid w:val="44C5B26B"/>
    <w:rsid w:val="44CB4715"/>
    <w:rsid w:val="44DF0140"/>
    <w:rsid w:val="45351708"/>
    <w:rsid w:val="454176F3"/>
    <w:rsid w:val="455B7A51"/>
    <w:rsid w:val="4593F5A4"/>
    <w:rsid w:val="45A063C6"/>
    <w:rsid w:val="45BE7B57"/>
    <w:rsid w:val="45DA8179"/>
    <w:rsid w:val="45DF66CC"/>
    <w:rsid w:val="45EC5821"/>
    <w:rsid w:val="461E6280"/>
    <w:rsid w:val="464571AE"/>
    <w:rsid w:val="467804A3"/>
    <w:rsid w:val="46B25895"/>
    <w:rsid w:val="46B2CFD6"/>
    <w:rsid w:val="471E0122"/>
    <w:rsid w:val="47A647C4"/>
    <w:rsid w:val="47C86690"/>
    <w:rsid w:val="47DECD54"/>
    <w:rsid w:val="47EAC921"/>
    <w:rsid w:val="48065CEE"/>
    <w:rsid w:val="483DBD79"/>
    <w:rsid w:val="484340F5"/>
    <w:rsid w:val="486E51F5"/>
    <w:rsid w:val="4874F729"/>
    <w:rsid w:val="4888B596"/>
    <w:rsid w:val="48BA7102"/>
    <w:rsid w:val="48EE2724"/>
    <w:rsid w:val="48F2E203"/>
    <w:rsid w:val="4970C4A7"/>
    <w:rsid w:val="4990F294"/>
    <w:rsid w:val="49B9104D"/>
    <w:rsid w:val="49BC95AF"/>
    <w:rsid w:val="4A4A94DA"/>
    <w:rsid w:val="4A844406"/>
    <w:rsid w:val="4A9D048D"/>
    <w:rsid w:val="4AC4A688"/>
    <w:rsid w:val="4ADE19ED"/>
    <w:rsid w:val="4AE79526"/>
    <w:rsid w:val="4B1A20B0"/>
    <w:rsid w:val="4B4B4511"/>
    <w:rsid w:val="4BA4588C"/>
    <w:rsid w:val="4BA5C0C5"/>
    <w:rsid w:val="4BC5D4A1"/>
    <w:rsid w:val="4BD214FA"/>
    <w:rsid w:val="4BEDBC41"/>
    <w:rsid w:val="4BEE5F8F"/>
    <w:rsid w:val="4BEFEDAC"/>
    <w:rsid w:val="4BFA7E27"/>
    <w:rsid w:val="4BFD4909"/>
    <w:rsid w:val="4C226BB2"/>
    <w:rsid w:val="4C417D32"/>
    <w:rsid w:val="4C453975"/>
    <w:rsid w:val="4C79EA4E"/>
    <w:rsid w:val="4C7FAD9F"/>
    <w:rsid w:val="4CB23E77"/>
    <w:rsid w:val="4CE1D30C"/>
    <w:rsid w:val="4CF1E31B"/>
    <w:rsid w:val="4CF43671"/>
    <w:rsid w:val="4D0A6292"/>
    <w:rsid w:val="4D533F53"/>
    <w:rsid w:val="4D8436E5"/>
    <w:rsid w:val="4DD2E314"/>
    <w:rsid w:val="4DF53D7A"/>
    <w:rsid w:val="4E2629AE"/>
    <w:rsid w:val="4E48DEC9"/>
    <w:rsid w:val="4E64B7D8"/>
    <w:rsid w:val="4E6CEFE9"/>
    <w:rsid w:val="4E7A98CC"/>
    <w:rsid w:val="4E88DA83"/>
    <w:rsid w:val="4E965A41"/>
    <w:rsid w:val="4EBE54D8"/>
    <w:rsid w:val="4EBE8AC4"/>
    <w:rsid w:val="4F6AA168"/>
    <w:rsid w:val="4FA6852E"/>
    <w:rsid w:val="4FA95F89"/>
    <w:rsid w:val="500918B3"/>
    <w:rsid w:val="502023DC"/>
    <w:rsid w:val="506FD2F9"/>
    <w:rsid w:val="50714C37"/>
    <w:rsid w:val="5081168D"/>
    <w:rsid w:val="508389AF"/>
    <w:rsid w:val="50B67D6C"/>
    <w:rsid w:val="50B9C523"/>
    <w:rsid w:val="50C46179"/>
    <w:rsid w:val="50FE72E7"/>
    <w:rsid w:val="51041766"/>
    <w:rsid w:val="512328EF"/>
    <w:rsid w:val="515EC430"/>
    <w:rsid w:val="516170D6"/>
    <w:rsid w:val="517C92FF"/>
    <w:rsid w:val="519F9C35"/>
    <w:rsid w:val="51B27650"/>
    <w:rsid w:val="51B30486"/>
    <w:rsid w:val="51BBF43D"/>
    <w:rsid w:val="51E0F4D4"/>
    <w:rsid w:val="51E41700"/>
    <w:rsid w:val="51E9C0E3"/>
    <w:rsid w:val="521A3442"/>
    <w:rsid w:val="523BAAD8"/>
    <w:rsid w:val="52864111"/>
    <w:rsid w:val="5287333F"/>
    <w:rsid w:val="536A33D4"/>
    <w:rsid w:val="5382A65F"/>
    <w:rsid w:val="53D22C42"/>
    <w:rsid w:val="53F0B469"/>
    <w:rsid w:val="53FB8E26"/>
    <w:rsid w:val="540D6C6F"/>
    <w:rsid w:val="543270BC"/>
    <w:rsid w:val="54362505"/>
    <w:rsid w:val="54436E0B"/>
    <w:rsid w:val="549BBE45"/>
    <w:rsid w:val="549C86E1"/>
    <w:rsid w:val="54A7976D"/>
    <w:rsid w:val="54EFF7E9"/>
    <w:rsid w:val="54F394FF"/>
    <w:rsid w:val="551446BC"/>
    <w:rsid w:val="55648F29"/>
    <w:rsid w:val="55B42BC2"/>
    <w:rsid w:val="55E975F9"/>
    <w:rsid w:val="560200E3"/>
    <w:rsid w:val="5608297E"/>
    <w:rsid w:val="56242F0A"/>
    <w:rsid w:val="562EC7C9"/>
    <w:rsid w:val="562F72CC"/>
    <w:rsid w:val="5646CBB4"/>
    <w:rsid w:val="5667CBCA"/>
    <w:rsid w:val="566A7139"/>
    <w:rsid w:val="56815FFF"/>
    <w:rsid w:val="568F6560"/>
    <w:rsid w:val="56D79611"/>
    <w:rsid w:val="56EAC673"/>
    <w:rsid w:val="5707AA2F"/>
    <w:rsid w:val="5738B046"/>
    <w:rsid w:val="5741BFDA"/>
    <w:rsid w:val="576DC5C7"/>
    <w:rsid w:val="57D8501F"/>
    <w:rsid w:val="57FE831B"/>
    <w:rsid w:val="580FD999"/>
    <w:rsid w:val="5846E5C0"/>
    <w:rsid w:val="5878E54F"/>
    <w:rsid w:val="587EDAC3"/>
    <w:rsid w:val="58DAE882"/>
    <w:rsid w:val="59099628"/>
    <w:rsid w:val="590FD28F"/>
    <w:rsid w:val="591AFE72"/>
    <w:rsid w:val="5924D7CC"/>
    <w:rsid w:val="593FDE69"/>
    <w:rsid w:val="59742080"/>
    <w:rsid w:val="599000B3"/>
    <w:rsid w:val="59A3C904"/>
    <w:rsid w:val="5A43B471"/>
    <w:rsid w:val="5A5BFABA"/>
    <w:rsid w:val="5A6993E7"/>
    <w:rsid w:val="5A88DEB9"/>
    <w:rsid w:val="5AA56689"/>
    <w:rsid w:val="5AAA046F"/>
    <w:rsid w:val="5AF9468B"/>
    <w:rsid w:val="5BC2217C"/>
    <w:rsid w:val="5C05D4BE"/>
    <w:rsid w:val="5C7619CC"/>
    <w:rsid w:val="5C89C4A9"/>
    <w:rsid w:val="5D03B61A"/>
    <w:rsid w:val="5D10E140"/>
    <w:rsid w:val="5D237A20"/>
    <w:rsid w:val="5D3BB000"/>
    <w:rsid w:val="5D59D8E5"/>
    <w:rsid w:val="5D8F6F12"/>
    <w:rsid w:val="5DC119C9"/>
    <w:rsid w:val="5DC2DA46"/>
    <w:rsid w:val="5DE4F4D1"/>
    <w:rsid w:val="5DECE4DA"/>
    <w:rsid w:val="5E05C27E"/>
    <w:rsid w:val="5E11EA2D"/>
    <w:rsid w:val="5E17D5E4"/>
    <w:rsid w:val="5E29B36A"/>
    <w:rsid w:val="5E4967E7"/>
    <w:rsid w:val="5E7C2EA4"/>
    <w:rsid w:val="5E8D94FC"/>
    <w:rsid w:val="5EA971AB"/>
    <w:rsid w:val="5EB83091"/>
    <w:rsid w:val="5EC9D3EE"/>
    <w:rsid w:val="5EE385F7"/>
    <w:rsid w:val="5EFBF2D2"/>
    <w:rsid w:val="5F02CD40"/>
    <w:rsid w:val="5F206AB5"/>
    <w:rsid w:val="5F28CB87"/>
    <w:rsid w:val="5F4353BC"/>
    <w:rsid w:val="5F4AC905"/>
    <w:rsid w:val="5F5E0EAE"/>
    <w:rsid w:val="5F648977"/>
    <w:rsid w:val="5FAE869A"/>
    <w:rsid w:val="5FCA39A7"/>
    <w:rsid w:val="602C319B"/>
    <w:rsid w:val="603647A6"/>
    <w:rsid w:val="603C8AB1"/>
    <w:rsid w:val="603FCB20"/>
    <w:rsid w:val="6060DA1F"/>
    <w:rsid w:val="60731FC0"/>
    <w:rsid w:val="608A9F59"/>
    <w:rsid w:val="609349C5"/>
    <w:rsid w:val="60C2911E"/>
    <w:rsid w:val="6107C6E4"/>
    <w:rsid w:val="61588AF4"/>
    <w:rsid w:val="61669479"/>
    <w:rsid w:val="617AE6DE"/>
    <w:rsid w:val="617C039B"/>
    <w:rsid w:val="617CFDCF"/>
    <w:rsid w:val="6199F8F1"/>
    <w:rsid w:val="61A6D167"/>
    <w:rsid w:val="61D21807"/>
    <w:rsid w:val="61D6DF72"/>
    <w:rsid w:val="61FB68BA"/>
    <w:rsid w:val="627792D5"/>
    <w:rsid w:val="6285417A"/>
    <w:rsid w:val="6285FD26"/>
    <w:rsid w:val="6293C66C"/>
    <w:rsid w:val="62D2FFBA"/>
    <w:rsid w:val="62F34582"/>
    <w:rsid w:val="6335C952"/>
    <w:rsid w:val="63385C82"/>
    <w:rsid w:val="636DE868"/>
    <w:rsid w:val="6393008A"/>
    <w:rsid w:val="64208177"/>
    <w:rsid w:val="6447E641"/>
    <w:rsid w:val="645838C6"/>
    <w:rsid w:val="64AF3489"/>
    <w:rsid w:val="64B3D30B"/>
    <w:rsid w:val="64D199B3"/>
    <w:rsid w:val="6509B8C9"/>
    <w:rsid w:val="652ED0EB"/>
    <w:rsid w:val="65731A14"/>
    <w:rsid w:val="658EC280"/>
    <w:rsid w:val="65913CE0"/>
    <w:rsid w:val="65BA0A89"/>
    <w:rsid w:val="65DC257A"/>
    <w:rsid w:val="65F4BB38"/>
    <w:rsid w:val="661746DB"/>
    <w:rsid w:val="6625601C"/>
    <w:rsid w:val="66AB3B76"/>
    <w:rsid w:val="66B712DF"/>
    <w:rsid w:val="66BC8336"/>
    <w:rsid w:val="66CAA14C"/>
    <w:rsid w:val="6723E18A"/>
    <w:rsid w:val="676AF500"/>
    <w:rsid w:val="6779045F"/>
    <w:rsid w:val="67D7C993"/>
    <w:rsid w:val="67FF88E4"/>
    <w:rsid w:val="681F3E45"/>
    <w:rsid w:val="68303C71"/>
    <w:rsid w:val="68499DDD"/>
    <w:rsid w:val="684BA79B"/>
    <w:rsid w:val="68698706"/>
    <w:rsid w:val="68777F57"/>
    <w:rsid w:val="689D349E"/>
    <w:rsid w:val="689D6743"/>
    <w:rsid w:val="697399F4"/>
    <w:rsid w:val="69BCC8C2"/>
    <w:rsid w:val="6A2E3A48"/>
    <w:rsid w:val="6A67FD26"/>
    <w:rsid w:val="6AC6AD9A"/>
    <w:rsid w:val="6AC73A56"/>
    <w:rsid w:val="6ADEB97D"/>
    <w:rsid w:val="6AECD513"/>
    <w:rsid w:val="6AF424FE"/>
    <w:rsid w:val="6B01CE2F"/>
    <w:rsid w:val="6B023681"/>
    <w:rsid w:val="6B1E84A1"/>
    <w:rsid w:val="6B4DA711"/>
    <w:rsid w:val="6B8EC461"/>
    <w:rsid w:val="6B9E126F"/>
    <w:rsid w:val="6BA0AD46"/>
    <w:rsid w:val="6BEC828B"/>
    <w:rsid w:val="6BFD2B6F"/>
    <w:rsid w:val="6C040C5E"/>
    <w:rsid w:val="6C1857A0"/>
    <w:rsid w:val="6C28C869"/>
    <w:rsid w:val="6C3F18A2"/>
    <w:rsid w:val="6CBCD23D"/>
    <w:rsid w:val="6CC5DFC1"/>
    <w:rsid w:val="6D0792F3"/>
    <w:rsid w:val="6D15969D"/>
    <w:rsid w:val="6D8F72B0"/>
    <w:rsid w:val="6DB21B2F"/>
    <w:rsid w:val="6DB716B3"/>
    <w:rsid w:val="6DDA31C8"/>
    <w:rsid w:val="6DEF3CB4"/>
    <w:rsid w:val="6E0B9980"/>
    <w:rsid w:val="6E242665"/>
    <w:rsid w:val="6E260E0E"/>
    <w:rsid w:val="6E4EF89D"/>
    <w:rsid w:val="6E739B05"/>
    <w:rsid w:val="6F0BA865"/>
    <w:rsid w:val="6F1A8F7F"/>
    <w:rsid w:val="6F2E0598"/>
    <w:rsid w:val="6F736FA3"/>
    <w:rsid w:val="6F79C06B"/>
    <w:rsid w:val="6F84FDD7"/>
    <w:rsid w:val="6F9B0603"/>
    <w:rsid w:val="6FB479E2"/>
    <w:rsid w:val="6FCAFFC8"/>
    <w:rsid w:val="6FDA89A5"/>
    <w:rsid w:val="700AE0C9"/>
    <w:rsid w:val="7063828B"/>
    <w:rsid w:val="711900A5"/>
    <w:rsid w:val="71542A6F"/>
    <w:rsid w:val="715D58FF"/>
    <w:rsid w:val="718F696C"/>
    <w:rsid w:val="71AB83DC"/>
    <w:rsid w:val="71B0EBC4"/>
    <w:rsid w:val="71B46C7B"/>
    <w:rsid w:val="71D96080"/>
    <w:rsid w:val="71E6741E"/>
    <w:rsid w:val="71F8AE9B"/>
    <w:rsid w:val="7240724A"/>
    <w:rsid w:val="727EF3A4"/>
    <w:rsid w:val="72D560B3"/>
    <w:rsid w:val="732BB764"/>
    <w:rsid w:val="73768D0A"/>
    <w:rsid w:val="7385B80D"/>
    <w:rsid w:val="738CBEDD"/>
    <w:rsid w:val="739B71DB"/>
    <w:rsid w:val="73BC7872"/>
    <w:rsid w:val="74304FAB"/>
    <w:rsid w:val="74330A0C"/>
    <w:rsid w:val="746AED82"/>
    <w:rsid w:val="74D4CD00"/>
    <w:rsid w:val="74F0FB72"/>
    <w:rsid w:val="754B5550"/>
    <w:rsid w:val="755D5C0B"/>
    <w:rsid w:val="757DFD35"/>
    <w:rsid w:val="75C6C430"/>
    <w:rsid w:val="75C82E6F"/>
    <w:rsid w:val="7616B070"/>
    <w:rsid w:val="7646329C"/>
    <w:rsid w:val="764F2EA9"/>
    <w:rsid w:val="76A3EB8D"/>
    <w:rsid w:val="76AB9CE6"/>
    <w:rsid w:val="76BA773A"/>
    <w:rsid w:val="76C036DD"/>
    <w:rsid w:val="76F50FDE"/>
    <w:rsid w:val="77013009"/>
    <w:rsid w:val="7701B4FE"/>
    <w:rsid w:val="770AFDBF"/>
    <w:rsid w:val="7739D3C8"/>
    <w:rsid w:val="7767F06D"/>
    <w:rsid w:val="779D9853"/>
    <w:rsid w:val="77CD6FED"/>
    <w:rsid w:val="77DDEE46"/>
    <w:rsid w:val="781938F1"/>
    <w:rsid w:val="7846E0B6"/>
    <w:rsid w:val="78B68B76"/>
    <w:rsid w:val="78C9332B"/>
    <w:rsid w:val="78FA5FBD"/>
    <w:rsid w:val="799A6DE6"/>
    <w:rsid w:val="79E54ADC"/>
    <w:rsid w:val="7A48DCD3"/>
    <w:rsid w:val="7AA9FBD9"/>
    <w:rsid w:val="7AD2CF91"/>
    <w:rsid w:val="7B278DF4"/>
    <w:rsid w:val="7B376829"/>
    <w:rsid w:val="7B3F4DAA"/>
    <w:rsid w:val="7B556C63"/>
    <w:rsid w:val="7B5CE06B"/>
    <w:rsid w:val="7BB0DADF"/>
    <w:rsid w:val="7BEA00D8"/>
    <w:rsid w:val="7BF45BFC"/>
    <w:rsid w:val="7BFC0D7A"/>
    <w:rsid w:val="7C226DC7"/>
    <w:rsid w:val="7C509050"/>
    <w:rsid w:val="7C581EA3"/>
    <w:rsid w:val="7C670A81"/>
    <w:rsid w:val="7CCE640A"/>
    <w:rsid w:val="7CDB3712"/>
    <w:rsid w:val="7D187D16"/>
    <w:rsid w:val="7D1F3E10"/>
    <w:rsid w:val="7D50069A"/>
    <w:rsid w:val="7D5C386C"/>
    <w:rsid w:val="7D6FB296"/>
    <w:rsid w:val="7D8336A8"/>
    <w:rsid w:val="7D8CA129"/>
    <w:rsid w:val="7DA2EDB8"/>
    <w:rsid w:val="7DEC60B1"/>
    <w:rsid w:val="7E390CB2"/>
    <w:rsid w:val="7E408B03"/>
    <w:rsid w:val="7EB63928"/>
    <w:rsid w:val="7EB9E8E8"/>
    <w:rsid w:val="7EF64731"/>
    <w:rsid w:val="7EF6F54E"/>
    <w:rsid w:val="7F3338FC"/>
    <w:rsid w:val="7F371E26"/>
    <w:rsid w:val="7F58944B"/>
    <w:rsid w:val="7F65BD97"/>
    <w:rsid w:val="7F6D234E"/>
    <w:rsid w:val="7F8546E8"/>
    <w:rsid w:val="7F883112"/>
    <w:rsid w:val="7FABE86E"/>
    <w:rsid w:val="7FBEA71B"/>
    <w:rsid w:val="7FCEB3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12E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A71"/>
    <w:pPr>
      <w:spacing w:before="160" w:after="160" w:line="259" w:lineRule="auto"/>
    </w:pPr>
    <w:rPr>
      <w:rFonts w:ascii="Calibri Light" w:hAnsi="Calibri Light"/>
      <w:sz w:val="22"/>
      <w:szCs w:val="22"/>
      <w:lang w:eastAsia="en-US"/>
    </w:rPr>
  </w:style>
  <w:style w:type="paragraph" w:styleId="Heading1">
    <w:name w:val="heading 1"/>
    <w:basedOn w:val="Normal"/>
    <w:next w:val="Normal"/>
    <w:link w:val="Heading1Char"/>
    <w:uiPriority w:val="9"/>
    <w:qFormat/>
    <w:rsid w:val="0014559A"/>
    <w:pPr>
      <w:keepNext/>
      <w:keepLines/>
      <w:spacing w:before="240" w:after="0"/>
      <w:outlineLvl w:val="0"/>
    </w:pPr>
    <w:rPr>
      <w:rFonts w:eastAsiaTheme="majorEastAsia" w:cstheme="majorBidi"/>
      <w:color w:val="2B4152" w:themeColor="accent1" w:themeShade="BF"/>
      <w:sz w:val="32"/>
      <w:szCs w:val="32"/>
    </w:rPr>
  </w:style>
  <w:style w:type="paragraph" w:styleId="Heading2">
    <w:name w:val="heading 2"/>
    <w:basedOn w:val="Normal"/>
    <w:next w:val="Normal"/>
    <w:link w:val="Heading2Char"/>
    <w:uiPriority w:val="9"/>
    <w:unhideWhenUsed/>
    <w:qFormat/>
    <w:rsid w:val="0014559A"/>
    <w:pPr>
      <w:keepNext/>
      <w:keepLines/>
      <w:spacing w:before="40" w:after="0"/>
      <w:outlineLvl w:val="1"/>
    </w:pPr>
    <w:rPr>
      <w:rFonts w:eastAsiaTheme="majorEastAsia" w:cstheme="majorBidi"/>
      <w:color w:val="2B4152" w:themeColor="accent1" w:themeShade="BF"/>
      <w:sz w:val="26"/>
      <w:szCs w:val="26"/>
    </w:rPr>
  </w:style>
  <w:style w:type="paragraph" w:styleId="Heading3">
    <w:name w:val="heading 3"/>
    <w:basedOn w:val="Normal"/>
    <w:next w:val="Normal"/>
    <w:link w:val="Heading3Char"/>
    <w:uiPriority w:val="9"/>
    <w:unhideWhenUsed/>
    <w:qFormat/>
    <w:rsid w:val="0014559A"/>
    <w:pPr>
      <w:keepNext/>
      <w:keepLines/>
      <w:spacing w:before="40" w:after="0"/>
      <w:outlineLvl w:val="2"/>
    </w:pPr>
    <w:rPr>
      <w:rFonts w:eastAsiaTheme="majorEastAsia" w:cstheme="majorBidi"/>
      <w:color w:val="1D2B36" w:themeColor="accent1" w:themeShade="7F"/>
      <w:sz w:val="24"/>
      <w:szCs w:val="24"/>
    </w:rPr>
  </w:style>
  <w:style w:type="paragraph" w:styleId="Heading4">
    <w:name w:val="heading 4"/>
    <w:basedOn w:val="Normal"/>
    <w:next w:val="Normal"/>
    <w:link w:val="Heading4Char"/>
    <w:uiPriority w:val="9"/>
    <w:semiHidden/>
    <w:unhideWhenUsed/>
    <w:qFormat/>
    <w:rsid w:val="0014559A"/>
    <w:pPr>
      <w:keepNext/>
      <w:keepLines/>
      <w:spacing w:before="40" w:after="0"/>
      <w:outlineLvl w:val="3"/>
    </w:pPr>
    <w:rPr>
      <w:rFonts w:eastAsiaTheme="majorEastAsia" w:cstheme="majorBidi"/>
      <w:i/>
      <w:iCs/>
      <w:color w:val="2B415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Heading1">
    <w:name w:val="H1 - Heading 1"/>
    <w:basedOn w:val="Heading1"/>
    <w:link w:val="H1-Heading1Char"/>
    <w:qFormat/>
    <w:rsid w:val="0014559A"/>
    <w:pPr>
      <w:spacing w:before="0"/>
      <w:ind w:left="1560"/>
    </w:pPr>
    <w:rPr>
      <w:b/>
      <w:bCs/>
      <w:caps/>
      <w:color w:val="313E48"/>
      <w:sz w:val="56"/>
      <w:szCs w:val="56"/>
    </w:rPr>
  </w:style>
  <w:style w:type="paragraph" w:customStyle="1" w:styleId="BodyCopy">
    <w:name w:val="Body Copy"/>
    <w:qFormat/>
    <w:rsid w:val="0014559A"/>
    <w:pPr>
      <w:spacing w:before="40" w:after="120"/>
    </w:pPr>
    <w:rPr>
      <w:rFonts w:ascii="Calibri Light" w:hAnsi="Calibri Light" w:cs="Calibri Light"/>
      <w:color w:val="313E48"/>
      <w:sz w:val="22"/>
      <w:szCs w:val="21"/>
      <w:lang w:eastAsia="en-US"/>
    </w:rPr>
  </w:style>
  <w:style w:type="paragraph" w:customStyle="1" w:styleId="H2-Heading2">
    <w:name w:val="H2 - Heading 2"/>
    <w:basedOn w:val="Heading2"/>
    <w:qFormat/>
    <w:rsid w:val="0014559A"/>
    <w:pPr>
      <w:pageBreakBefore/>
      <w:spacing w:before="240" w:after="120"/>
    </w:pPr>
    <w:rPr>
      <w:rFonts w:asciiTheme="minorHAnsi" w:hAnsiTheme="minorHAnsi" w:cstheme="minorHAnsi"/>
      <w:b/>
      <w:bCs/>
      <w:color w:val="313E48"/>
      <w:sz w:val="36"/>
      <w:szCs w:val="32"/>
    </w:rPr>
  </w:style>
  <w:style w:type="paragraph" w:customStyle="1" w:styleId="H4-Heading4">
    <w:name w:val="H4 - Heading 4"/>
    <w:basedOn w:val="Heading4"/>
    <w:next w:val="BodyCopy"/>
    <w:qFormat/>
    <w:rsid w:val="0014559A"/>
    <w:pPr>
      <w:spacing w:before="240" w:after="120"/>
    </w:pPr>
    <w:rPr>
      <w:rFonts w:cstheme="minorHAnsi"/>
      <w:b/>
      <w:bCs/>
      <w:i w:val="0"/>
      <w:color w:val="auto"/>
      <w:sz w:val="24"/>
      <w:szCs w:val="24"/>
    </w:rPr>
  </w:style>
  <w:style w:type="paragraph" w:customStyle="1" w:styleId="H3-Heading3">
    <w:name w:val="H3 - Heading 3"/>
    <w:basedOn w:val="Heading3"/>
    <w:qFormat/>
    <w:rsid w:val="0014559A"/>
    <w:pPr>
      <w:spacing w:before="240" w:after="120"/>
    </w:pPr>
    <w:rPr>
      <w:rFonts w:asciiTheme="minorHAnsi" w:hAnsiTheme="minorHAnsi" w:cstheme="minorHAnsi"/>
      <w:b/>
      <w:bCs/>
      <w:color w:val="313E48"/>
      <w:sz w:val="28"/>
      <w:szCs w:val="28"/>
    </w:rPr>
  </w:style>
  <w:style w:type="paragraph" w:customStyle="1" w:styleId="BodycopyNumberedBullets">
    <w:name w:val="Body copy Numbered Bullets"/>
    <w:basedOn w:val="BodyCopy"/>
    <w:qFormat/>
    <w:rsid w:val="0014559A"/>
    <w:pPr>
      <w:numPr>
        <w:numId w:val="3"/>
      </w:numPr>
    </w:pPr>
  </w:style>
  <w:style w:type="paragraph" w:customStyle="1" w:styleId="BodyCopyPrebulletsandnumberedbullets">
    <w:name w:val="Body Copy Pre bullets and numbered bullets"/>
    <w:basedOn w:val="BodyCopy"/>
    <w:qFormat/>
    <w:rsid w:val="0014559A"/>
    <w:pPr>
      <w:spacing w:before="240"/>
    </w:pPr>
  </w:style>
  <w:style w:type="paragraph" w:customStyle="1" w:styleId="NormalBullets-L2">
    <w:name w:val="Normal Bullets - L2"/>
    <w:basedOn w:val="BodyCopy"/>
    <w:qFormat/>
    <w:rsid w:val="0014559A"/>
    <w:pPr>
      <w:numPr>
        <w:numId w:val="7"/>
      </w:numPr>
      <w:spacing w:before="0" w:after="0"/>
      <w:ind w:left="993" w:hanging="284"/>
    </w:pPr>
    <w:rPr>
      <w:color w:val="auto"/>
      <w:lang w:eastAsia="en-AU"/>
    </w:rPr>
  </w:style>
  <w:style w:type="table" w:styleId="TableGrid">
    <w:name w:val="Table Grid"/>
    <w:basedOn w:val="TableNormal"/>
    <w:uiPriority w:val="39"/>
    <w:rsid w:val="00145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qFormat/>
    <w:rsid w:val="0014559A"/>
    <w:pPr>
      <w:spacing w:before="240" w:after="240"/>
    </w:pPr>
    <w:rPr>
      <w:rFonts w:asciiTheme="majorHAnsi" w:hAnsiTheme="majorHAnsi" w:cstheme="minorHAnsi"/>
      <w:b/>
      <w:bCs/>
      <w:color w:val="FFFFFF" w:themeColor="background1"/>
      <w:szCs w:val="21"/>
      <w:lang w:eastAsia="en-US"/>
    </w:rPr>
  </w:style>
  <w:style w:type="paragraph" w:customStyle="1" w:styleId="TableBodyCopy">
    <w:name w:val="Table Body Copy"/>
    <w:basedOn w:val="BodyCopy"/>
    <w:qFormat/>
    <w:rsid w:val="0014559A"/>
    <w:pPr>
      <w:spacing w:before="120" w:after="40"/>
    </w:pPr>
    <w:rPr>
      <w:color w:val="auto"/>
      <w:sz w:val="20"/>
    </w:rPr>
  </w:style>
  <w:style w:type="paragraph" w:customStyle="1" w:styleId="PostBulletsBodyCopy">
    <w:name w:val="Post Bullets Body Copy"/>
    <w:basedOn w:val="BodyCopy"/>
    <w:qFormat/>
    <w:rsid w:val="0014559A"/>
    <w:pPr>
      <w:spacing w:before="240" w:after="160"/>
    </w:pPr>
  </w:style>
  <w:style w:type="paragraph" w:styleId="Header">
    <w:name w:val="header"/>
    <w:basedOn w:val="Normal"/>
    <w:link w:val="HeaderChar"/>
    <w:uiPriority w:val="99"/>
    <w:unhideWhenUsed/>
    <w:rsid w:val="00145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59A"/>
    <w:rPr>
      <w:rFonts w:ascii="Calibri Light" w:hAnsi="Calibri Light"/>
      <w:sz w:val="22"/>
      <w:szCs w:val="22"/>
      <w:lang w:eastAsia="en-US"/>
    </w:rPr>
  </w:style>
  <w:style w:type="paragraph" w:styleId="Footer">
    <w:name w:val="footer"/>
    <w:basedOn w:val="Normal"/>
    <w:link w:val="FooterChar"/>
    <w:uiPriority w:val="99"/>
    <w:unhideWhenUsed/>
    <w:rsid w:val="001455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59A"/>
    <w:rPr>
      <w:rFonts w:ascii="Calibri Light" w:hAnsi="Calibri Light"/>
      <w:sz w:val="22"/>
      <w:szCs w:val="22"/>
      <w:lang w:eastAsia="en-US"/>
    </w:rPr>
  </w:style>
  <w:style w:type="character" w:customStyle="1" w:styleId="Green">
    <w:name w:val="Green"/>
    <w:basedOn w:val="DefaultParagraphFont"/>
    <w:uiPriority w:val="1"/>
    <w:qFormat/>
    <w:rsid w:val="0014559A"/>
    <w:rPr>
      <w:color w:val="00837C" w:themeColor="accent2"/>
    </w:rPr>
  </w:style>
  <w:style w:type="paragraph" w:customStyle="1" w:styleId="TitleCover">
    <w:name w:val="Title Cover"/>
    <w:basedOn w:val="H1-Heading1"/>
    <w:link w:val="TitleCoverChar"/>
    <w:qFormat/>
    <w:rsid w:val="0014559A"/>
    <w:pPr>
      <w:spacing w:before="4440" w:line="240" w:lineRule="auto"/>
    </w:pPr>
    <w:rPr>
      <w:rFonts w:asciiTheme="minorHAnsi" w:hAnsiTheme="minorHAnsi" w:cstheme="minorHAnsi"/>
      <w:color w:val="FFFFFF" w:themeColor="background1"/>
      <w:sz w:val="48"/>
    </w:rPr>
  </w:style>
  <w:style w:type="paragraph" w:customStyle="1" w:styleId="SECCLASSIFICATION">
    <w:name w:val="SEC CLASSIFICATION"/>
    <w:basedOn w:val="Header"/>
    <w:qFormat/>
    <w:rsid w:val="0014559A"/>
    <w:pPr>
      <w:jc w:val="center"/>
    </w:pPr>
    <w:rPr>
      <w:b/>
      <w:caps/>
      <w:noProof/>
      <w:color w:val="FF0000"/>
    </w:rPr>
  </w:style>
  <w:style w:type="character" w:customStyle="1" w:styleId="H1-Heading1Char">
    <w:name w:val="H1 - Heading 1 Char"/>
    <w:basedOn w:val="DefaultParagraphFont"/>
    <w:link w:val="H1-Heading1"/>
    <w:rsid w:val="0014559A"/>
    <w:rPr>
      <w:rFonts w:ascii="Calibri Light" w:eastAsiaTheme="majorEastAsia" w:hAnsi="Calibri Light" w:cstheme="majorBidi"/>
      <w:b/>
      <w:bCs/>
      <w:caps/>
      <w:color w:val="313E48"/>
      <w:sz w:val="56"/>
      <w:szCs w:val="56"/>
      <w:lang w:eastAsia="en-US"/>
    </w:rPr>
  </w:style>
  <w:style w:type="character" w:customStyle="1" w:styleId="TitleCoverChar">
    <w:name w:val="Title Cover Char"/>
    <w:basedOn w:val="H1-Heading1Char"/>
    <w:link w:val="TitleCover"/>
    <w:rsid w:val="0014559A"/>
    <w:rPr>
      <w:rFonts w:asciiTheme="minorHAnsi" w:eastAsiaTheme="majorEastAsia" w:hAnsiTheme="minorHAnsi" w:cstheme="minorHAnsi"/>
      <w:b/>
      <w:bCs/>
      <w:caps/>
      <w:color w:val="FFFFFF" w:themeColor="background1"/>
      <w:sz w:val="48"/>
      <w:szCs w:val="56"/>
      <w:lang w:eastAsia="en-US"/>
    </w:rPr>
  </w:style>
  <w:style w:type="paragraph" w:customStyle="1" w:styleId="Subtitlecover">
    <w:name w:val="Subtitle cover"/>
    <w:basedOn w:val="TitleCover"/>
    <w:link w:val="SubtitlecoverChar"/>
    <w:qFormat/>
    <w:rsid w:val="0014559A"/>
    <w:pPr>
      <w:spacing w:before="360"/>
    </w:pPr>
    <w:rPr>
      <w:sz w:val="36"/>
    </w:rPr>
  </w:style>
  <w:style w:type="character" w:customStyle="1" w:styleId="SubtitlecoverChar">
    <w:name w:val="Subtitle cover Char"/>
    <w:basedOn w:val="TitleCoverChar"/>
    <w:link w:val="Subtitlecover"/>
    <w:rsid w:val="0014559A"/>
    <w:rPr>
      <w:rFonts w:asciiTheme="minorHAnsi" w:eastAsiaTheme="majorEastAsia" w:hAnsiTheme="minorHAnsi" w:cstheme="minorHAnsi"/>
      <w:b/>
      <w:bCs/>
      <w:caps/>
      <w:color w:val="FFFFFF" w:themeColor="background1"/>
      <w:sz w:val="36"/>
      <w:szCs w:val="56"/>
      <w:lang w:eastAsia="en-US"/>
    </w:rPr>
  </w:style>
  <w:style w:type="paragraph" w:styleId="TOC2">
    <w:name w:val="toc 2"/>
    <w:basedOn w:val="Normal"/>
    <w:next w:val="Normal"/>
    <w:autoRedefine/>
    <w:uiPriority w:val="39"/>
    <w:unhideWhenUsed/>
    <w:rsid w:val="0014559A"/>
    <w:pPr>
      <w:spacing w:after="100"/>
      <w:ind w:left="220"/>
    </w:pPr>
  </w:style>
  <w:style w:type="character" w:customStyle="1" w:styleId="Heading2Char">
    <w:name w:val="Heading 2 Char"/>
    <w:basedOn w:val="DefaultParagraphFont"/>
    <w:link w:val="Heading2"/>
    <w:uiPriority w:val="9"/>
    <w:rsid w:val="0014559A"/>
    <w:rPr>
      <w:rFonts w:ascii="Calibri Light" w:eastAsiaTheme="majorEastAsia" w:hAnsi="Calibri Light" w:cstheme="majorBidi"/>
      <w:color w:val="2B4152" w:themeColor="accent1" w:themeShade="BF"/>
      <w:sz w:val="26"/>
      <w:szCs w:val="26"/>
      <w:lang w:eastAsia="en-US"/>
    </w:rPr>
  </w:style>
  <w:style w:type="character" w:customStyle="1" w:styleId="Heading1Char">
    <w:name w:val="Heading 1 Char"/>
    <w:basedOn w:val="DefaultParagraphFont"/>
    <w:link w:val="Heading1"/>
    <w:uiPriority w:val="9"/>
    <w:rsid w:val="0014559A"/>
    <w:rPr>
      <w:rFonts w:ascii="Calibri Light" w:eastAsiaTheme="majorEastAsia" w:hAnsi="Calibri Light" w:cstheme="majorBidi"/>
      <w:color w:val="2B4152" w:themeColor="accent1" w:themeShade="BF"/>
      <w:sz w:val="32"/>
      <w:szCs w:val="32"/>
      <w:lang w:eastAsia="en-US"/>
    </w:rPr>
  </w:style>
  <w:style w:type="character" w:customStyle="1" w:styleId="Heading3Char">
    <w:name w:val="Heading 3 Char"/>
    <w:basedOn w:val="DefaultParagraphFont"/>
    <w:link w:val="Heading3"/>
    <w:uiPriority w:val="9"/>
    <w:rsid w:val="0014559A"/>
    <w:rPr>
      <w:rFonts w:ascii="Calibri Light" w:eastAsiaTheme="majorEastAsia" w:hAnsi="Calibri Light" w:cstheme="majorBidi"/>
      <w:color w:val="1D2B36" w:themeColor="accent1" w:themeShade="7F"/>
      <w:sz w:val="24"/>
      <w:szCs w:val="24"/>
      <w:lang w:eastAsia="en-US"/>
    </w:rPr>
  </w:style>
  <w:style w:type="character" w:customStyle="1" w:styleId="Heading4Char">
    <w:name w:val="Heading 4 Char"/>
    <w:basedOn w:val="DefaultParagraphFont"/>
    <w:link w:val="Heading4"/>
    <w:uiPriority w:val="9"/>
    <w:semiHidden/>
    <w:rsid w:val="0014559A"/>
    <w:rPr>
      <w:rFonts w:ascii="Calibri Light" w:eastAsiaTheme="majorEastAsia" w:hAnsi="Calibri Light" w:cstheme="majorBidi"/>
      <w:i/>
      <w:iCs/>
      <w:color w:val="2B4152" w:themeColor="accent1" w:themeShade="BF"/>
      <w:sz w:val="22"/>
      <w:szCs w:val="22"/>
      <w:lang w:eastAsia="en-US"/>
    </w:rPr>
  </w:style>
  <w:style w:type="paragraph" w:styleId="TOC1">
    <w:name w:val="toc 1"/>
    <w:basedOn w:val="Normal"/>
    <w:next w:val="Normal"/>
    <w:autoRedefine/>
    <w:uiPriority w:val="39"/>
    <w:unhideWhenUsed/>
    <w:rsid w:val="0014559A"/>
    <w:pPr>
      <w:spacing w:after="100"/>
    </w:pPr>
  </w:style>
  <w:style w:type="paragraph" w:styleId="TOC3">
    <w:name w:val="toc 3"/>
    <w:basedOn w:val="Normal"/>
    <w:next w:val="Normal"/>
    <w:autoRedefine/>
    <w:uiPriority w:val="39"/>
    <w:unhideWhenUsed/>
    <w:rsid w:val="0014559A"/>
    <w:pPr>
      <w:spacing w:after="100"/>
      <w:ind w:left="440"/>
    </w:pPr>
  </w:style>
  <w:style w:type="character" w:styleId="Hyperlink">
    <w:name w:val="Hyperlink"/>
    <w:basedOn w:val="DefaultParagraphFont"/>
    <w:uiPriority w:val="99"/>
    <w:unhideWhenUsed/>
    <w:rsid w:val="0014559A"/>
    <w:rPr>
      <w:color w:val="014429" w:themeColor="hyperlink"/>
      <w:u w:val="single"/>
    </w:rPr>
  </w:style>
  <w:style w:type="paragraph" w:styleId="TOCHeading">
    <w:name w:val="TOC Heading"/>
    <w:basedOn w:val="H2-Heading2"/>
    <w:next w:val="Normal"/>
    <w:uiPriority w:val="39"/>
    <w:unhideWhenUsed/>
    <w:qFormat/>
    <w:rsid w:val="0014559A"/>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14559A"/>
    <w:pPr>
      <w:numPr>
        <w:numId w:val="46"/>
      </w:numPr>
      <w:ind w:left="357" w:hanging="357"/>
      <w:contextualSpacing/>
    </w:pPr>
  </w:style>
  <w:style w:type="table" w:styleId="ListTable3-Accent1">
    <w:name w:val="List Table 3 Accent 1"/>
    <w:basedOn w:val="TableNormal"/>
    <w:uiPriority w:val="48"/>
    <w:rsid w:val="0014559A"/>
    <w:tblPr>
      <w:tblStyleRowBandSize w:val="1"/>
      <w:tblStyleColBandSize w:val="1"/>
      <w:tblBorders>
        <w:top w:val="single" w:sz="4" w:space="0" w:color="3A586E" w:themeColor="accent1"/>
        <w:left w:val="single" w:sz="4" w:space="0" w:color="3A586E" w:themeColor="accent1"/>
        <w:bottom w:val="single" w:sz="4" w:space="0" w:color="3A586E" w:themeColor="accent1"/>
        <w:right w:val="single" w:sz="4" w:space="0" w:color="3A586E" w:themeColor="accent1"/>
      </w:tblBorders>
    </w:tblPr>
    <w:tblStylePr w:type="firstRow">
      <w:rPr>
        <w:b w:val="0"/>
        <w:bCs/>
        <w:color w:val="FFFFFF" w:themeColor="background1"/>
      </w:rPr>
      <w:tblPr/>
      <w:tcPr>
        <w:shd w:val="clear" w:color="auto" w:fill="3A586E" w:themeFill="accent1"/>
      </w:tcPr>
    </w:tblStylePr>
    <w:tblStylePr w:type="lastRow">
      <w:rPr>
        <w:b/>
        <w:bCs/>
      </w:rPr>
      <w:tblPr/>
      <w:tcPr>
        <w:tcBorders>
          <w:top w:val="double" w:sz="4" w:space="0" w:color="3A58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586E" w:themeColor="accent1"/>
          <w:right w:val="single" w:sz="4" w:space="0" w:color="3A586E" w:themeColor="accent1"/>
        </w:tcBorders>
      </w:tcPr>
    </w:tblStylePr>
    <w:tblStylePr w:type="band1Horz">
      <w:tblPr/>
      <w:tcPr>
        <w:tcBorders>
          <w:top w:val="single" w:sz="4" w:space="0" w:color="3A586E" w:themeColor="accent1"/>
          <w:bottom w:val="single" w:sz="4" w:space="0" w:color="3A58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586E" w:themeColor="accent1"/>
          <w:left w:val="nil"/>
        </w:tcBorders>
      </w:tcPr>
    </w:tblStylePr>
    <w:tblStylePr w:type="swCell">
      <w:tblPr/>
      <w:tcPr>
        <w:tcBorders>
          <w:top w:val="double" w:sz="4" w:space="0" w:color="3A586E" w:themeColor="accent1"/>
          <w:right w:val="nil"/>
        </w:tcBorders>
      </w:tcPr>
    </w:tblStylePr>
  </w:style>
  <w:style w:type="table" w:styleId="GridTable2-Accent1">
    <w:name w:val="Grid Table 2 Accent 1"/>
    <w:basedOn w:val="TableNormal"/>
    <w:uiPriority w:val="47"/>
    <w:rsid w:val="0014559A"/>
    <w:tblPr>
      <w:tblStyleRowBandSize w:val="1"/>
      <w:tblStyleColBandSize w:val="1"/>
      <w:tblBorders>
        <w:top w:val="single" w:sz="2" w:space="0" w:color="789DB8" w:themeColor="accent1" w:themeTint="99"/>
        <w:bottom w:val="single" w:sz="2" w:space="0" w:color="789DB8" w:themeColor="accent1" w:themeTint="99"/>
        <w:insideH w:val="single" w:sz="2" w:space="0" w:color="789DB8" w:themeColor="accent1" w:themeTint="99"/>
        <w:insideV w:val="single" w:sz="2" w:space="0" w:color="789DB8" w:themeColor="accent1" w:themeTint="99"/>
      </w:tblBorders>
    </w:tblPr>
    <w:tblStylePr w:type="firstRow">
      <w:rPr>
        <w:b w:val="0"/>
        <w:bCs/>
      </w:rPr>
      <w:tblPr/>
      <w:tcPr>
        <w:tcBorders>
          <w:top w:val="nil"/>
          <w:bottom w:val="single" w:sz="12" w:space="0" w:color="789DB8" w:themeColor="accent1" w:themeTint="99"/>
          <w:insideH w:val="nil"/>
          <w:insideV w:val="nil"/>
        </w:tcBorders>
        <w:shd w:val="clear" w:color="auto" w:fill="FFFFFF" w:themeFill="background1"/>
      </w:tcPr>
    </w:tblStylePr>
    <w:tblStylePr w:type="lastRow">
      <w:rPr>
        <w:b/>
        <w:bCs/>
      </w:rPr>
      <w:tblPr/>
      <w:tcPr>
        <w:tcBorders>
          <w:top w:val="double" w:sz="2" w:space="0" w:color="789DB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DEE7" w:themeFill="accent1" w:themeFillTint="33"/>
      </w:tcPr>
    </w:tblStylePr>
    <w:tblStylePr w:type="band1Horz">
      <w:tblPr/>
      <w:tcPr>
        <w:shd w:val="clear" w:color="auto" w:fill="D2DEE7" w:themeFill="accent1" w:themeFillTint="33"/>
      </w:tcPr>
    </w:tblStylePr>
  </w:style>
  <w:style w:type="paragraph" w:customStyle="1" w:styleId="Box1Bullet">
    <w:name w:val="Box 1 Bullet"/>
    <w:basedOn w:val="Normal"/>
    <w:qFormat/>
    <w:rsid w:val="0014559A"/>
    <w:pPr>
      <w:numPr>
        <w:numId w:val="5"/>
      </w:numPr>
      <w:pBdr>
        <w:top w:val="single" w:sz="4" w:space="14" w:color="3A586E" w:themeColor="accent1"/>
        <w:left w:val="single" w:sz="4" w:space="14" w:color="3A586E" w:themeColor="accent1"/>
        <w:bottom w:val="single" w:sz="4" w:space="14" w:color="3A586E" w:themeColor="accent1"/>
        <w:right w:val="single" w:sz="4" w:space="14" w:color="3A586E" w:themeColor="accent1"/>
      </w:pBdr>
      <w:shd w:val="clear" w:color="auto" w:fill="FFFFFF" w:themeFill="background1"/>
      <w:suppressAutoHyphens/>
      <w:spacing w:before="180" w:after="80" w:line="240" w:lineRule="atLeast"/>
      <w:ind w:left="454" w:right="284" w:hanging="170"/>
    </w:pPr>
    <w:rPr>
      <w:rFonts w:asciiTheme="minorHAnsi" w:eastAsiaTheme="minorHAnsi" w:hAnsiTheme="minorHAnsi" w:cstheme="minorBidi"/>
      <w:color w:val="313E48" w:themeColor="text2"/>
      <w:sz w:val="20"/>
    </w:rPr>
  </w:style>
  <w:style w:type="table" w:styleId="TableGridLight">
    <w:name w:val="Grid Table Light"/>
    <w:basedOn w:val="TableNormal"/>
    <w:uiPriority w:val="40"/>
    <w:rsid w:val="0014559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4559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14559A"/>
    <w:rPr>
      <w:sz w:val="22"/>
      <w:szCs w:val="22"/>
      <w:lang w:eastAsia="en-US"/>
    </w:rPr>
  </w:style>
  <w:style w:type="character" w:styleId="CommentReference">
    <w:name w:val="annotation reference"/>
    <w:basedOn w:val="DefaultParagraphFont"/>
    <w:uiPriority w:val="99"/>
    <w:semiHidden/>
    <w:unhideWhenUsed/>
    <w:rsid w:val="0014559A"/>
    <w:rPr>
      <w:sz w:val="16"/>
      <w:szCs w:val="16"/>
    </w:rPr>
  </w:style>
  <w:style w:type="paragraph" w:styleId="CommentText">
    <w:name w:val="annotation text"/>
    <w:basedOn w:val="Normal"/>
    <w:link w:val="CommentTextChar"/>
    <w:uiPriority w:val="99"/>
    <w:unhideWhenUsed/>
    <w:rsid w:val="0014559A"/>
    <w:pPr>
      <w:spacing w:line="240" w:lineRule="auto"/>
    </w:pPr>
    <w:rPr>
      <w:sz w:val="20"/>
      <w:szCs w:val="20"/>
    </w:rPr>
  </w:style>
  <w:style w:type="character" w:customStyle="1" w:styleId="CommentTextChar">
    <w:name w:val="Comment Text Char"/>
    <w:basedOn w:val="DefaultParagraphFont"/>
    <w:link w:val="CommentText"/>
    <w:uiPriority w:val="99"/>
    <w:rsid w:val="0014559A"/>
    <w:rPr>
      <w:rFonts w:ascii="Calibri Light" w:hAnsi="Calibri Light"/>
      <w:lang w:eastAsia="en-US"/>
    </w:rPr>
  </w:style>
  <w:style w:type="paragraph" w:styleId="CommentSubject">
    <w:name w:val="annotation subject"/>
    <w:basedOn w:val="CommentText"/>
    <w:next w:val="CommentText"/>
    <w:link w:val="CommentSubjectChar"/>
    <w:uiPriority w:val="99"/>
    <w:semiHidden/>
    <w:unhideWhenUsed/>
    <w:rsid w:val="0014559A"/>
    <w:rPr>
      <w:b/>
      <w:bCs/>
    </w:rPr>
  </w:style>
  <w:style w:type="character" w:customStyle="1" w:styleId="CommentSubjectChar">
    <w:name w:val="Comment Subject Char"/>
    <w:basedOn w:val="CommentTextChar"/>
    <w:link w:val="CommentSubject"/>
    <w:uiPriority w:val="99"/>
    <w:semiHidden/>
    <w:rsid w:val="0014559A"/>
    <w:rPr>
      <w:rFonts w:ascii="Calibri Light" w:hAnsi="Calibri Light"/>
      <w:b/>
      <w:bCs/>
      <w:lang w:eastAsia="en-US"/>
    </w:rPr>
  </w:style>
  <w:style w:type="paragraph" w:styleId="NormalWeb">
    <w:name w:val="Normal (Web)"/>
    <w:basedOn w:val="Normal"/>
    <w:uiPriority w:val="99"/>
    <w:unhideWhenUsed/>
    <w:rsid w:val="0014559A"/>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14559A"/>
  </w:style>
  <w:style w:type="character" w:styleId="FollowedHyperlink">
    <w:name w:val="FollowedHyperlink"/>
    <w:basedOn w:val="DefaultParagraphFont"/>
    <w:uiPriority w:val="99"/>
    <w:semiHidden/>
    <w:unhideWhenUsed/>
    <w:rsid w:val="0014559A"/>
    <w:rPr>
      <w:color w:val="3F0D00" w:themeColor="followedHyperlink"/>
      <w:u w:val="single"/>
    </w:rPr>
  </w:style>
  <w:style w:type="character" w:styleId="UnresolvedMention">
    <w:name w:val="Unresolved Mention"/>
    <w:basedOn w:val="DefaultParagraphFont"/>
    <w:uiPriority w:val="99"/>
    <w:semiHidden/>
    <w:unhideWhenUsed/>
    <w:rsid w:val="0014559A"/>
    <w:rPr>
      <w:color w:val="605E5C"/>
      <w:shd w:val="clear" w:color="auto" w:fill="E1DFDD"/>
    </w:rPr>
  </w:style>
  <w:style w:type="paragraph" w:customStyle="1" w:styleId="NormalBullets-L3">
    <w:name w:val="Normal Bullets - L3"/>
    <w:basedOn w:val="NormalBullets-L2"/>
    <w:qFormat/>
    <w:rsid w:val="0014559A"/>
    <w:pPr>
      <w:numPr>
        <w:numId w:val="6"/>
      </w:numPr>
      <w:ind w:left="1134" w:hanging="357"/>
    </w:pPr>
  </w:style>
  <w:style w:type="paragraph" w:customStyle="1" w:styleId="NormalBullets-L1">
    <w:name w:val="Normal Bullets - L1"/>
    <w:basedOn w:val="Normal"/>
    <w:qFormat/>
    <w:rsid w:val="008219C1"/>
    <w:pPr>
      <w:numPr>
        <w:numId w:val="69"/>
      </w:numPr>
      <w:spacing w:before="120" w:after="120" w:line="240" w:lineRule="auto"/>
      <w:textAlignment w:val="baseline"/>
    </w:pPr>
    <w:rPr>
      <w:rFonts w:cs="Calibri Light"/>
      <w:lang w:eastAsia="en-AU"/>
    </w:rPr>
  </w:style>
  <w:style w:type="table" w:styleId="PlainTable4">
    <w:name w:val="Plain Table 4"/>
    <w:basedOn w:val="TableNormal"/>
    <w:uiPriority w:val="44"/>
    <w:rsid w:val="0014559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Bullets">
    <w:name w:val="Table Bullets"/>
    <w:basedOn w:val="NormalBullets-L1"/>
    <w:qFormat/>
    <w:rsid w:val="0014559A"/>
    <w:pPr>
      <w:spacing w:before="0" w:after="0"/>
    </w:pPr>
  </w:style>
  <w:style w:type="paragraph" w:customStyle="1" w:styleId="Tablebullet">
    <w:name w:val="Table bullet"/>
    <w:basedOn w:val="NormalBullets-L1"/>
    <w:qFormat/>
    <w:rsid w:val="0014559A"/>
    <w:pPr>
      <w:spacing w:after="0"/>
      <w:ind w:left="360"/>
    </w:pPr>
    <w:rPr>
      <w:sz w:val="20"/>
    </w:rPr>
  </w:style>
  <w:style w:type="table" w:customStyle="1" w:styleId="DFATPaddock">
    <w:name w:val="DFAT Paddock"/>
    <w:basedOn w:val="TableNormal"/>
    <w:uiPriority w:val="99"/>
    <w:rsid w:val="00145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D6E8D2" w:themeFill="accent3"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table" w:customStyle="1" w:styleId="DFATWattle">
    <w:name w:val="DFAT Wattle"/>
    <w:basedOn w:val="DFATPaddock"/>
    <w:uiPriority w:val="99"/>
    <w:rsid w:val="0014559A"/>
    <w:tblPr/>
    <w:tcPr>
      <w:shd w:val="clear" w:color="auto" w:fill="FBEED2" w:themeFill="accent4"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table" w:customStyle="1" w:styleId="DFATOchre">
    <w:name w:val="DFAT Ochre"/>
    <w:basedOn w:val="DFATWattle"/>
    <w:uiPriority w:val="99"/>
    <w:rsid w:val="0014559A"/>
    <w:tblPr/>
    <w:tcPr>
      <w:shd w:val="clear" w:color="auto" w:fill="F0DBD4" w:themeFill="accent5" w:themeFillTint="33"/>
    </w:tcPr>
    <w:tblStylePr w:type="firstRow">
      <w:pPr>
        <w:jc w:val="left"/>
      </w:pPr>
      <w:rPr>
        <w:rFonts w:ascii="Calibri" w:hAnsi="Calibri"/>
        <w:b w:val="0"/>
        <w:color w:val="FFFFFF" w:themeColor="background1"/>
        <w:sz w:val="20"/>
      </w:rPr>
      <w:tblPr/>
      <w:trPr>
        <w:tblHeader/>
      </w:trPr>
      <w:tcPr>
        <w:shd w:val="clear" w:color="auto" w:fill="3A586E" w:themeFill="accent1"/>
      </w:tcPr>
    </w:tblStylePr>
  </w:style>
  <w:style w:type="table" w:customStyle="1" w:styleId="DFATBluegum">
    <w:name w:val="DFAT Bluegum"/>
    <w:basedOn w:val="DFATWattle"/>
    <w:uiPriority w:val="99"/>
    <w:rsid w:val="0014559A"/>
    <w:tblPr/>
    <w:tcPr>
      <w:shd w:val="clear" w:color="auto" w:fill="D2DEE7" w:themeFill="accent1" w:themeFillTint="33"/>
    </w:tcPr>
    <w:tblStylePr w:type="firstRow">
      <w:pPr>
        <w:jc w:val="left"/>
      </w:pPr>
      <w:rPr>
        <w:rFonts w:asciiTheme="minorHAnsi" w:hAnsiTheme="minorHAnsi"/>
        <w:color w:val="FFFFFF" w:themeColor="background1"/>
        <w:sz w:val="20"/>
      </w:rPr>
      <w:tblPr/>
      <w:trPr>
        <w:tblHeader/>
      </w:trPr>
      <w:tcPr>
        <w:shd w:val="clear" w:color="auto" w:fill="3A586E" w:themeFill="accent1"/>
      </w:tcPr>
    </w:tblStylePr>
  </w:style>
  <w:style w:type="paragraph" w:styleId="EndnoteText">
    <w:name w:val="endnote text"/>
    <w:basedOn w:val="Normal"/>
    <w:link w:val="EndnoteTextChar"/>
    <w:uiPriority w:val="99"/>
    <w:unhideWhenUsed/>
    <w:rsid w:val="0014559A"/>
    <w:pPr>
      <w:spacing w:before="0" w:after="0" w:line="240" w:lineRule="auto"/>
    </w:pPr>
    <w:rPr>
      <w:sz w:val="20"/>
      <w:szCs w:val="20"/>
    </w:rPr>
  </w:style>
  <w:style w:type="character" w:customStyle="1" w:styleId="EndnoteTextChar">
    <w:name w:val="Endnote Text Char"/>
    <w:basedOn w:val="DefaultParagraphFont"/>
    <w:link w:val="EndnoteText"/>
    <w:uiPriority w:val="99"/>
    <w:rsid w:val="0014559A"/>
    <w:rPr>
      <w:rFonts w:ascii="Calibri Light" w:hAnsi="Calibri Light"/>
      <w:lang w:eastAsia="en-US"/>
    </w:rPr>
  </w:style>
  <w:style w:type="character" w:styleId="EndnoteReference">
    <w:name w:val="endnote reference"/>
    <w:basedOn w:val="DefaultParagraphFont"/>
    <w:uiPriority w:val="99"/>
    <w:semiHidden/>
    <w:unhideWhenUsed/>
    <w:rsid w:val="0014559A"/>
    <w:rPr>
      <w:vertAlign w:val="superscript"/>
    </w:rPr>
  </w:style>
  <w:style w:type="paragraph" w:customStyle="1" w:styleId="Endnotes">
    <w:name w:val="Endnotes"/>
    <w:basedOn w:val="EndnoteText"/>
    <w:qFormat/>
    <w:rsid w:val="0014559A"/>
  </w:style>
  <w:style w:type="paragraph" w:styleId="FootnoteText">
    <w:name w:val="footnote text"/>
    <w:basedOn w:val="Normal"/>
    <w:link w:val="FootnoteTextChar"/>
    <w:uiPriority w:val="99"/>
    <w:unhideWhenUsed/>
    <w:rsid w:val="0014559A"/>
    <w:pPr>
      <w:spacing w:before="0" w:after="0" w:line="240" w:lineRule="auto"/>
    </w:pPr>
    <w:rPr>
      <w:sz w:val="20"/>
      <w:szCs w:val="20"/>
    </w:rPr>
  </w:style>
  <w:style w:type="character" w:customStyle="1" w:styleId="FootnoteTextChar">
    <w:name w:val="Footnote Text Char"/>
    <w:basedOn w:val="DefaultParagraphFont"/>
    <w:link w:val="FootnoteText"/>
    <w:uiPriority w:val="99"/>
    <w:rsid w:val="0014559A"/>
    <w:rPr>
      <w:rFonts w:ascii="Calibri Light" w:hAnsi="Calibri Light"/>
      <w:lang w:eastAsia="en-US"/>
    </w:rPr>
  </w:style>
  <w:style w:type="character" w:styleId="FootnoteReference">
    <w:name w:val="footnote reference"/>
    <w:aliases w:val="Normal + Font:9 Point,Superscript 3 Point Times,Ref,de nota al pie,Знак сноски-FN,16 Point,Superscript 6 Point"/>
    <w:basedOn w:val="DefaultParagraphFont"/>
    <w:uiPriority w:val="99"/>
    <w:unhideWhenUsed/>
    <w:rsid w:val="0014559A"/>
    <w:rPr>
      <w:vertAlign w:val="superscript"/>
    </w:rPr>
  </w:style>
  <w:style w:type="character" w:customStyle="1" w:styleId="eop">
    <w:name w:val="eop"/>
    <w:basedOn w:val="DefaultParagraphFont"/>
    <w:rsid w:val="005D64ED"/>
  </w:style>
  <w:style w:type="character" w:customStyle="1" w:styleId="A2">
    <w:name w:val="A2"/>
    <w:uiPriority w:val="99"/>
    <w:rsid w:val="00313DBE"/>
    <w:rPr>
      <w:color w:val="FFFFFF"/>
      <w:sz w:val="22"/>
      <w:szCs w:val="22"/>
    </w:rPr>
  </w:style>
  <w:style w:type="character" w:styleId="Strong">
    <w:name w:val="Strong"/>
    <w:aliases w:val="Introduction"/>
    <w:basedOn w:val="DefaultParagraphFont"/>
    <w:uiPriority w:val="22"/>
    <w:qFormat/>
    <w:rsid w:val="00AC7564"/>
    <w:rPr>
      <w:rFonts w:asciiTheme="minorHAnsi" w:hAnsiTheme="minorHAnsi"/>
      <w:b/>
      <w:bCs/>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7B484C"/>
    <w:rPr>
      <w:rFonts w:ascii="Calibri Light" w:hAnsi="Calibri Light"/>
      <w:sz w:val="22"/>
      <w:szCs w:val="22"/>
      <w:lang w:eastAsia="en-US"/>
    </w:rPr>
  </w:style>
  <w:style w:type="paragraph" w:customStyle="1" w:styleId="Default">
    <w:name w:val="Default"/>
    <w:rsid w:val="00FD3F8C"/>
    <w:pPr>
      <w:autoSpaceDE w:val="0"/>
      <w:autoSpaceDN w:val="0"/>
      <w:adjustRightInd w:val="0"/>
    </w:pPr>
    <w:rPr>
      <w:rFonts w:ascii="Calibri Light" w:hAnsi="Calibri Light" w:cs="Calibri Light"/>
      <w:color w:val="000000"/>
      <w:sz w:val="24"/>
      <w:szCs w:val="24"/>
    </w:rPr>
  </w:style>
  <w:style w:type="paragraph" w:customStyle="1" w:styleId="paragraph">
    <w:name w:val="paragraph"/>
    <w:basedOn w:val="Normal"/>
    <w:rsid w:val="00A70917"/>
    <w:pPr>
      <w:spacing w:before="100" w:beforeAutospacing="1" w:after="100" w:afterAutospacing="1" w:line="240" w:lineRule="auto"/>
    </w:pPr>
    <w:rPr>
      <w:rFonts w:ascii="Calibri" w:eastAsia="Times New Roman" w:hAnsi="Calibri" w:cs="Calibri"/>
      <w:lang w:eastAsia="en-AU"/>
    </w:rPr>
  </w:style>
  <w:style w:type="character" w:customStyle="1" w:styleId="findhit">
    <w:name w:val="findhit"/>
    <w:basedOn w:val="DefaultParagraphFont"/>
    <w:rsid w:val="0035733F"/>
  </w:style>
  <w:style w:type="paragraph" w:styleId="NoSpacing">
    <w:name w:val="No Spacing"/>
    <w:uiPriority w:val="1"/>
    <w:qFormat/>
    <w:rsid w:val="00AC59DC"/>
    <w:rPr>
      <w:rFonts w:ascii="Arial" w:eastAsiaTheme="minorHAnsi" w:hAnsi="Arial" w:cs="Arial"/>
      <w:sz w:val="22"/>
      <w:szCs w:val="22"/>
      <w:lang w:eastAsia="en-US"/>
    </w:rPr>
  </w:style>
  <w:style w:type="character" w:customStyle="1" w:styleId="MTPBullet2Char">
    <w:name w:val="MTP Bullet 2 Char"/>
    <w:basedOn w:val="DefaultParagraphFont"/>
    <w:link w:val="MTPBullet2"/>
    <w:locked/>
    <w:rsid w:val="00AC59DC"/>
    <w:rPr>
      <w:rFonts w:ascii="Times New Roman" w:hAnsi="Times New Roman"/>
      <w:sz w:val="24"/>
    </w:rPr>
  </w:style>
  <w:style w:type="paragraph" w:customStyle="1" w:styleId="MTPBullet2">
    <w:name w:val="MTP Bullet 2"/>
    <w:basedOn w:val="Normal"/>
    <w:link w:val="MTPBullet2Char"/>
    <w:qFormat/>
    <w:rsid w:val="00AC59DC"/>
    <w:pPr>
      <w:spacing w:before="0" w:line="254" w:lineRule="auto"/>
      <w:contextualSpacing/>
    </w:pPr>
    <w:rPr>
      <w:rFonts w:ascii="Times New Roman" w:hAnsi="Times New Roman"/>
      <w:sz w:val="24"/>
      <w:szCs w:val="20"/>
      <w:lang w:eastAsia="en-AU"/>
    </w:rPr>
  </w:style>
  <w:style w:type="paragraph" w:customStyle="1" w:styleId="BoxCommitments">
    <w:name w:val="Box: Commitments"/>
    <w:basedOn w:val="Normal"/>
    <w:qFormat/>
    <w:rsid w:val="00593947"/>
    <w:pPr>
      <w:pBdr>
        <w:top w:val="single" w:sz="4" w:space="4" w:color="auto"/>
        <w:bottom w:val="single" w:sz="4" w:space="4" w:color="auto"/>
      </w:pBdr>
      <w:shd w:val="clear" w:color="EBAB21" w:themeColor="accent4" w:fill="FBEED2" w:themeFill="accent4" w:themeFillTint="33"/>
      <w:spacing w:before="40" w:after="120" w:line="240" w:lineRule="auto"/>
    </w:pPr>
    <w:rPr>
      <w:rFonts w:cs="Calibri Light"/>
      <w:bCs/>
      <w:szCs w:val="21"/>
    </w:rPr>
  </w:style>
  <w:style w:type="character" w:customStyle="1" w:styleId="cf01">
    <w:name w:val="cf01"/>
    <w:basedOn w:val="DefaultParagraphFont"/>
    <w:rsid w:val="000A0578"/>
    <w:rPr>
      <w:rFonts w:ascii="Segoe UI" w:hAnsi="Segoe UI" w:cs="Segoe UI" w:hint="default"/>
      <w:color w:val="222222"/>
      <w:sz w:val="18"/>
      <w:szCs w:val="18"/>
    </w:rPr>
  </w:style>
  <w:style w:type="paragraph" w:customStyle="1" w:styleId="Bullet1">
    <w:name w:val="Bullet 1"/>
    <w:basedOn w:val="Normal"/>
    <w:qFormat/>
    <w:rsid w:val="008A40B0"/>
    <w:pPr>
      <w:numPr>
        <w:numId w:val="34"/>
      </w:numPr>
      <w:suppressAutoHyphens/>
      <w:spacing w:before="0" w:after="60" w:line="360" w:lineRule="auto"/>
    </w:pPr>
    <w:rPr>
      <w:rFonts w:asciiTheme="minorHAnsi" w:eastAsiaTheme="minorHAnsi" w:hAnsiTheme="minorHAnsi" w:cstheme="minorHAnsi"/>
      <w:sz w:val="28"/>
      <w:szCs w:val="28"/>
      <w:lang w:val="en-GB"/>
    </w:rPr>
  </w:style>
  <w:style w:type="paragraph" w:customStyle="1" w:styleId="Bullet2">
    <w:name w:val="Bullet 2"/>
    <w:basedOn w:val="Bullet1"/>
    <w:qFormat/>
    <w:rsid w:val="008A40B0"/>
    <w:pPr>
      <w:numPr>
        <w:ilvl w:val="1"/>
      </w:numPr>
    </w:pPr>
  </w:style>
  <w:style w:type="paragraph" w:customStyle="1" w:styleId="Bullet3">
    <w:name w:val="Bullet 3"/>
    <w:basedOn w:val="Bullet2"/>
    <w:qFormat/>
    <w:rsid w:val="008A40B0"/>
    <w:pPr>
      <w:numPr>
        <w:ilvl w:val="2"/>
      </w:numPr>
    </w:pPr>
  </w:style>
  <w:style w:type="numbering" w:customStyle="1" w:styleId="BulletsList">
    <w:name w:val="Bullets List"/>
    <w:uiPriority w:val="99"/>
    <w:rsid w:val="008A40B0"/>
    <w:pPr>
      <w:numPr>
        <w:numId w:val="33"/>
      </w:numPr>
    </w:pPr>
  </w:style>
  <w:style w:type="character" w:customStyle="1" w:styleId="Style2">
    <w:name w:val="Style2"/>
    <w:basedOn w:val="DefaultParagraphFont"/>
    <w:uiPriority w:val="1"/>
    <w:rsid w:val="008A40B0"/>
    <w:rPr>
      <w:rFonts w:asciiTheme="minorHAnsi" w:hAnsiTheme="minorHAnsi"/>
      <w:sz w:val="24"/>
    </w:rPr>
  </w:style>
  <w:style w:type="paragraph" w:customStyle="1" w:styleId="pf0">
    <w:name w:val="pf0"/>
    <w:basedOn w:val="Normal"/>
    <w:rsid w:val="00C21F81"/>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11">
    <w:name w:val="cf11"/>
    <w:basedOn w:val="DefaultParagraphFont"/>
    <w:rsid w:val="00B03B97"/>
    <w:rPr>
      <w:rFonts w:ascii="Segoe UI" w:hAnsi="Segoe UI" w:cs="Segoe UI" w:hint="default"/>
      <w:color w:val="0000FF"/>
      <w:sz w:val="18"/>
      <w:szCs w:val="18"/>
      <w:shd w:val="clear" w:color="auto" w:fill="FFFF00"/>
    </w:rPr>
  </w:style>
  <w:style w:type="paragraph" w:customStyle="1" w:styleId="Tabletitle">
    <w:name w:val="Table title"/>
    <w:basedOn w:val="H4-Heading4"/>
    <w:qFormat/>
    <w:rsid w:val="0014559A"/>
    <w:pPr>
      <w:spacing w:line="240" w:lineRule="auto"/>
      <w:outlineLvl w:val="9"/>
    </w:pPr>
    <w:rPr>
      <w:rFonts w:eastAsia="Times New Roman"/>
      <w:lang w:eastAsia="en-AU"/>
    </w:rPr>
  </w:style>
  <w:style w:type="paragraph" w:customStyle="1" w:styleId="Tablenote">
    <w:name w:val="Table note"/>
    <w:basedOn w:val="Normal"/>
    <w:qFormat/>
    <w:rsid w:val="0014559A"/>
    <w:pPr>
      <w:tabs>
        <w:tab w:val="left" w:pos="284"/>
      </w:tabs>
      <w:ind w:left="284" w:hanging="284"/>
    </w:pPr>
    <w:rPr>
      <w:sz w:val="18"/>
      <w:szCs w:val="18"/>
    </w:rPr>
  </w:style>
  <w:style w:type="paragraph" w:customStyle="1" w:styleId="Waysofworkinghead">
    <w:name w:val="Ways of working head"/>
    <w:basedOn w:val="Normal"/>
    <w:qFormat/>
    <w:rsid w:val="0014559A"/>
    <w:rPr>
      <w:b/>
      <w:bCs/>
      <w:lang w:eastAsia="en-AU"/>
    </w:rPr>
  </w:style>
  <w:style w:type="paragraph" w:customStyle="1" w:styleId="Table1goalhead">
    <w:name w:val="Table 1 goal head"/>
    <w:basedOn w:val="Normal"/>
    <w:qFormat/>
    <w:rsid w:val="0014559A"/>
    <w:rPr>
      <w:b/>
      <w:bCs/>
      <w:lang w:eastAsia="en-AU"/>
    </w:rPr>
  </w:style>
  <w:style w:type="paragraph" w:customStyle="1" w:styleId="Table1col1head">
    <w:name w:val="Table 1 col 1 head"/>
    <w:basedOn w:val="TableBodyCopy"/>
    <w:qFormat/>
    <w:rsid w:val="0014559A"/>
    <w:rPr>
      <w:rFonts w:eastAsia="Times New Roman" w:cs="Calibri"/>
      <w:b/>
      <w:bCs/>
      <w:color w:val="FFFFFF" w:themeColor="background1"/>
      <w:lang w:eastAsia="en-AU"/>
    </w:rPr>
  </w:style>
  <w:style w:type="paragraph" w:customStyle="1" w:styleId="TableBodyCopybold">
    <w:name w:val="Table Body Copy bold"/>
    <w:basedOn w:val="TableBodyCopy"/>
    <w:qFormat/>
    <w:rsid w:val="0014559A"/>
    <w:rPr>
      <w:b/>
      <w:bCs/>
    </w:rPr>
  </w:style>
  <w:style w:type="paragraph" w:customStyle="1" w:styleId="PAFobjectivehead">
    <w:name w:val="PAF objective head"/>
    <w:basedOn w:val="Normal"/>
    <w:qFormat/>
    <w:rsid w:val="0014559A"/>
    <w:pPr>
      <w:keepNext/>
    </w:pPr>
    <w:rPr>
      <w:b/>
      <w:bCs/>
      <w:lang w:eastAsia="en-AU"/>
    </w:rPr>
  </w:style>
  <w:style w:type="paragraph" w:customStyle="1" w:styleId="cover-countries">
    <w:name w:val="cover - countries"/>
    <w:basedOn w:val="H1-Heading1"/>
    <w:qFormat/>
    <w:rsid w:val="0014559A"/>
    <w:pPr>
      <w:spacing w:before="10400"/>
      <w:ind w:left="1701"/>
    </w:pPr>
  </w:style>
  <w:style w:type="paragraph" w:customStyle="1" w:styleId="cover-DPPandyears">
    <w:name w:val="cover - DPP and years"/>
    <w:basedOn w:val="H1-Heading1"/>
    <w:qFormat/>
    <w:rsid w:val="0014559A"/>
    <w:pPr>
      <w:keepNext w:val="0"/>
      <w:keepLines w:val="0"/>
      <w:ind w:left="1701"/>
    </w:pPr>
    <w:rPr>
      <w:b w:val="0"/>
      <w:bCs w:val="0"/>
    </w:rPr>
  </w:style>
  <w:style w:type="paragraph" w:customStyle="1" w:styleId="endnotespacer">
    <w:name w:val="endnote spacer"/>
    <w:basedOn w:val="Normal"/>
    <w:qFormat/>
    <w:rsid w:val="0014559A"/>
    <w:pPr>
      <w:spacing w:after="0" w:line="240" w:lineRule="auto"/>
    </w:pPr>
    <w:rPr>
      <w:sz w:val="2"/>
      <w:szCs w:val="2"/>
    </w:rPr>
  </w:style>
  <w:style w:type="paragraph" w:customStyle="1" w:styleId="H3-Heading3inbox">
    <w:name w:val="H3 - Heading 3 in box"/>
    <w:basedOn w:val="H3-Heading3"/>
    <w:qFormat/>
    <w:rsid w:val="0014559A"/>
    <w:pPr>
      <w:pBdr>
        <w:top w:val="single" w:sz="4" w:space="1" w:color="auto"/>
        <w:left w:val="single" w:sz="4" w:space="1" w:color="auto"/>
        <w:bottom w:val="single" w:sz="4" w:space="1" w:color="auto"/>
        <w:right w:val="single" w:sz="4" w:space="1" w:color="auto"/>
      </w:pBdr>
    </w:pPr>
  </w:style>
  <w:style w:type="paragraph" w:customStyle="1" w:styleId="Normalinbox">
    <w:name w:val="Normal in box"/>
    <w:basedOn w:val="Normal"/>
    <w:qFormat/>
    <w:rsid w:val="0014559A"/>
    <w:pPr>
      <w:pBdr>
        <w:top w:val="single" w:sz="4" w:space="1" w:color="auto"/>
        <w:left w:val="single" w:sz="4" w:space="1" w:color="auto"/>
        <w:bottom w:val="single" w:sz="4" w:space="1" w:color="auto"/>
        <w:right w:val="single" w:sz="4" w:space="1" w:color="auto"/>
      </w:pBdr>
    </w:pPr>
  </w:style>
  <w:style w:type="paragraph" w:customStyle="1" w:styleId="Coverphotocreditshead">
    <w:name w:val="Cover photo credits head"/>
    <w:basedOn w:val="H2-Heading2"/>
    <w:qFormat/>
    <w:rsid w:val="0014559A"/>
    <w:pPr>
      <w:pageBreakBefore w:val="0"/>
    </w:pPr>
    <w:rPr>
      <w:lang w:eastAsia="en-AU"/>
    </w:rPr>
  </w:style>
  <w:style w:type="paragraph" w:customStyle="1" w:styleId="blockquote">
    <w:name w:val="block quote"/>
    <w:basedOn w:val="Normal"/>
    <w:qFormat/>
    <w:rsid w:val="0014559A"/>
    <w:pPr>
      <w:ind w:left="720" w:right="720"/>
    </w:pPr>
    <w:rPr>
      <w:lang w:eastAsia="en-AU"/>
    </w:rPr>
  </w:style>
  <w:style w:type="character" w:customStyle="1" w:styleId="tablehyperlink">
    <w:name w:val="table hyperlink"/>
    <w:basedOn w:val="DefaultParagraphFont"/>
    <w:uiPriority w:val="1"/>
    <w:qFormat/>
    <w:rsid w:val="0014559A"/>
    <w:rPr>
      <w:color w:val="auto"/>
      <w:u w:val="single"/>
      <w:vertAlign w:val="superscript"/>
    </w:rPr>
  </w:style>
  <w:style w:type="paragraph" w:customStyle="1" w:styleId="Table1colheads">
    <w:name w:val="Table 1 col heads"/>
    <w:qFormat/>
    <w:rsid w:val="0014559A"/>
    <w:pPr>
      <w:spacing w:before="120" w:after="40"/>
    </w:pPr>
    <w:rPr>
      <w:rFonts w:ascii="Calibri Light" w:hAnsi="Calibri Light" w:cs="Calibri Light"/>
      <w:bCs/>
      <w:color w:val="000000" w:themeColor="text1"/>
      <w:szCs w:val="21"/>
      <w:lang w:eastAsia="en-US"/>
    </w:rPr>
  </w:style>
  <w:style w:type="table" w:customStyle="1" w:styleId="DPPtable1">
    <w:name w:val="DPP table 1"/>
    <w:basedOn w:val="TableNormal"/>
    <w:uiPriority w:val="99"/>
    <w:rsid w:val="00145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FFFFFF" w:themeColor="background1"/>
      </w:rPr>
      <w:tblPr/>
      <w:tcPr>
        <w:shd w:val="clear" w:color="auto" w:fill="3A586E"/>
      </w:tcPr>
    </w:tblStylePr>
  </w:style>
  <w:style w:type="character" w:styleId="Emphasis">
    <w:name w:val="Emphasis"/>
    <w:basedOn w:val="DefaultParagraphFont"/>
    <w:uiPriority w:val="20"/>
    <w:qFormat/>
    <w:rsid w:val="000D628C"/>
    <w:rPr>
      <w:i/>
      <w:iCs/>
    </w:rPr>
  </w:style>
  <w:style w:type="paragraph" w:styleId="BalloonText">
    <w:name w:val="Balloon Text"/>
    <w:basedOn w:val="Normal"/>
    <w:link w:val="BalloonTextChar"/>
    <w:uiPriority w:val="99"/>
    <w:semiHidden/>
    <w:unhideWhenUsed/>
    <w:rsid w:val="00C9229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29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8336">
      <w:bodyDiv w:val="1"/>
      <w:marLeft w:val="0"/>
      <w:marRight w:val="0"/>
      <w:marTop w:val="0"/>
      <w:marBottom w:val="0"/>
      <w:divBdr>
        <w:top w:val="none" w:sz="0" w:space="0" w:color="auto"/>
        <w:left w:val="none" w:sz="0" w:space="0" w:color="auto"/>
        <w:bottom w:val="none" w:sz="0" w:space="0" w:color="auto"/>
        <w:right w:val="none" w:sz="0" w:space="0" w:color="auto"/>
      </w:divBdr>
    </w:div>
    <w:div w:id="45032340">
      <w:bodyDiv w:val="1"/>
      <w:marLeft w:val="0"/>
      <w:marRight w:val="0"/>
      <w:marTop w:val="0"/>
      <w:marBottom w:val="0"/>
      <w:divBdr>
        <w:top w:val="none" w:sz="0" w:space="0" w:color="auto"/>
        <w:left w:val="none" w:sz="0" w:space="0" w:color="auto"/>
        <w:bottom w:val="none" w:sz="0" w:space="0" w:color="auto"/>
        <w:right w:val="none" w:sz="0" w:space="0" w:color="auto"/>
      </w:divBdr>
    </w:div>
    <w:div w:id="48920571">
      <w:bodyDiv w:val="1"/>
      <w:marLeft w:val="0"/>
      <w:marRight w:val="0"/>
      <w:marTop w:val="0"/>
      <w:marBottom w:val="0"/>
      <w:divBdr>
        <w:top w:val="none" w:sz="0" w:space="0" w:color="auto"/>
        <w:left w:val="none" w:sz="0" w:space="0" w:color="auto"/>
        <w:bottom w:val="none" w:sz="0" w:space="0" w:color="auto"/>
        <w:right w:val="none" w:sz="0" w:space="0" w:color="auto"/>
      </w:divBdr>
    </w:div>
    <w:div w:id="58794920">
      <w:bodyDiv w:val="1"/>
      <w:marLeft w:val="0"/>
      <w:marRight w:val="0"/>
      <w:marTop w:val="0"/>
      <w:marBottom w:val="0"/>
      <w:divBdr>
        <w:top w:val="none" w:sz="0" w:space="0" w:color="auto"/>
        <w:left w:val="none" w:sz="0" w:space="0" w:color="auto"/>
        <w:bottom w:val="none" w:sz="0" w:space="0" w:color="auto"/>
        <w:right w:val="none" w:sz="0" w:space="0" w:color="auto"/>
      </w:divBdr>
    </w:div>
    <w:div w:id="63721664">
      <w:bodyDiv w:val="1"/>
      <w:marLeft w:val="0"/>
      <w:marRight w:val="0"/>
      <w:marTop w:val="0"/>
      <w:marBottom w:val="0"/>
      <w:divBdr>
        <w:top w:val="none" w:sz="0" w:space="0" w:color="auto"/>
        <w:left w:val="none" w:sz="0" w:space="0" w:color="auto"/>
        <w:bottom w:val="none" w:sz="0" w:space="0" w:color="auto"/>
        <w:right w:val="none" w:sz="0" w:space="0" w:color="auto"/>
      </w:divBdr>
    </w:div>
    <w:div w:id="123273883">
      <w:bodyDiv w:val="1"/>
      <w:marLeft w:val="0"/>
      <w:marRight w:val="0"/>
      <w:marTop w:val="0"/>
      <w:marBottom w:val="0"/>
      <w:divBdr>
        <w:top w:val="none" w:sz="0" w:space="0" w:color="auto"/>
        <w:left w:val="none" w:sz="0" w:space="0" w:color="auto"/>
        <w:bottom w:val="none" w:sz="0" w:space="0" w:color="auto"/>
        <w:right w:val="none" w:sz="0" w:space="0" w:color="auto"/>
      </w:divBdr>
    </w:div>
    <w:div w:id="311062244">
      <w:bodyDiv w:val="1"/>
      <w:marLeft w:val="0"/>
      <w:marRight w:val="0"/>
      <w:marTop w:val="0"/>
      <w:marBottom w:val="0"/>
      <w:divBdr>
        <w:top w:val="none" w:sz="0" w:space="0" w:color="auto"/>
        <w:left w:val="none" w:sz="0" w:space="0" w:color="auto"/>
        <w:bottom w:val="none" w:sz="0" w:space="0" w:color="auto"/>
        <w:right w:val="none" w:sz="0" w:space="0" w:color="auto"/>
      </w:divBdr>
    </w:div>
    <w:div w:id="340473379">
      <w:bodyDiv w:val="1"/>
      <w:marLeft w:val="0"/>
      <w:marRight w:val="0"/>
      <w:marTop w:val="0"/>
      <w:marBottom w:val="0"/>
      <w:divBdr>
        <w:top w:val="none" w:sz="0" w:space="0" w:color="auto"/>
        <w:left w:val="none" w:sz="0" w:space="0" w:color="auto"/>
        <w:bottom w:val="none" w:sz="0" w:space="0" w:color="auto"/>
        <w:right w:val="none" w:sz="0" w:space="0" w:color="auto"/>
      </w:divBdr>
    </w:div>
    <w:div w:id="435297749">
      <w:bodyDiv w:val="1"/>
      <w:marLeft w:val="0"/>
      <w:marRight w:val="0"/>
      <w:marTop w:val="0"/>
      <w:marBottom w:val="0"/>
      <w:divBdr>
        <w:top w:val="none" w:sz="0" w:space="0" w:color="auto"/>
        <w:left w:val="none" w:sz="0" w:space="0" w:color="auto"/>
        <w:bottom w:val="none" w:sz="0" w:space="0" w:color="auto"/>
        <w:right w:val="none" w:sz="0" w:space="0" w:color="auto"/>
      </w:divBdr>
    </w:div>
    <w:div w:id="448741790">
      <w:bodyDiv w:val="1"/>
      <w:marLeft w:val="0"/>
      <w:marRight w:val="0"/>
      <w:marTop w:val="0"/>
      <w:marBottom w:val="0"/>
      <w:divBdr>
        <w:top w:val="none" w:sz="0" w:space="0" w:color="auto"/>
        <w:left w:val="none" w:sz="0" w:space="0" w:color="auto"/>
        <w:bottom w:val="none" w:sz="0" w:space="0" w:color="auto"/>
        <w:right w:val="none" w:sz="0" w:space="0" w:color="auto"/>
      </w:divBdr>
    </w:div>
    <w:div w:id="515506800">
      <w:bodyDiv w:val="1"/>
      <w:marLeft w:val="0"/>
      <w:marRight w:val="0"/>
      <w:marTop w:val="0"/>
      <w:marBottom w:val="0"/>
      <w:divBdr>
        <w:top w:val="none" w:sz="0" w:space="0" w:color="auto"/>
        <w:left w:val="none" w:sz="0" w:space="0" w:color="auto"/>
        <w:bottom w:val="none" w:sz="0" w:space="0" w:color="auto"/>
        <w:right w:val="none" w:sz="0" w:space="0" w:color="auto"/>
      </w:divBdr>
    </w:div>
    <w:div w:id="641934577">
      <w:bodyDiv w:val="1"/>
      <w:marLeft w:val="0"/>
      <w:marRight w:val="0"/>
      <w:marTop w:val="0"/>
      <w:marBottom w:val="0"/>
      <w:divBdr>
        <w:top w:val="none" w:sz="0" w:space="0" w:color="auto"/>
        <w:left w:val="none" w:sz="0" w:space="0" w:color="auto"/>
        <w:bottom w:val="none" w:sz="0" w:space="0" w:color="auto"/>
        <w:right w:val="none" w:sz="0" w:space="0" w:color="auto"/>
      </w:divBdr>
    </w:div>
    <w:div w:id="649863703">
      <w:bodyDiv w:val="1"/>
      <w:marLeft w:val="0"/>
      <w:marRight w:val="0"/>
      <w:marTop w:val="0"/>
      <w:marBottom w:val="0"/>
      <w:divBdr>
        <w:top w:val="none" w:sz="0" w:space="0" w:color="auto"/>
        <w:left w:val="none" w:sz="0" w:space="0" w:color="auto"/>
        <w:bottom w:val="none" w:sz="0" w:space="0" w:color="auto"/>
        <w:right w:val="none" w:sz="0" w:space="0" w:color="auto"/>
      </w:divBdr>
    </w:div>
    <w:div w:id="651762971">
      <w:bodyDiv w:val="1"/>
      <w:marLeft w:val="0"/>
      <w:marRight w:val="0"/>
      <w:marTop w:val="0"/>
      <w:marBottom w:val="0"/>
      <w:divBdr>
        <w:top w:val="none" w:sz="0" w:space="0" w:color="auto"/>
        <w:left w:val="none" w:sz="0" w:space="0" w:color="auto"/>
        <w:bottom w:val="none" w:sz="0" w:space="0" w:color="auto"/>
        <w:right w:val="none" w:sz="0" w:space="0" w:color="auto"/>
      </w:divBdr>
    </w:div>
    <w:div w:id="664406009">
      <w:bodyDiv w:val="1"/>
      <w:marLeft w:val="0"/>
      <w:marRight w:val="0"/>
      <w:marTop w:val="0"/>
      <w:marBottom w:val="0"/>
      <w:divBdr>
        <w:top w:val="none" w:sz="0" w:space="0" w:color="auto"/>
        <w:left w:val="none" w:sz="0" w:space="0" w:color="auto"/>
        <w:bottom w:val="none" w:sz="0" w:space="0" w:color="auto"/>
        <w:right w:val="none" w:sz="0" w:space="0" w:color="auto"/>
      </w:divBdr>
    </w:div>
    <w:div w:id="780418353">
      <w:bodyDiv w:val="1"/>
      <w:marLeft w:val="0"/>
      <w:marRight w:val="0"/>
      <w:marTop w:val="0"/>
      <w:marBottom w:val="0"/>
      <w:divBdr>
        <w:top w:val="none" w:sz="0" w:space="0" w:color="auto"/>
        <w:left w:val="none" w:sz="0" w:space="0" w:color="auto"/>
        <w:bottom w:val="none" w:sz="0" w:space="0" w:color="auto"/>
        <w:right w:val="none" w:sz="0" w:space="0" w:color="auto"/>
      </w:divBdr>
    </w:div>
    <w:div w:id="782381610">
      <w:bodyDiv w:val="1"/>
      <w:marLeft w:val="0"/>
      <w:marRight w:val="0"/>
      <w:marTop w:val="0"/>
      <w:marBottom w:val="0"/>
      <w:divBdr>
        <w:top w:val="none" w:sz="0" w:space="0" w:color="auto"/>
        <w:left w:val="none" w:sz="0" w:space="0" w:color="auto"/>
        <w:bottom w:val="none" w:sz="0" w:space="0" w:color="auto"/>
        <w:right w:val="none" w:sz="0" w:space="0" w:color="auto"/>
      </w:divBdr>
    </w:div>
    <w:div w:id="834339485">
      <w:bodyDiv w:val="1"/>
      <w:marLeft w:val="0"/>
      <w:marRight w:val="0"/>
      <w:marTop w:val="0"/>
      <w:marBottom w:val="0"/>
      <w:divBdr>
        <w:top w:val="none" w:sz="0" w:space="0" w:color="auto"/>
        <w:left w:val="none" w:sz="0" w:space="0" w:color="auto"/>
        <w:bottom w:val="none" w:sz="0" w:space="0" w:color="auto"/>
        <w:right w:val="none" w:sz="0" w:space="0" w:color="auto"/>
      </w:divBdr>
    </w:div>
    <w:div w:id="864447005">
      <w:bodyDiv w:val="1"/>
      <w:marLeft w:val="0"/>
      <w:marRight w:val="0"/>
      <w:marTop w:val="0"/>
      <w:marBottom w:val="0"/>
      <w:divBdr>
        <w:top w:val="none" w:sz="0" w:space="0" w:color="auto"/>
        <w:left w:val="none" w:sz="0" w:space="0" w:color="auto"/>
        <w:bottom w:val="none" w:sz="0" w:space="0" w:color="auto"/>
        <w:right w:val="none" w:sz="0" w:space="0" w:color="auto"/>
      </w:divBdr>
    </w:div>
    <w:div w:id="872032679">
      <w:bodyDiv w:val="1"/>
      <w:marLeft w:val="0"/>
      <w:marRight w:val="0"/>
      <w:marTop w:val="0"/>
      <w:marBottom w:val="0"/>
      <w:divBdr>
        <w:top w:val="none" w:sz="0" w:space="0" w:color="auto"/>
        <w:left w:val="none" w:sz="0" w:space="0" w:color="auto"/>
        <w:bottom w:val="none" w:sz="0" w:space="0" w:color="auto"/>
        <w:right w:val="none" w:sz="0" w:space="0" w:color="auto"/>
      </w:divBdr>
    </w:div>
    <w:div w:id="906919553">
      <w:bodyDiv w:val="1"/>
      <w:marLeft w:val="0"/>
      <w:marRight w:val="0"/>
      <w:marTop w:val="0"/>
      <w:marBottom w:val="0"/>
      <w:divBdr>
        <w:top w:val="none" w:sz="0" w:space="0" w:color="auto"/>
        <w:left w:val="none" w:sz="0" w:space="0" w:color="auto"/>
        <w:bottom w:val="none" w:sz="0" w:space="0" w:color="auto"/>
        <w:right w:val="none" w:sz="0" w:space="0" w:color="auto"/>
      </w:divBdr>
    </w:div>
    <w:div w:id="980502201">
      <w:bodyDiv w:val="1"/>
      <w:marLeft w:val="0"/>
      <w:marRight w:val="0"/>
      <w:marTop w:val="0"/>
      <w:marBottom w:val="0"/>
      <w:divBdr>
        <w:top w:val="none" w:sz="0" w:space="0" w:color="auto"/>
        <w:left w:val="none" w:sz="0" w:space="0" w:color="auto"/>
        <w:bottom w:val="none" w:sz="0" w:space="0" w:color="auto"/>
        <w:right w:val="none" w:sz="0" w:space="0" w:color="auto"/>
      </w:divBdr>
    </w:div>
    <w:div w:id="1000426581">
      <w:bodyDiv w:val="1"/>
      <w:marLeft w:val="0"/>
      <w:marRight w:val="0"/>
      <w:marTop w:val="0"/>
      <w:marBottom w:val="0"/>
      <w:divBdr>
        <w:top w:val="none" w:sz="0" w:space="0" w:color="auto"/>
        <w:left w:val="none" w:sz="0" w:space="0" w:color="auto"/>
        <w:bottom w:val="none" w:sz="0" w:space="0" w:color="auto"/>
        <w:right w:val="none" w:sz="0" w:space="0" w:color="auto"/>
      </w:divBdr>
    </w:div>
    <w:div w:id="1132014098">
      <w:bodyDiv w:val="1"/>
      <w:marLeft w:val="0"/>
      <w:marRight w:val="0"/>
      <w:marTop w:val="0"/>
      <w:marBottom w:val="0"/>
      <w:divBdr>
        <w:top w:val="none" w:sz="0" w:space="0" w:color="auto"/>
        <w:left w:val="none" w:sz="0" w:space="0" w:color="auto"/>
        <w:bottom w:val="none" w:sz="0" w:space="0" w:color="auto"/>
        <w:right w:val="none" w:sz="0" w:space="0" w:color="auto"/>
      </w:divBdr>
    </w:div>
    <w:div w:id="1140418111">
      <w:bodyDiv w:val="1"/>
      <w:marLeft w:val="0"/>
      <w:marRight w:val="0"/>
      <w:marTop w:val="0"/>
      <w:marBottom w:val="0"/>
      <w:divBdr>
        <w:top w:val="none" w:sz="0" w:space="0" w:color="auto"/>
        <w:left w:val="none" w:sz="0" w:space="0" w:color="auto"/>
        <w:bottom w:val="none" w:sz="0" w:space="0" w:color="auto"/>
        <w:right w:val="none" w:sz="0" w:space="0" w:color="auto"/>
      </w:divBdr>
    </w:div>
    <w:div w:id="1158960023">
      <w:bodyDiv w:val="1"/>
      <w:marLeft w:val="0"/>
      <w:marRight w:val="0"/>
      <w:marTop w:val="0"/>
      <w:marBottom w:val="0"/>
      <w:divBdr>
        <w:top w:val="none" w:sz="0" w:space="0" w:color="auto"/>
        <w:left w:val="none" w:sz="0" w:space="0" w:color="auto"/>
        <w:bottom w:val="none" w:sz="0" w:space="0" w:color="auto"/>
        <w:right w:val="none" w:sz="0" w:space="0" w:color="auto"/>
      </w:divBdr>
    </w:div>
    <w:div w:id="1217620046">
      <w:bodyDiv w:val="1"/>
      <w:marLeft w:val="0"/>
      <w:marRight w:val="0"/>
      <w:marTop w:val="0"/>
      <w:marBottom w:val="0"/>
      <w:divBdr>
        <w:top w:val="none" w:sz="0" w:space="0" w:color="auto"/>
        <w:left w:val="none" w:sz="0" w:space="0" w:color="auto"/>
        <w:bottom w:val="none" w:sz="0" w:space="0" w:color="auto"/>
        <w:right w:val="none" w:sz="0" w:space="0" w:color="auto"/>
      </w:divBdr>
    </w:div>
    <w:div w:id="1243838492">
      <w:bodyDiv w:val="1"/>
      <w:marLeft w:val="0"/>
      <w:marRight w:val="0"/>
      <w:marTop w:val="0"/>
      <w:marBottom w:val="0"/>
      <w:divBdr>
        <w:top w:val="none" w:sz="0" w:space="0" w:color="auto"/>
        <w:left w:val="none" w:sz="0" w:space="0" w:color="auto"/>
        <w:bottom w:val="none" w:sz="0" w:space="0" w:color="auto"/>
        <w:right w:val="none" w:sz="0" w:space="0" w:color="auto"/>
      </w:divBdr>
    </w:div>
    <w:div w:id="1246381064">
      <w:bodyDiv w:val="1"/>
      <w:marLeft w:val="0"/>
      <w:marRight w:val="0"/>
      <w:marTop w:val="0"/>
      <w:marBottom w:val="0"/>
      <w:divBdr>
        <w:top w:val="none" w:sz="0" w:space="0" w:color="auto"/>
        <w:left w:val="none" w:sz="0" w:space="0" w:color="auto"/>
        <w:bottom w:val="none" w:sz="0" w:space="0" w:color="auto"/>
        <w:right w:val="none" w:sz="0" w:space="0" w:color="auto"/>
      </w:divBdr>
    </w:div>
    <w:div w:id="1292321094">
      <w:bodyDiv w:val="1"/>
      <w:marLeft w:val="0"/>
      <w:marRight w:val="0"/>
      <w:marTop w:val="0"/>
      <w:marBottom w:val="0"/>
      <w:divBdr>
        <w:top w:val="none" w:sz="0" w:space="0" w:color="auto"/>
        <w:left w:val="none" w:sz="0" w:space="0" w:color="auto"/>
        <w:bottom w:val="none" w:sz="0" w:space="0" w:color="auto"/>
        <w:right w:val="none" w:sz="0" w:space="0" w:color="auto"/>
      </w:divBdr>
    </w:div>
    <w:div w:id="1295254511">
      <w:bodyDiv w:val="1"/>
      <w:marLeft w:val="0"/>
      <w:marRight w:val="0"/>
      <w:marTop w:val="0"/>
      <w:marBottom w:val="0"/>
      <w:divBdr>
        <w:top w:val="none" w:sz="0" w:space="0" w:color="auto"/>
        <w:left w:val="none" w:sz="0" w:space="0" w:color="auto"/>
        <w:bottom w:val="none" w:sz="0" w:space="0" w:color="auto"/>
        <w:right w:val="none" w:sz="0" w:space="0" w:color="auto"/>
      </w:divBdr>
      <w:divsChild>
        <w:div w:id="960187832">
          <w:marLeft w:val="0"/>
          <w:marRight w:val="0"/>
          <w:marTop w:val="0"/>
          <w:marBottom w:val="0"/>
          <w:divBdr>
            <w:top w:val="none" w:sz="0" w:space="0" w:color="auto"/>
            <w:left w:val="none" w:sz="0" w:space="0" w:color="auto"/>
            <w:bottom w:val="none" w:sz="0" w:space="0" w:color="auto"/>
            <w:right w:val="none" w:sz="0" w:space="0" w:color="auto"/>
          </w:divBdr>
        </w:div>
        <w:div w:id="405807253">
          <w:marLeft w:val="0"/>
          <w:marRight w:val="0"/>
          <w:marTop w:val="0"/>
          <w:marBottom w:val="0"/>
          <w:divBdr>
            <w:top w:val="none" w:sz="0" w:space="0" w:color="auto"/>
            <w:left w:val="none" w:sz="0" w:space="0" w:color="auto"/>
            <w:bottom w:val="none" w:sz="0" w:space="0" w:color="auto"/>
            <w:right w:val="none" w:sz="0" w:space="0" w:color="auto"/>
          </w:divBdr>
        </w:div>
        <w:div w:id="733821769">
          <w:marLeft w:val="0"/>
          <w:marRight w:val="0"/>
          <w:marTop w:val="0"/>
          <w:marBottom w:val="0"/>
          <w:divBdr>
            <w:top w:val="none" w:sz="0" w:space="0" w:color="auto"/>
            <w:left w:val="none" w:sz="0" w:space="0" w:color="auto"/>
            <w:bottom w:val="none" w:sz="0" w:space="0" w:color="auto"/>
            <w:right w:val="none" w:sz="0" w:space="0" w:color="auto"/>
          </w:divBdr>
          <w:divsChild>
            <w:div w:id="1636636478">
              <w:marLeft w:val="-75"/>
              <w:marRight w:val="0"/>
              <w:marTop w:val="30"/>
              <w:marBottom w:val="30"/>
              <w:divBdr>
                <w:top w:val="none" w:sz="0" w:space="0" w:color="auto"/>
                <w:left w:val="none" w:sz="0" w:space="0" w:color="auto"/>
                <w:bottom w:val="none" w:sz="0" w:space="0" w:color="auto"/>
                <w:right w:val="none" w:sz="0" w:space="0" w:color="auto"/>
              </w:divBdr>
              <w:divsChild>
                <w:div w:id="1216626644">
                  <w:marLeft w:val="0"/>
                  <w:marRight w:val="0"/>
                  <w:marTop w:val="0"/>
                  <w:marBottom w:val="0"/>
                  <w:divBdr>
                    <w:top w:val="none" w:sz="0" w:space="0" w:color="auto"/>
                    <w:left w:val="none" w:sz="0" w:space="0" w:color="auto"/>
                    <w:bottom w:val="none" w:sz="0" w:space="0" w:color="auto"/>
                    <w:right w:val="none" w:sz="0" w:space="0" w:color="auto"/>
                  </w:divBdr>
                  <w:divsChild>
                    <w:div w:id="155731901">
                      <w:marLeft w:val="0"/>
                      <w:marRight w:val="0"/>
                      <w:marTop w:val="0"/>
                      <w:marBottom w:val="0"/>
                      <w:divBdr>
                        <w:top w:val="none" w:sz="0" w:space="0" w:color="auto"/>
                        <w:left w:val="none" w:sz="0" w:space="0" w:color="auto"/>
                        <w:bottom w:val="none" w:sz="0" w:space="0" w:color="auto"/>
                        <w:right w:val="none" w:sz="0" w:space="0" w:color="auto"/>
                      </w:divBdr>
                    </w:div>
                  </w:divsChild>
                </w:div>
                <w:div w:id="399138537">
                  <w:marLeft w:val="0"/>
                  <w:marRight w:val="0"/>
                  <w:marTop w:val="0"/>
                  <w:marBottom w:val="0"/>
                  <w:divBdr>
                    <w:top w:val="none" w:sz="0" w:space="0" w:color="auto"/>
                    <w:left w:val="none" w:sz="0" w:space="0" w:color="auto"/>
                    <w:bottom w:val="none" w:sz="0" w:space="0" w:color="auto"/>
                    <w:right w:val="none" w:sz="0" w:space="0" w:color="auto"/>
                  </w:divBdr>
                  <w:divsChild>
                    <w:div w:id="1436748674">
                      <w:marLeft w:val="0"/>
                      <w:marRight w:val="0"/>
                      <w:marTop w:val="0"/>
                      <w:marBottom w:val="0"/>
                      <w:divBdr>
                        <w:top w:val="none" w:sz="0" w:space="0" w:color="auto"/>
                        <w:left w:val="none" w:sz="0" w:space="0" w:color="auto"/>
                        <w:bottom w:val="none" w:sz="0" w:space="0" w:color="auto"/>
                        <w:right w:val="none" w:sz="0" w:space="0" w:color="auto"/>
                      </w:divBdr>
                    </w:div>
                  </w:divsChild>
                </w:div>
                <w:div w:id="874850425">
                  <w:marLeft w:val="0"/>
                  <w:marRight w:val="0"/>
                  <w:marTop w:val="0"/>
                  <w:marBottom w:val="0"/>
                  <w:divBdr>
                    <w:top w:val="none" w:sz="0" w:space="0" w:color="auto"/>
                    <w:left w:val="none" w:sz="0" w:space="0" w:color="auto"/>
                    <w:bottom w:val="none" w:sz="0" w:space="0" w:color="auto"/>
                    <w:right w:val="none" w:sz="0" w:space="0" w:color="auto"/>
                  </w:divBdr>
                  <w:divsChild>
                    <w:div w:id="943342381">
                      <w:marLeft w:val="0"/>
                      <w:marRight w:val="0"/>
                      <w:marTop w:val="0"/>
                      <w:marBottom w:val="0"/>
                      <w:divBdr>
                        <w:top w:val="none" w:sz="0" w:space="0" w:color="auto"/>
                        <w:left w:val="none" w:sz="0" w:space="0" w:color="auto"/>
                        <w:bottom w:val="none" w:sz="0" w:space="0" w:color="auto"/>
                        <w:right w:val="none" w:sz="0" w:space="0" w:color="auto"/>
                      </w:divBdr>
                    </w:div>
                  </w:divsChild>
                </w:div>
                <w:div w:id="207228445">
                  <w:marLeft w:val="0"/>
                  <w:marRight w:val="0"/>
                  <w:marTop w:val="0"/>
                  <w:marBottom w:val="0"/>
                  <w:divBdr>
                    <w:top w:val="none" w:sz="0" w:space="0" w:color="auto"/>
                    <w:left w:val="none" w:sz="0" w:space="0" w:color="auto"/>
                    <w:bottom w:val="none" w:sz="0" w:space="0" w:color="auto"/>
                    <w:right w:val="none" w:sz="0" w:space="0" w:color="auto"/>
                  </w:divBdr>
                  <w:divsChild>
                    <w:div w:id="938638819">
                      <w:marLeft w:val="0"/>
                      <w:marRight w:val="0"/>
                      <w:marTop w:val="0"/>
                      <w:marBottom w:val="0"/>
                      <w:divBdr>
                        <w:top w:val="none" w:sz="0" w:space="0" w:color="auto"/>
                        <w:left w:val="none" w:sz="0" w:space="0" w:color="auto"/>
                        <w:bottom w:val="none" w:sz="0" w:space="0" w:color="auto"/>
                        <w:right w:val="none" w:sz="0" w:space="0" w:color="auto"/>
                      </w:divBdr>
                    </w:div>
                  </w:divsChild>
                </w:div>
                <w:div w:id="1595897028">
                  <w:marLeft w:val="0"/>
                  <w:marRight w:val="0"/>
                  <w:marTop w:val="0"/>
                  <w:marBottom w:val="0"/>
                  <w:divBdr>
                    <w:top w:val="none" w:sz="0" w:space="0" w:color="auto"/>
                    <w:left w:val="none" w:sz="0" w:space="0" w:color="auto"/>
                    <w:bottom w:val="none" w:sz="0" w:space="0" w:color="auto"/>
                    <w:right w:val="none" w:sz="0" w:space="0" w:color="auto"/>
                  </w:divBdr>
                  <w:divsChild>
                    <w:div w:id="2066759740">
                      <w:marLeft w:val="0"/>
                      <w:marRight w:val="0"/>
                      <w:marTop w:val="0"/>
                      <w:marBottom w:val="0"/>
                      <w:divBdr>
                        <w:top w:val="none" w:sz="0" w:space="0" w:color="auto"/>
                        <w:left w:val="none" w:sz="0" w:space="0" w:color="auto"/>
                        <w:bottom w:val="none" w:sz="0" w:space="0" w:color="auto"/>
                        <w:right w:val="none" w:sz="0" w:space="0" w:color="auto"/>
                      </w:divBdr>
                    </w:div>
                  </w:divsChild>
                </w:div>
                <w:div w:id="1033111839">
                  <w:marLeft w:val="0"/>
                  <w:marRight w:val="0"/>
                  <w:marTop w:val="0"/>
                  <w:marBottom w:val="0"/>
                  <w:divBdr>
                    <w:top w:val="none" w:sz="0" w:space="0" w:color="auto"/>
                    <w:left w:val="none" w:sz="0" w:space="0" w:color="auto"/>
                    <w:bottom w:val="none" w:sz="0" w:space="0" w:color="auto"/>
                    <w:right w:val="none" w:sz="0" w:space="0" w:color="auto"/>
                  </w:divBdr>
                  <w:divsChild>
                    <w:div w:id="957223313">
                      <w:marLeft w:val="0"/>
                      <w:marRight w:val="0"/>
                      <w:marTop w:val="0"/>
                      <w:marBottom w:val="0"/>
                      <w:divBdr>
                        <w:top w:val="none" w:sz="0" w:space="0" w:color="auto"/>
                        <w:left w:val="none" w:sz="0" w:space="0" w:color="auto"/>
                        <w:bottom w:val="none" w:sz="0" w:space="0" w:color="auto"/>
                        <w:right w:val="none" w:sz="0" w:space="0" w:color="auto"/>
                      </w:divBdr>
                    </w:div>
                    <w:div w:id="1541162930">
                      <w:marLeft w:val="0"/>
                      <w:marRight w:val="0"/>
                      <w:marTop w:val="0"/>
                      <w:marBottom w:val="0"/>
                      <w:divBdr>
                        <w:top w:val="none" w:sz="0" w:space="0" w:color="auto"/>
                        <w:left w:val="none" w:sz="0" w:space="0" w:color="auto"/>
                        <w:bottom w:val="none" w:sz="0" w:space="0" w:color="auto"/>
                        <w:right w:val="none" w:sz="0" w:space="0" w:color="auto"/>
                      </w:divBdr>
                    </w:div>
                    <w:div w:id="2089108798">
                      <w:marLeft w:val="0"/>
                      <w:marRight w:val="0"/>
                      <w:marTop w:val="0"/>
                      <w:marBottom w:val="0"/>
                      <w:divBdr>
                        <w:top w:val="none" w:sz="0" w:space="0" w:color="auto"/>
                        <w:left w:val="none" w:sz="0" w:space="0" w:color="auto"/>
                        <w:bottom w:val="none" w:sz="0" w:space="0" w:color="auto"/>
                        <w:right w:val="none" w:sz="0" w:space="0" w:color="auto"/>
                      </w:divBdr>
                    </w:div>
                    <w:div w:id="210504669">
                      <w:marLeft w:val="0"/>
                      <w:marRight w:val="0"/>
                      <w:marTop w:val="0"/>
                      <w:marBottom w:val="0"/>
                      <w:divBdr>
                        <w:top w:val="none" w:sz="0" w:space="0" w:color="auto"/>
                        <w:left w:val="none" w:sz="0" w:space="0" w:color="auto"/>
                        <w:bottom w:val="none" w:sz="0" w:space="0" w:color="auto"/>
                        <w:right w:val="none" w:sz="0" w:space="0" w:color="auto"/>
                      </w:divBdr>
                    </w:div>
                    <w:div w:id="1901205210">
                      <w:marLeft w:val="0"/>
                      <w:marRight w:val="0"/>
                      <w:marTop w:val="0"/>
                      <w:marBottom w:val="0"/>
                      <w:divBdr>
                        <w:top w:val="none" w:sz="0" w:space="0" w:color="auto"/>
                        <w:left w:val="none" w:sz="0" w:space="0" w:color="auto"/>
                        <w:bottom w:val="none" w:sz="0" w:space="0" w:color="auto"/>
                        <w:right w:val="none" w:sz="0" w:space="0" w:color="auto"/>
                      </w:divBdr>
                    </w:div>
                  </w:divsChild>
                </w:div>
                <w:div w:id="1860508324">
                  <w:marLeft w:val="0"/>
                  <w:marRight w:val="0"/>
                  <w:marTop w:val="0"/>
                  <w:marBottom w:val="0"/>
                  <w:divBdr>
                    <w:top w:val="none" w:sz="0" w:space="0" w:color="auto"/>
                    <w:left w:val="none" w:sz="0" w:space="0" w:color="auto"/>
                    <w:bottom w:val="none" w:sz="0" w:space="0" w:color="auto"/>
                    <w:right w:val="none" w:sz="0" w:space="0" w:color="auto"/>
                  </w:divBdr>
                  <w:divsChild>
                    <w:div w:id="971595275">
                      <w:marLeft w:val="0"/>
                      <w:marRight w:val="0"/>
                      <w:marTop w:val="0"/>
                      <w:marBottom w:val="0"/>
                      <w:divBdr>
                        <w:top w:val="none" w:sz="0" w:space="0" w:color="auto"/>
                        <w:left w:val="none" w:sz="0" w:space="0" w:color="auto"/>
                        <w:bottom w:val="none" w:sz="0" w:space="0" w:color="auto"/>
                        <w:right w:val="none" w:sz="0" w:space="0" w:color="auto"/>
                      </w:divBdr>
                    </w:div>
                    <w:div w:id="108202094">
                      <w:marLeft w:val="0"/>
                      <w:marRight w:val="0"/>
                      <w:marTop w:val="0"/>
                      <w:marBottom w:val="0"/>
                      <w:divBdr>
                        <w:top w:val="none" w:sz="0" w:space="0" w:color="auto"/>
                        <w:left w:val="none" w:sz="0" w:space="0" w:color="auto"/>
                        <w:bottom w:val="none" w:sz="0" w:space="0" w:color="auto"/>
                        <w:right w:val="none" w:sz="0" w:space="0" w:color="auto"/>
                      </w:divBdr>
                    </w:div>
                  </w:divsChild>
                </w:div>
                <w:div w:id="65348753">
                  <w:marLeft w:val="0"/>
                  <w:marRight w:val="0"/>
                  <w:marTop w:val="0"/>
                  <w:marBottom w:val="0"/>
                  <w:divBdr>
                    <w:top w:val="none" w:sz="0" w:space="0" w:color="auto"/>
                    <w:left w:val="none" w:sz="0" w:space="0" w:color="auto"/>
                    <w:bottom w:val="none" w:sz="0" w:space="0" w:color="auto"/>
                    <w:right w:val="none" w:sz="0" w:space="0" w:color="auto"/>
                  </w:divBdr>
                  <w:divsChild>
                    <w:div w:id="1227258364">
                      <w:marLeft w:val="0"/>
                      <w:marRight w:val="0"/>
                      <w:marTop w:val="0"/>
                      <w:marBottom w:val="0"/>
                      <w:divBdr>
                        <w:top w:val="none" w:sz="0" w:space="0" w:color="auto"/>
                        <w:left w:val="none" w:sz="0" w:space="0" w:color="auto"/>
                        <w:bottom w:val="none" w:sz="0" w:space="0" w:color="auto"/>
                        <w:right w:val="none" w:sz="0" w:space="0" w:color="auto"/>
                      </w:divBdr>
                    </w:div>
                    <w:div w:id="1544364838">
                      <w:marLeft w:val="0"/>
                      <w:marRight w:val="0"/>
                      <w:marTop w:val="0"/>
                      <w:marBottom w:val="0"/>
                      <w:divBdr>
                        <w:top w:val="none" w:sz="0" w:space="0" w:color="auto"/>
                        <w:left w:val="none" w:sz="0" w:space="0" w:color="auto"/>
                        <w:bottom w:val="none" w:sz="0" w:space="0" w:color="auto"/>
                        <w:right w:val="none" w:sz="0" w:space="0" w:color="auto"/>
                      </w:divBdr>
                    </w:div>
                  </w:divsChild>
                </w:div>
                <w:div w:id="304358691">
                  <w:marLeft w:val="0"/>
                  <w:marRight w:val="0"/>
                  <w:marTop w:val="0"/>
                  <w:marBottom w:val="0"/>
                  <w:divBdr>
                    <w:top w:val="none" w:sz="0" w:space="0" w:color="auto"/>
                    <w:left w:val="none" w:sz="0" w:space="0" w:color="auto"/>
                    <w:bottom w:val="none" w:sz="0" w:space="0" w:color="auto"/>
                    <w:right w:val="none" w:sz="0" w:space="0" w:color="auto"/>
                  </w:divBdr>
                  <w:divsChild>
                    <w:div w:id="1438284333">
                      <w:marLeft w:val="0"/>
                      <w:marRight w:val="0"/>
                      <w:marTop w:val="0"/>
                      <w:marBottom w:val="0"/>
                      <w:divBdr>
                        <w:top w:val="none" w:sz="0" w:space="0" w:color="auto"/>
                        <w:left w:val="none" w:sz="0" w:space="0" w:color="auto"/>
                        <w:bottom w:val="none" w:sz="0" w:space="0" w:color="auto"/>
                        <w:right w:val="none" w:sz="0" w:space="0" w:color="auto"/>
                      </w:divBdr>
                    </w:div>
                    <w:div w:id="1184441060">
                      <w:marLeft w:val="0"/>
                      <w:marRight w:val="0"/>
                      <w:marTop w:val="0"/>
                      <w:marBottom w:val="0"/>
                      <w:divBdr>
                        <w:top w:val="none" w:sz="0" w:space="0" w:color="auto"/>
                        <w:left w:val="none" w:sz="0" w:space="0" w:color="auto"/>
                        <w:bottom w:val="none" w:sz="0" w:space="0" w:color="auto"/>
                        <w:right w:val="none" w:sz="0" w:space="0" w:color="auto"/>
                      </w:divBdr>
                    </w:div>
                  </w:divsChild>
                </w:div>
                <w:div w:id="520977542">
                  <w:marLeft w:val="0"/>
                  <w:marRight w:val="0"/>
                  <w:marTop w:val="0"/>
                  <w:marBottom w:val="0"/>
                  <w:divBdr>
                    <w:top w:val="none" w:sz="0" w:space="0" w:color="auto"/>
                    <w:left w:val="none" w:sz="0" w:space="0" w:color="auto"/>
                    <w:bottom w:val="none" w:sz="0" w:space="0" w:color="auto"/>
                    <w:right w:val="none" w:sz="0" w:space="0" w:color="auto"/>
                  </w:divBdr>
                  <w:divsChild>
                    <w:div w:id="328295011">
                      <w:marLeft w:val="0"/>
                      <w:marRight w:val="0"/>
                      <w:marTop w:val="0"/>
                      <w:marBottom w:val="0"/>
                      <w:divBdr>
                        <w:top w:val="none" w:sz="0" w:space="0" w:color="auto"/>
                        <w:left w:val="none" w:sz="0" w:space="0" w:color="auto"/>
                        <w:bottom w:val="none" w:sz="0" w:space="0" w:color="auto"/>
                        <w:right w:val="none" w:sz="0" w:space="0" w:color="auto"/>
                      </w:divBdr>
                    </w:div>
                  </w:divsChild>
                </w:div>
                <w:div w:id="1323267618">
                  <w:marLeft w:val="0"/>
                  <w:marRight w:val="0"/>
                  <w:marTop w:val="0"/>
                  <w:marBottom w:val="0"/>
                  <w:divBdr>
                    <w:top w:val="none" w:sz="0" w:space="0" w:color="auto"/>
                    <w:left w:val="none" w:sz="0" w:space="0" w:color="auto"/>
                    <w:bottom w:val="none" w:sz="0" w:space="0" w:color="auto"/>
                    <w:right w:val="none" w:sz="0" w:space="0" w:color="auto"/>
                  </w:divBdr>
                  <w:divsChild>
                    <w:div w:id="1252740807">
                      <w:marLeft w:val="0"/>
                      <w:marRight w:val="0"/>
                      <w:marTop w:val="0"/>
                      <w:marBottom w:val="0"/>
                      <w:divBdr>
                        <w:top w:val="none" w:sz="0" w:space="0" w:color="auto"/>
                        <w:left w:val="none" w:sz="0" w:space="0" w:color="auto"/>
                        <w:bottom w:val="none" w:sz="0" w:space="0" w:color="auto"/>
                        <w:right w:val="none" w:sz="0" w:space="0" w:color="auto"/>
                      </w:divBdr>
                    </w:div>
                  </w:divsChild>
                </w:div>
                <w:div w:id="1179154645">
                  <w:marLeft w:val="0"/>
                  <w:marRight w:val="0"/>
                  <w:marTop w:val="0"/>
                  <w:marBottom w:val="0"/>
                  <w:divBdr>
                    <w:top w:val="none" w:sz="0" w:space="0" w:color="auto"/>
                    <w:left w:val="none" w:sz="0" w:space="0" w:color="auto"/>
                    <w:bottom w:val="none" w:sz="0" w:space="0" w:color="auto"/>
                    <w:right w:val="none" w:sz="0" w:space="0" w:color="auto"/>
                  </w:divBdr>
                  <w:divsChild>
                    <w:div w:id="1335381736">
                      <w:marLeft w:val="0"/>
                      <w:marRight w:val="0"/>
                      <w:marTop w:val="0"/>
                      <w:marBottom w:val="0"/>
                      <w:divBdr>
                        <w:top w:val="none" w:sz="0" w:space="0" w:color="auto"/>
                        <w:left w:val="none" w:sz="0" w:space="0" w:color="auto"/>
                        <w:bottom w:val="none" w:sz="0" w:space="0" w:color="auto"/>
                        <w:right w:val="none" w:sz="0" w:space="0" w:color="auto"/>
                      </w:divBdr>
                    </w:div>
                    <w:div w:id="1683388930">
                      <w:marLeft w:val="0"/>
                      <w:marRight w:val="0"/>
                      <w:marTop w:val="0"/>
                      <w:marBottom w:val="0"/>
                      <w:divBdr>
                        <w:top w:val="none" w:sz="0" w:space="0" w:color="auto"/>
                        <w:left w:val="none" w:sz="0" w:space="0" w:color="auto"/>
                        <w:bottom w:val="none" w:sz="0" w:space="0" w:color="auto"/>
                        <w:right w:val="none" w:sz="0" w:space="0" w:color="auto"/>
                      </w:divBdr>
                    </w:div>
                  </w:divsChild>
                </w:div>
                <w:div w:id="279533134">
                  <w:marLeft w:val="0"/>
                  <w:marRight w:val="0"/>
                  <w:marTop w:val="0"/>
                  <w:marBottom w:val="0"/>
                  <w:divBdr>
                    <w:top w:val="none" w:sz="0" w:space="0" w:color="auto"/>
                    <w:left w:val="none" w:sz="0" w:space="0" w:color="auto"/>
                    <w:bottom w:val="none" w:sz="0" w:space="0" w:color="auto"/>
                    <w:right w:val="none" w:sz="0" w:space="0" w:color="auto"/>
                  </w:divBdr>
                  <w:divsChild>
                    <w:div w:id="677392695">
                      <w:marLeft w:val="0"/>
                      <w:marRight w:val="0"/>
                      <w:marTop w:val="0"/>
                      <w:marBottom w:val="0"/>
                      <w:divBdr>
                        <w:top w:val="none" w:sz="0" w:space="0" w:color="auto"/>
                        <w:left w:val="none" w:sz="0" w:space="0" w:color="auto"/>
                        <w:bottom w:val="none" w:sz="0" w:space="0" w:color="auto"/>
                        <w:right w:val="none" w:sz="0" w:space="0" w:color="auto"/>
                      </w:divBdr>
                    </w:div>
                    <w:div w:id="416823857">
                      <w:marLeft w:val="0"/>
                      <w:marRight w:val="0"/>
                      <w:marTop w:val="0"/>
                      <w:marBottom w:val="0"/>
                      <w:divBdr>
                        <w:top w:val="none" w:sz="0" w:space="0" w:color="auto"/>
                        <w:left w:val="none" w:sz="0" w:space="0" w:color="auto"/>
                        <w:bottom w:val="none" w:sz="0" w:space="0" w:color="auto"/>
                        <w:right w:val="none" w:sz="0" w:space="0" w:color="auto"/>
                      </w:divBdr>
                    </w:div>
                  </w:divsChild>
                </w:div>
                <w:div w:id="417945008">
                  <w:marLeft w:val="0"/>
                  <w:marRight w:val="0"/>
                  <w:marTop w:val="0"/>
                  <w:marBottom w:val="0"/>
                  <w:divBdr>
                    <w:top w:val="none" w:sz="0" w:space="0" w:color="auto"/>
                    <w:left w:val="none" w:sz="0" w:space="0" w:color="auto"/>
                    <w:bottom w:val="none" w:sz="0" w:space="0" w:color="auto"/>
                    <w:right w:val="none" w:sz="0" w:space="0" w:color="auto"/>
                  </w:divBdr>
                  <w:divsChild>
                    <w:div w:id="881022254">
                      <w:marLeft w:val="0"/>
                      <w:marRight w:val="0"/>
                      <w:marTop w:val="0"/>
                      <w:marBottom w:val="0"/>
                      <w:divBdr>
                        <w:top w:val="none" w:sz="0" w:space="0" w:color="auto"/>
                        <w:left w:val="none" w:sz="0" w:space="0" w:color="auto"/>
                        <w:bottom w:val="none" w:sz="0" w:space="0" w:color="auto"/>
                        <w:right w:val="none" w:sz="0" w:space="0" w:color="auto"/>
                      </w:divBdr>
                    </w:div>
                    <w:div w:id="293100131">
                      <w:marLeft w:val="0"/>
                      <w:marRight w:val="0"/>
                      <w:marTop w:val="0"/>
                      <w:marBottom w:val="0"/>
                      <w:divBdr>
                        <w:top w:val="none" w:sz="0" w:space="0" w:color="auto"/>
                        <w:left w:val="none" w:sz="0" w:space="0" w:color="auto"/>
                        <w:bottom w:val="none" w:sz="0" w:space="0" w:color="auto"/>
                        <w:right w:val="none" w:sz="0" w:space="0" w:color="auto"/>
                      </w:divBdr>
                    </w:div>
                    <w:div w:id="1571577128">
                      <w:marLeft w:val="0"/>
                      <w:marRight w:val="0"/>
                      <w:marTop w:val="0"/>
                      <w:marBottom w:val="0"/>
                      <w:divBdr>
                        <w:top w:val="none" w:sz="0" w:space="0" w:color="auto"/>
                        <w:left w:val="none" w:sz="0" w:space="0" w:color="auto"/>
                        <w:bottom w:val="none" w:sz="0" w:space="0" w:color="auto"/>
                        <w:right w:val="none" w:sz="0" w:space="0" w:color="auto"/>
                      </w:divBdr>
                    </w:div>
                    <w:div w:id="1024090315">
                      <w:marLeft w:val="0"/>
                      <w:marRight w:val="0"/>
                      <w:marTop w:val="0"/>
                      <w:marBottom w:val="0"/>
                      <w:divBdr>
                        <w:top w:val="none" w:sz="0" w:space="0" w:color="auto"/>
                        <w:left w:val="none" w:sz="0" w:space="0" w:color="auto"/>
                        <w:bottom w:val="none" w:sz="0" w:space="0" w:color="auto"/>
                        <w:right w:val="none" w:sz="0" w:space="0" w:color="auto"/>
                      </w:divBdr>
                    </w:div>
                    <w:div w:id="220754131">
                      <w:marLeft w:val="0"/>
                      <w:marRight w:val="0"/>
                      <w:marTop w:val="0"/>
                      <w:marBottom w:val="0"/>
                      <w:divBdr>
                        <w:top w:val="none" w:sz="0" w:space="0" w:color="auto"/>
                        <w:left w:val="none" w:sz="0" w:space="0" w:color="auto"/>
                        <w:bottom w:val="none" w:sz="0" w:space="0" w:color="auto"/>
                        <w:right w:val="none" w:sz="0" w:space="0" w:color="auto"/>
                      </w:divBdr>
                    </w:div>
                    <w:div w:id="1670323707">
                      <w:marLeft w:val="0"/>
                      <w:marRight w:val="0"/>
                      <w:marTop w:val="0"/>
                      <w:marBottom w:val="0"/>
                      <w:divBdr>
                        <w:top w:val="none" w:sz="0" w:space="0" w:color="auto"/>
                        <w:left w:val="none" w:sz="0" w:space="0" w:color="auto"/>
                        <w:bottom w:val="none" w:sz="0" w:space="0" w:color="auto"/>
                        <w:right w:val="none" w:sz="0" w:space="0" w:color="auto"/>
                      </w:divBdr>
                    </w:div>
                    <w:div w:id="1401632102">
                      <w:marLeft w:val="0"/>
                      <w:marRight w:val="0"/>
                      <w:marTop w:val="0"/>
                      <w:marBottom w:val="0"/>
                      <w:divBdr>
                        <w:top w:val="none" w:sz="0" w:space="0" w:color="auto"/>
                        <w:left w:val="none" w:sz="0" w:space="0" w:color="auto"/>
                        <w:bottom w:val="none" w:sz="0" w:space="0" w:color="auto"/>
                        <w:right w:val="none" w:sz="0" w:space="0" w:color="auto"/>
                      </w:divBdr>
                    </w:div>
                  </w:divsChild>
                </w:div>
                <w:div w:id="902833419">
                  <w:marLeft w:val="0"/>
                  <w:marRight w:val="0"/>
                  <w:marTop w:val="0"/>
                  <w:marBottom w:val="0"/>
                  <w:divBdr>
                    <w:top w:val="none" w:sz="0" w:space="0" w:color="auto"/>
                    <w:left w:val="none" w:sz="0" w:space="0" w:color="auto"/>
                    <w:bottom w:val="none" w:sz="0" w:space="0" w:color="auto"/>
                    <w:right w:val="none" w:sz="0" w:space="0" w:color="auto"/>
                  </w:divBdr>
                  <w:divsChild>
                    <w:div w:id="1101683263">
                      <w:marLeft w:val="0"/>
                      <w:marRight w:val="0"/>
                      <w:marTop w:val="0"/>
                      <w:marBottom w:val="0"/>
                      <w:divBdr>
                        <w:top w:val="none" w:sz="0" w:space="0" w:color="auto"/>
                        <w:left w:val="none" w:sz="0" w:space="0" w:color="auto"/>
                        <w:bottom w:val="none" w:sz="0" w:space="0" w:color="auto"/>
                        <w:right w:val="none" w:sz="0" w:space="0" w:color="auto"/>
                      </w:divBdr>
                    </w:div>
                    <w:div w:id="121731427">
                      <w:marLeft w:val="0"/>
                      <w:marRight w:val="0"/>
                      <w:marTop w:val="0"/>
                      <w:marBottom w:val="0"/>
                      <w:divBdr>
                        <w:top w:val="none" w:sz="0" w:space="0" w:color="auto"/>
                        <w:left w:val="none" w:sz="0" w:space="0" w:color="auto"/>
                        <w:bottom w:val="none" w:sz="0" w:space="0" w:color="auto"/>
                        <w:right w:val="none" w:sz="0" w:space="0" w:color="auto"/>
                      </w:divBdr>
                    </w:div>
                    <w:div w:id="2098211514">
                      <w:marLeft w:val="0"/>
                      <w:marRight w:val="0"/>
                      <w:marTop w:val="0"/>
                      <w:marBottom w:val="0"/>
                      <w:divBdr>
                        <w:top w:val="none" w:sz="0" w:space="0" w:color="auto"/>
                        <w:left w:val="none" w:sz="0" w:space="0" w:color="auto"/>
                        <w:bottom w:val="none" w:sz="0" w:space="0" w:color="auto"/>
                        <w:right w:val="none" w:sz="0" w:space="0" w:color="auto"/>
                      </w:divBdr>
                    </w:div>
                  </w:divsChild>
                </w:div>
                <w:div w:id="2054888114">
                  <w:marLeft w:val="0"/>
                  <w:marRight w:val="0"/>
                  <w:marTop w:val="0"/>
                  <w:marBottom w:val="0"/>
                  <w:divBdr>
                    <w:top w:val="none" w:sz="0" w:space="0" w:color="auto"/>
                    <w:left w:val="none" w:sz="0" w:space="0" w:color="auto"/>
                    <w:bottom w:val="none" w:sz="0" w:space="0" w:color="auto"/>
                    <w:right w:val="none" w:sz="0" w:space="0" w:color="auto"/>
                  </w:divBdr>
                  <w:divsChild>
                    <w:div w:id="2059040142">
                      <w:marLeft w:val="0"/>
                      <w:marRight w:val="0"/>
                      <w:marTop w:val="0"/>
                      <w:marBottom w:val="0"/>
                      <w:divBdr>
                        <w:top w:val="none" w:sz="0" w:space="0" w:color="auto"/>
                        <w:left w:val="none" w:sz="0" w:space="0" w:color="auto"/>
                        <w:bottom w:val="none" w:sz="0" w:space="0" w:color="auto"/>
                        <w:right w:val="none" w:sz="0" w:space="0" w:color="auto"/>
                      </w:divBdr>
                    </w:div>
                    <w:div w:id="2074963460">
                      <w:marLeft w:val="0"/>
                      <w:marRight w:val="0"/>
                      <w:marTop w:val="0"/>
                      <w:marBottom w:val="0"/>
                      <w:divBdr>
                        <w:top w:val="none" w:sz="0" w:space="0" w:color="auto"/>
                        <w:left w:val="none" w:sz="0" w:space="0" w:color="auto"/>
                        <w:bottom w:val="none" w:sz="0" w:space="0" w:color="auto"/>
                        <w:right w:val="none" w:sz="0" w:space="0" w:color="auto"/>
                      </w:divBdr>
                    </w:div>
                    <w:div w:id="1095788214">
                      <w:marLeft w:val="0"/>
                      <w:marRight w:val="0"/>
                      <w:marTop w:val="0"/>
                      <w:marBottom w:val="0"/>
                      <w:divBdr>
                        <w:top w:val="none" w:sz="0" w:space="0" w:color="auto"/>
                        <w:left w:val="none" w:sz="0" w:space="0" w:color="auto"/>
                        <w:bottom w:val="none" w:sz="0" w:space="0" w:color="auto"/>
                        <w:right w:val="none" w:sz="0" w:space="0" w:color="auto"/>
                      </w:divBdr>
                    </w:div>
                  </w:divsChild>
                </w:div>
                <w:div w:id="1811897546">
                  <w:marLeft w:val="0"/>
                  <w:marRight w:val="0"/>
                  <w:marTop w:val="0"/>
                  <w:marBottom w:val="0"/>
                  <w:divBdr>
                    <w:top w:val="none" w:sz="0" w:space="0" w:color="auto"/>
                    <w:left w:val="none" w:sz="0" w:space="0" w:color="auto"/>
                    <w:bottom w:val="none" w:sz="0" w:space="0" w:color="auto"/>
                    <w:right w:val="none" w:sz="0" w:space="0" w:color="auto"/>
                  </w:divBdr>
                  <w:divsChild>
                    <w:div w:id="596796336">
                      <w:marLeft w:val="0"/>
                      <w:marRight w:val="0"/>
                      <w:marTop w:val="0"/>
                      <w:marBottom w:val="0"/>
                      <w:divBdr>
                        <w:top w:val="none" w:sz="0" w:space="0" w:color="auto"/>
                        <w:left w:val="none" w:sz="0" w:space="0" w:color="auto"/>
                        <w:bottom w:val="none" w:sz="0" w:space="0" w:color="auto"/>
                        <w:right w:val="none" w:sz="0" w:space="0" w:color="auto"/>
                      </w:divBdr>
                    </w:div>
                  </w:divsChild>
                </w:div>
                <w:div w:id="2007399256">
                  <w:marLeft w:val="0"/>
                  <w:marRight w:val="0"/>
                  <w:marTop w:val="0"/>
                  <w:marBottom w:val="0"/>
                  <w:divBdr>
                    <w:top w:val="none" w:sz="0" w:space="0" w:color="auto"/>
                    <w:left w:val="none" w:sz="0" w:space="0" w:color="auto"/>
                    <w:bottom w:val="none" w:sz="0" w:space="0" w:color="auto"/>
                    <w:right w:val="none" w:sz="0" w:space="0" w:color="auto"/>
                  </w:divBdr>
                  <w:divsChild>
                    <w:div w:id="1571843756">
                      <w:marLeft w:val="0"/>
                      <w:marRight w:val="0"/>
                      <w:marTop w:val="0"/>
                      <w:marBottom w:val="0"/>
                      <w:divBdr>
                        <w:top w:val="none" w:sz="0" w:space="0" w:color="auto"/>
                        <w:left w:val="none" w:sz="0" w:space="0" w:color="auto"/>
                        <w:bottom w:val="none" w:sz="0" w:space="0" w:color="auto"/>
                        <w:right w:val="none" w:sz="0" w:space="0" w:color="auto"/>
                      </w:divBdr>
                    </w:div>
                    <w:div w:id="2083411350">
                      <w:marLeft w:val="0"/>
                      <w:marRight w:val="0"/>
                      <w:marTop w:val="0"/>
                      <w:marBottom w:val="0"/>
                      <w:divBdr>
                        <w:top w:val="none" w:sz="0" w:space="0" w:color="auto"/>
                        <w:left w:val="none" w:sz="0" w:space="0" w:color="auto"/>
                        <w:bottom w:val="none" w:sz="0" w:space="0" w:color="auto"/>
                        <w:right w:val="none" w:sz="0" w:space="0" w:color="auto"/>
                      </w:divBdr>
                    </w:div>
                    <w:div w:id="211163091">
                      <w:marLeft w:val="0"/>
                      <w:marRight w:val="0"/>
                      <w:marTop w:val="0"/>
                      <w:marBottom w:val="0"/>
                      <w:divBdr>
                        <w:top w:val="none" w:sz="0" w:space="0" w:color="auto"/>
                        <w:left w:val="none" w:sz="0" w:space="0" w:color="auto"/>
                        <w:bottom w:val="none" w:sz="0" w:space="0" w:color="auto"/>
                        <w:right w:val="none" w:sz="0" w:space="0" w:color="auto"/>
                      </w:divBdr>
                    </w:div>
                    <w:div w:id="1075669269">
                      <w:marLeft w:val="0"/>
                      <w:marRight w:val="0"/>
                      <w:marTop w:val="0"/>
                      <w:marBottom w:val="0"/>
                      <w:divBdr>
                        <w:top w:val="none" w:sz="0" w:space="0" w:color="auto"/>
                        <w:left w:val="none" w:sz="0" w:space="0" w:color="auto"/>
                        <w:bottom w:val="none" w:sz="0" w:space="0" w:color="auto"/>
                        <w:right w:val="none" w:sz="0" w:space="0" w:color="auto"/>
                      </w:divBdr>
                    </w:div>
                  </w:divsChild>
                </w:div>
                <w:div w:id="1098327091">
                  <w:marLeft w:val="0"/>
                  <w:marRight w:val="0"/>
                  <w:marTop w:val="0"/>
                  <w:marBottom w:val="0"/>
                  <w:divBdr>
                    <w:top w:val="none" w:sz="0" w:space="0" w:color="auto"/>
                    <w:left w:val="none" w:sz="0" w:space="0" w:color="auto"/>
                    <w:bottom w:val="none" w:sz="0" w:space="0" w:color="auto"/>
                    <w:right w:val="none" w:sz="0" w:space="0" w:color="auto"/>
                  </w:divBdr>
                  <w:divsChild>
                    <w:div w:id="1083836556">
                      <w:marLeft w:val="0"/>
                      <w:marRight w:val="0"/>
                      <w:marTop w:val="0"/>
                      <w:marBottom w:val="0"/>
                      <w:divBdr>
                        <w:top w:val="none" w:sz="0" w:space="0" w:color="auto"/>
                        <w:left w:val="none" w:sz="0" w:space="0" w:color="auto"/>
                        <w:bottom w:val="none" w:sz="0" w:space="0" w:color="auto"/>
                        <w:right w:val="none" w:sz="0" w:space="0" w:color="auto"/>
                      </w:divBdr>
                    </w:div>
                    <w:div w:id="484515770">
                      <w:marLeft w:val="0"/>
                      <w:marRight w:val="0"/>
                      <w:marTop w:val="0"/>
                      <w:marBottom w:val="0"/>
                      <w:divBdr>
                        <w:top w:val="none" w:sz="0" w:space="0" w:color="auto"/>
                        <w:left w:val="none" w:sz="0" w:space="0" w:color="auto"/>
                        <w:bottom w:val="none" w:sz="0" w:space="0" w:color="auto"/>
                        <w:right w:val="none" w:sz="0" w:space="0" w:color="auto"/>
                      </w:divBdr>
                    </w:div>
                  </w:divsChild>
                </w:div>
                <w:div w:id="1950121473">
                  <w:marLeft w:val="0"/>
                  <w:marRight w:val="0"/>
                  <w:marTop w:val="0"/>
                  <w:marBottom w:val="0"/>
                  <w:divBdr>
                    <w:top w:val="none" w:sz="0" w:space="0" w:color="auto"/>
                    <w:left w:val="none" w:sz="0" w:space="0" w:color="auto"/>
                    <w:bottom w:val="none" w:sz="0" w:space="0" w:color="auto"/>
                    <w:right w:val="none" w:sz="0" w:space="0" w:color="auto"/>
                  </w:divBdr>
                  <w:divsChild>
                    <w:div w:id="1130174619">
                      <w:marLeft w:val="0"/>
                      <w:marRight w:val="0"/>
                      <w:marTop w:val="0"/>
                      <w:marBottom w:val="0"/>
                      <w:divBdr>
                        <w:top w:val="none" w:sz="0" w:space="0" w:color="auto"/>
                        <w:left w:val="none" w:sz="0" w:space="0" w:color="auto"/>
                        <w:bottom w:val="none" w:sz="0" w:space="0" w:color="auto"/>
                        <w:right w:val="none" w:sz="0" w:space="0" w:color="auto"/>
                      </w:divBdr>
                    </w:div>
                    <w:div w:id="147063901">
                      <w:marLeft w:val="0"/>
                      <w:marRight w:val="0"/>
                      <w:marTop w:val="0"/>
                      <w:marBottom w:val="0"/>
                      <w:divBdr>
                        <w:top w:val="none" w:sz="0" w:space="0" w:color="auto"/>
                        <w:left w:val="none" w:sz="0" w:space="0" w:color="auto"/>
                        <w:bottom w:val="none" w:sz="0" w:space="0" w:color="auto"/>
                        <w:right w:val="none" w:sz="0" w:space="0" w:color="auto"/>
                      </w:divBdr>
                    </w:div>
                  </w:divsChild>
                </w:div>
                <w:div w:id="996571178">
                  <w:marLeft w:val="0"/>
                  <w:marRight w:val="0"/>
                  <w:marTop w:val="0"/>
                  <w:marBottom w:val="0"/>
                  <w:divBdr>
                    <w:top w:val="none" w:sz="0" w:space="0" w:color="auto"/>
                    <w:left w:val="none" w:sz="0" w:space="0" w:color="auto"/>
                    <w:bottom w:val="none" w:sz="0" w:space="0" w:color="auto"/>
                    <w:right w:val="none" w:sz="0" w:space="0" w:color="auto"/>
                  </w:divBdr>
                  <w:divsChild>
                    <w:div w:id="547645095">
                      <w:marLeft w:val="0"/>
                      <w:marRight w:val="0"/>
                      <w:marTop w:val="0"/>
                      <w:marBottom w:val="0"/>
                      <w:divBdr>
                        <w:top w:val="none" w:sz="0" w:space="0" w:color="auto"/>
                        <w:left w:val="none" w:sz="0" w:space="0" w:color="auto"/>
                        <w:bottom w:val="none" w:sz="0" w:space="0" w:color="auto"/>
                        <w:right w:val="none" w:sz="0" w:space="0" w:color="auto"/>
                      </w:divBdr>
                    </w:div>
                  </w:divsChild>
                </w:div>
                <w:div w:id="1464080922">
                  <w:marLeft w:val="0"/>
                  <w:marRight w:val="0"/>
                  <w:marTop w:val="0"/>
                  <w:marBottom w:val="0"/>
                  <w:divBdr>
                    <w:top w:val="none" w:sz="0" w:space="0" w:color="auto"/>
                    <w:left w:val="none" w:sz="0" w:space="0" w:color="auto"/>
                    <w:bottom w:val="none" w:sz="0" w:space="0" w:color="auto"/>
                    <w:right w:val="none" w:sz="0" w:space="0" w:color="auto"/>
                  </w:divBdr>
                  <w:divsChild>
                    <w:div w:id="354232941">
                      <w:marLeft w:val="0"/>
                      <w:marRight w:val="0"/>
                      <w:marTop w:val="0"/>
                      <w:marBottom w:val="0"/>
                      <w:divBdr>
                        <w:top w:val="none" w:sz="0" w:space="0" w:color="auto"/>
                        <w:left w:val="none" w:sz="0" w:space="0" w:color="auto"/>
                        <w:bottom w:val="none" w:sz="0" w:space="0" w:color="auto"/>
                        <w:right w:val="none" w:sz="0" w:space="0" w:color="auto"/>
                      </w:divBdr>
                    </w:div>
                    <w:div w:id="188375460">
                      <w:marLeft w:val="0"/>
                      <w:marRight w:val="0"/>
                      <w:marTop w:val="0"/>
                      <w:marBottom w:val="0"/>
                      <w:divBdr>
                        <w:top w:val="none" w:sz="0" w:space="0" w:color="auto"/>
                        <w:left w:val="none" w:sz="0" w:space="0" w:color="auto"/>
                        <w:bottom w:val="none" w:sz="0" w:space="0" w:color="auto"/>
                        <w:right w:val="none" w:sz="0" w:space="0" w:color="auto"/>
                      </w:divBdr>
                    </w:div>
                    <w:div w:id="2086685792">
                      <w:marLeft w:val="0"/>
                      <w:marRight w:val="0"/>
                      <w:marTop w:val="0"/>
                      <w:marBottom w:val="0"/>
                      <w:divBdr>
                        <w:top w:val="none" w:sz="0" w:space="0" w:color="auto"/>
                        <w:left w:val="none" w:sz="0" w:space="0" w:color="auto"/>
                        <w:bottom w:val="none" w:sz="0" w:space="0" w:color="auto"/>
                        <w:right w:val="none" w:sz="0" w:space="0" w:color="auto"/>
                      </w:divBdr>
                    </w:div>
                    <w:div w:id="19368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07343">
          <w:marLeft w:val="0"/>
          <w:marRight w:val="0"/>
          <w:marTop w:val="0"/>
          <w:marBottom w:val="0"/>
          <w:divBdr>
            <w:top w:val="none" w:sz="0" w:space="0" w:color="auto"/>
            <w:left w:val="none" w:sz="0" w:space="0" w:color="auto"/>
            <w:bottom w:val="none" w:sz="0" w:space="0" w:color="auto"/>
            <w:right w:val="none" w:sz="0" w:space="0" w:color="auto"/>
          </w:divBdr>
        </w:div>
        <w:div w:id="1735619661">
          <w:marLeft w:val="0"/>
          <w:marRight w:val="0"/>
          <w:marTop w:val="0"/>
          <w:marBottom w:val="0"/>
          <w:divBdr>
            <w:top w:val="none" w:sz="0" w:space="0" w:color="auto"/>
            <w:left w:val="none" w:sz="0" w:space="0" w:color="auto"/>
            <w:bottom w:val="none" w:sz="0" w:space="0" w:color="auto"/>
            <w:right w:val="none" w:sz="0" w:space="0" w:color="auto"/>
          </w:divBdr>
        </w:div>
      </w:divsChild>
    </w:div>
    <w:div w:id="1295721930">
      <w:bodyDiv w:val="1"/>
      <w:marLeft w:val="0"/>
      <w:marRight w:val="0"/>
      <w:marTop w:val="0"/>
      <w:marBottom w:val="0"/>
      <w:divBdr>
        <w:top w:val="none" w:sz="0" w:space="0" w:color="auto"/>
        <w:left w:val="none" w:sz="0" w:space="0" w:color="auto"/>
        <w:bottom w:val="none" w:sz="0" w:space="0" w:color="auto"/>
        <w:right w:val="none" w:sz="0" w:space="0" w:color="auto"/>
      </w:divBdr>
    </w:div>
    <w:div w:id="1330862632">
      <w:bodyDiv w:val="1"/>
      <w:marLeft w:val="0"/>
      <w:marRight w:val="0"/>
      <w:marTop w:val="0"/>
      <w:marBottom w:val="0"/>
      <w:divBdr>
        <w:top w:val="none" w:sz="0" w:space="0" w:color="auto"/>
        <w:left w:val="none" w:sz="0" w:space="0" w:color="auto"/>
        <w:bottom w:val="none" w:sz="0" w:space="0" w:color="auto"/>
        <w:right w:val="none" w:sz="0" w:space="0" w:color="auto"/>
      </w:divBdr>
    </w:div>
    <w:div w:id="1453087488">
      <w:bodyDiv w:val="1"/>
      <w:marLeft w:val="0"/>
      <w:marRight w:val="0"/>
      <w:marTop w:val="0"/>
      <w:marBottom w:val="0"/>
      <w:divBdr>
        <w:top w:val="none" w:sz="0" w:space="0" w:color="auto"/>
        <w:left w:val="none" w:sz="0" w:space="0" w:color="auto"/>
        <w:bottom w:val="none" w:sz="0" w:space="0" w:color="auto"/>
        <w:right w:val="none" w:sz="0" w:space="0" w:color="auto"/>
      </w:divBdr>
    </w:div>
    <w:div w:id="1456216061">
      <w:bodyDiv w:val="1"/>
      <w:marLeft w:val="0"/>
      <w:marRight w:val="0"/>
      <w:marTop w:val="0"/>
      <w:marBottom w:val="0"/>
      <w:divBdr>
        <w:top w:val="none" w:sz="0" w:space="0" w:color="auto"/>
        <w:left w:val="none" w:sz="0" w:space="0" w:color="auto"/>
        <w:bottom w:val="none" w:sz="0" w:space="0" w:color="auto"/>
        <w:right w:val="none" w:sz="0" w:space="0" w:color="auto"/>
      </w:divBdr>
    </w:div>
    <w:div w:id="1495418010">
      <w:bodyDiv w:val="1"/>
      <w:marLeft w:val="0"/>
      <w:marRight w:val="0"/>
      <w:marTop w:val="0"/>
      <w:marBottom w:val="0"/>
      <w:divBdr>
        <w:top w:val="none" w:sz="0" w:space="0" w:color="auto"/>
        <w:left w:val="none" w:sz="0" w:space="0" w:color="auto"/>
        <w:bottom w:val="none" w:sz="0" w:space="0" w:color="auto"/>
        <w:right w:val="none" w:sz="0" w:space="0" w:color="auto"/>
      </w:divBdr>
    </w:div>
    <w:div w:id="1560901002">
      <w:bodyDiv w:val="1"/>
      <w:marLeft w:val="0"/>
      <w:marRight w:val="0"/>
      <w:marTop w:val="0"/>
      <w:marBottom w:val="0"/>
      <w:divBdr>
        <w:top w:val="none" w:sz="0" w:space="0" w:color="auto"/>
        <w:left w:val="none" w:sz="0" w:space="0" w:color="auto"/>
        <w:bottom w:val="none" w:sz="0" w:space="0" w:color="auto"/>
        <w:right w:val="none" w:sz="0" w:space="0" w:color="auto"/>
      </w:divBdr>
    </w:div>
    <w:div w:id="1603950387">
      <w:bodyDiv w:val="1"/>
      <w:marLeft w:val="0"/>
      <w:marRight w:val="0"/>
      <w:marTop w:val="0"/>
      <w:marBottom w:val="0"/>
      <w:divBdr>
        <w:top w:val="none" w:sz="0" w:space="0" w:color="auto"/>
        <w:left w:val="none" w:sz="0" w:space="0" w:color="auto"/>
        <w:bottom w:val="none" w:sz="0" w:space="0" w:color="auto"/>
        <w:right w:val="none" w:sz="0" w:space="0" w:color="auto"/>
      </w:divBdr>
    </w:div>
    <w:div w:id="1620212098">
      <w:bodyDiv w:val="1"/>
      <w:marLeft w:val="0"/>
      <w:marRight w:val="0"/>
      <w:marTop w:val="0"/>
      <w:marBottom w:val="0"/>
      <w:divBdr>
        <w:top w:val="none" w:sz="0" w:space="0" w:color="auto"/>
        <w:left w:val="none" w:sz="0" w:space="0" w:color="auto"/>
        <w:bottom w:val="none" w:sz="0" w:space="0" w:color="auto"/>
        <w:right w:val="none" w:sz="0" w:space="0" w:color="auto"/>
      </w:divBdr>
    </w:div>
    <w:div w:id="1672216880">
      <w:bodyDiv w:val="1"/>
      <w:marLeft w:val="0"/>
      <w:marRight w:val="0"/>
      <w:marTop w:val="0"/>
      <w:marBottom w:val="0"/>
      <w:divBdr>
        <w:top w:val="none" w:sz="0" w:space="0" w:color="auto"/>
        <w:left w:val="none" w:sz="0" w:space="0" w:color="auto"/>
        <w:bottom w:val="none" w:sz="0" w:space="0" w:color="auto"/>
        <w:right w:val="none" w:sz="0" w:space="0" w:color="auto"/>
      </w:divBdr>
    </w:div>
    <w:div w:id="1780103612">
      <w:bodyDiv w:val="1"/>
      <w:marLeft w:val="0"/>
      <w:marRight w:val="0"/>
      <w:marTop w:val="0"/>
      <w:marBottom w:val="0"/>
      <w:divBdr>
        <w:top w:val="none" w:sz="0" w:space="0" w:color="auto"/>
        <w:left w:val="none" w:sz="0" w:space="0" w:color="auto"/>
        <w:bottom w:val="none" w:sz="0" w:space="0" w:color="auto"/>
        <w:right w:val="none" w:sz="0" w:space="0" w:color="auto"/>
      </w:divBdr>
    </w:div>
    <w:div w:id="1800874210">
      <w:bodyDiv w:val="1"/>
      <w:marLeft w:val="0"/>
      <w:marRight w:val="0"/>
      <w:marTop w:val="0"/>
      <w:marBottom w:val="0"/>
      <w:divBdr>
        <w:top w:val="none" w:sz="0" w:space="0" w:color="auto"/>
        <w:left w:val="none" w:sz="0" w:space="0" w:color="auto"/>
        <w:bottom w:val="none" w:sz="0" w:space="0" w:color="auto"/>
        <w:right w:val="none" w:sz="0" w:space="0" w:color="auto"/>
      </w:divBdr>
    </w:div>
    <w:div w:id="1822114017">
      <w:bodyDiv w:val="1"/>
      <w:marLeft w:val="0"/>
      <w:marRight w:val="0"/>
      <w:marTop w:val="0"/>
      <w:marBottom w:val="0"/>
      <w:divBdr>
        <w:top w:val="none" w:sz="0" w:space="0" w:color="auto"/>
        <w:left w:val="none" w:sz="0" w:space="0" w:color="auto"/>
        <w:bottom w:val="none" w:sz="0" w:space="0" w:color="auto"/>
        <w:right w:val="none" w:sz="0" w:space="0" w:color="auto"/>
      </w:divBdr>
    </w:div>
    <w:div w:id="1888485937">
      <w:bodyDiv w:val="1"/>
      <w:marLeft w:val="0"/>
      <w:marRight w:val="0"/>
      <w:marTop w:val="0"/>
      <w:marBottom w:val="0"/>
      <w:divBdr>
        <w:top w:val="none" w:sz="0" w:space="0" w:color="auto"/>
        <w:left w:val="none" w:sz="0" w:space="0" w:color="auto"/>
        <w:bottom w:val="none" w:sz="0" w:space="0" w:color="auto"/>
        <w:right w:val="none" w:sz="0" w:space="0" w:color="auto"/>
      </w:divBdr>
    </w:div>
    <w:div w:id="2018116679">
      <w:bodyDiv w:val="1"/>
      <w:marLeft w:val="0"/>
      <w:marRight w:val="0"/>
      <w:marTop w:val="0"/>
      <w:marBottom w:val="0"/>
      <w:divBdr>
        <w:top w:val="none" w:sz="0" w:space="0" w:color="auto"/>
        <w:left w:val="none" w:sz="0" w:space="0" w:color="auto"/>
        <w:bottom w:val="none" w:sz="0" w:space="0" w:color="auto"/>
        <w:right w:val="none" w:sz="0" w:space="0" w:color="auto"/>
      </w:divBdr>
    </w:div>
    <w:div w:id="2020085904">
      <w:bodyDiv w:val="1"/>
      <w:marLeft w:val="0"/>
      <w:marRight w:val="0"/>
      <w:marTop w:val="0"/>
      <w:marBottom w:val="0"/>
      <w:divBdr>
        <w:top w:val="none" w:sz="0" w:space="0" w:color="auto"/>
        <w:left w:val="none" w:sz="0" w:space="0" w:color="auto"/>
        <w:bottom w:val="none" w:sz="0" w:space="0" w:color="auto"/>
        <w:right w:val="none" w:sz="0" w:space="0" w:color="auto"/>
      </w:divBdr>
    </w:div>
    <w:div w:id="2074965047">
      <w:bodyDiv w:val="1"/>
      <w:marLeft w:val="0"/>
      <w:marRight w:val="0"/>
      <w:marTop w:val="0"/>
      <w:marBottom w:val="0"/>
      <w:divBdr>
        <w:top w:val="none" w:sz="0" w:space="0" w:color="auto"/>
        <w:left w:val="none" w:sz="0" w:space="0" w:color="auto"/>
        <w:bottom w:val="none" w:sz="0" w:space="0" w:color="auto"/>
        <w:right w:val="none" w:sz="0" w:space="0" w:color="auto"/>
      </w:divBdr>
    </w:div>
    <w:div w:id="214349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dfat.gov.au/publications/development/australias-international-development-polic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FAT">
      <a:dk1>
        <a:sysClr val="windowText" lastClr="000000"/>
      </a:dk1>
      <a:lt1>
        <a:sysClr val="window" lastClr="FFFFFF"/>
      </a:lt1>
      <a:dk2>
        <a:srgbClr val="313E48"/>
      </a:dk2>
      <a:lt2>
        <a:srgbClr val="CFD3D3"/>
      </a:lt2>
      <a:accent1>
        <a:srgbClr val="3A586E"/>
      </a:accent1>
      <a:accent2>
        <a:srgbClr val="00837C"/>
      </a:accent2>
      <a:accent3>
        <a:srgbClr val="47763B"/>
      </a:accent3>
      <a:accent4>
        <a:srgbClr val="EBAB21"/>
      </a:accent4>
      <a:accent5>
        <a:srgbClr val="AA5739"/>
      </a:accent5>
      <a:accent6>
        <a:srgbClr val="065157"/>
      </a:accent6>
      <a:hlink>
        <a:srgbClr val="014429"/>
      </a:hlink>
      <a:folHlink>
        <a:srgbClr val="3F0D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F6CE6-2FA7-4EE5-8F1F-840A3AE7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13018</Words>
  <Characters>81999</Characters>
  <Application>Microsoft Office Word</Application>
  <DocSecurity>0</DocSecurity>
  <Lines>2387</Lines>
  <Paragraphs>909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94193</CharactersWithSpaces>
  <SharedDoc>false</SharedDoc>
  <HLinks>
    <vt:vector size="60" baseType="variant">
      <vt:variant>
        <vt:i4>5373978</vt:i4>
      </vt:variant>
      <vt:variant>
        <vt:i4>9</vt:i4>
      </vt:variant>
      <vt:variant>
        <vt:i4>0</vt:i4>
      </vt:variant>
      <vt:variant>
        <vt:i4>5</vt:i4>
      </vt:variant>
      <vt:variant>
        <vt:lpwstr/>
      </vt:variant>
      <vt:variant>
        <vt:lpwstr>T3na</vt:lpwstr>
      </vt:variant>
      <vt:variant>
        <vt:i4>5373978</vt:i4>
      </vt:variant>
      <vt:variant>
        <vt:i4>6</vt:i4>
      </vt:variant>
      <vt:variant>
        <vt:i4>0</vt:i4>
      </vt:variant>
      <vt:variant>
        <vt:i4>5</vt:i4>
      </vt:variant>
      <vt:variant>
        <vt:lpwstr/>
      </vt:variant>
      <vt:variant>
        <vt:lpwstr>T3na</vt:lpwstr>
      </vt:variant>
      <vt:variant>
        <vt:i4>4456529</vt:i4>
      </vt:variant>
      <vt:variant>
        <vt:i4>0</vt:i4>
      </vt:variant>
      <vt:variant>
        <vt:i4>0</vt:i4>
      </vt:variant>
      <vt:variant>
        <vt:i4>5</vt:i4>
      </vt:variant>
      <vt:variant>
        <vt:lpwstr>https://www.dfat.gov.au/publications/development/australias-international-development-policy</vt:lpwstr>
      </vt:variant>
      <vt:variant>
        <vt:lpwstr/>
      </vt:variant>
      <vt:variant>
        <vt:i4>7143457</vt:i4>
      </vt:variant>
      <vt:variant>
        <vt:i4>0</vt:i4>
      </vt:variant>
      <vt:variant>
        <vt:i4>0</vt:i4>
      </vt:variant>
      <vt:variant>
        <vt:i4>5</vt:i4>
      </vt:variant>
      <vt:variant>
        <vt:lpwstr>https://www.dfat.gov.au/development/where-we-deliver-australias-development-program</vt:lpwstr>
      </vt:variant>
      <vt:variant>
        <vt:lpwstr/>
      </vt:variant>
      <vt:variant>
        <vt:i4>3080238</vt:i4>
      </vt:variant>
      <vt:variant>
        <vt:i4>15</vt:i4>
      </vt:variant>
      <vt:variant>
        <vt:i4>0</vt:i4>
      </vt:variant>
      <vt:variant>
        <vt:i4>5</vt:i4>
      </vt:variant>
      <vt:variant>
        <vt:lpwstr>https://www.undp.org/pacific/news/international-womens-day-2021-women-and-climate-security-pacific</vt:lpwstr>
      </vt:variant>
      <vt:variant>
        <vt:lpwstr/>
      </vt:variant>
      <vt:variant>
        <vt:i4>5111812</vt:i4>
      </vt:variant>
      <vt:variant>
        <vt:i4>12</vt:i4>
      </vt:variant>
      <vt:variant>
        <vt:i4>0</vt:i4>
      </vt:variant>
      <vt:variant>
        <vt:i4>5</vt:i4>
      </vt:variant>
      <vt:variant>
        <vt:lpwstr>https://www.unescap.org/kp/2021/asia-pacific-disaster-report-2021</vt:lpwstr>
      </vt:variant>
      <vt:variant>
        <vt:lpwstr/>
      </vt:variant>
      <vt:variant>
        <vt:i4>4456538</vt:i4>
      </vt:variant>
      <vt:variant>
        <vt:i4>9</vt:i4>
      </vt:variant>
      <vt:variant>
        <vt:i4>0</vt:i4>
      </vt:variant>
      <vt:variant>
        <vt:i4>5</vt:i4>
      </vt:variant>
      <vt:variant>
        <vt:lpwstr>https://sdd.spc.int/</vt:lpwstr>
      </vt:variant>
      <vt:variant>
        <vt:lpwstr/>
      </vt:variant>
      <vt:variant>
        <vt:i4>720991</vt:i4>
      </vt:variant>
      <vt:variant>
        <vt:i4>6</vt:i4>
      </vt:variant>
      <vt:variant>
        <vt:i4>0</vt:i4>
      </vt:variant>
      <vt:variant>
        <vt:i4>5</vt:i4>
      </vt:variant>
      <vt:variant>
        <vt:lpwstr>https://www.imf.org/external/Pubs/ft/dsa/DSAlist.pdf</vt:lpwstr>
      </vt:variant>
      <vt:variant>
        <vt:lpwstr/>
      </vt:variant>
      <vt:variant>
        <vt:i4>7667828</vt:i4>
      </vt:variant>
      <vt:variant>
        <vt:i4>3</vt:i4>
      </vt:variant>
      <vt:variant>
        <vt:i4>0</vt:i4>
      </vt:variant>
      <vt:variant>
        <vt:i4>5</vt:i4>
      </vt:variant>
      <vt:variant>
        <vt:lpwstr>https://www.adb.org/outlook/editions/april-2024</vt:lpwstr>
      </vt:variant>
      <vt:variant>
        <vt:lpwstr/>
      </vt:variant>
      <vt:variant>
        <vt:i4>4521990</vt:i4>
      </vt:variant>
      <vt:variant>
        <vt:i4>0</vt:i4>
      </vt:variant>
      <vt:variant>
        <vt:i4>0</vt:i4>
      </vt:variant>
      <vt:variant>
        <vt:i4>5</vt:i4>
      </vt:variant>
      <vt:variant>
        <vt:lpwstr>https://www.adb.org/sites/default/files/publication/908126/pacific-ado-september-2023.pdf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 Pacific Regional Development Partnership Plan 2025–2029</dc:title>
  <dc:subject/>
  <dc:creator/>
  <cp:keywords>[SEC=OFFICIAL]</cp:keywords>
  <dc:description/>
  <cp:lastModifiedBy/>
  <cp:revision>1</cp:revision>
  <dcterms:created xsi:type="dcterms:W3CDTF">2025-03-11T23:01:00Z</dcterms:created>
  <dcterms:modified xsi:type="dcterms:W3CDTF">2025-03-11T23:01:00Z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v=2022.1;a=SHA256;h=D20B1D520F1403FC9B304B72F24A68C7AF95118C2AE049B74CACE74C2F272C13</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2024-06-21T08:55:13Z</vt:lpwstr>
  </property>
  <property fmtid="{D5CDD505-2E9C-101B-9397-08002B2CF9AE}" pid="10" name="PM_Markers">
    <vt:lpwstr/>
  </property>
  <property fmtid="{D5CDD505-2E9C-101B-9397-08002B2CF9AE}" pid="11" name="PM_InsertionValue">
    <vt:lpwstr>OFFICIAL</vt:lpwstr>
  </property>
  <property fmtid="{D5CDD505-2E9C-101B-9397-08002B2CF9AE}" pid="12" name="PM_DisplayValueSecClassificationWithQualifier">
    <vt:lpwstr>OFFICIAL</vt:lpwstr>
  </property>
  <property fmtid="{D5CDD505-2E9C-101B-9397-08002B2CF9AE}" pid="13" name="PM_ProtectiveMarkingValue_Footer">
    <vt:lpwstr>OFFICIAL</vt:lpwstr>
  </property>
  <property fmtid="{D5CDD505-2E9C-101B-9397-08002B2CF9AE}" pid="14" name="PM_Originating_FileId">
    <vt:lpwstr>57C4CDB39F66493F916F061CA946A661</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Display">
    <vt:lpwstr>OFFICIAL</vt:lpwstr>
  </property>
  <property fmtid="{D5CDD505-2E9C-101B-9397-08002B2CF9AE}" pid="18" name="PM_OriginatorDomainName_SHA256">
    <vt:lpwstr>6F3591835F3B2A8A025B00B5BA6418010DA3A17C9C26EA9C049FFD28039489A2</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PM_Originator_Hash_SHA1">
    <vt:lpwstr>D9F6E5C82DFAF7AB6E3D596D48DD43C72EDFDAB4</vt:lpwstr>
  </property>
  <property fmtid="{D5CDD505-2E9C-101B-9397-08002B2CF9AE}" pid="24" name="PM_OriginatorUserAccountName_SHA256">
    <vt:lpwstr>3E9DB5AB808CA91EB3E8EC398CDB7F67B110581D6BB28BC88565729DCE387350</vt:lpwstr>
  </property>
  <property fmtid="{D5CDD505-2E9C-101B-9397-08002B2CF9AE}" pid="25" name="PM_Hash_Salt_Prev">
    <vt:lpwstr>667C0454C1EE88E338CFF1DF2DB434FF</vt:lpwstr>
  </property>
  <property fmtid="{D5CDD505-2E9C-101B-9397-08002B2CF9AE}" pid="26" name="PM_Hash_Salt">
    <vt:lpwstr>8AAB7EC4FA56012FDF06035050F6FB6E</vt:lpwstr>
  </property>
  <property fmtid="{D5CDD505-2E9C-101B-9397-08002B2CF9AE}" pid="27" name="PM_Hash_SHA1">
    <vt:lpwstr>26C7F0D02BECD0C921828599718204BC7D6B5077</vt:lpwstr>
  </property>
  <property fmtid="{D5CDD505-2E9C-101B-9397-08002B2CF9AE}" pid="28" name="PM_Caveats_Count">
    <vt:lpwstr>0</vt:lpwstr>
  </property>
</Properties>
</file>