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0647" w14:textId="77777777" w:rsidR="00667651" w:rsidRDefault="00667651" w:rsidP="00C566A8">
      <w:pPr>
        <w:pStyle w:val="BodyCopy"/>
        <w:rPr>
          <w:noProof/>
        </w:rPr>
      </w:pPr>
    </w:p>
    <w:p w14:paraId="247BCE2D" w14:textId="49F95EDA" w:rsidR="001B6539" w:rsidRPr="001B6539" w:rsidRDefault="00751646" w:rsidP="00EE342E">
      <w:pPr>
        <w:pStyle w:val="H1-Heading1"/>
        <w:spacing w:before="11200"/>
        <w:ind w:left="1701"/>
      </w:pPr>
      <w:r w:rsidRPr="001B6539">
        <w:t>A</w:t>
      </w:r>
      <w:r w:rsidR="00840616">
        <w:t>u</w:t>
      </w:r>
      <w:r w:rsidRPr="001B6539">
        <w:t>stralia</w:t>
      </w:r>
      <w:r w:rsidR="2C27780B" w:rsidRPr="00DB70E9">
        <w:t xml:space="preserve"> </w:t>
      </w:r>
      <w:r w:rsidR="005936FA" w:rsidRPr="00DB70E9">
        <w:t>– Papua New Guinea</w:t>
      </w:r>
    </w:p>
    <w:p w14:paraId="3CA15BE8" w14:textId="3BC231BE" w:rsidR="001B6539" w:rsidRPr="001B6539" w:rsidRDefault="00751646" w:rsidP="001B6539">
      <w:pPr>
        <w:pStyle w:val="H1-Heading1"/>
        <w:ind w:left="1701"/>
        <w:rPr>
          <w:b w:val="0"/>
          <w:bCs w:val="0"/>
        </w:rPr>
      </w:pPr>
      <w:r w:rsidRPr="001B6539">
        <w:rPr>
          <w:b w:val="0"/>
          <w:bCs w:val="0"/>
        </w:rPr>
        <w:t>Development Partnership</w:t>
      </w:r>
    </w:p>
    <w:p w14:paraId="103D7111" w14:textId="3B199758" w:rsidR="001B6539" w:rsidRPr="00F367EF" w:rsidRDefault="00751646" w:rsidP="00F367EF">
      <w:pPr>
        <w:pStyle w:val="H1-Heading1"/>
        <w:ind w:left="1701"/>
        <w:rPr>
          <w:b w:val="0"/>
          <w:bCs w:val="0"/>
        </w:rPr>
        <w:sectPr w:rsidR="001B6539" w:rsidRPr="00F367EF" w:rsidSect="009D667B">
          <w:headerReference w:type="default" r:id="rId8"/>
          <w:footerReference w:type="even" r:id="rId9"/>
          <w:footerReference w:type="default" r:id="rId10"/>
          <w:headerReference w:type="first" r:id="rId11"/>
          <w:endnotePr>
            <w:numFmt w:val="decimal"/>
          </w:endnotePr>
          <w:type w:val="continuous"/>
          <w:pgSz w:w="11906" w:h="16838" w:code="9"/>
          <w:pgMar w:top="1418" w:right="851" w:bottom="1276" w:left="851" w:header="340" w:footer="415" w:gutter="0"/>
          <w:pgNumType w:start="0"/>
          <w:cols w:space="708"/>
          <w:titlePg/>
          <w:docGrid w:linePitch="360"/>
        </w:sectPr>
      </w:pPr>
      <w:r w:rsidRPr="001B6539">
        <w:rPr>
          <w:b w:val="0"/>
          <w:bCs w:val="0"/>
        </w:rPr>
        <w:t>Plan 2024</w:t>
      </w:r>
      <w:r w:rsidR="00DB70E9">
        <w:rPr>
          <w:b w:val="0"/>
          <w:bCs w:val="0"/>
        </w:rPr>
        <w:t>–2029</w:t>
      </w:r>
    </w:p>
    <w:p w14:paraId="60E2786B" w14:textId="77777777" w:rsidR="002F5C5E" w:rsidRDefault="002F5C5E" w:rsidP="00720C8B">
      <w:pPr>
        <w:pStyle w:val="H2-Heading2"/>
      </w:pPr>
      <w:r>
        <w:lastRenderedPageBreak/>
        <w:t xml:space="preserve">Section 1: </w:t>
      </w:r>
      <w:r w:rsidRPr="00720C8B">
        <w:t>Introduction</w:t>
      </w:r>
    </w:p>
    <w:p w14:paraId="20274DDA" w14:textId="4170A1DA" w:rsidR="002F4955" w:rsidRDefault="002F4955" w:rsidP="00720C8B">
      <w:pPr>
        <w:pStyle w:val="H3-Heading3"/>
        <w:rPr>
          <w:lang w:eastAsia="en-AU"/>
        </w:rPr>
      </w:pPr>
      <w:r w:rsidRPr="001B6539">
        <w:rPr>
          <w:lang w:eastAsia="en-AU"/>
        </w:rPr>
        <w:t xml:space="preserve">Australia’s partnership with </w:t>
      </w:r>
      <w:r w:rsidR="00840616">
        <w:rPr>
          <w:lang w:eastAsia="en-AU"/>
        </w:rPr>
        <w:t xml:space="preserve">Papua New </w:t>
      </w:r>
      <w:r w:rsidR="00840616" w:rsidRPr="00E90562">
        <w:t>Guinea</w:t>
      </w:r>
    </w:p>
    <w:p w14:paraId="51A51E19" w14:textId="3DBD5446" w:rsidR="0042372F" w:rsidRPr="00091074" w:rsidRDefault="0042372F" w:rsidP="0042372F">
      <w:pPr>
        <w:rPr>
          <w:lang w:eastAsia="en-AU"/>
        </w:rPr>
      </w:pPr>
      <w:r w:rsidRPr="7E46ED09">
        <w:rPr>
          <w:lang w:eastAsia="en-AU"/>
        </w:rPr>
        <w:t xml:space="preserve">Australia and Papua New Guinea (PNG) share a warm, broad-ranging relationship of deep historical and contemporary importance to both countries. Our modern partnership is </w:t>
      </w:r>
      <w:r w:rsidR="00747571" w:rsidRPr="241B29F1">
        <w:rPr>
          <w:lang w:eastAsia="en-AU"/>
        </w:rPr>
        <w:t xml:space="preserve">underpinned by </w:t>
      </w:r>
      <w:r w:rsidRPr="7E46ED09">
        <w:rPr>
          <w:lang w:eastAsia="en-AU"/>
        </w:rPr>
        <w:t>joint commitments to the PNG</w:t>
      </w:r>
      <w:r w:rsidR="00D016D6" w:rsidRPr="241B29F1">
        <w:rPr>
          <w:lang w:eastAsia="en-AU"/>
        </w:rPr>
        <w:t>–</w:t>
      </w:r>
      <w:r w:rsidRPr="7E46ED09">
        <w:rPr>
          <w:lang w:eastAsia="en-AU"/>
        </w:rPr>
        <w:t>Australia Comprehensive Strategic and Economic Partnership</w:t>
      </w:r>
      <w:r w:rsidR="00325860">
        <w:rPr>
          <w:rStyle w:val="EndnoteReference"/>
          <w:lang w:eastAsia="en-AU"/>
        </w:rPr>
        <w:endnoteReference w:id="2"/>
      </w:r>
      <w:r w:rsidRPr="7E46ED09">
        <w:rPr>
          <w:lang w:eastAsia="en-AU"/>
        </w:rPr>
        <w:t xml:space="preserve"> and the </w:t>
      </w:r>
      <w:r w:rsidR="00B17C5F" w:rsidRPr="241B29F1">
        <w:rPr>
          <w:lang w:eastAsia="en-AU"/>
        </w:rPr>
        <w:t>Australia</w:t>
      </w:r>
      <w:r w:rsidR="00D870CE" w:rsidRPr="241B29F1">
        <w:rPr>
          <w:lang w:eastAsia="en-AU"/>
        </w:rPr>
        <w:t>–</w:t>
      </w:r>
      <w:r w:rsidR="00724029" w:rsidRPr="241B29F1">
        <w:rPr>
          <w:lang w:eastAsia="en-AU"/>
        </w:rPr>
        <w:t>PNG</w:t>
      </w:r>
      <w:r w:rsidR="00B17C5F" w:rsidRPr="241B29F1">
        <w:rPr>
          <w:lang w:eastAsia="en-AU"/>
        </w:rPr>
        <w:t xml:space="preserve"> </w:t>
      </w:r>
      <w:r w:rsidRPr="7E46ED09">
        <w:rPr>
          <w:lang w:eastAsia="en-AU"/>
        </w:rPr>
        <w:t>Bilateral Security Agreement</w:t>
      </w:r>
      <w:r>
        <w:rPr>
          <w:lang w:eastAsia="en-AU"/>
        </w:rPr>
        <w:t>,</w:t>
      </w:r>
      <w:r w:rsidR="00775890">
        <w:rPr>
          <w:rStyle w:val="EndnoteReference"/>
          <w:lang w:eastAsia="en-AU"/>
        </w:rPr>
        <w:endnoteReference w:id="3"/>
      </w:r>
      <w:r w:rsidRPr="7E46ED09">
        <w:rPr>
          <w:lang w:eastAsia="en-AU"/>
        </w:rPr>
        <w:t xml:space="preserve"> </w:t>
      </w:r>
      <w:r w:rsidR="0065477A" w:rsidRPr="241B29F1">
        <w:rPr>
          <w:lang w:eastAsia="en-AU"/>
        </w:rPr>
        <w:t xml:space="preserve">which </w:t>
      </w:r>
      <w:r w:rsidRPr="7E46ED09">
        <w:rPr>
          <w:lang w:eastAsia="en-AU"/>
        </w:rPr>
        <w:t>provid</w:t>
      </w:r>
      <w:r w:rsidR="0065477A" w:rsidRPr="241B29F1">
        <w:rPr>
          <w:lang w:eastAsia="en-AU"/>
        </w:rPr>
        <w:t>e</w:t>
      </w:r>
      <w:r w:rsidRPr="7E46ED09">
        <w:rPr>
          <w:lang w:eastAsia="en-AU"/>
        </w:rPr>
        <w:t xml:space="preserve"> a framework for closer security relations.</w:t>
      </w:r>
    </w:p>
    <w:p w14:paraId="46807315" w14:textId="30E822DC" w:rsidR="0042372F" w:rsidRDefault="0042372F" w:rsidP="0042372F">
      <w:pPr>
        <w:rPr>
          <w:lang w:eastAsia="en-AU"/>
        </w:rPr>
      </w:pPr>
      <w:r w:rsidRPr="7E46ED09">
        <w:rPr>
          <w:lang w:eastAsia="en-AU"/>
        </w:rPr>
        <w:t>PNG is Australia’s largest development partner, with an estimated $6</w:t>
      </w:r>
      <w:r>
        <w:rPr>
          <w:lang w:eastAsia="en-AU"/>
        </w:rPr>
        <w:t>37.4</w:t>
      </w:r>
      <w:r w:rsidR="00B72A59">
        <w:rPr>
          <w:lang w:eastAsia="en-AU"/>
        </w:rPr>
        <w:t> </w:t>
      </w:r>
      <w:r w:rsidRPr="7E46ED09">
        <w:rPr>
          <w:lang w:eastAsia="en-AU"/>
        </w:rPr>
        <w:t>million in Official Development Assistance</w:t>
      </w:r>
      <w:r w:rsidR="007C12E3">
        <w:rPr>
          <w:lang w:eastAsia="en-AU"/>
        </w:rPr>
        <w:t> </w:t>
      </w:r>
      <w:r w:rsidRPr="7E46ED09">
        <w:rPr>
          <w:lang w:eastAsia="en-AU"/>
        </w:rPr>
        <w:t xml:space="preserve">(ODA) </w:t>
      </w:r>
      <w:r w:rsidRPr="006A0639">
        <w:rPr>
          <w:lang w:eastAsia="en-AU"/>
        </w:rPr>
        <w:t>funding (202</w:t>
      </w:r>
      <w:r w:rsidR="006A0639" w:rsidRPr="006A0639">
        <w:rPr>
          <w:lang w:eastAsia="en-AU"/>
        </w:rPr>
        <w:t>4</w:t>
      </w:r>
      <w:r w:rsidR="007C12E3" w:rsidRPr="006A0639">
        <w:t>–</w:t>
      </w:r>
      <w:r w:rsidRPr="006A0639">
        <w:rPr>
          <w:lang w:eastAsia="en-AU"/>
        </w:rPr>
        <w:t>2</w:t>
      </w:r>
      <w:r w:rsidR="006A0639" w:rsidRPr="006A0639">
        <w:rPr>
          <w:lang w:eastAsia="en-AU"/>
        </w:rPr>
        <w:t>5</w:t>
      </w:r>
      <w:r w:rsidRPr="006A0639">
        <w:rPr>
          <w:lang w:eastAsia="en-AU"/>
        </w:rPr>
        <w:t>), an expanding</w:t>
      </w:r>
      <w:r w:rsidRPr="7E46ED09">
        <w:rPr>
          <w:lang w:eastAsia="en-AU"/>
        </w:rPr>
        <w:t xml:space="preserve"> program of blended finance (loans and grants) for infrastructure development </w:t>
      </w:r>
      <w:r w:rsidR="008372AF" w:rsidRPr="0D327D03">
        <w:rPr>
          <w:lang w:eastAsia="en-AU"/>
        </w:rPr>
        <w:t xml:space="preserve">through </w:t>
      </w:r>
      <w:r w:rsidRPr="7E46ED09">
        <w:rPr>
          <w:lang w:eastAsia="en-AU"/>
        </w:rPr>
        <w:t>the Australian Infrastructure Financing Facility for the Pacific (AIFFP), and $2.5</w:t>
      </w:r>
      <w:r>
        <w:rPr>
          <w:lang w:eastAsia="en-AU"/>
        </w:rPr>
        <w:t>6</w:t>
      </w:r>
      <w:r w:rsidR="000B2EE1">
        <w:rPr>
          <w:lang w:eastAsia="en-AU"/>
        </w:rPr>
        <w:t> </w:t>
      </w:r>
      <w:r w:rsidRPr="7E46ED09">
        <w:rPr>
          <w:lang w:eastAsia="en-AU"/>
        </w:rPr>
        <w:t xml:space="preserve">billion in budget support loans </w:t>
      </w:r>
      <w:r w:rsidR="007F5648" w:rsidRPr="0D327D03">
        <w:rPr>
          <w:lang w:eastAsia="en-AU"/>
        </w:rPr>
        <w:t xml:space="preserve">(non-ODA) </w:t>
      </w:r>
      <w:r w:rsidRPr="7E46ED09">
        <w:rPr>
          <w:lang w:eastAsia="en-AU"/>
        </w:rPr>
        <w:t xml:space="preserve">since </w:t>
      </w:r>
      <w:r>
        <w:rPr>
          <w:lang w:eastAsia="en-AU"/>
        </w:rPr>
        <w:t>2019</w:t>
      </w:r>
      <w:r w:rsidRPr="7E46ED09">
        <w:rPr>
          <w:lang w:eastAsia="en-AU"/>
        </w:rPr>
        <w:t xml:space="preserve">, linked to fiscal repair and economic reform. We have enduring people-to-people links as PNG’s largest trading partner and </w:t>
      </w:r>
      <w:r>
        <w:rPr>
          <w:lang w:eastAsia="en-AU"/>
        </w:rPr>
        <w:t xml:space="preserve">through </w:t>
      </w:r>
      <w:r w:rsidRPr="7E46ED09">
        <w:rPr>
          <w:lang w:eastAsia="en-AU"/>
        </w:rPr>
        <w:t xml:space="preserve">Australian investments in PNG, as well as through </w:t>
      </w:r>
      <w:r w:rsidR="006E0BF0">
        <w:rPr>
          <w:lang w:eastAsia="en-AU"/>
        </w:rPr>
        <w:t xml:space="preserve">PNG’s </w:t>
      </w:r>
      <w:r w:rsidR="00DC0135">
        <w:rPr>
          <w:lang w:eastAsia="en-AU"/>
        </w:rPr>
        <w:t>connections</w:t>
      </w:r>
      <w:r w:rsidR="006E0BF0">
        <w:rPr>
          <w:lang w:eastAsia="en-AU"/>
        </w:rPr>
        <w:t xml:space="preserve"> with </w:t>
      </w:r>
      <w:r w:rsidRPr="7E46ED09">
        <w:rPr>
          <w:lang w:eastAsia="en-AU"/>
        </w:rPr>
        <w:t xml:space="preserve">First </w:t>
      </w:r>
      <w:r w:rsidRPr="7E46ED09" w:rsidDel="000661FB">
        <w:rPr>
          <w:lang w:eastAsia="en-AU"/>
        </w:rPr>
        <w:t xml:space="preserve">Nations </w:t>
      </w:r>
      <w:r w:rsidRPr="7E46ED09">
        <w:rPr>
          <w:lang w:eastAsia="en-AU"/>
        </w:rPr>
        <w:t>Australians</w:t>
      </w:r>
      <w:r>
        <w:rPr>
          <w:rStyle w:val="FootnoteReference"/>
          <w:rFonts w:cs="Calibri Light"/>
          <w:color w:val="313E48" w:themeColor="text2"/>
          <w:lang w:eastAsia="en-AU"/>
        </w:rPr>
        <w:footnoteReference w:id="2"/>
      </w:r>
      <w:r w:rsidRPr="7E46ED09">
        <w:rPr>
          <w:lang w:eastAsia="en-AU"/>
        </w:rPr>
        <w:t xml:space="preserve"> and a wide range of institutional, </w:t>
      </w:r>
      <w:proofErr w:type="gramStart"/>
      <w:r w:rsidRPr="7E46ED09">
        <w:rPr>
          <w:lang w:eastAsia="en-AU"/>
        </w:rPr>
        <w:t>cultural</w:t>
      </w:r>
      <w:proofErr w:type="gramEnd"/>
      <w:r w:rsidRPr="7E46ED09">
        <w:rPr>
          <w:lang w:eastAsia="en-AU"/>
        </w:rPr>
        <w:t xml:space="preserve"> and sporting relationships. Australia is a trusted security partner for PNG through an extensive defence cooperation program and a long</w:t>
      </w:r>
      <w:r w:rsidR="008E48DE" w:rsidRPr="0D327D03">
        <w:rPr>
          <w:lang w:eastAsia="en-AU"/>
        </w:rPr>
        <w:t>-</w:t>
      </w:r>
      <w:r w:rsidRPr="7E46ED09">
        <w:rPr>
          <w:lang w:eastAsia="en-AU"/>
        </w:rPr>
        <w:t>established policing partnership.</w:t>
      </w:r>
    </w:p>
    <w:p w14:paraId="04EEBE1E" w14:textId="004A25F4" w:rsidR="002F4955" w:rsidRPr="00DC48C8" w:rsidRDefault="002F4955" w:rsidP="00720C8B">
      <w:pPr>
        <w:pStyle w:val="H3-Heading3"/>
        <w:rPr>
          <w:lang w:eastAsia="en-AU"/>
        </w:rPr>
      </w:pPr>
      <w:r w:rsidRPr="00DC48C8">
        <w:rPr>
          <w:lang w:eastAsia="en-AU"/>
        </w:rPr>
        <w:t>Purpose of the Development Partnership Plan</w:t>
      </w:r>
    </w:p>
    <w:p w14:paraId="7F17E593" w14:textId="4E890105" w:rsidR="007A46AD" w:rsidRPr="00BE6C84" w:rsidRDefault="007A46AD" w:rsidP="00E90562">
      <w:pPr>
        <w:rPr>
          <w:rFonts w:cs="Calibri Light"/>
          <w:lang w:eastAsia="en-AU"/>
        </w:rPr>
      </w:pPr>
      <w:r w:rsidRPr="6DEF3CB4">
        <w:rPr>
          <w:rFonts w:cs="Calibri Light"/>
          <w:lang w:eastAsia="en-AU"/>
        </w:rPr>
        <w:t>Australia’s</w:t>
      </w:r>
      <w:r>
        <w:rPr>
          <w:rFonts w:cs="Calibri Light"/>
          <w:lang w:eastAsia="en-AU"/>
        </w:rPr>
        <w:t xml:space="preserve"> </w:t>
      </w:r>
      <w:hyperlink r:id="rId12">
        <w:r w:rsidRPr="007A46AD">
          <w:rPr>
            <w:rStyle w:val="Hyperlink"/>
          </w:rPr>
          <w:t>International Development Policy</w:t>
        </w:r>
      </w:hyperlink>
      <w:r>
        <w:rPr>
          <w:rFonts w:cs="Calibri Light"/>
          <w:lang w:eastAsia="en-AU"/>
        </w:rPr>
        <w:t xml:space="preserve"> </w:t>
      </w:r>
      <w:r w:rsidRPr="6DEF3CB4">
        <w:rPr>
          <w:rFonts w:cs="Calibri Light"/>
          <w:lang w:eastAsia="en-AU"/>
        </w:rPr>
        <w:t>presents a long-term vision for how the development program will meet the critical needs of our partners</w:t>
      </w:r>
      <w:r w:rsidRPr="00BE6C84">
        <w:rPr>
          <w:rFonts w:cs="Calibri Light"/>
          <w:lang w:eastAsia="en-AU"/>
        </w:rPr>
        <w:t>,</w:t>
      </w:r>
      <w:r>
        <w:rPr>
          <w:rFonts w:cs="Calibri Light"/>
          <w:lang w:eastAsia="en-AU"/>
        </w:rPr>
        <w:t xml:space="preserve"> </w:t>
      </w:r>
      <w:r w:rsidR="00BE4B0E">
        <w:rPr>
          <w:rFonts w:cs="Calibri Light"/>
          <w:lang w:eastAsia="en-AU"/>
        </w:rPr>
        <w:t xml:space="preserve">support sustainable development </w:t>
      </w:r>
      <w:r>
        <w:rPr>
          <w:rFonts w:cs="Calibri Light"/>
          <w:lang w:eastAsia="en-AU"/>
        </w:rPr>
        <w:t>and help lift people out of poverty.</w:t>
      </w:r>
      <w:r w:rsidRPr="6DEF3CB4">
        <w:rPr>
          <w:rFonts w:cs="Calibri Light"/>
          <w:lang w:eastAsia="en-AU"/>
        </w:rPr>
        <w:t xml:space="preserve"> Australia </w:t>
      </w:r>
      <w:r w:rsidR="00BE4B0E">
        <w:rPr>
          <w:rFonts w:cs="Calibri Light"/>
          <w:lang w:eastAsia="en-AU"/>
        </w:rPr>
        <w:t>seek</w:t>
      </w:r>
      <w:r w:rsidR="00E72CFB">
        <w:rPr>
          <w:rFonts w:cs="Calibri Light"/>
          <w:lang w:eastAsia="en-AU"/>
        </w:rPr>
        <w:t>s</w:t>
      </w:r>
      <w:r w:rsidR="00BE4B0E">
        <w:rPr>
          <w:rFonts w:cs="Calibri Light"/>
          <w:lang w:eastAsia="en-AU"/>
        </w:rPr>
        <w:t xml:space="preserve"> </w:t>
      </w:r>
      <w:r w:rsidRPr="6DEF3CB4">
        <w:rPr>
          <w:rFonts w:cs="Calibri Light"/>
          <w:lang w:eastAsia="en-AU"/>
        </w:rPr>
        <w:t>relationships based on respect and partnerships that create economic and social value for us all. To achieve this, Australia supports our partners to:</w:t>
      </w:r>
    </w:p>
    <w:p w14:paraId="52CF22F3" w14:textId="77777777" w:rsidR="007A46AD" w:rsidRPr="00BE6C84" w:rsidRDefault="007A46AD" w:rsidP="00E22138">
      <w:pPr>
        <w:pStyle w:val="NormalBullets-L1"/>
        <w:spacing w:before="120" w:after="120"/>
        <w:ind w:left="714" w:hanging="357"/>
      </w:pPr>
      <w:r w:rsidRPr="00BE6C84">
        <w:t xml:space="preserve">build effective, accountable states that drive their own </w:t>
      </w:r>
      <w:proofErr w:type="gramStart"/>
      <w:r w:rsidRPr="00BE6C84">
        <w:t>development</w:t>
      </w:r>
      <w:proofErr w:type="gramEnd"/>
    </w:p>
    <w:p w14:paraId="6F7CA981" w14:textId="77777777" w:rsidR="007A46AD" w:rsidRPr="00BE6C84" w:rsidRDefault="007A46AD" w:rsidP="00E22138">
      <w:pPr>
        <w:pStyle w:val="NormalBullets-L1"/>
        <w:spacing w:before="120" w:after="120"/>
        <w:ind w:left="714" w:hanging="357"/>
      </w:pPr>
      <w:r w:rsidRPr="00BE6C84">
        <w:t xml:space="preserve">enhance state and community resilience to external pressures and </w:t>
      </w:r>
      <w:proofErr w:type="gramStart"/>
      <w:r w:rsidRPr="00BE6C84">
        <w:t>shocks</w:t>
      </w:r>
      <w:proofErr w:type="gramEnd"/>
    </w:p>
    <w:p w14:paraId="1C7FA2EA" w14:textId="78F8FC92" w:rsidR="007A46AD" w:rsidRPr="00BE6C84" w:rsidRDefault="007A46AD" w:rsidP="00E22138">
      <w:pPr>
        <w:pStyle w:val="NormalBullets-L1"/>
        <w:spacing w:before="120" w:after="120"/>
        <w:ind w:left="714" w:hanging="357"/>
      </w:pPr>
      <w:r w:rsidRPr="3FB4FC53">
        <w:t xml:space="preserve">connect with Australia and regional </w:t>
      </w:r>
      <w:proofErr w:type="gramStart"/>
      <w:r w:rsidRPr="3FB4FC53">
        <w:t>architecture</w:t>
      </w:r>
      <w:proofErr w:type="gramEnd"/>
    </w:p>
    <w:p w14:paraId="6799B7F5" w14:textId="77777777" w:rsidR="007A46AD" w:rsidRPr="00BE6C84" w:rsidRDefault="007A46AD" w:rsidP="00E22138">
      <w:pPr>
        <w:pStyle w:val="NormalBullets-L1"/>
        <w:spacing w:before="120" w:after="120"/>
        <w:ind w:left="714" w:hanging="357"/>
      </w:pPr>
      <w:r w:rsidRPr="00BE6C84">
        <w:t>generate collective action on global challenges that impact us and our region.</w:t>
      </w:r>
    </w:p>
    <w:p w14:paraId="0F3320C0" w14:textId="19C89C55" w:rsidR="007A46AD" w:rsidRPr="00BE6C84" w:rsidRDefault="007A46AD" w:rsidP="00E90562">
      <w:pPr>
        <w:rPr>
          <w:lang w:eastAsia="en-AU"/>
        </w:rPr>
      </w:pPr>
      <w:r w:rsidRPr="3FB4FC53">
        <w:rPr>
          <w:lang w:eastAsia="en-AU"/>
        </w:rPr>
        <w:t>The Australia</w:t>
      </w:r>
      <w:r w:rsidR="00355CCF" w:rsidRPr="3FB4FC53">
        <w:rPr>
          <w:lang w:eastAsia="en-AU"/>
        </w:rPr>
        <w:t xml:space="preserve"> </w:t>
      </w:r>
      <w:r w:rsidRPr="3FB4FC53">
        <w:rPr>
          <w:lang w:eastAsia="en-AU"/>
        </w:rPr>
        <w:t>–</w:t>
      </w:r>
      <w:r w:rsidR="00355CCF" w:rsidRPr="3FB4FC53">
        <w:rPr>
          <w:lang w:eastAsia="en-AU"/>
        </w:rPr>
        <w:t xml:space="preserve"> </w:t>
      </w:r>
      <w:r w:rsidRPr="3FB4FC53">
        <w:rPr>
          <w:lang w:eastAsia="en-AU"/>
        </w:rPr>
        <w:t>Papua New Guinea Development Partnership Plan 2024</w:t>
      </w:r>
      <w:r w:rsidR="001C69A2" w:rsidRPr="3FB4FC53">
        <w:rPr>
          <w:lang w:eastAsia="en-AU"/>
        </w:rPr>
        <w:t>–</w:t>
      </w:r>
      <w:r w:rsidRPr="3FB4FC53">
        <w:rPr>
          <w:lang w:eastAsia="en-AU"/>
        </w:rPr>
        <w:t xml:space="preserve">2029 (DPP) translates into action the development priorities Australia shares with PNG. The DPP </w:t>
      </w:r>
      <w:r w:rsidR="00A2600F">
        <w:rPr>
          <w:lang w:eastAsia="en-AU"/>
        </w:rPr>
        <w:t>sets out agreed</w:t>
      </w:r>
      <w:r w:rsidRPr="3FB4FC53">
        <w:rPr>
          <w:lang w:eastAsia="en-AU"/>
        </w:rPr>
        <w:t xml:space="preserve"> objectives</w:t>
      </w:r>
      <w:r w:rsidR="00A2600F">
        <w:rPr>
          <w:lang w:eastAsia="en-AU"/>
        </w:rPr>
        <w:t>,</w:t>
      </w:r>
      <w:r w:rsidRPr="3FB4FC53">
        <w:rPr>
          <w:lang w:eastAsia="en-AU"/>
        </w:rPr>
        <w:t xml:space="preserve"> how we will work together to deliver shared outcomes, and how progress will be monitored. It also identifies where Australia can add value to PNG’s national development priorities and how Australia will work with other development actors, ensuring Australia</w:t>
      </w:r>
      <w:r w:rsidR="009F129D">
        <w:rPr>
          <w:lang w:eastAsia="en-AU"/>
        </w:rPr>
        <w:t xml:space="preserve">’s </w:t>
      </w:r>
      <w:r w:rsidRPr="3FB4FC53">
        <w:rPr>
          <w:lang w:eastAsia="en-AU"/>
        </w:rPr>
        <w:t>contribution to PNG’s development ambitions is well-coordinated.</w:t>
      </w:r>
    </w:p>
    <w:p w14:paraId="676A2FB8" w14:textId="0AE431F5" w:rsidR="0038561F" w:rsidRPr="004D5E27" w:rsidRDefault="007A46AD" w:rsidP="00E90562">
      <w:pPr>
        <w:rPr>
          <w:lang w:eastAsia="en-AU"/>
        </w:rPr>
      </w:pPr>
      <w:r w:rsidRPr="00BE6C84">
        <w:rPr>
          <w:lang w:eastAsia="en-AU"/>
        </w:rPr>
        <w:t xml:space="preserve">The DPP reflects the full spectrum of Australia’s development support – </w:t>
      </w:r>
      <w:r w:rsidR="00D41044">
        <w:rPr>
          <w:lang w:eastAsia="en-AU"/>
        </w:rPr>
        <w:t>Australian G</w:t>
      </w:r>
      <w:r>
        <w:rPr>
          <w:lang w:eastAsia="en-AU"/>
        </w:rPr>
        <w:t>overnment</w:t>
      </w:r>
      <w:r w:rsidRPr="00BE6C84">
        <w:rPr>
          <w:lang w:eastAsia="en-AU"/>
        </w:rPr>
        <w:t xml:space="preserve"> bilateral</w:t>
      </w:r>
      <w:r>
        <w:rPr>
          <w:lang w:eastAsia="en-AU"/>
        </w:rPr>
        <w:t xml:space="preserve"> </w:t>
      </w:r>
      <w:r w:rsidRPr="00BE6C84">
        <w:rPr>
          <w:lang w:eastAsia="en-AU"/>
        </w:rPr>
        <w:t>ODA as well as significant regional and global ODA and</w:t>
      </w:r>
      <w:r w:rsidRPr="00BE6C84" w:rsidDel="006B0F52">
        <w:rPr>
          <w:lang w:eastAsia="en-AU"/>
        </w:rPr>
        <w:t xml:space="preserve"> </w:t>
      </w:r>
      <w:r w:rsidRPr="00BE6C84">
        <w:rPr>
          <w:lang w:eastAsia="en-AU"/>
        </w:rPr>
        <w:t>non-ODA development activities. A commitment to ongoing dialogue and engagement with government and non-</w:t>
      </w:r>
      <w:r w:rsidRPr="67540A86">
        <w:rPr>
          <w:lang w:eastAsia="en-AU"/>
        </w:rPr>
        <w:t>government</w:t>
      </w:r>
      <w:r w:rsidRPr="00BE6C84">
        <w:rPr>
          <w:lang w:eastAsia="en-AU"/>
        </w:rPr>
        <w:t xml:space="preserve"> actors in support of a genuine and respectful partnership underpins this DPP. A mid</w:t>
      </w:r>
      <w:r w:rsidR="0019518F">
        <w:rPr>
          <w:lang w:eastAsia="en-AU"/>
        </w:rPr>
        <w:t>-</w:t>
      </w:r>
      <w:r w:rsidRPr="00BE6C84">
        <w:rPr>
          <w:lang w:eastAsia="en-AU"/>
        </w:rPr>
        <w:t>cycle review of the DPP will be undertaken.</w:t>
      </w:r>
    </w:p>
    <w:p w14:paraId="40B8F78B" w14:textId="71ABB980" w:rsidR="00CB2F38" w:rsidRDefault="3918C69D" w:rsidP="39646263">
      <w:pPr>
        <w:spacing w:before="240" w:after="240" w:line="240" w:lineRule="auto"/>
        <w:rPr>
          <w:rFonts w:eastAsiaTheme="minorEastAsia" w:cstheme="minorBidi"/>
          <w:lang w:eastAsia="en-AU"/>
        </w:rPr>
      </w:pPr>
      <w:r w:rsidRPr="39646263">
        <w:rPr>
          <w:rFonts w:cs="Calibri Light"/>
          <w:lang w:eastAsia="en-AU"/>
        </w:rPr>
        <w:t>The DPP sets a high level of ambition for our cooperation in expanding Australia’s efforts and emphasis in several areas, in line with the principles and priorities set out in the PNG</w:t>
      </w:r>
      <w:r w:rsidR="00DC6BC8">
        <w:rPr>
          <w:rFonts w:cs="Calibri Light"/>
          <w:lang w:eastAsia="en-AU"/>
        </w:rPr>
        <w:t>–Australia</w:t>
      </w:r>
      <w:r w:rsidRPr="39646263">
        <w:rPr>
          <w:rFonts w:cs="Calibri Light"/>
          <w:lang w:eastAsia="en-AU"/>
        </w:rPr>
        <w:t xml:space="preserve"> Comprehensive Strategic and Economic Partnership (CSEP)</w:t>
      </w:r>
      <w:r w:rsidR="00C63EFD">
        <w:rPr>
          <w:rFonts w:cs="Calibri Light"/>
          <w:lang w:eastAsia="en-AU"/>
        </w:rPr>
        <w:t>,</w:t>
      </w:r>
      <w:r w:rsidRPr="39646263">
        <w:rPr>
          <w:rFonts w:cs="Calibri Light"/>
          <w:lang w:eastAsia="en-AU"/>
        </w:rPr>
        <w:t xml:space="preserve"> the Bilateral Security Agreement (BSA) and PNG’s Medium</w:t>
      </w:r>
      <w:r w:rsidR="00C63EFD">
        <w:rPr>
          <w:rFonts w:cs="Calibri Light"/>
          <w:lang w:eastAsia="en-AU"/>
        </w:rPr>
        <w:t>-</w:t>
      </w:r>
      <w:r w:rsidRPr="39646263">
        <w:rPr>
          <w:rFonts w:cs="Calibri Light"/>
          <w:lang w:eastAsia="en-AU"/>
        </w:rPr>
        <w:t xml:space="preserve">Term Development Plan IV. </w:t>
      </w:r>
      <w:r w:rsidRPr="39646263">
        <w:rPr>
          <w:rFonts w:eastAsiaTheme="minorEastAsia" w:cstheme="minorBidi"/>
          <w:lang w:eastAsia="en-AU"/>
        </w:rPr>
        <w:t xml:space="preserve">Key </w:t>
      </w:r>
      <w:r w:rsidR="42AC0074" w:rsidRPr="39646263">
        <w:rPr>
          <w:rFonts w:eastAsiaTheme="minorEastAsia" w:cstheme="minorBidi"/>
          <w:lang w:eastAsia="en-AU"/>
        </w:rPr>
        <w:t xml:space="preserve">changes to </w:t>
      </w:r>
      <w:r w:rsidRPr="39646263">
        <w:rPr>
          <w:rFonts w:eastAsiaTheme="minorEastAsia" w:cstheme="minorBidi"/>
          <w:lang w:eastAsia="en-AU"/>
        </w:rPr>
        <w:t>Australia’s approach under the DPP will include:</w:t>
      </w:r>
    </w:p>
    <w:p w14:paraId="12FD54A8" w14:textId="63F86A12" w:rsidR="00CB2F38" w:rsidRDefault="0076393D" w:rsidP="00E22138">
      <w:pPr>
        <w:pStyle w:val="NormalBullets-L1"/>
        <w:spacing w:before="120" w:after="120"/>
        <w:ind w:left="714" w:hanging="357"/>
      </w:pPr>
      <w:r>
        <w:lastRenderedPageBreak/>
        <w:t>s</w:t>
      </w:r>
      <w:r w:rsidR="00CB2F38">
        <w:t>caling up i</w:t>
      </w:r>
      <w:r w:rsidR="00CB2F38" w:rsidRPr="6A6E2F26">
        <w:t>nvestments in critical economic and social infrastructure from $200</w:t>
      </w:r>
      <w:r>
        <w:t> </w:t>
      </w:r>
      <w:r w:rsidR="00CB2F38" w:rsidRPr="6A6E2F26">
        <w:t>m</w:t>
      </w:r>
      <w:r>
        <w:t>illion</w:t>
      </w:r>
      <w:r w:rsidR="00CB2F38" w:rsidRPr="6A6E2F26">
        <w:t xml:space="preserve"> annually to $250</w:t>
      </w:r>
      <w:r>
        <w:t> </w:t>
      </w:r>
      <w:r w:rsidR="00CB2F38" w:rsidRPr="6A6E2F26">
        <w:t>m</w:t>
      </w:r>
      <w:r>
        <w:t>illion annually</w:t>
      </w:r>
      <w:r w:rsidR="00CB2F38" w:rsidRPr="6A6E2F26">
        <w:t xml:space="preserve"> (incl</w:t>
      </w:r>
      <w:r w:rsidR="00C63EFD">
        <w:t>uding</w:t>
      </w:r>
      <w:r w:rsidR="00CB2F38" w:rsidRPr="6A6E2F26">
        <w:t xml:space="preserve"> AIFFP)</w:t>
      </w:r>
      <w:r w:rsidR="00CF1571">
        <w:t xml:space="preserve">, recognising the role this will play in PNG’s future </w:t>
      </w:r>
      <w:proofErr w:type="gramStart"/>
      <w:r w:rsidR="00CF1571">
        <w:t>prosperity</w:t>
      </w:r>
      <w:proofErr w:type="gramEnd"/>
    </w:p>
    <w:p w14:paraId="1BA57D9C" w14:textId="55D4A9B1" w:rsidR="00CB2F38" w:rsidRDefault="0076393D" w:rsidP="00E22138">
      <w:pPr>
        <w:pStyle w:val="NormalBullets-L1"/>
        <w:spacing w:before="120" w:after="120"/>
        <w:ind w:left="714" w:hanging="357"/>
      </w:pPr>
      <w:r>
        <w:t>i</w:t>
      </w:r>
      <w:r w:rsidR="00CB2F38" w:rsidRPr="6A6E2F26">
        <w:t>ncreas</w:t>
      </w:r>
      <w:r w:rsidR="00CB2F38">
        <w:t>ing</w:t>
      </w:r>
      <w:r w:rsidR="00CB2F38" w:rsidRPr="6A6E2F26">
        <w:t xml:space="preserve"> support for internal security through our $200</w:t>
      </w:r>
      <w:r>
        <w:t> </w:t>
      </w:r>
      <w:r w:rsidR="00CB2F38" w:rsidRPr="6A6E2F26">
        <w:t>million B</w:t>
      </w:r>
      <w:r w:rsidR="00DF7020">
        <w:t>SA</w:t>
      </w:r>
      <w:r w:rsidR="00CB2F38" w:rsidRPr="6A6E2F26">
        <w:t xml:space="preserve"> package, in areas such as policing and police infrastructure, law and justice, cyber security, climate change and gender</w:t>
      </w:r>
      <w:r>
        <w:noBreakHyphen/>
      </w:r>
      <w:r w:rsidR="00CB2F38" w:rsidRPr="6A6E2F26">
        <w:t>based violence</w:t>
      </w:r>
    </w:p>
    <w:p w14:paraId="36D09593" w14:textId="4E4951A2" w:rsidR="00CB2F38" w:rsidRDefault="0076393D" w:rsidP="00E22138">
      <w:pPr>
        <w:pStyle w:val="NormalBullets-L1"/>
        <w:spacing w:before="120" w:after="120"/>
        <w:ind w:left="714" w:hanging="357"/>
      </w:pPr>
      <w:r>
        <w:t>b</w:t>
      </w:r>
      <w:r w:rsidR="00CB2F38">
        <w:t>oosting investment in e</w:t>
      </w:r>
      <w:r w:rsidR="00CB2F38" w:rsidRPr="6A6E2F26">
        <w:t>ducation from $75</w:t>
      </w:r>
      <w:r>
        <w:t> </w:t>
      </w:r>
      <w:r w:rsidR="00CB2F38" w:rsidRPr="6A6E2F26">
        <w:t>m</w:t>
      </w:r>
      <w:r>
        <w:t>illion annually</w:t>
      </w:r>
      <w:r w:rsidR="00CB2F38" w:rsidRPr="6A6E2F26">
        <w:t xml:space="preserve"> to $100</w:t>
      </w:r>
      <w:r>
        <w:t> </w:t>
      </w:r>
      <w:r w:rsidR="00CB2F38" w:rsidRPr="6A6E2F26">
        <w:t>m</w:t>
      </w:r>
      <w:r>
        <w:t>illion</w:t>
      </w:r>
      <w:r w:rsidR="00CB2F38">
        <w:t xml:space="preserve"> </w:t>
      </w:r>
      <w:r w:rsidR="00CB2F38" w:rsidRPr="6A6E2F26">
        <w:t>annually</w:t>
      </w:r>
      <w:r w:rsidR="00CF1571">
        <w:t>, in joint recognition that high</w:t>
      </w:r>
      <w:r>
        <w:noBreakHyphen/>
      </w:r>
      <w:r w:rsidR="00CF1571">
        <w:t xml:space="preserve">quality education is a key vehicle for human </w:t>
      </w:r>
      <w:proofErr w:type="gramStart"/>
      <w:r w:rsidR="00CF1571">
        <w:t>development</w:t>
      </w:r>
      <w:proofErr w:type="gramEnd"/>
    </w:p>
    <w:p w14:paraId="7B070250" w14:textId="6DCDA571" w:rsidR="00CB2F38" w:rsidRDefault="0076393D" w:rsidP="00E22138">
      <w:pPr>
        <w:pStyle w:val="NormalBullets-L1"/>
        <w:spacing w:before="120" w:after="120"/>
        <w:ind w:left="714" w:hanging="357"/>
      </w:pPr>
      <w:r>
        <w:t>i</w:t>
      </w:r>
      <w:r w:rsidR="00CB2F38" w:rsidRPr="71DC78BE">
        <w:t>ntegrating climate considerations across the full breadth of programming</w:t>
      </w:r>
    </w:p>
    <w:p w14:paraId="56F0B611" w14:textId="07149944" w:rsidR="00CB2F38" w:rsidRDefault="0076393D" w:rsidP="00E22138">
      <w:pPr>
        <w:pStyle w:val="NormalBullets-L1"/>
        <w:spacing w:before="120" w:after="120"/>
        <w:ind w:left="714" w:hanging="357"/>
      </w:pPr>
      <w:r>
        <w:t>i</w:t>
      </w:r>
      <w:r w:rsidR="00CB2F38" w:rsidRPr="00294BBA">
        <w:t>ntensifying efforts on</w:t>
      </w:r>
      <w:r w:rsidR="00CB2F38">
        <w:t xml:space="preserve"> the promotion of</w:t>
      </w:r>
      <w:r w:rsidR="00CB2F38" w:rsidRPr="00294BBA">
        <w:t xml:space="preserve"> gender equality and disability</w:t>
      </w:r>
      <w:r>
        <w:noBreakHyphen/>
      </w:r>
      <w:r w:rsidR="00CB2F38" w:rsidRPr="00294BBA">
        <w:t>inclusive development</w:t>
      </w:r>
    </w:p>
    <w:p w14:paraId="6B857F84" w14:textId="43384D10" w:rsidR="00CB2F38" w:rsidRDefault="0076393D" w:rsidP="00E22138">
      <w:pPr>
        <w:pStyle w:val="NormalBullets-L1"/>
        <w:spacing w:before="120" w:after="120"/>
        <w:ind w:left="714" w:hanging="357"/>
      </w:pPr>
      <w:r>
        <w:t>b</w:t>
      </w:r>
      <w:r w:rsidR="00CB2F38">
        <w:t>uilding longer</w:t>
      </w:r>
      <w:r>
        <w:noBreakHyphen/>
      </w:r>
      <w:r w:rsidR="00CB2F38">
        <w:t xml:space="preserve">term partnerships with </w:t>
      </w:r>
      <w:r w:rsidR="00CB2F38" w:rsidRPr="71DC78BE">
        <w:t>civil society organisations</w:t>
      </w:r>
    </w:p>
    <w:p w14:paraId="7B79E6E2" w14:textId="36D5CF75" w:rsidR="00CB2F38" w:rsidRDefault="0076393D" w:rsidP="00E22138">
      <w:pPr>
        <w:pStyle w:val="NormalBullets-L1"/>
        <w:spacing w:before="120" w:after="120"/>
        <w:ind w:left="714" w:hanging="357"/>
      </w:pPr>
      <w:r>
        <w:t>e</w:t>
      </w:r>
      <w:r w:rsidR="00CB2F38" w:rsidRPr="50D75309">
        <w:t>stablishing new cross</w:t>
      </w:r>
      <w:r>
        <w:noBreakHyphen/>
      </w:r>
      <w:r w:rsidR="00CB2F38" w:rsidRPr="50D75309">
        <w:t>cutting targets, including on local</w:t>
      </w:r>
      <w:r w:rsidR="00CB2F38">
        <w:t>ly</w:t>
      </w:r>
      <w:r>
        <w:noBreakHyphen/>
      </w:r>
      <w:r w:rsidR="00CB2F38">
        <w:t xml:space="preserve">led </w:t>
      </w:r>
      <w:proofErr w:type="gramStart"/>
      <w:r w:rsidR="00CB2F38">
        <w:t>development</w:t>
      </w:r>
      <w:proofErr w:type="gramEnd"/>
    </w:p>
    <w:p w14:paraId="0E9B56BA" w14:textId="438486CF" w:rsidR="00CB2F38" w:rsidRDefault="0076393D" w:rsidP="00E22138">
      <w:pPr>
        <w:pStyle w:val="NormalBullets-L1"/>
        <w:spacing w:before="120" w:after="120"/>
        <w:ind w:left="714" w:hanging="357"/>
      </w:pPr>
      <w:r>
        <w:t>e</w:t>
      </w:r>
      <w:r w:rsidR="00CB2F38" w:rsidRPr="6A6E2F26">
        <w:t>xpanding labour mobility and migration opportunities</w:t>
      </w:r>
    </w:p>
    <w:p w14:paraId="318CB8F7" w14:textId="3956CED1" w:rsidR="007A46AD" w:rsidRDefault="0076393D" w:rsidP="00E22138">
      <w:pPr>
        <w:pStyle w:val="NormalBullets-L1"/>
        <w:spacing w:before="120" w:after="120"/>
        <w:ind w:left="714" w:hanging="357"/>
        <w:rPr>
          <w:color w:val="313E48" w:themeColor="text2"/>
        </w:rPr>
      </w:pPr>
      <w:r>
        <w:t>i</w:t>
      </w:r>
      <w:r w:rsidR="00CB2F38" w:rsidRPr="6A6E2F26">
        <w:t>ncreas</w:t>
      </w:r>
      <w:r w:rsidR="00CB2F38">
        <w:t>ing</w:t>
      </w:r>
      <w:r w:rsidR="00CB2F38" w:rsidRPr="6A6E2F26">
        <w:t xml:space="preserve"> efforts to streamline travel between the two countries.</w:t>
      </w:r>
    </w:p>
    <w:p w14:paraId="7EA09F63" w14:textId="346A5DB7" w:rsidR="007A46AD" w:rsidRDefault="007A46AD" w:rsidP="00E90562">
      <w:pPr>
        <w:rPr>
          <w:lang w:eastAsia="en-AU"/>
        </w:rPr>
      </w:pPr>
      <w:r w:rsidRPr="44328C24">
        <w:rPr>
          <w:lang w:eastAsia="en-AU"/>
        </w:rPr>
        <w:t>Beyond these</w:t>
      </w:r>
      <w:r w:rsidRPr="4248DB2F">
        <w:rPr>
          <w:lang w:eastAsia="en-AU"/>
        </w:rPr>
        <w:t xml:space="preserve">, we will </w:t>
      </w:r>
      <w:r>
        <w:rPr>
          <w:lang w:eastAsia="en-AU"/>
        </w:rPr>
        <w:t>r</w:t>
      </w:r>
      <w:r w:rsidRPr="007970E7">
        <w:rPr>
          <w:lang w:eastAsia="en-AU"/>
        </w:rPr>
        <w:t xml:space="preserve">emain engaged across a range of other sectors, including health, </w:t>
      </w:r>
      <w:proofErr w:type="gramStart"/>
      <w:r w:rsidRPr="007970E7">
        <w:rPr>
          <w:lang w:eastAsia="en-AU"/>
        </w:rPr>
        <w:t>governance</w:t>
      </w:r>
      <w:proofErr w:type="gramEnd"/>
      <w:r w:rsidRPr="007970E7">
        <w:rPr>
          <w:lang w:eastAsia="en-AU"/>
        </w:rPr>
        <w:t xml:space="preserve"> and agriculture. </w:t>
      </w:r>
      <w:r w:rsidR="00E661F4" w:rsidRPr="00E90562">
        <w:rPr>
          <w:lang w:eastAsia="en-AU"/>
        </w:rPr>
        <w:t>We will celebrate PNG’s achievement of 50 years of independence in 2025 and build on our strong people</w:t>
      </w:r>
      <w:r w:rsidR="007970E7" w:rsidRPr="007970E7">
        <w:rPr>
          <w:lang w:eastAsia="en-AU"/>
        </w:rPr>
        <w:t>-to-people</w:t>
      </w:r>
      <w:r w:rsidR="00E661F4" w:rsidRPr="00E90562">
        <w:rPr>
          <w:lang w:eastAsia="en-AU"/>
        </w:rPr>
        <w:t xml:space="preserve"> links and shared values, including our mutual love of sport</w:t>
      </w:r>
      <w:r w:rsidR="00E661F4" w:rsidRPr="007970E7">
        <w:rPr>
          <w:lang w:eastAsia="en-AU"/>
        </w:rPr>
        <w:t xml:space="preserve">. </w:t>
      </w:r>
      <w:r w:rsidRPr="007970E7">
        <w:rPr>
          <w:lang w:eastAsia="en-AU"/>
        </w:rPr>
        <w:t>O</w:t>
      </w:r>
      <w:r w:rsidRPr="3037C1FC">
        <w:rPr>
          <w:lang w:eastAsia="en-AU"/>
        </w:rPr>
        <w:t xml:space="preserve">ur </w:t>
      </w:r>
      <w:r w:rsidRPr="5741E586">
        <w:rPr>
          <w:lang w:eastAsia="en-AU"/>
        </w:rPr>
        <w:t xml:space="preserve">broad </w:t>
      </w:r>
      <w:r w:rsidRPr="13912D94">
        <w:rPr>
          <w:lang w:eastAsia="en-AU"/>
        </w:rPr>
        <w:t xml:space="preserve">development </w:t>
      </w:r>
      <w:r w:rsidRPr="3FB3B930">
        <w:rPr>
          <w:lang w:eastAsia="en-AU"/>
        </w:rPr>
        <w:t xml:space="preserve">cooperation </w:t>
      </w:r>
      <w:r w:rsidRPr="67540A86">
        <w:rPr>
          <w:lang w:eastAsia="en-AU"/>
        </w:rPr>
        <w:t xml:space="preserve">is </w:t>
      </w:r>
      <w:r w:rsidRPr="3FB3B930">
        <w:rPr>
          <w:lang w:eastAsia="en-AU"/>
        </w:rPr>
        <w:t>reflective</w:t>
      </w:r>
      <w:r w:rsidRPr="13912D94">
        <w:rPr>
          <w:lang w:eastAsia="en-AU"/>
        </w:rPr>
        <w:t xml:space="preserve"> of our</w:t>
      </w:r>
      <w:r>
        <w:rPr>
          <w:lang w:eastAsia="en-AU"/>
        </w:rPr>
        <w:t xml:space="preserve"> </w:t>
      </w:r>
      <w:r w:rsidRPr="13912D94">
        <w:rPr>
          <w:lang w:eastAsia="en-AU"/>
        </w:rPr>
        <w:t>enduring commitment as close neighbours</w:t>
      </w:r>
      <w:r w:rsidRPr="3FB3B930">
        <w:rPr>
          <w:lang w:eastAsia="en-AU"/>
        </w:rPr>
        <w:t xml:space="preserve">, </w:t>
      </w:r>
      <w:r w:rsidRPr="13912D94">
        <w:rPr>
          <w:lang w:eastAsia="en-AU"/>
        </w:rPr>
        <w:t>the breadth of PNG’s development needs</w:t>
      </w:r>
      <w:r>
        <w:rPr>
          <w:lang w:eastAsia="en-AU"/>
        </w:rPr>
        <w:t xml:space="preserve"> and </w:t>
      </w:r>
      <w:r w:rsidRPr="3FB3B930">
        <w:rPr>
          <w:lang w:eastAsia="en-AU"/>
        </w:rPr>
        <w:t xml:space="preserve">our </w:t>
      </w:r>
      <w:r w:rsidRPr="024B06BC">
        <w:rPr>
          <w:lang w:eastAsia="en-AU"/>
        </w:rPr>
        <w:t>many</w:t>
      </w:r>
      <w:r w:rsidRPr="13912D94">
        <w:rPr>
          <w:lang w:eastAsia="en-AU"/>
        </w:rPr>
        <w:t xml:space="preserve"> shared interests. To achieve impact, our programs will support the PNG Government to lead its own development through long-term and predictable investments in state capacity and systems</w:t>
      </w:r>
      <w:r w:rsidRPr="526BD325">
        <w:rPr>
          <w:lang w:eastAsia="en-AU"/>
        </w:rPr>
        <w:t>.</w:t>
      </w:r>
      <w:r w:rsidRPr="33989012">
        <w:rPr>
          <w:lang w:eastAsia="en-AU"/>
        </w:rPr>
        <w:t xml:space="preserve"> </w:t>
      </w:r>
      <w:r w:rsidRPr="21964D42">
        <w:rPr>
          <w:lang w:eastAsia="en-AU"/>
        </w:rPr>
        <w:t>Our enduring commitment, reflected in this DPP, is to make our already strong relationship even stronger.</w:t>
      </w:r>
    </w:p>
    <w:p w14:paraId="78078B01" w14:textId="77777777" w:rsidR="002F4955" w:rsidRPr="00DC48C8" w:rsidRDefault="002F4955" w:rsidP="00720C8B">
      <w:pPr>
        <w:pStyle w:val="H3-Heading3"/>
        <w:rPr>
          <w:lang w:eastAsia="en-AU"/>
        </w:rPr>
      </w:pPr>
      <w:r w:rsidRPr="1807533D">
        <w:rPr>
          <w:lang w:eastAsia="en-AU"/>
        </w:rPr>
        <w:t xml:space="preserve">Preparing the </w:t>
      </w:r>
      <w:r w:rsidRPr="008667F0">
        <w:t>Development</w:t>
      </w:r>
      <w:r w:rsidRPr="1807533D">
        <w:rPr>
          <w:lang w:eastAsia="en-AU"/>
        </w:rPr>
        <w:t xml:space="preserve"> </w:t>
      </w:r>
      <w:r w:rsidRPr="00E90562">
        <w:t>Partnership</w:t>
      </w:r>
      <w:r w:rsidRPr="1807533D">
        <w:rPr>
          <w:lang w:eastAsia="en-AU"/>
        </w:rPr>
        <w:t xml:space="preserve"> Plan</w:t>
      </w:r>
    </w:p>
    <w:p w14:paraId="4BC671A9" w14:textId="444B4B66" w:rsidR="007C0A3D" w:rsidRDefault="007C0A3D" w:rsidP="00E90562">
      <w:pPr>
        <w:rPr>
          <w:lang w:eastAsia="en-AU"/>
        </w:rPr>
      </w:pPr>
      <w:r w:rsidRPr="008E6E3C">
        <w:rPr>
          <w:lang w:eastAsia="en-AU"/>
        </w:rPr>
        <w:t xml:space="preserve">The DPP is informed by extensive consultations in PNG and Australia. This included </w:t>
      </w:r>
      <w:r w:rsidRPr="00D71F2C">
        <w:rPr>
          <w:lang w:eastAsia="en-AU"/>
        </w:rPr>
        <w:t>discussions</w:t>
      </w:r>
      <w:r w:rsidRPr="008E6E3C">
        <w:rPr>
          <w:lang w:eastAsia="en-AU"/>
        </w:rPr>
        <w:t xml:space="preserve"> with PNG </w:t>
      </w:r>
      <w:r>
        <w:rPr>
          <w:lang w:eastAsia="en-AU"/>
        </w:rPr>
        <w:t xml:space="preserve">Government </w:t>
      </w:r>
      <w:r w:rsidRPr="008E6E3C">
        <w:rPr>
          <w:lang w:eastAsia="en-AU"/>
        </w:rPr>
        <w:t xml:space="preserve">stakeholders, including </w:t>
      </w:r>
      <w:r w:rsidR="0065609A">
        <w:rPr>
          <w:lang w:eastAsia="en-AU"/>
        </w:rPr>
        <w:t>m</w:t>
      </w:r>
      <w:r w:rsidRPr="008E6E3C">
        <w:rPr>
          <w:lang w:eastAsia="en-AU"/>
        </w:rPr>
        <w:t xml:space="preserve">inisters, </w:t>
      </w:r>
      <w:r w:rsidR="0065609A">
        <w:rPr>
          <w:lang w:eastAsia="en-AU"/>
        </w:rPr>
        <w:t>m</w:t>
      </w:r>
      <w:r w:rsidRPr="008E6E3C">
        <w:rPr>
          <w:lang w:eastAsia="en-AU"/>
        </w:rPr>
        <w:t xml:space="preserve">embers of </w:t>
      </w:r>
      <w:r w:rsidR="0065609A">
        <w:rPr>
          <w:lang w:eastAsia="en-AU"/>
        </w:rPr>
        <w:t>p</w:t>
      </w:r>
      <w:r w:rsidRPr="008E6E3C">
        <w:rPr>
          <w:lang w:eastAsia="en-AU"/>
        </w:rPr>
        <w:t>arliament and government officials</w:t>
      </w:r>
      <w:r>
        <w:rPr>
          <w:lang w:eastAsia="en-AU"/>
        </w:rPr>
        <w:t xml:space="preserve">, and across the </w:t>
      </w:r>
      <w:r w:rsidRPr="008E6E3C">
        <w:rPr>
          <w:lang w:eastAsia="en-AU"/>
        </w:rPr>
        <w:t xml:space="preserve">Australian </w:t>
      </w:r>
      <w:r w:rsidR="00E771F9">
        <w:rPr>
          <w:lang w:eastAsia="en-AU"/>
        </w:rPr>
        <w:t>G</w:t>
      </w:r>
      <w:r>
        <w:rPr>
          <w:lang w:eastAsia="en-AU"/>
        </w:rPr>
        <w:t>overnment. In Australia and PNG, we spoke with</w:t>
      </w:r>
      <w:r w:rsidRPr="008E6E3C">
        <w:rPr>
          <w:lang w:eastAsia="en-AU"/>
        </w:rPr>
        <w:t xml:space="preserve"> non-government organisations,</w:t>
      </w:r>
      <w:r>
        <w:rPr>
          <w:lang w:eastAsia="en-AU"/>
        </w:rPr>
        <w:t xml:space="preserve"> civil society</w:t>
      </w:r>
      <w:r w:rsidR="00C73296">
        <w:rPr>
          <w:lang w:eastAsia="en-AU"/>
        </w:rPr>
        <w:t xml:space="preserve"> </w:t>
      </w:r>
      <w:r w:rsidR="00C73296" w:rsidRPr="00E90562">
        <w:rPr>
          <w:lang w:eastAsia="en-AU"/>
        </w:rPr>
        <w:t>org</w:t>
      </w:r>
      <w:r w:rsidR="0011360A" w:rsidRPr="00E90562">
        <w:rPr>
          <w:lang w:eastAsia="en-AU"/>
        </w:rPr>
        <w:t>anisations</w:t>
      </w:r>
      <w:r w:rsidRPr="00226A5A">
        <w:rPr>
          <w:lang w:eastAsia="en-AU"/>
        </w:rPr>
        <w:t>,</w:t>
      </w:r>
      <w:r>
        <w:rPr>
          <w:lang w:eastAsia="en-AU"/>
        </w:rPr>
        <w:t xml:space="preserve"> businesses, think tanks and academia, and</w:t>
      </w:r>
      <w:r w:rsidRPr="008E6E3C">
        <w:rPr>
          <w:lang w:eastAsia="en-AU"/>
        </w:rPr>
        <w:t xml:space="preserve"> bilateral and multilateral partners.</w:t>
      </w:r>
    </w:p>
    <w:p w14:paraId="00E56219" w14:textId="6284DE24" w:rsidR="002F4955" w:rsidRDefault="007C0A3D" w:rsidP="007C245E">
      <w:pPr>
        <w:rPr>
          <w:lang w:eastAsia="en-AU"/>
        </w:rPr>
      </w:pPr>
      <w:r w:rsidRPr="00B811DE">
        <w:rPr>
          <w:lang w:eastAsia="en-AU"/>
        </w:rPr>
        <w:t xml:space="preserve">In line with </w:t>
      </w:r>
      <w:r>
        <w:rPr>
          <w:lang w:eastAsia="en-AU"/>
        </w:rPr>
        <w:t>Australia’s</w:t>
      </w:r>
      <w:r w:rsidRPr="00B811DE">
        <w:rPr>
          <w:lang w:eastAsia="en-AU"/>
        </w:rPr>
        <w:t xml:space="preserve"> International Development Policy, targeted consultations were held </w:t>
      </w:r>
      <w:r>
        <w:rPr>
          <w:lang w:eastAsia="en-AU"/>
        </w:rPr>
        <w:t>covering</w:t>
      </w:r>
      <w:r w:rsidRPr="00B811DE">
        <w:rPr>
          <w:lang w:eastAsia="en-AU"/>
        </w:rPr>
        <w:t xml:space="preserve"> locally led development, </w:t>
      </w:r>
      <w:r w:rsidR="00B26F3D">
        <w:rPr>
          <w:lang w:eastAsia="en-AU"/>
        </w:rPr>
        <w:t>F</w:t>
      </w:r>
      <w:r w:rsidRPr="00B811DE">
        <w:rPr>
          <w:lang w:eastAsia="en-AU"/>
        </w:rPr>
        <w:t xml:space="preserve">irst </w:t>
      </w:r>
      <w:r w:rsidR="00B26F3D">
        <w:rPr>
          <w:lang w:eastAsia="en-AU"/>
        </w:rPr>
        <w:t>N</w:t>
      </w:r>
      <w:r w:rsidRPr="00B811DE">
        <w:rPr>
          <w:lang w:eastAsia="en-AU"/>
        </w:rPr>
        <w:t>ations diplomacy, climate change</w:t>
      </w:r>
      <w:r w:rsidR="005E1964">
        <w:rPr>
          <w:lang w:eastAsia="en-AU"/>
        </w:rPr>
        <w:t>,</w:t>
      </w:r>
      <w:r w:rsidRPr="00B811DE">
        <w:rPr>
          <w:lang w:eastAsia="en-AU"/>
        </w:rPr>
        <w:t xml:space="preserve"> and gender equality, </w:t>
      </w:r>
      <w:proofErr w:type="gramStart"/>
      <w:r w:rsidRPr="00B811DE">
        <w:rPr>
          <w:lang w:eastAsia="en-AU"/>
        </w:rPr>
        <w:t>disability</w:t>
      </w:r>
      <w:proofErr w:type="gramEnd"/>
      <w:r w:rsidRPr="00B811DE">
        <w:rPr>
          <w:lang w:eastAsia="en-AU"/>
        </w:rPr>
        <w:t xml:space="preserve"> and social inclusion (GEDSI). This included a roundtable on locally led development </w:t>
      </w:r>
      <w:r w:rsidRPr="431E459F">
        <w:rPr>
          <w:lang w:eastAsia="en-AU"/>
        </w:rPr>
        <w:t>in Port Moresby supported by</w:t>
      </w:r>
      <w:r w:rsidRPr="00B811DE">
        <w:rPr>
          <w:lang w:eastAsia="en-AU"/>
        </w:rPr>
        <w:t xml:space="preserve"> Australia’s Ambassador for First Nations People.</w:t>
      </w:r>
    </w:p>
    <w:p w14:paraId="4DB2795D" w14:textId="1E4AF4F4" w:rsidR="00F138DA" w:rsidRPr="00E90562" w:rsidRDefault="009D3AC4" w:rsidP="00E90562">
      <w:pPr>
        <w:rPr>
          <w:lang w:eastAsia="en-AU"/>
        </w:rPr>
      </w:pPr>
      <w:r w:rsidRPr="00E90562">
        <w:rPr>
          <w:lang w:eastAsia="en-AU"/>
        </w:rPr>
        <w:t>Consultations</w:t>
      </w:r>
      <w:r w:rsidR="00F138DA" w:rsidRPr="00E90562">
        <w:rPr>
          <w:lang w:eastAsia="en-AU"/>
        </w:rPr>
        <w:t xml:space="preserve"> emphasised the importance of aligning with PNG’s priorities. </w:t>
      </w:r>
      <w:r w:rsidR="00A653AE" w:rsidRPr="00E90562">
        <w:rPr>
          <w:lang w:eastAsia="en-AU"/>
        </w:rPr>
        <w:t>S</w:t>
      </w:r>
      <w:r w:rsidR="00F138DA" w:rsidRPr="00E90562">
        <w:rPr>
          <w:lang w:eastAsia="en-AU"/>
        </w:rPr>
        <w:t xml:space="preserve">takeholders </w:t>
      </w:r>
      <w:r w:rsidR="00A653AE" w:rsidRPr="00E90562">
        <w:rPr>
          <w:lang w:eastAsia="en-AU"/>
        </w:rPr>
        <w:t>encouraged</w:t>
      </w:r>
      <w:r w:rsidR="00F138DA" w:rsidRPr="00E90562">
        <w:rPr>
          <w:lang w:eastAsia="en-AU"/>
        </w:rPr>
        <w:t xml:space="preserve"> Australia </w:t>
      </w:r>
      <w:r w:rsidR="00A653AE" w:rsidRPr="00E90562">
        <w:rPr>
          <w:lang w:eastAsia="en-AU"/>
        </w:rPr>
        <w:t>to continue investment in</w:t>
      </w:r>
      <w:r w:rsidR="00CF1571" w:rsidRPr="00E90562">
        <w:rPr>
          <w:lang w:eastAsia="en-AU"/>
        </w:rPr>
        <w:t xml:space="preserve"> existing</w:t>
      </w:r>
      <w:r w:rsidR="00A653AE" w:rsidRPr="00E90562">
        <w:rPr>
          <w:lang w:eastAsia="en-AU"/>
        </w:rPr>
        <w:t xml:space="preserve"> </w:t>
      </w:r>
      <w:r w:rsidR="00F138DA" w:rsidRPr="00E90562">
        <w:rPr>
          <w:lang w:eastAsia="en-AU"/>
        </w:rPr>
        <w:t>areas, highlighting the need for the development program to remain broad, focused on impact, and targeted towards supporting PNG priorities across all sectors.</w:t>
      </w:r>
    </w:p>
    <w:p w14:paraId="4102949D" w14:textId="50ECA7A2" w:rsidR="00562680" w:rsidRDefault="00B66225">
      <w:pPr>
        <w:spacing w:before="0" w:after="0" w:line="240" w:lineRule="auto"/>
        <w:rPr>
          <w:rFonts w:asciiTheme="minorHAnsi" w:eastAsiaTheme="majorEastAsia" w:hAnsiTheme="minorHAnsi" w:cstheme="minorHAnsi"/>
          <w:b/>
          <w:bCs/>
          <w:color w:val="313E48"/>
          <w:sz w:val="36"/>
          <w:szCs w:val="32"/>
        </w:rPr>
      </w:pPr>
      <w:r w:rsidRPr="00E90562">
        <w:rPr>
          <w:lang w:eastAsia="en-AU"/>
        </w:rPr>
        <w:t>Among the</w:t>
      </w:r>
      <w:r w:rsidR="00A653AE" w:rsidRPr="00E90562">
        <w:rPr>
          <w:lang w:eastAsia="en-AU"/>
        </w:rPr>
        <w:t xml:space="preserve"> divers</w:t>
      </w:r>
      <w:r w:rsidRPr="00E90562">
        <w:rPr>
          <w:lang w:eastAsia="en-AU"/>
        </w:rPr>
        <w:t>e</w:t>
      </w:r>
      <w:r w:rsidR="00A653AE" w:rsidRPr="00E90562">
        <w:rPr>
          <w:lang w:eastAsia="en-AU"/>
        </w:rPr>
        <w:t xml:space="preserve"> view</w:t>
      </w:r>
      <w:r w:rsidR="00CF1571" w:rsidRPr="00E90562">
        <w:rPr>
          <w:lang w:eastAsia="en-AU"/>
        </w:rPr>
        <w:t>s</w:t>
      </w:r>
      <w:r w:rsidR="00A653AE" w:rsidRPr="00E90562">
        <w:rPr>
          <w:lang w:eastAsia="en-AU"/>
        </w:rPr>
        <w:t xml:space="preserve"> that emerged</w:t>
      </w:r>
      <w:r w:rsidR="0007791C" w:rsidRPr="00E90562">
        <w:rPr>
          <w:lang w:eastAsia="en-AU"/>
        </w:rPr>
        <w:t xml:space="preserve"> </w:t>
      </w:r>
      <w:r w:rsidR="00492833" w:rsidRPr="00E90562">
        <w:rPr>
          <w:lang w:eastAsia="en-AU"/>
        </w:rPr>
        <w:t>through</w:t>
      </w:r>
      <w:r w:rsidR="0007791C" w:rsidRPr="00E90562">
        <w:rPr>
          <w:lang w:eastAsia="en-AU"/>
        </w:rPr>
        <w:t xml:space="preserve"> consultations</w:t>
      </w:r>
      <w:r w:rsidR="00CF1571" w:rsidRPr="00E90562">
        <w:rPr>
          <w:lang w:eastAsia="en-AU"/>
        </w:rPr>
        <w:t>, key themes included</w:t>
      </w:r>
      <w:r w:rsidR="00F138DA" w:rsidRPr="00E90562">
        <w:rPr>
          <w:lang w:eastAsia="en-AU"/>
        </w:rPr>
        <w:t xml:space="preserve"> increased efforts in supporting economic stability, infrastructure, law and order and economic integration, while continuing investments in human capital development, especially education. Stakeholders also expressed several recurring themes</w:t>
      </w:r>
      <w:r w:rsidR="005E1964" w:rsidRPr="00E90562">
        <w:rPr>
          <w:lang w:eastAsia="en-AU"/>
        </w:rPr>
        <w:t>,</w:t>
      </w:r>
      <w:r w:rsidR="00F138DA" w:rsidRPr="00E90562">
        <w:rPr>
          <w:lang w:eastAsia="en-AU"/>
        </w:rPr>
        <w:t xml:space="preserve"> including the importance of investing in a robust civil society and broadening our approach to localisation across the development program.</w:t>
      </w:r>
      <w:r w:rsidR="00562680">
        <w:br w:type="page"/>
      </w:r>
    </w:p>
    <w:p w14:paraId="09793E49" w14:textId="044427DA" w:rsidR="002F4955" w:rsidRPr="001B6539" w:rsidRDefault="005F7323" w:rsidP="00500662">
      <w:pPr>
        <w:pStyle w:val="H2-Heading2"/>
      </w:pPr>
      <w:r w:rsidRPr="001B6539">
        <w:lastRenderedPageBreak/>
        <w:t xml:space="preserve">Section 2: </w:t>
      </w:r>
      <w:r w:rsidR="007C0A3D">
        <w:t>PNG</w:t>
      </w:r>
      <w:r w:rsidRPr="001B6539">
        <w:t xml:space="preserve"> </w:t>
      </w:r>
      <w:r w:rsidR="006C091E">
        <w:t>d</w:t>
      </w:r>
      <w:r w:rsidRPr="001B6539">
        <w:t xml:space="preserve">evelopment </w:t>
      </w:r>
      <w:r w:rsidR="006C091E">
        <w:t>c</w:t>
      </w:r>
      <w:r w:rsidRPr="001B6539">
        <w:t xml:space="preserve">ontext and </w:t>
      </w:r>
      <w:r w:rsidRPr="00500662">
        <w:t>Australian</w:t>
      </w:r>
      <w:r w:rsidRPr="001B6539">
        <w:t xml:space="preserve"> </w:t>
      </w:r>
      <w:r w:rsidR="006C091E">
        <w:t>p</w:t>
      </w:r>
      <w:r w:rsidRPr="001B6539">
        <w:t>artnership</w:t>
      </w:r>
    </w:p>
    <w:p w14:paraId="52F72F70" w14:textId="52318282" w:rsidR="003F7FFE" w:rsidRDefault="003F7FFE" w:rsidP="00E90562">
      <w:pPr>
        <w:rPr>
          <w:lang w:eastAsia="en-AU"/>
        </w:rPr>
      </w:pPr>
      <w:r>
        <w:rPr>
          <w:lang w:eastAsia="en-AU"/>
        </w:rPr>
        <w:t>PNG</w:t>
      </w:r>
      <w:r w:rsidRPr="6BEBB5BF">
        <w:rPr>
          <w:lang w:eastAsia="en-AU"/>
        </w:rPr>
        <w:t xml:space="preserve"> is a land of economic opportunity</w:t>
      </w:r>
      <w:r w:rsidRPr="00D51A94">
        <w:rPr>
          <w:lang w:eastAsia="en-AU"/>
        </w:rPr>
        <w:t>. Situated between the Pacific and the economic powerhouse</w:t>
      </w:r>
      <w:r>
        <w:rPr>
          <w:lang w:eastAsia="en-AU"/>
        </w:rPr>
        <w:t>s</w:t>
      </w:r>
      <w:r w:rsidRPr="00D51A94">
        <w:rPr>
          <w:lang w:eastAsia="en-AU"/>
        </w:rPr>
        <w:t xml:space="preserve"> of Asia, it is an important regional leader. P</w:t>
      </w:r>
      <w:r w:rsidRPr="6BEBB5BF">
        <w:rPr>
          <w:lang w:eastAsia="en-AU"/>
        </w:rPr>
        <w:t xml:space="preserve">NG’s abundant natural resources, including minerals, </w:t>
      </w:r>
      <w:r w:rsidR="00FF3E13">
        <w:rPr>
          <w:lang w:eastAsia="en-AU"/>
        </w:rPr>
        <w:t>natural gas</w:t>
      </w:r>
      <w:r w:rsidRPr="6BEBB5BF">
        <w:rPr>
          <w:lang w:eastAsia="en-AU"/>
        </w:rPr>
        <w:t xml:space="preserve">, </w:t>
      </w:r>
      <w:proofErr w:type="gramStart"/>
      <w:r w:rsidRPr="6BEBB5BF">
        <w:rPr>
          <w:lang w:eastAsia="en-AU"/>
        </w:rPr>
        <w:t>timber</w:t>
      </w:r>
      <w:proofErr w:type="gramEnd"/>
      <w:r w:rsidRPr="6BEBB5BF">
        <w:rPr>
          <w:lang w:eastAsia="en-AU"/>
        </w:rPr>
        <w:t xml:space="preserve"> and fisheries, as well as agricultural products, support PNG’s raw economic wealth</w:t>
      </w:r>
      <w:r w:rsidR="00705EF2">
        <w:rPr>
          <w:lang w:eastAsia="en-AU"/>
        </w:rPr>
        <w:t>,</w:t>
      </w:r>
      <w:r w:rsidRPr="6BEBB5BF">
        <w:rPr>
          <w:lang w:eastAsia="en-AU"/>
        </w:rPr>
        <w:t xml:space="preserve"> amounting to USD32.89</w:t>
      </w:r>
      <w:r w:rsidR="00C2563C">
        <w:rPr>
          <w:lang w:eastAsia="en-AU"/>
        </w:rPr>
        <w:t> </w:t>
      </w:r>
      <w:r w:rsidRPr="6BEBB5BF">
        <w:rPr>
          <w:lang w:eastAsia="en-AU"/>
        </w:rPr>
        <w:t>billion in 202</w:t>
      </w:r>
      <w:r>
        <w:rPr>
          <w:lang w:eastAsia="en-AU"/>
        </w:rPr>
        <w:t>3</w:t>
      </w:r>
      <w:r w:rsidR="00EE54FD">
        <w:rPr>
          <w:lang w:eastAsia="en-AU"/>
        </w:rPr>
        <w:t xml:space="preserve"> – </w:t>
      </w:r>
      <w:r w:rsidRPr="6BEBB5BF">
        <w:rPr>
          <w:lang w:eastAsia="en-AU"/>
        </w:rPr>
        <w:t xml:space="preserve">close to three times </w:t>
      </w:r>
      <w:r>
        <w:rPr>
          <w:lang w:eastAsia="en-AU"/>
        </w:rPr>
        <w:t xml:space="preserve">larger than </w:t>
      </w:r>
      <w:r w:rsidRPr="6BEBB5BF">
        <w:rPr>
          <w:lang w:eastAsia="en-AU"/>
        </w:rPr>
        <w:t xml:space="preserve">the other Pacific </w:t>
      </w:r>
      <w:r w:rsidR="00C12F1B">
        <w:rPr>
          <w:lang w:eastAsia="en-AU"/>
        </w:rPr>
        <w:t>I</w:t>
      </w:r>
      <w:r w:rsidRPr="6BEBB5BF">
        <w:rPr>
          <w:lang w:eastAsia="en-AU"/>
        </w:rPr>
        <w:t xml:space="preserve">sland </w:t>
      </w:r>
      <w:r>
        <w:rPr>
          <w:lang w:eastAsia="en-AU"/>
        </w:rPr>
        <w:t>c</w:t>
      </w:r>
      <w:r w:rsidRPr="6BEBB5BF">
        <w:rPr>
          <w:lang w:eastAsia="en-AU"/>
        </w:rPr>
        <w:t>ountries combined. PNG’s 13</w:t>
      </w:r>
      <w:r w:rsidR="00916AA1">
        <w:rPr>
          <w:lang w:eastAsia="en-AU"/>
        </w:rPr>
        <w:t> </w:t>
      </w:r>
      <w:r w:rsidRPr="6BEBB5BF">
        <w:rPr>
          <w:lang w:eastAsia="en-AU"/>
        </w:rPr>
        <w:t>per cent share of the world’s rainforests provides an opportunity to unlock carbon credit income via forest preservation.</w:t>
      </w:r>
    </w:p>
    <w:p w14:paraId="6FE3B260" w14:textId="596BA003" w:rsidR="003F7FFE" w:rsidRPr="00D518CB" w:rsidRDefault="003F7FFE" w:rsidP="00E90562">
      <w:pPr>
        <w:rPr>
          <w:lang w:eastAsia="en-AU"/>
        </w:rPr>
      </w:pPr>
      <w:r w:rsidRPr="21964D42">
        <w:rPr>
          <w:lang w:eastAsia="en-AU"/>
        </w:rPr>
        <w:t xml:space="preserve">PNG’s </w:t>
      </w:r>
      <w:r w:rsidRPr="13528E87">
        <w:rPr>
          <w:lang w:eastAsia="en-AU"/>
        </w:rPr>
        <w:t>estimated population</w:t>
      </w:r>
      <w:r w:rsidRPr="21964D42">
        <w:rPr>
          <w:lang w:eastAsia="en-AU"/>
        </w:rPr>
        <w:t xml:space="preserve"> of 11.78</w:t>
      </w:r>
      <w:r w:rsidR="009034A6">
        <w:rPr>
          <w:lang w:eastAsia="en-AU"/>
        </w:rPr>
        <w:t> </w:t>
      </w:r>
      <w:r w:rsidRPr="21964D42">
        <w:rPr>
          <w:lang w:eastAsia="en-AU"/>
        </w:rPr>
        <w:t>million (2021)</w:t>
      </w:r>
      <w:r w:rsidR="0091270A">
        <w:rPr>
          <w:rStyle w:val="EndnoteReference"/>
          <w:lang w:eastAsia="en-AU"/>
        </w:rPr>
        <w:endnoteReference w:id="4"/>
      </w:r>
      <w:r w:rsidRPr="21964D42">
        <w:rPr>
          <w:lang w:eastAsia="en-AU"/>
        </w:rPr>
        <w:t xml:space="preserve"> people is young (58</w:t>
      </w:r>
      <w:r w:rsidR="009034A6">
        <w:rPr>
          <w:lang w:eastAsia="en-AU"/>
        </w:rPr>
        <w:t> </w:t>
      </w:r>
      <w:r w:rsidRPr="21964D42">
        <w:rPr>
          <w:lang w:eastAsia="en-AU"/>
        </w:rPr>
        <w:t xml:space="preserve">per cent </w:t>
      </w:r>
      <w:r w:rsidR="009034A6">
        <w:rPr>
          <w:lang w:eastAsia="en-AU"/>
        </w:rPr>
        <w:t xml:space="preserve">are </w:t>
      </w:r>
      <w:r w:rsidRPr="21964D42">
        <w:rPr>
          <w:lang w:eastAsia="en-AU"/>
        </w:rPr>
        <w:t xml:space="preserve">aged 25 </w:t>
      </w:r>
      <w:r w:rsidR="00C13ECE">
        <w:rPr>
          <w:lang w:eastAsia="en-AU"/>
        </w:rPr>
        <w:t xml:space="preserve">or </w:t>
      </w:r>
      <w:r w:rsidRPr="21964D42">
        <w:rPr>
          <w:lang w:eastAsia="en-AU"/>
        </w:rPr>
        <w:t>under) and growing rapidly. That provides an opportunity for PNG to reap the benefits of a demographic dividend in the coming decades</w:t>
      </w:r>
      <w:r w:rsidR="00737221">
        <w:rPr>
          <w:lang w:eastAsia="en-AU"/>
        </w:rPr>
        <w:t xml:space="preserve"> </w:t>
      </w:r>
      <w:r w:rsidR="00737221" w:rsidRPr="00E90562">
        <w:rPr>
          <w:lang w:eastAsia="en-AU"/>
        </w:rPr>
        <w:t xml:space="preserve">and </w:t>
      </w:r>
      <w:r w:rsidRPr="00E90562">
        <w:rPr>
          <w:lang w:eastAsia="en-AU"/>
        </w:rPr>
        <w:t>to contribute to its economy</w:t>
      </w:r>
      <w:r w:rsidR="00737221" w:rsidRPr="00E90562">
        <w:rPr>
          <w:lang w:eastAsia="en-AU"/>
        </w:rPr>
        <w:t>.</w:t>
      </w:r>
      <w:r w:rsidRPr="21964D42">
        <w:rPr>
          <w:lang w:eastAsia="en-AU"/>
        </w:rPr>
        <w:t xml:space="preserve"> PNG’s growing middle class is gradually producing talented emerging leaders who will be a force for </w:t>
      </w:r>
      <w:r w:rsidR="00672B0F">
        <w:rPr>
          <w:lang w:eastAsia="en-AU"/>
        </w:rPr>
        <w:t>shaping</w:t>
      </w:r>
      <w:r w:rsidRPr="21964D42">
        <w:rPr>
          <w:lang w:eastAsia="en-AU"/>
        </w:rPr>
        <w:t xml:space="preserve"> the country.</w:t>
      </w:r>
    </w:p>
    <w:p w14:paraId="0D3F1326" w14:textId="55EEDD02" w:rsidR="003F7FFE" w:rsidRDefault="003F7FFE" w:rsidP="00E90562">
      <w:pPr>
        <w:rPr>
          <w:lang w:eastAsia="en-AU"/>
        </w:rPr>
      </w:pPr>
      <w:r w:rsidRPr="155BC440">
        <w:rPr>
          <w:lang w:eastAsia="en-AU"/>
        </w:rPr>
        <w:t>PNG is rightly proud of its many cultures and identities</w:t>
      </w:r>
      <w:r w:rsidR="00C20557" w:rsidRPr="155BC440">
        <w:rPr>
          <w:lang w:eastAsia="en-AU"/>
        </w:rPr>
        <w:t>,</w:t>
      </w:r>
      <w:r w:rsidRPr="155BC440">
        <w:rPr>
          <w:lang w:eastAsia="en-AU"/>
        </w:rPr>
        <w:t xml:space="preserve"> which stretch back millennia. PNG will celebrate the 50th anniversary of its independence in 2025. Its unbroken but fragile democratic record and constitutionally enshrined rights and legal institutions require support to improve their credibility and effectiveness. Australia and PNG’s relationship is of deep importance to both countries. PNG is Australia’s nearest neighbour, less than </w:t>
      </w:r>
      <w:r w:rsidR="00623223" w:rsidRPr="155BC440">
        <w:rPr>
          <w:lang w:eastAsia="en-AU"/>
        </w:rPr>
        <w:t>4 </w:t>
      </w:r>
      <w:r w:rsidRPr="155BC440">
        <w:rPr>
          <w:lang w:eastAsia="en-AU"/>
        </w:rPr>
        <w:t xml:space="preserve">kilometres away at its closest point. The ancient </w:t>
      </w:r>
      <w:r w:rsidR="00DB0A5A" w:rsidRPr="155BC440">
        <w:rPr>
          <w:lang w:eastAsia="en-AU"/>
        </w:rPr>
        <w:t>i</w:t>
      </w:r>
      <w:r w:rsidRPr="155BC440">
        <w:rPr>
          <w:lang w:eastAsia="en-AU"/>
        </w:rPr>
        <w:t xml:space="preserve">ndigenous connections between Australia and PNG in the Torres Strait are one element of the deep historical ties through which </w:t>
      </w:r>
      <w:r w:rsidR="009A5544" w:rsidRPr="155BC440">
        <w:rPr>
          <w:lang w:eastAsia="en-AU"/>
        </w:rPr>
        <w:t>we</w:t>
      </w:r>
      <w:r w:rsidRPr="155BC440">
        <w:rPr>
          <w:lang w:eastAsia="en-AU"/>
        </w:rPr>
        <w:t xml:space="preserve"> exchange expertise and knowledge. Our people-to-people links are evident in government and defence, across business and education, and through sporting, church and cultural connections and collaborations. We have fostered strong relationships between Australia and PNG’s decision-makers in politics, </w:t>
      </w:r>
      <w:proofErr w:type="gramStart"/>
      <w:r w:rsidRPr="155BC440">
        <w:rPr>
          <w:lang w:eastAsia="en-AU"/>
        </w:rPr>
        <w:t>business</w:t>
      </w:r>
      <w:proofErr w:type="gramEnd"/>
      <w:r w:rsidRPr="155BC440">
        <w:rPr>
          <w:lang w:eastAsia="en-AU"/>
        </w:rPr>
        <w:t xml:space="preserve"> and the public service.</w:t>
      </w:r>
    </w:p>
    <w:p w14:paraId="47CE5F76" w14:textId="18F9AB90" w:rsidR="003F7FFE" w:rsidRDefault="003F7FFE" w:rsidP="00E90562">
      <w:pPr>
        <w:rPr>
          <w:lang w:eastAsia="en-AU"/>
        </w:rPr>
      </w:pPr>
      <w:r w:rsidRPr="00CF6C04">
        <w:rPr>
          <w:lang w:eastAsia="en-AU"/>
        </w:rPr>
        <w:t>Australia is PNG’s principal economic partner. In 202</w:t>
      </w:r>
      <w:r>
        <w:rPr>
          <w:lang w:eastAsia="en-AU"/>
        </w:rPr>
        <w:t>3</w:t>
      </w:r>
      <w:r w:rsidRPr="00CF6C04">
        <w:rPr>
          <w:lang w:eastAsia="en-AU"/>
        </w:rPr>
        <w:t>, Australia was PNG’s largest two-way merchandise trading partner (</w:t>
      </w:r>
      <w:r w:rsidR="00C80236">
        <w:rPr>
          <w:lang w:eastAsia="en-AU"/>
        </w:rPr>
        <w:t xml:space="preserve">with trade totalling more than </w:t>
      </w:r>
      <w:r w:rsidRPr="00CF6C04">
        <w:rPr>
          <w:lang w:eastAsia="en-AU"/>
        </w:rPr>
        <w:t>$</w:t>
      </w:r>
      <w:r>
        <w:rPr>
          <w:lang w:eastAsia="en-AU"/>
        </w:rPr>
        <w:t>6</w:t>
      </w:r>
      <w:r w:rsidRPr="00CF6C04">
        <w:rPr>
          <w:lang w:eastAsia="en-AU"/>
        </w:rPr>
        <w:t>.3</w:t>
      </w:r>
      <w:r w:rsidR="00A77704">
        <w:rPr>
          <w:lang w:eastAsia="en-AU"/>
        </w:rPr>
        <w:t> </w:t>
      </w:r>
      <w:r w:rsidRPr="00CF6C04">
        <w:rPr>
          <w:lang w:eastAsia="en-AU"/>
        </w:rPr>
        <w:t xml:space="preserve">billion) and largest direct investor. </w:t>
      </w:r>
      <w:r w:rsidRPr="00AA5BCB">
        <w:rPr>
          <w:lang w:eastAsia="en-AU"/>
        </w:rPr>
        <w:t>Australia’s total investment stock in PNG in 2022 was $25</w:t>
      </w:r>
      <w:r w:rsidR="00A77704">
        <w:rPr>
          <w:lang w:eastAsia="en-AU"/>
        </w:rPr>
        <w:t> </w:t>
      </w:r>
      <w:r w:rsidRPr="00AA5BCB">
        <w:rPr>
          <w:lang w:eastAsia="en-AU"/>
        </w:rPr>
        <w:t>billion, more than we invest in Indonesia</w:t>
      </w:r>
      <w:r>
        <w:rPr>
          <w:lang w:eastAsia="en-AU"/>
        </w:rPr>
        <w:t xml:space="preserve"> or India</w:t>
      </w:r>
      <w:r w:rsidRPr="006654B8">
        <w:rPr>
          <w:lang w:eastAsia="en-AU"/>
        </w:rPr>
        <w:t>.</w:t>
      </w:r>
      <w:r>
        <w:rPr>
          <w:lang w:eastAsia="en-AU"/>
        </w:rPr>
        <w:t xml:space="preserve"> Our labour mobility and migration schemes demonstrate our strong practical commitment to deepen</w:t>
      </w:r>
      <w:r w:rsidR="005B34A0">
        <w:rPr>
          <w:lang w:eastAsia="en-AU"/>
        </w:rPr>
        <w:t>ing</w:t>
      </w:r>
      <w:r>
        <w:rPr>
          <w:lang w:eastAsia="en-AU"/>
        </w:rPr>
        <w:t xml:space="preserve"> our economic partnership.</w:t>
      </w:r>
    </w:p>
    <w:p w14:paraId="533116B8" w14:textId="697A6C88" w:rsidR="003F7FFE" w:rsidRDefault="003F7FFE" w:rsidP="00E90562">
      <w:pPr>
        <w:rPr>
          <w:lang w:eastAsia="en-AU"/>
        </w:rPr>
      </w:pPr>
      <w:r>
        <w:rPr>
          <w:lang w:eastAsia="en-AU"/>
        </w:rPr>
        <w:t>Australia and PNG share a special relationship on security, built on</w:t>
      </w:r>
      <w:r w:rsidRPr="00FB679C">
        <w:rPr>
          <w:lang w:eastAsia="en-AU"/>
        </w:rPr>
        <w:t xml:space="preserve"> a shared history of wartime </w:t>
      </w:r>
      <w:r>
        <w:rPr>
          <w:lang w:eastAsia="en-AU"/>
        </w:rPr>
        <w:t>s</w:t>
      </w:r>
      <w:r w:rsidRPr="00FB679C">
        <w:rPr>
          <w:lang w:eastAsia="en-AU"/>
        </w:rPr>
        <w:t xml:space="preserve">acrifice and commitment to an open, </w:t>
      </w:r>
      <w:proofErr w:type="gramStart"/>
      <w:r w:rsidRPr="00FB679C">
        <w:rPr>
          <w:lang w:eastAsia="en-AU"/>
        </w:rPr>
        <w:t>inclusive</w:t>
      </w:r>
      <w:proofErr w:type="gramEnd"/>
      <w:r w:rsidRPr="00FB679C">
        <w:rPr>
          <w:lang w:eastAsia="en-AU"/>
        </w:rPr>
        <w:t xml:space="preserve"> and rules-based </w:t>
      </w:r>
      <w:r>
        <w:rPr>
          <w:lang w:eastAsia="en-AU"/>
        </w:rPr>
        <w:t>international order</w:t>
      </w:r>
      <w:r w:rsidRPr="00FB679C">
        <w:rPr>
          <w:lang w:eastAsia="en-AU"/>
        </w:rPr>
        <w:t>.</w:t>
      </w:r>
      <w:r>
        <w:rPr>
          <w:lang w:eastAsia="en-AU"/>
        </w:rPr>
        <w:t xml:space="preserve"> Australia and PNG’s Defence Cooperation Program is the largest for both countries (</w:t>
      </w:r>
      <w:r w:rsidRPr="00206BB7">
        <w:rPr>
          <w:lang w:eastAsia="en-AU"/>
        </w:rPr>
        <w:t>$49.6</w:t>
      </w:r>
      <w:r w:rsidR="00D87B1B">
        <w:rPr>
          <w:lang w:eastAsia="en-AU"/>
        </w:rPr>
        <w:t> </w:t>
      </w:r>
      <w:r>
        <w:rPr>
          <w:lang w:eastAsia="en-AU"/>
        </w:rPr>
        <w:t>million in 2022</w:t>
      </w:r>
      <w:r w:rsidR="00D87B1B">
        <w:rPr>
          <w:lang w:eastAsia="en-AU"/>
        </w:rPr>
        <w:t>–</w:t>
      </w:r>
      <w:r>
        <w:rPr>
          <w:lang w:eastAsia="en-AU"/>
        </w:rPr>
        <w:t>23), is longstanding (over 40</w:t>
      </w:r>
      <w:r w:rsidR="00286618">
        <w:rPr>
          <w:lang w:eastAsia="en-AU"/>
        </w:rPr>
        <w:t> </w:t>
      </w:r>
      <w:r>
        <w:rPr>
          <w:lang w:eastAsia="en-AU"/>
        </w:rPr>
        <w:t>years) and is deeply embedded into PNG’s own structures. Australia is PNG’s largest policing partner, a partnership that will expand over the course of the DPP as part of a package that will underpin implementation of the B</w:t>
      </w:r>
      <w:r w:rsidR="00DF7020">
        <w:rPr>
          <w:lang w:eastAsia="en-AU"/>
        </w:rPr>
        <w:t>SA</w:t>
      </w:r>
      <w:r>
        <w:rPr>
          <w:lang w:eastAsia="en-AU"/>
        </w:rPr>
        <w:t>.</w:t>
      </w:r>
    </w:p>
    <w:p w14:paraId="1D417D6B" w14:textId="175C7FDA" w:rsidR="003F7FFE" w:rsidRPr="00BE6C84" w:rsidRDefault="003F7FFE" w:rsidP="00E90562">
      <w:pPr>
        <w:rPr>
          <w:lang w:eastAsia="en-AU"/>
        </w:rPr>
      </w:pPr>
      <w:r>
        <w:rPr>
          <w:lang w:eastAsia="en-AU"/>
        </w:rPr>
        <w:t xml:space="preserve">Australia is PNG’s largest </w:t>
      </w:r>
      <w:r w:rsidDel="009F5C65">
        <w:rPr>
          <w:lang w:eastAsia="en-AU"/>
        </w:rPr>
        <w:t xml:space="preserve">development </w:t>
      </w:r>
      <w:r>
        <w:rPr>
          <w:lang w:eastAsia="en-AU"/>
        </w:rPr>
        <w:t>partner ($637.4</w:t>
      </w:r>
      <w:r w:rsidR="00A03999">
        <w:rPr>
          <w:lang w:eastAsia="en-AU"/>
        </w:rPr>
        <w:t> </w:t>
      </w:r>
      <w:r>
        <w:rPr>
          <w:lang w:eastAsia="en-AU"/>
        </w:rPr>
        <w:t>million in 2024</w:t>
      </w:r>
      <w:r w:rsidR="00A03999">
        <w:rPr>
          <w:lang w:eastAsia="en-AU"/>
        </w:rPr>
        <w:t>–</w:t>
      </w:r>
      <w:r>
        <w:rPr>
          <w:lang w:eastAsia="en-AU"/>
        </w:rPr>
        <w:t>25, around 40</w:t>
      </w:r>
      <w:r w:rsidR="00A03999">
        <w:rPr>
          <w:lang w:eastAsia="en-AU"/>
        </w:rPr>
        <w:t> </w:t>
      </w:r>
      <w:r>
        <w:rPr>
          <w:lang w:eastAsia="en-AU"/>
        </w:rPr>
        <w:t>per cent of PNG’s total ODA), providing highly valued support across all major sectors of PNG’s economy and society. While our development program is large and important</w:t>
      </w:r>
      <w:r w:rsidRPr="01338067">
        <w:rPr>
          <w:lang w:eastAsia="en-AU"/>
        </w:rPr>
        <w:t>,</w:t>
      </w:r>
      <w:r>
        <w:rPr>
          <w:lang w:eastAsia="en-AU"/>
        </w:rPr>
        <w:t xml:space="preserve"> it is but one part of the large and multifaceted partnership between the two countries. With the growth of PNG’s economy and population, the </w:t>
      </w:r>
      <w:r w:rsidDel="00D05193">
        <w:rPr>
          <w:lang w:eastAsia="en-AU"/>
        </w:rPr>
        <w:t xml:space="preserve">aid </w:t>
      </w:r>
      <w:r>
        <w:rPr>
          <w:lang w:eastAsia="en-AU"/>
        </w:rPr>
        <w:t xml:space="preserve">program has declined in importance as a source of resources for PNG’s development: </w:t>
      </w:r>
      <w:r w:rsidRPr="00111FDB">
        <w:rPr>
          <w:lang w:eastAsia="en-AU"/>
        </w:rPr>
        <w:t xml:space="preserve">at independence in 1975, Australian </w:t>
      </w:r>
      <w:r>
        <w:rPr>
          <w:lang w:eastAsia="en-AU"/>
        </w:rPr>
        <w:t>development assistance</w:t>
      </w:r>
      <w:r w:rsidRPr="00111FDB">
        <w:rPr>
          <w:lang w:eastAsia="en-AU"/>
        </w:rPr>
        <w:t xml:space="preserve"> represented 40</w:t>
      </w:r>
      <w:r w:rsidR="000B4A07">
        <w:rPr>
          <w:lang w:eastAsia="en-AU"/>
        </w:rPr>
        <w:t> </w:t>
      </w:r>
      <w:r w:rsidRPr="00111FDB">
        <w:rPr>
          <w:lang w:eastAsia="en-AU"/>
        </w:rPr>
        <w:t>per cent of PNG’s budget</w:t>
      </w:r>
      <w:r>
        <w:rPr>
          <w:lang w:eastAsia="en-AU"/>
        </w:rPr>
        <w:t xml:space="preserve">; </w:t>
      </w:r>
      <w:r w:rsidRPr="00111FDB">
        <w:rPr>
          <w:lang w:eastAsia="en-AU"/>
        </w:rPr>
        <w:t xml:space="preserve">today it represents </w:t>
      </w:r>
      <w:r>
        <w:rPr>
          <w:lang w:eastAsia="en-AU"/>
        </w:rPr>
        <w:t>less than</w:t>
      </w:r>
      <w:r w:rsidRPr="00111FDB">
        <w:rPr>
          <w:lang w:eastAsia="en-AU"/>
        </w:rPr>
        <w:t xml:space="preserve"> </w:t>
      </w:r>
      <w:r w:rsidR="00E33C98">
        <w:rPr>
          <w:lang w:eastAsia="en-AU"/>
        </w:rPr>
        <w:t>6 </w:t>
      </w:r>
      <w:r w:rsidRPr="00111FDB">
        <w:rPr>
          <w:lang w:eastAsia="en-AU"/>
        </w:rPr>
        <w:t>per cent.</w:t>
      </w:r>
    </w:p>
    <w:p w14:paraId="74752CE9" w14:textId="12C45CD5" w:rsidR="003F7FFE" w:rsidRDefault="003F7FFE" w:rsidP="00E90562">
      <w:pPr>
        <w:rPr>
          <w:lang w:eastAsia="en-AU"/>
        </w:rPr>
      </w:pPr>
      <w:r>
        <w:rPr>
          <w:lang w:eastAsia="en-AU"/>
        </w:rPr>
        <w:t xml:space="preserve">While there are many opportunities, </w:t>
      </w:r>
      <w:r w:rsidRPr="01338067">
        <w:rPr>
          <w:lang w:eastAsia="en-AU"/>
        </w:rPr>
        <w:t xml:space="preserve">PNG </w:t>
      </w:r>
      <w:r>
        <w:rPr>
          <w:lang w:eastAsia="en-AU"/>
        </w:rPr>
        <w:t xml:space="preserve">faces significant </w:t>
      </w:r>
      <w:r w:rsidRPr="00F72C2A">
        <w:rPr>
          <w:lang w:eastAsia="en-AU"/>
        </w:rPr>
        <w:t>development challenge</w:t>
      </w:r>
      <w:r>
        <w:rPr>
          <w:lang w:eastAsia="en-AU"/>
        </w:rPr>
        <w:t>s</w:t>
      </w:r>
      <w:r w:rsidRPr="00F72C2A">
        <w:rPr>
          <w:lang w:eastAsia="en-AU"/>
        </w:rPr>
        <w:t xml:space="preserve">. PNG did not meet any of the </w:t>
      </w:r>
      <w:r w:rsidR="00C30EEC">
        <w:rPr>
          <w:lang w:eastAsia="en-AU"/>
        </w:rPr>
        <w:t xml:space="preserve">United Nations </w:t>
      </w:r>
      <w:r w:rsidR="00870DF5">
        <w:rPr>
          <w:lang w:eastAsia="en-AU"/>
        </w:rPr>
        <w:t xml:space="preserve">(UN) </w:t>
      </w:r>
      <w:r w:rsidRPr="00F72C2A">
        <w:rPr>
          <w:lang w:eastAsia="en-AU"/>
        </w:rPr>
        <w:t xml:space="preserve">Millennium Development Goals and is on track to meet </w:t>
      </w:r>
      <w:r>
        <w:rPr>
          <w:lang w:eastAsia="en-AU"/>
        </w:rPr>
        <w:t>just</w:t>
      </w:r>
      <w:r w:rsidRPr="00F72C2A">
        <w:rPr>
          <w:lang w:eastAsia="en-AU"/>
        </w:rPr>
        <w:t xml:space="preserve"> </w:t>
      </w:r>
      <w:r w:rsidR="00EF63BA">
        <w:rPr>
          <w:lang w:eastAsia="en-AU"/>
        </w:rPr>
        <w:t>two</w:t>
      </w:r>
      <w:r w:rsidR="00034B75">
        <w:rPr>
          <w:lang w:eastAsia="en-AU"/>
        </w:rPr>
        <w:t xml:space="preserve"> </w:t>
      </w:r>
      <w:r w:rsidRPr="00F72C2A">
        <w:rPr>
          <w:lang w:eastAsia="en-AU"/>
        </w:rPr>
        <w:t>of the 17 Sustainable Development Goals</w:t>
      </w:r>
      <w:r w:rsidR="001F77BF">
        <w:rPr>
          <w:lang w:eastAsia="en-AU"/>
        </w:rPr>
        <w:t xml:space="preserve"> by 2030</w:t>
      </w:r>
      <w:r w:rsidRPr="00F72C2A">
        <w:rPr>
          <w:lang w:eastAsia="en-AU"/>
        </w:rPr>
        <w:t>.</w:t>
      </w:r>
      <w:r>
        <w:rPr>
          <w:lang w:eastAsia="en-AU"/>
        </w:rPr>
        <w:t xml:space="preserve"> </w:t>
      </w:r>
      <w:r w:rsidRPr="00F72C2A">
        <w:rPr>
          <w:lang w:eastAsia="en-AU"/>
        </w:rPr>
        <w:t>It ranks 15</w:t>
      </w:r>
      <w:r w:rsidR="00BF168E">
        <w:rPr>
          <w:lang w:eastAsia="en-AU"/>
        </w:rPr>
        <w:t>4</w:t>
      </w:r>
      <w:r w:rsidR="00905C21">
        <w:rPr>
          <w:lang w:eastAsia="en-AU"/>
        </w:rPr>
        <w:t>th</w:t>
      </w:r>
      <w:r w:rsidRPr="00F72C2A">
        <w:rPr>
          <w:lang w:eastAsia="en-AU"/>
        </w:rPr>
        <w:t xml:space="preserve"> out of 19</w:t>
      </w:r>
      <w:r w:rsidR="00BF168E">
        <w:rPr>
          <w:lang w:eastAsia="en-AU"/>
        </w:rPr>
        <w:t>3</w:t>
      </w:r>
      <w:r w:rsidRPr="00F72C2A">
        <w:rPr>
          <w:lang w:eastAsia="en-AU"/>
        </w:rPr>
        <w:t xml:space="preserve"> countries on the </w:t>
      </w:r>
      <w:r w:rsidR="00905C21">
        <w:rPr>
          <w:lang w:eastAsia="en-AU"/>
        </w:rPr>
        <w:t xml:space="preserve">United Nations Development Programme’s </w:t>
      </w:r>
      <w:r w:rsidRPr="00F72C2A">
        <w:rPr>
          <w:lang w:eastAsia="en-AU"/>
        </w:rPr>
        <w:t>Human Development Index and 1</w:t>
      </w:r>
      <w:r w:rsidR="002634CF">
        <w:rPr>
          <w:lang w:eastAsia="en-AU"/>
        </w:rPr>
        <w:t>51st</w:t>
      </w:r>
      <w:r w:rsidRPr="00F72C2A">
        <w:rPr>
          <w:lang w:eastAsia="en-AU"/>
        </w:rPr>
        <w:t xml:space="preserve"> out of 1</w:t>
      </w:r>
      <w:r w:rsidR="002634CF">
        <w:rPr>
          <w:lang w:eastAsia="en-AU"/>
        </w:rPr>
        <w:t>66</w:t>
      </w:r>
      <w:r w:rsidRPr="00F72C2A">
        <w:rPr>
          <w:lang w:eastAsia="en-AU"/>
        </w:rPr>
        <w:t xml:space="preserve"> countries on the Gender Inequality Index</w:t>
      </w:r>
      <w:r>
        <w:rPr>
          <w:lang w:eastAsia="en-AU"/>
        </w:rPr>
        <w:t>.</w:t>
      </w:r>
      <w:r w:rsidRPr="1713FCC0">
        <w:rPr>
          <w:lang w:eastAsia="en-AU"/>
        </w:rPr>
        <w:t xml:space="preserve"> </w:t>
      </w:r>
      <w:r w:rsidRPr="008378CA">
        <w:rPr>
          <w:lang w:eastAsia="en-AU"/>
        </w:rPr>
        <w:t>Approximately 40</w:t>
      </w:r>
      <w:r w:rsidR="00350D04">
        <w:rPr>
          <w:lang w:eastAsia="en-AU"/>
        </w:rPr>
        <w:t> </w:t>
      </w:r>
      <w:r w:rsidRPr="008378CA">
        <w:rPr>
          <w:lang w:eastAsia="en-AU"/>
        </w:rPr>
        <w:t>per cent of the population lives below the national poverty line</w:t>
      </w:r>
      <w:r w:rsidRPr="00400EB5">
        <w:rPr>
          <w:lang w:eastAsia="en-AU"/>
        </w:rPr>
        <w:t xml:space="preserve"> </w:t>
      </w:r>
      <w:r>
        <w:rPr>
          <w:lang w:eastAsia="en-AU"/>
        </w:rPr>
        <w:t>and s</w:t>
      </w:r>
      <w:r w:rsidRPr="00131692">
        <w:rPr>
          <w:lang w:eastAsia="en-AU"/>
        </w:rPr>
        <w:t>tunting affects nearly one in two Papua New Guinean children under age five</w:t>
      </w:r>
      <w:r>
        <w:rPr>
          <w:lang w:eastAsia="en-AU"/>
        </w:rPr>
        <w:t>.</w:t>
      </w:r>
    </w:p>
    <w:p w14:paraId="4E48EBF1" w14:textId="58310559" w:rsidR="003F7FFE" w:rsidRPr="00A30057" w:rsidRDefault="003F7FFE" w:rsidP="00E90562">
      <w:pPr>
        <w:rPr>
          <w:lang w:eastAsia="en-AU"/>
        </w:rPr>
      </w:pPr>
      <w:r w:rsidRPr="00FF4AD0">
        <w:rPr>
          <w:lang w:eastAsia="en-AU"/>
        </w:rPr>
        <w:t xml:space="preserve">Although not as severely </w:t>
      </w:r>
      <w:r w:rsidRPr="01338067">
        <w:rPr>
          <w:lang w:eastAsia="en-AU"/>
        </w:rPr>
        <w:t>affected</w:t>
      </w:r>
      <w:r w:rsidRPr="00FF4AD0">
        <w:rPr>
          <w:lang w:eastAsia="en-AU"/>
        </w:rPr>
        <w:t xml:space="preserve"> </w:t>
      </w:r>
      <w:r>
        <w:rPr>
          <w:lang w:eastAsia="en-AU"/>
        </w:rPr>
        <w:t>economically</w:t>
      </w:r>
      <w:r w:rsidRPr="00FF4AD0">
        <w:rPr>
          <w:lang w:eastAsia="en-AU"/>
        </w:rPr>
        <w:t xml:space="preserve"> by COVID-19 as other Pacific countries, the pandemic magnified PNG’s fiscal vulnerabilities.</w:t>
      </w:r>
      <w:r>
        <w:rPr>
          <w:lang w:eastAsia="en-AU"/>
        </w:rPr>
        <w:t xml:space="preserve"> C</w:t>
      </w:r>
      <w:r w:rsidRPr="00FF4AD0">
        <w:rPr>
          <w:lang w:eastAsia="en-AU"/>
        </w:rPr>
        <w:t xml:space="preserve">ontinued reliance on resource sector revenues </w:t>
      </w:r>
      <w:r w:rsidRPr="00A30057">
        <w:rPr>
          <w:lang w:eastAsia="en-AU"/>
        </w:rPr>
        <w:t>leaves PNG exposed to external shocks</w:t>
      </w:r>
      <w:r w:rsidRPr="00FF4AD0">
        <w:rPr>
          <w:lang w:eastAsia="en-AU"/>
        </w:rPr>
        <w:t xml:space="preserve"> and disincentivises diversification and development of non-resource sectors of the economy. </w:t>
      </w:r>
      <w:r w:rsidRPr="71FE38DB">
        <w:rPr>
          <w:lang w:eastAsia="en-AU"/>
        </w:rPr>
        <w:t xml:space="preserve">The PNG </w:t>
      </w:r>
      <w:r>
        <w:rPr>
          <w:lang w:eastAsia="en-AU"/>
        </w:rPr>
        <w:t>b</w:t>
      </w:r>
      <w:r w:rsidRPr="71FE38DB">
        <w:rPr>
          <w:lang w:eastAsia="en-AU"/>
        </w:rPr>
        <w:t xml:space="preserve">udget </w:t>
      </w:r>
      <w:r w:rsidRPr="0A9DDEBF">
        <w:rPr>
          <w:lang w:eastAsia="en-AU"/>
        </w:rPr>
        <w:t>has recorded</w:t>
      </w:r>
      <w:r>
        <w:rPr>
          <w:lang w:eastAsia="en-AU"/>
        </w:rPr>
        <w:t xml:space="preserve"> </w:t>
      </w:r>
      <w:r w:rsidRPr="00A30057">
        <w:rPr>
          <w:lang w:eastAsia="en-AU"/>
        </w:rPr>
        <w:t>persistent deficits</w:t>
      </w:r>
      <w:r>
        <w:rPr>
          <w:lang w:eastAsia="en-AU"/>
        </w:rPr>
        <w:t xml:space="preserve"> </w:t>
      </w:r>
      <w:r w:rsidR="00D1211B">
        <w:rPr>
          <w:lang w:eastAsia="en-AU"/>
        </w:rPr>
        <w:t xml:space="preserve">because </w:t>
      </w:r>
      <w:r>
        <w:rPr>
          <w:lang w:eastAsia="en-AU"/>
        </w:rPr>
        <w:t xml:space="preserve">expenditure growth </w:t>
      </w:r>
      <w:r w:rsidR="00D1211B">
        <w:rPr>
          <w:lang w:eastAsia="en-AU"/>
        </w:rPr>
        <w:t xml:space="preserve">has </w:t>
      </w:r>
      <w:r>
        <w:rPr>
          <w:lang w:eastAsia="en-AU"/>
        </w:rPr>
        <w:t>exceed</w:t>
      </w:r>
      <w:r w:rsidR="00D1211B">
        <w:rPr>
          <w:lang w:eastAsia="en-AU"/>
        </w:rPr>
        <w:t>ed</w:t>
      </w:r>
      <w:r>
        <w:rPr>
          <w:lang w:eastAsia="en-AU"/>
        </w:rPr>
        <w:t xml:space="preserve"> revenue growth over the long</w:t>
      </w:r>
      <w:r w:rsidR="00BE6FCA">
        <w:rPr>
          <w:lang w:eastAsia="en-AU"/>
        </w:rPr>
        <w:t xml:space="preserve"> </w:t>
      </w:r>
      <w:r>
        <w:rPr>
          <w:lang w:eastAsia="en-AU"/>
        </w:rPr>
        <w:t>term</w:t>
      </w:r>
      <w:r w:rsidRPr="00A30057">
        <w:rPr>
          <w:lang w:eastAsia="en-AU"/>
        </w:rPr>
        <w:t>.</w:t>
      </w:r>
    </w:p>
    <w:p w14:paraId="5E905BC8" w14:textId="5EE88FA9" w:rsidR="003F7FFE" w:rsidRPr="008E6E3C" w:rsidRDefault="003F7FFE" w:rsidP="00E90562">
      <w:pPr>
        <w:rPr>
          <w:lang w:eastAsia="en-AU"/>
        </w:rPr>
      </w:pPr>
      <w:r w:rsidRPr="008E6E3C">
        <w:rPr>
          <w:lang w:eastAsia="en-AU"/>
        </w:rPr>
        <w:lastRenderedPageBreak/>
        <w:t>PNG’s predominantly rural (87</w:t>
      </w:r>
      <w:r w:rsidR="00F946DC">
        <w:rPr>
          <w:lang w:eastAsia="en-AU"/>
        </w:rPr>
        <w:t> </w:t>
      </w:r>
      <w:r w:rsidRPr="008E6E3C">
        <w:rPr>
          <w:lang w:eastAsia="en-AU"/>
        </w:rPr>
        <w:t>per cent)</w:t>
      </w:r>
      <w:r w:rsidR="0091270A">
        <w:rPr>
          <w:rStyle w:val="EndnoteReference"/>
          <w:lang w:eastAsia="en-AU"/>
        </w:rPr>
        <w:endnoteReference w:id="5"/>
      </w:r>
      <w:r w:rsidRPr="008E6E3C">
        <w:rPr>
          <w:lang w:eastAsia="en-AU"/>
        </w:rPr>
        <w:t xml:space="preserve"> population, challenging </w:t>
      </w:r>
      <w:proofErr w:type="gramStart"/>
      <w:r w:rsidRPr="008E6E3C">
        <w:rPr>
          <w:lang w:eastAsia="en-AU"/>
        </w:rPr>
        <w:t>terrain</w:t>
      </w:r>
      <w:proofErr w:type="gramEnd"/>
      <w:r w:rsidRPr="008E6E3C">
        <w:rPr>
          <w:lang w:eastAsia="en-AU"/>
        </w:rPr>
        <w:t xml:space="preserve"> and lack of infrastructure hampers service delivery across the country and the </w:t>
      </w:r>
      <w:r w:rsidR="00561FBA">
        <w:rPr>
          <w:lang w:eastAsia="en-AU"/>
        </w:rPr>
        <w:t>Government</w:t>
      </w:r>
      <w:r w:rsidRPr="008E6E3C">
        <w:rPr>
          <w:lang w:eastAsia="en-AU"/>
        </w:rPr>
        <w:t>’s presence in remote areas is minimal. PNG</w:t>
      </w:r>
      <w:r>
        <w:rPr>
          <w:lang w:eastAsia="en-AU"/>
        </w:rPr>
        <w:t xml:space="preserve">’s </w:t>
      </w:r>
      <w:r w:rsidRPr="008E6E3C">
        <w:rPr>
          <w:lang w:eastAsia="en-AU"/>
        </w:rPr>
        <w:t xml:space="preserve">infrastructure deficits </w:t>
      </w:r>
      <w:r>
        <w:rPr>
          <w:lang w:eastAsia="en-AU"/>
        </w:rPr>
        <w:t>extend to</w:t>
      </w:r>
      <w:r w:rsidRPr="008E6E3C">
        <w:rPr>
          <w:lang w:eastAsia="en-AU"/>
        </w:rPr>
        <w:t xml:space="preserve"> the power, telecommunications, roads, aviation, ports, health, education, law and justice</w:t>
      </w:r>
      <w:r w:rsidR="00A66370">
        <w:rPr>
          <w:lang w:eastAsia="en-AU"/>
        </w:rPr>
        <w:t>,</w:t>
      </w:r>
      <w:r w:rsidRPr="008E6E3C">
        <w:rPr>
          <w:lang w:eastAsia="en-AU"/>
        </w:rPr>
        <w:t xml:space="preserve"> and agriculture sectors. Key factors contributing to th</w:t>
      </w:r>
      <w:r w:rsidR="00537B74">
        <w:rPr>
          <w:lang w:eastAsia="en-AU"/>
        </w:rPr>
        <w:t>ese challenge</w:t>
      </w:r>
      <w:r w:rsidR="00283265">
        <w:rPr>
          <w:lang w:eastAsia="en-AU"/>
        </w:rPr>
        <w:t>s</w:t>
      </w:r>
      <w:r w:rsidRPr="008E6E3C">
        <w:rPr>
          <w:lang w:eastAsia="en-AU"/>
        </w:rPr>
        <w:t xml:space="preserve"> include PNG’s cultural system of communal land ownership, extreme weather and terrain, skills shortages, cost, and available funding. </w:t>
      </w:r>
      <w:r>
        <w:rPr>
          <w:lang w:eastAsia="en-AU"/>
        </w:rPr>
        <w:t xml:space="preserve">Eighty-three per cent of households have </w:t>
      </w:r>
      <w:r w:rsidRPr="008E6E3C">
        <w:rPr>
          <w:lang w:eastAsia="en-AU"/>
        </w:rPr>
        <w:t xml:space="preserve">no connection to the electricity grid. </w:t>
      </w:r>
      <w:r>
        <w:rPr>
          <w:lang w:eastAsia="en-AU"/>
        </w:rPr>
        <w:t xml:space="preserve">Only </w:t>
      </w:r>
      <w:r w:rsidRPr="008E6E3C">
        <w:rPr>
          <w:lang w:eastAsia="en-AU"/>
        </w:rPr>
        <w:t>68</w:t>
      </w:r>
      <w:r w:rsidR="00A54252">
        <w:rPr>
          <w:lang w:eastAsia="en-AU"/>
        </w:rPr>
        <w:t> </w:t>
      </w:r>
      <w:r w:rsidRPr="008E6E3C">
        <w:rPr>
          <w:lang w:eastAsia="en-AU"/>
        </w:rPr>
        <w:t xml:space="preserve">per cent of the rural population live within </w:t>
      </w:r>
      <w:r w:rsidR="00A54252">
        <w:rPr>
          <w:lang w:eastAsia="en-AU"/>
        </w:rPr>
        <w:t>2 </w:t>
      </w:r>
      <w:r w:rsidRPr="008E6E3C">
        <w:rPr>
          <w:lang w:eastAsia="en-AU"/>
        </w:rPr>
        <w:t>kilometres of an all-season road.</w:t>
      </w:r>
      <w:r w:rsidR="0091270A">
        <w:rPr>
          <w:rStyle w:val="EndnoteReference"/>
          <w:lang w:eastAsia="en-AU"/>
        </w:rPr>
        <w:endnoteReference w:id="6"/>
      </w:r>
    </w:p>
    <w:p w14:paraId="631E02B0" w14:textId="01B33D57" w:rsidR="003F7FFE" w:rsidRDefault="003F7FFE" w:rsidP="00E90562">
      <w:pPr>
        <w:rPr>
          <w:lang w:eastAsia="en-AU"/>
        </w:rPr>
      </w:pPr>
      <w:r w:rsidRPr="7AEF7A8E">
        <w:rPr>
          <w:lang w:eastAsia="en-AU"/>
        </w:rPr>
        <w:t xml:space="preserve">PNG is one of the most disaster-prone countries globally, vulnerable to natural hazards </w:t>
      </w:r>
      <w:r>
        <w:rPr>
          <w:lang w:eastAsia="en-AU"/>
        </w:rPr>
        <w:t xml:space="preserve">including </w:t>
      </w:r>
      <w:r w:rsidRPr="7AEF7A8E">
        <w:rPr>
          <w:lang w:eastAsia="en-AU"/>
        </w:rPr>
        <w:t xml:space="preserve">earthquakes, tsunamis, volcanic activity, flooding, </w:t>
      </w:r>
      <w:proofErr w:type="gramStart"/>
      <w:r w:rsidRPr="7AEF7A8E">
        <w:rPr>
          <w:lang w:eastAsia="en-AU"/>
        </w:rPr>
        <w:t>landslides</w:t>
      </w:r>
      <w:proofErr w:type="gramEnd"/>
      <w:r w:rsidRPr="7AEF7A8E">
        <w:rPr>
          <w:lang w:eastAsia="en-AU"/>
        </w:rPr>
        <w:t xml:space="preserve"> and droughts. </w:t>
      </w:r>
      <w:bookmarkStart w:id="0" w:name="_Hlk173331464"/>
      <w:r>
        <w:rPr>
          <w:lang w:eastAsia="en-AU"/>
        </w:rPr>
        <w:t>T</w:t>
      </w:r>
      <w:r w:rsidRPr="7AEF7A8E">
        <w:rPr>
          <w:lang w:eastAsia="en-AU"/>
        </w:rPr>
        <w:t>ribal violence and conflict destabilise and displace entire communities.</w:t>
      </w:r>
      <w:bookmarkEnd w:id="0"/>
      <w:r w:rsidRPr="7AEF7A8E">
        <w:rPr>
          <w:lang w:eastAsia="en-AU"/>
        </w:rPr>
        <w:t xml:space="preserve"> Disasters</w:t>
      </w:r>
      <w:r w:rsidR="00436BB4">
        <w:rPr>
          <w:lang w:eastAsia="en-AU"/>
        </w:rPr>
        <w:t xml:space="preserve">, </w:t>
      </w:r>
      <w:proofErr w:type="gramStart"/>
      <w:r w:rsidR="00436BB4">
        <w:rPr>
          <w:lang w:eastAsia="en-AU"/>
        </w:rPr>
        <w:t>conflict</w:t>
      </w:r>
      <w:proofErr w:type="gramEnd"/>
      <w:r w:rsidRPr="7AEF7A8E">
        <w:rPr>
          <w:lang w:eastAsia="en-AU"/>
        </w:rPr>
        <w:t xml:space="preserve"> and </w:t>
      </w:r>
      <w:r w:rsidR="00436BB4">
        <w:rPr>
          <w:lang w:eastAsia="en-AU"/>
        </w:rPr>
        <w:t xml:space="preserve">other </w:t>
      </w:r>
      <w:r w:rsidRPr="7AEF7A8E">
        <w:rPr>
          <w:lang w:eastAsia="en-AU"/>
        </w:rPr>
        <w:t>extreme events undermine development gains, test resilience and push people into poverty</w:t>
      </w:r>
      <w:r w:rsidR="00026684">
        <w:rPr>
          <w:lang w:eastAsia="en-AU"/>
        </w:rPr>
        <w:t xml:space="preserve">, especially </w:t>
      </w:r>
      <w:r w:rsidRPr="008E6E3C">
        <w:rPr>
          <w:lang w:eastAsia="en-AU"/>
        </w:rPr>
        <w:t>the most vulnerable</w:t>
      </w:r>
      <w:r>
        <w:rPr>
          <w:lang w:eastAsia="en-AU"/>
        </w:rPr>
        <w:t>:</w:t>
      </w:r>
      <w:r w:rsidRPr="008E6E3C">
        <w:rPr>
          <w:lang w:eastAsia="en-AU"/>
        </w:rPr>
        <w:t xml:space="preserve"> women and girls, </w:t>
      </w:r>
      <w:r w:rsidR="00BD7943">
        <w:rPr>
          <w:lang w:eastAsia="en-AU"/>
        </w:rPr>
        <w:t xml:space="preserve">people </w:t>
      </w:r>
      <w:r w:rsidRPr="008E6E3C">
        <w:rPr>
          <w:lang w:eastAsia="en-AU"/>
        </w:rPr>
        <w:t>with disability, and the rural poor.</w:t>
      </w:r>
    </w:p>
    <w:p w14:paraId="1159FD85" w14:textId="4AAE448C" w:rsidR="003F7FFE" w:rsidRPr="008E6E3C" w:rsidRDefault="003F7FFE" w:rsidP="00E90562">
      <w:pPr>
        <w:rPr>
          <w:lang w:eastAsia="en-AU"/>
        </w:rPr>
      </w:pPr>
      <w:r w:rsidRPr="008E6E3C">
        <w:rPr>
          <w:lang w:eastAsia="en-AU"/>
        </w:rPr>
        <w:t xml:space="preserve">The PNG Government’s vision for its future is set out in </w:t>
      </w:r>
      <w:r w:rsidR="007B04FE">
        <w:rPr>
          <w:lang w:eastAsia="en-AU"/>
        </w:rPr>
        <w:t xml:space="preserve">the </w:t>
      </w:r>
      <w:r w:rsidRPr="008E6E3C">
        <w:rPr>
          <w:lang w:eastAsia="en-AU"/>
        </w:rPr>
        <w:t>PNG Vision 2050, Development Strategic Plan 2010</w:t>
      </w:r>
      <w:r w:rsidR="0019326C">
        <w:rPr>
          <w:lang w:eastAsia="en-AU"/>
        </w:rPr>
        <w:t>–</w:t>
      </w:r>
      <w:r w:rsidRPr="008E6E3C">
        <w:rPr>
          <w:lang w:eastAsia="en-AU"/>
        </w:rPr>
        <w:t xml:space="preserve">2030 and </w:t>
      </w:r>
      <w:r w:rsidRPr="005A7112">
        <w:rPr>
          <w:lang w:eastAsia="en-AU"/>
        </w:rPr>
        <w:t>Medium</w:t>
      </w:r>
      <w:r w:rsidR="008954C4">
        <w:rPr>
          <w:lang w:eastAsia="en-AU"/>
        </w:rPr>
        <w:t>-</w:t>
      </w:r>
      <w:r w:rsidRPr="005A7112">
        <w:rPr>
          <w:lang w:eastAsia="en-AU"/>
        </w:rPr>
        <w:t>Term Development Plan</w:t>
      </w:r>
      <w:r w:rsidR="0044424F">
        <w:rPr>
          <w:lang w:eastAsia="en-AU"/>
        </w:rPr>
        <w:t> </w:t>
      </w:r>
      <w:r w:rsidRPr="005A7112">
        <w:rPr>
          <w:lang w:eastAsia="en-AU"/>
        </w:rPr>
        <w:t>IV</w:t>
      </w:r>
      <w:r w:rsidR="0044424F">
        <w:rPr>
          <w:lang w:eastAsia="en-AU"/>
        </w:rPr>
        <w:t> </w:t>
      </w:r>
      <w:r w:rsidRPr="005A7112">
        <w:rPr>
          <w:lang w:eastAsia="en-AU"/>
        </w:rPr>
        <w:t>2023</w:t>
      </w:r>
      <w:r w:rsidR="0044424F">
        <w:t>–</w:t>
      </w:r>
      <w:r w:rsidRPr="005A7112">
        <w:rPr>
          <w:lang w:eastAsia="en-AU"/>
        </w:rPr>
        <w:t>2027</w:t>
      </w:r>
      <w:r>
        <w:rPr>
          <w:lang w:eastAsia="en-AU"/>
        </w:rPr>
        <w:t xml:space="preserve"> (MTDP</w:t>
      </w:r>
      <w:r w:rsidR="00645551">
        <w:rPr>
          <w:lang w:eastAsia="en-AU"/>
        </w:rPr>
        <w:t> </w:t>
      </w:r>
      <w:r>
        <w:rPr>
          <w:lang w:eastAsia="en-AU"/>
        </w:rPr>
        <w:t>IV)</w:t>
      </w:r>
      <w:r w:rsidRPr="008E6E3C">
        <w:rPr>
          <w:lang w:eastAsia="en-AU"/>
        </w:rPr>
        <w:t>.</w:t>
      </w:r>
      <w:r w:rsidR="007944C2">
        <w:rPr>
          <w:rStyle w:val="EndnoteReference"/>
          <w:rFonts w:cs="Calibri Light"/>
          <w:color w:val="313E48" w:themeColor="text2"/>
          <w:lang w:eastAsia="en-AU"/>
        </w:rPr>
        <w:endnoteReference w:id="7"/>
      </w:r>
      <w:r w:rsidRPr="008E6E3C">
        <w:rPr>
          <w:lang w:eastAsia="en-AU"/>
        </w:rPr>
        <w:t xml:space="preserve"> The</w:t>
      </w:r>
      <w:r>
        <w:rPr>
          <w:lang w:eastAsia="en-AU"/>
        </w:rPr>
        <w:t xml:space="preserve"> PNG</w:t>
      </w:r>
      <w:r w:rsidRPr="008E6E3C">
        <w:rPr>
          <w:lang w:eastAsia="en-AU"/>
        </w:rPr>
        <w:t xml:space="preserve"> </w:t>
      </w:r>
      <w:r>
        <w:rPr>
          <w:lang w:eastAsia="en-AU"/>
        </w:rPr>
        <w:t>G</w:t>
      </w:r>
      <w:r w:rsidRPr="008E6E3C">
        <w:rPr>
          <w:lang w:eastAsia="en-AU"/>
        </w:rPr>
        <w:t>overnment’s ambition is to grow the economy to K200</w:t>
      </w:r>
      <w:r w:rsidR="00FD3358">
        <w:rPr>
          <w:lang w:eastAsia="en-AU"/>
        </w:rPr>
        <w:t> </w:t>
      </w:r>
      <w:r w:rsidRPr="008E6E3C">
        <w:rPr>
          <w:lang w:eastAsia="en-AU"/>
        </w:rPr>
        <w:t xml:space="preserve">billion </w:t>
      </w:r>
      <w:r w:rsidR="00E0434D">
        <w:rPr>
          <w:lang w:eastAsia="en-AU"/>
        </w:rPr>
        <w:t xml:space="preserve">(about $80 billion) </w:t>
      </w:r>
      <w:r w:rsidRPr="008E6E3C">
        <w:rPr>
          <w:lang w:eastAsia="en-AU"/>
        </w:rPr>
        <w:t xml:space="preserve">by 2030, double internal revenue, double export revenue and create </w:t>
      </w:r>
      <w:r w:rsidR="00FD3358">
        <w:rPr>
          <w:lang w:eastAsia="en-AU"/>
        </w:rPr>
        <w:t>1 </w:t>
      </w:r>
      <w:r w:rsidRPr="008E6E3C">
        <w:rPr>
          <w:lang w:eastAsia="en-AU"/>
        </w:rPr>
        <w:t>million new jobs. The MTDP</w:t>
      </w:r>
      <w:r w:rsidR="00EA783B">
        <w:rPr>
          <w:lang w:eastAsia="en-AU"/>
        </w:rPr>
        <w:t> </w:t>
      </w:r>
      <w:r w:rsidRPr="008E6E3C">
        <w:rPr>
          <w:lang w:eastAsia="en-AU"/>
        </w:rPr>
        <w:t xml:space="preserve">IV outlines PNG’s aspiration to protect its democratic institutions and improve the effectiveness, </w:t>
      </w:r>
      <w:proofErr w:type="gramStart"/>
      <w:r w:rsidRPr="008E6E3C">
        <w:rPr>
          <w:lang w:eastAsia="en-AU"/>
        </w:rPr>
        <w:t>transparency</w:t>
      </w:r>
      <w:proofErr w:type="gramEnd"/>
      <w:r w:rsidRPr="008E6E3C">
        <w:rPr>
          <w:lang w:eastAsia="en-AU"/>
        </w:rPr>
        <w:t xml:space="preserve"> and accountability of the public sector.</w:t>
      </w:r>
    </w:p>
    <w:p w14:paraId="445F9A27" w14:textId="2B01296A" w:rsidR="003F7FFE" w:rsidRDefault="003F7FFE" w:rsidP="00E90562">
      <w:pPr>
        <w:rPr>
          <w:lang w:eastAsia="en-AU"/>
        </w:rPr>
      </w:pPr>
      <w:r w:rsidRPr="00D518CB">
        <w:rPr>
          <w:lang w:eastAsia="en-AU"/>
        </w:rPr>
        <w:t>The PNG Government’s signature infrastructure program, ‘Connect PNG’</w:t>
      </w:r>
      <w:r>
        <w:rPr>
          <w:lang w:eastAsia="en-AU"/>
        </w:rPr>
        <w:t xml:space="preserve"> (one of MTDP</w:t>
      </w:r>
      <w:r w:rsidR="004261DB">
        <w:rPr>
          <w:lang w:eastAsia="en-AU"/>
        </w:rPr>
        <w:t> </w:t>
      </w:r>
      <w:r>
        <w:rPr>
          <w:lang w:eastAsia="en-AU"/>
        </w:rPr>
        <w:t>IV’s 12</w:t>
      </w:r>
      <w:r w:rsidR="004261DB">
        <w:rPr>
          <w:lang w:eastAsia="en-AU"/>
        </w:rPr>
        <w:t> </w:t>
      </w:r>
      <w:r>
        <w:rPr>
          <w:lang w:eastAsia="en-AU"/>
        </w:rPr>
        <w:t>strategic priority areas)</w:t>
      </w:r>
      <w:r w:rsidR="004261DB">
        <w:rPr>
          <w:lang w:eastAsia="en-AU"/>
        </w:rPr>
        <w:t>,</w:t>
      </w:r>
      <w:r>
        <w:rPr>
          <w:lang w:eastAsia="en-AU"/>
        </w:rPr>
        <w:t xml:space="preserve"> </w:t>
      </w:r>
      <w:r w:rsidRPr="00D518CB">
        <w:rPr>
          <w:lang w:eastAsia="en-AU"/>
        </w:rPr>
        <w:t xml:space="preserve">plans to connect every part of the country by road, sea, air, electricity, </w:t>
      </w:r>
      <w:proofErr w:type="gramStart"/>
      <w:r w:rsidRPr="00D518CB">
        <w:rPr>
          <w:lang w:eastAsia="en-AU"/>
        </w:rPr>
        <w:t>telecommunications</w:t>
      </w:r>
      <w:proofErr w:type="gramEnd"/>
      <w:r w:rsidRPr="00D518CB">
        <w:rPr>
          <w:lang w:eastAsia="en-AU"/>
        </w:rPr>
        <w:t xml:space="preserve"> and</w:t>
      </w:r>
      <w:r w:rsidR="004261DB">
        <w:rPr>
          <w:lang w:eastAsia="en-AU"/>
        </w:rPr>
        <w:t xml:space="preserve"> </w:t>
      </w:r>
      <w:r w:rsidRPr="00D518CB">
        <w:rPr>
          <w:lang w:eastAsia="en-AU"/>
        </w:rPr>
        <w:t>e</w:t>
      </w:r>
      <w:r>
        <w:rPr>
          <w:lang w:eastAsia="en-AU"/>
        </w:rPr>
        <w:noBreakHyphen/>
      </w:r>
      <w:r w:rsidRPr="00D518CB">
        <w:rPr>
          <w:lang w:eastAsia="en-AU"/>
        </w:rPr>
        <w:t>government systems (by satellite). Th</w:t>
      </w:r>
      <w:r w:rsidR="00D42619">
        <w:rPr>
          <w:lang w:eastAsia="en-AU"/>
        </w:rPr>
        <w:t>is</w:t>
      </w:r>
      <w:r w:rsidRPr="00D518CB">
        <w:rPr>
          <w:lang w:eastAsia="en-AU"/>
        </w:rPr>
        <w:t xml:space="preserve"> ambitious agenda seeks to address the disparity in resource allocation across PNG by dedicating adequate resources to build local economies and services, </w:t>
      </w:r>
      <w:r w:rsidR="001A35A3">
        <w:rPr>
          <w:lang w:eastAsia="en-AU"/>
        </w:rPr>
        <w:t xml:space="preserve">especially </w:t>
      </w:r>
      <w:r w:rsidRPr="00D518CB">
        <w:rPr>
          <w:lang w:eastAsia="en-AU"/>
        </w:rPr>
        <w:t>in rural areas where most of the country’s citizens live.</w:t>
      </w:r>
    </w:p>
    <w:p w14:paraId="22A9A4E9" w14:textId="6AC97D79" w:rsidR="003F7FFE" w:rsidRPr="00CF2298" w:rsidRDefault="003F7FFE" w:rsidP="00E90562">
      <w:pPr>
        <w:rPr>
          <w:lang w:eastAsia="en-AU"/>
        </w:rPr>
      </w:pPr>
      <w:r w:rsidRPr="6BEBB5BF">
        <w:rPr>
          <w:lang w:eastAsia="en-AU"/>
        </w:rPr>
        <w:t>PNG places a high priority on addressing its law</w:t>
      </w:r>
      <w:r w:rsidR="004F5412">
        <w:rPr>
          <w:lang w:eastAsia="en-AU"/>
        </w:rPr>
        <w:t xml:space="preserve"> </w:t>
      </w:r>
      <w:r w:rsidRPr="6BEBB5BF">
        <w:rPr>
          <w:lang w:eastAsia="en-AU"/>
        </w:rPr>
        <w:t>and</w:t>
      </w:r>
      <w:r w:rsidR="004F5412">
        <w:rPr>
          <w:lang w:eastAsia="en-AU"/>
        </w:rPr>
        <w:t xml:space="preserve"> </w:t>
      </w:r>
      <w:r w:rsidRPr="6BEBB5BF">
        <w:rPr>
          <w:lang w:eastAsia="en-AU"/>
        </w:rPr>
        <w:t>order and internal security concerns</w:t>
      </w:r>
      <w:r>
        <w:rPr>
          <w:lang w:eastAsia="en-AU"/>
        </w:rPr>
        <w:t>,</w:t>
      </w:r>
      <w:r w:rsidRPr="6BEBB5BF">
        <w:rPr>
          <w:lang w:eastAsia="en-AU"/>
        </w:rPr>
        <w:t xml:space="preserve"> recognising that insecurity undermines development, service provision and growth in sectors that underpin the economy. </w:t>
      </w:r>
      <w:r>
        <w:rPr>
          <w:lang w:eastAsia="en-AU"/>
        </w:rPr>
        <w:t>However, l</w:t>
      </w:r>
      <w:r w:rsidRPr="008E6E3C">
        <w:rPr>
          <w:lang w:eastAsia="en-AU"/>
        </w:rPr>
        <w:t xml:space="preserve">aw and justice sector agencies have </w:t>
      </w:r>
      <w:r>
        <w:rPr>
          <w:lang w:eastAsia="en-AU"/>
        </w:rPr>
        <w:t>limited resources and</w:t>
      </w:r>
      <w:r w:rsidRPr="008E6E3C">
        <w:rPr>
          <w:lang w:eastAsia="en-AU"/>
        </w:rPr>
        <w:t xml:space="preserve"> reach to cover PNG’s vast and remote geography</w:t>
      </w:r>
      <w:r w:rsidR="008C6379">
        <w:rPr>
          <w:lang w:eastAsia="en-AU"/>
        </w:rPr>
        <w:t xml:space="preserve"> effectively</w:t>
      </w:r>
      <w:r w:rsidRPr="008E6E3C">
        <w:rPr>
          <w:lang w:eastAsia="en-AU"/>
        </w:rPr>
        <w:t>.</w:t>
      </w:r>
      <w:r w:rsidRPr="6BEBB5BF">
        <w:rPr>
          <w:lang w:eastAsia="en-AU"/>
        </w:rPr>
        <w:t xml:space="preserve"> Police numbers are just one</w:t>
      </w:r>
      <w:r w:rsidR="002E79F8">
        <w:rPr>
          <w:lang w:eastAsia="en-AU"/>
        </w:rPr>
        <w:t>-</w:t>
      </w:r>
      <w:r w:rsidRPr="6BEBB5BF">
        <w:rPr>
          <w:lang w:eastAsia="en-AU"/>
        </w:rPr>
        <w:t xml:space="preserve">third of the </w:t>
      </w:r>
      <w:r w:rsidR="00870DF5">
        <w:rPr>
          <w:lang w:eastAsia="en-AU"/>
        </w:rPr>
        <w:t>UN-</w:t>
      </w:r>
      <w:r w:rsidRPr="6BEBB5BF">
        <w:rPr>
          <w:lang w:eastAsia="en-AU"/>
        </w:rPr>
        <w:t xml:space="preserve">recommended ratio of police per population. </w:t>
      </w:r>
      <w:bookmarkStart w:id="1" w:name="_Hlk173331659"/>
      <w:bookmarkStart w:id="2" w:name="_Hlk173331845"/>
      <w:r w:rsidRPr="6BEBB5BF">
        <w:rPr>
          <w:lang w:eastAsia="en-AU"/>
        </w:rPr>
        <w:t xml:space="preserve">The outbreak of </w:t>
      </w:r>
      <w:r>
        <w:rPr>
          <w:lang w:eastAsia="en-AU"/>
        </w:rPr>
        <w:t>civil unrest in Port Moresby</w:t>
      </w:r>
      <w:r w:rsidR="002E54A8">
        <w:rPr>
          <w:lang w:eastAsia="en-AU"/>
        </w:rPr>
        <w:t xml:space="preserve"> </w:t>
      </w:r>
      <w:r w:rsidRPr="6BEBB5BF">
        <w:rPr>
          <w:lang w:eastAsia="en-AU"/>
        </w:rPr>
        <w:t xml:space="preserve">in </w:t>
      </w:r>
      <w:bookmarkStart w:id="3" w:name="_Hlk173331732"/>
      <w:r w:rsidRPr="6BEBB5BF">
        <w:rPr>
          <w:lang w:eastAsia="en-AU"/>
        </w:rPr>
        <w:t xml:space="preserve">early </w:t>
      </w:r>
      <w:bookmarkEnd w:id="1"/>
      <w:r w:rsidRPr="6BEBB5BF">
        <w:rPr>
          <w:lang w:eastAsia="en-AU"/>
        </w:rPr>
        <w:t xml:space="preserve">2024 </w:t>
      </w:r>
      <w:bookmarkEnd w:id="3"/>
      <w:r w:rsidRPr="6BEBB5BF">
        <w:rPr>
          <w:lang w:eastAsia="en-AU"/>
        </w:rPr>
        <w:t xml:space="preserve">underscores the scale of the </w:t>
      </w:r>
      <w:proofErr w:type="gramStart"/>
      <w:r w:rsidRPr="6BEBB5BF">
        <w:rPr>
          <w:lang w:eastAsia="en-AU"/>
        </w:rPr>
        <w:t>law</w:t>
      </w:r>
      <w:r>
        <w:rPr>
          <w:lang w:eastAsia="en-AU"/>
        </w:rPr>
        <w:t xml:space="preserve"> </w:t>
      </w:r>
      <w:r w:rsidRPr="6BEBB5BF">
        <w:rPr>
          <w:lang w:eastAsia="en-AU"/>
        </w:rPr>
        <w:t>and</w:t>
      </w:r>
      <w:r>
        <w:rPr>
          <w:lang w:eastAsia="en-AU"/>
        </w:rPr>
        <w:t xml:space="preserve"> </w:t>
      </w:r>
      <w:r w:rsidRPr="6BEBB5BF">
        <w:rPr>
          <w:lang w:eastAsia="en-AU"/>
        </w:rPr>
        <w:t>order</w:t>
      </w:r>
      <w:proofErr w:type="gramEnd"/>
      <w:r w:rsidRPr="6BEBB5BF">
        <w:rPr>
          <w:lang w:eastAsia="en-AU"/>
        </w:rPr>
        <w:t xml:space="preserve"> challenge</w:t>
      </w:r>
      <w:r>
        <w:rPr>
          <w:lang w:eastAsia="en-AU"/>
        </w:rPr>
        <w:t>s</w:t>
      </w:r>
      <w:bookmarkEnd w:id="2"/>
      <w:r w:rsidRPr="6BEBB5BF">
        <w:rPr>
          <w:lang w:eastAsia="en-AU"/>
        </w:rPr>
        <w:t>.</w:t>
      </w:r>
      <w:r w:rsidRPr="008E6E3C">
        <w:rPr>
          <w:lang w:eastAsia="en-AU"/>
        </w:rPr>
        <w:t xml:space="preserve"> PNG </w:t>
      </w:r>
      <w:r w:rsidR="00817BF0">
        <w:rPr>
          <w:lang w:eastAsia="en-AU"/>
        </w:rPr>
        <w:t>wa</w:t>
      </w:r>
      <w:r>
        <w:rPr>
          <w:lang w:eastAsia="en-AU"/>
        </w:rPr>
        <w:t xml:space="preserve">s </w:t>
      </w:r>
      <w:r w:rsidRPr="008E6E3C">
        <w:rPr>
          <w:lang w:eastAsia="en-AU"/>
        </w:rPr>
        <w:t xml:space="preserve">the </w:t>
      </w:r>
      <w:r w:rsidR="00871144">
        <w:rPr>
          <w:lang w:eastAsia="en-AU"/>
        </w:rPr>
        <w:t>46th</w:t>
      </w:r>
      <w:r w:rsidR="00C23E2F">
        <w:rPr>
          <w:lang w:eastAsia="en-AU"/>
        </w:rPr>
        <w:t xml:space="preserve"> </w:t>
      </w:r>
      <w:r w:rsidRPr="008E6E3C">
        <w:rPr>
          <w:lang w:eastAsia="en-AU"/>
        </w:rPr>
        <w:t xml:space="preserve">lowest rated country globally of the 180 countries </w:t>
      </w:r>
      <w:r>
        <w:rPr>
          <w:lang w:eastAsia="en-AU"/>
        </w:rPr>
        <w:t xml:space="preserve">assessed in </w:t>
      </w:r>
      <w:r w:rsidRPr="008E6E3C">
        <w:rPr>
          <w:lang w:eastAsia="en-AU"/>
        </w:rPr>
        <w:t>Transparency International</w:t>
      </w:r>
      <w:r>
        <w:rPr>
          <w:lang w:eastAsia="en-AU"/>
        </w:rPr>
        <w:t>’s</w:t>
      </w:r>
      <w:r w:rsidRPr="008E6E3C">
        <w:rPr>
          <w:lang w:eastAsia="en-AU"/>
        </w:rPr>
        <w:t xml:space="preserve"> 2023 Corruption Perceptions Index.</w:t>
      </w:r>
    </w:p>
    <w:p w14:paraId="612830D8" w14:textId="14293E31" w:rsidR="003F7FFE" w:rsidRPr="00B713EC" w:rsidRDefault="003F7FFE" w:rsidP="00E90562">
      <w:pPr>
        <w:rPr>
          <w:lang w:eastAsia="en-AU"/>
        </w:rPr>
      </w:pPr>
      <w:r w:rsidRPr="00850CB5">
        <w:rPr>
          <w:lang w:eastAsia="en-AU"/>
        </w:rPr>
        <w:t>PNG recognises that access to education is critical for human and economic developmen</w:t>
      </w:r>
      <w:r>
        <w:rPr>
          <w:lang w:eastAsia="en-AU"/>
        </w:rPr>
        <w:t>t. D</w:t>
      </w:r>
      <w:r w:rsidRPr="00850CB5">
        <w:rPr>
          <w:lang w:eastAsia="en-AU"/>
        </w:rPr>
        <w:t>espite introducing positive measures such as free education for all</w:t>
      </w:r>
      <w:r>
        <w:rPr>
          <w:lang w:eastAsia="en-AU"/>
        </w:rPr>
        <w:t>,</w:t>
      </w:r>
      <w:r w:rsidRPr="00850CB5">
        <w:rPr>
          <w:lang w:eastAsia="en-AU"/>
        </w:rPr>
        <w:t xml:space="preserve"> PNG’s education indicators continue to lag significantly </w:t>
      </w:r>
      <w:r w:rsidRPr="008E6E3C">
        <w:rPr>
          <w:lang w:eastAsia="en-AU"/>
        </w:rPr>
        <w:t>behind accepted global standards</w:t>
      </w:r>
      <w:r w:rsidRPr="006D3403">
        <w:rPr>
          <w:lang w:eastAsia="en-AU"/>
        </w:rPr>
        <w:t>.</w:t>
      </w:r>
      <w:r w:rsidRPr="00850CB5">
        <w:rPr>
          <w:lang w:eastAsia="en-AU"/>
        </w:rPr>
        <w:t xml:space="preserve"> Only 12</w:t>
      </w:r>
      <w:r w:rsidR="00333F6C">
        <w:rPr>
          <w:lang w:eastAsia="en-AU"/>
        </w:rPr>
        <w:t> </w:t>
      </w:r>
      <w:r w:rsidRPr="00850CB5">
        <w:rPr>
          <w:lang w:eastAsia="en-AU"/>
        </w:rPr>
        <w:t>per</w:t>
      </w:r>
      <w:r>
        <w:rPr>
          <w:lang w:eastAsia="en-AU"/>
        </w:rPr>
        <w:t xml:space="preserve"> </w:t>
      </w:r>
      <w:r w:rsidRPr="00850CB5">
        <w:rPr>
          <w:lang w:eastAsia="en-AU"/>
        </w:rPr>
        <w:t xml:space="preserve">cent of girls </w:t>
      </w:r>
      <w:r>
        <w:rPr>
          <w:lang w:eastAsia="en-AU"/>
        </w:rPr>
        <w:t xml:space="preserve">and </w:t>
      </w:r>
      <w:r w:rsidRPr="00850CB5">
        <w:rPr>
          <w:lang w:eastAsia="en-AU"/>
        </w:rPr>
        <w:t>16</w:t>
      </w:r>
      <w:r w:rsidR="00333F6C">
        <w:rPr>
          <w:lang w:eastAsia="en-AU"/>
        </w:rPr>
        <w:t> </w:t>
      </w:r>
      <w:r w:rsidRPr="00850CB5">
        <w:rPr>
          <w:lang w:eastAsia="en-AU"/>
        </w:rPr>
        <w:t xml:space="preserve">per cent </w:t>
      </w:r>
      <w:r>
        <w:rPr>
          <w:lang w:eastAsia="en-AU"/>
        </w:rPr>
        <w:t xml:space="preserve">of </w:t>
      </w:r>
      <w:r w:rsidRPr="00850CB5">
        <w:rPr>
          <w:lang w:eastAsia="en-AU"/>
        </w:rPr>
        <w:t>boys who begin school complete year</w:t>
      </w:r>
      <w:r w:rsidR="00333F6C">
        <w:rPr>
          <w:lang w:eastAsia="en-AU"/>
        </w:rPr>
        <w:t> </w:t>
      </w:r>
      <w:r w:rsidRPr="00850CB5">
        <w:rPr>
          <w:lang w:eastAsia="en-AU"/>
        </w:rPr>
        <w:t>12</w:t>
      </w:r>
      <w:r>
        <w:rPr>
          <w:lang w:eastAsia="en-AU"/>
        </w:rPr>
        <w:t xml:space="preserve">, </w:t>
      </w:r>
      <w:r w:rsidR="004B0CF3">
        <w:rPr>
          <w:lang w:eastAsia="en-AU"/>
        </w:rPr>
        <w:t xml:space="preserve">and </w:t>
      </w:r>
      <w:r>
        <w:rPr>
          <w:lang w:eastAsia="en-AU"/>
        </w:rPr>
        <w:t xml:space="preserve">only </w:t>
      </w:r>
      <w:r w:rsidR="004B0CF3">
        <w:rPr>
          <w:lang w:eastAsia="en-AU"/>
        </w:rPr>
        <w:t>5 </w:t>
      </w:r>
      <w:r>
        <w:rPr>
          <w:lang w:eastAsia="en-AU"/>
        </w:rPr>
        <w:t xml:space="preserve">per cent of children with </w:t>
      </w:r>
      <w:r w:rsidR="004B0CF3">
        <w:rPr>
          <w:lang w:eastAsia="en-AU"/>
        </w:rPr>
        <w:t xml:space="preserve">disability </w:t>
      </w:r>
      <w:r>
        <w:rPr>
          <w:lang w:eastAsia="en-AU"/>
        </w:rPr>
        <w:t>enrol in education.</w:t>
      </w:r>
      <w:r w:rsidR="0091270A">
        <w:rPr>
          <w:rStyle w:val="EndnoteReference"/>
          <w:lang w:eastAsia="en-AU"/>
        </w:rPr>
        <w:endnoteReference w:id="8"/>
      </w:r>
      <w:r>
        <w:rPr>
          <w:lang w:eastAsia="en-AU"/>
        </w:rPr>
        <w:t xml:space="preserve"> </w:t>
      </w:r>
      <w:r w:rsidRPr="00850CB5">
        <w:rPr>
          <w:lang w:eastAsia="en-AU"/>
        </w:rPr>
        <w:t xml:space="preserve">Dropout rates for girls are </w:t>
      </w:r>
      <w:r w:rsidR="00717EB2">
        <w:rPr>
          <w:lang w:eastAsia="en-AU"/>
        </w:rPr>
        <w:t xml:space="preserve">especially </w:t>
      </w:r>
      <w:r w:rsidRPr="00850CB5">
        <w:rPr>
          <w:lang w:eastAsia="en-AU"/>
        </w:rPr>
        <w:t xml:space="preserve">high </w:t>
      </w:r>
      <w:r w:rsidR="004E3BC3">
        <w:rPr>
          <w:lang w:eastAsia="en-AU"/>
        </w:rPr>
        <w:t xml:space="preserve">at </w:t>
      </w:r>
      <w:r w:rsidRPr="00850CB5">
        <w:rPr>
          <w:lang w:eastAsia="en-AU"/>
        </w:rPr>
        <w:t xml:space="preserve">the </w:t>
      </w:r>
      <w:r w:rsidR="004E3BC3">
        <w:rPr>
          <w:lang w:eastAsia="en-AU"/>
        </w:rPr>
        <w:t xml:space="preserve">transition </w:t>
      </w:r>
      <w:r w:rsidRPr="00850CB5">
        <w:rPr>
          <w:lang w:eastAsia="en-AU"/>
        </w:rPr>
        <w:t xml:space="preserve">from primary to secondary school. PNG is drawing on foreign workers to fill shortages of adequately skilled workers </w:t>
      </w:r>
      <w:r w:rsidR="00C965DB">
        <w:rPr>
          <w:lang w:eastAsia="en-AU"/>
        </w:rPr>
        <w:t xml:space="preserve">while </w:t>
      </w:r>
      <w:r w:rsidRPr="00850CB5">
        <w:rPr>
          <w:lang w:eastAsia="en-AU"/>
        </w:rPr>
        <w:t xml:space="preserve">many </w:t>
      </w:r>
      <w:r w:rsidRPr="00BE6C84">
        <w:rPr>
          <w:lang w:eastAsia="en-AU"/>
        </w:rPr>
        <w:t xml:space="preserve">technical and vocational </w:t>
      </w:r>
      <w:r w:rsidR="00C03EFE">
        <w:rPr>
          <w:lang w:eastAsia="en-AU"/>
        </w:rPr>
        <w:t xml:space="preserve">education and </w:t>
      </w:r>
      <w:r w:rsidRPr="00BE6C84">
        <w:rPr>
          <w:lang w:eastAsia="en-AU"/>
        </w:rPr>
        <w:t>training</w:t>
      </w:r>
      <w:r>
        <w:rPr>
          <w:lang w:eastAsia="en-AU"/>
        </w:rPr>
        <w:t xml:space="preserve"> (TVET)</w:t>
      </w:r>
      <w:r w:rsidRPr="00850CB5">
        <w:rPr>
          <w:lang w:eastAsia="en-AU"/>
        </w:rPr>
        <w:t xml:space="preserve"> and university graduates face difficulties finding employment </w:t>
      </w:r>
      <w:r w:rsidR="00384FAF">
        <w:rPr>
          <w:lang w:eastAsia="en-AU"/>
        </w:rPr>
        <w:t>because of</w:t>
      </w:r>
      <w:r w:rsidRPr="00850CB5">
        <w:rPr>
          <w:lang w:eastAsia="en-AU"/>
        </w:rPr>
        <w:t xml:space="preserve"> a mismatch between skills and available jobs.</w:t>
      </w:r>
    </w:p>
    <w:p w14:paraId="7F1F6E43" w14:textId="3CA27682" w:rsidR="002F4955" w:rsidRDefault="003F7FFE" w:rsidP="001A1E2F">
      <w:pPr>
        <w:rPr>
          <w:lang w:eastAsia="en-AU"/>
        </w:rPr>
      </w:pPr>
      <w:r>
        <w:rPr>
          <w:lang w:eastAsia="en-AU"/>
        </w:rPr>
        <w:t>A healthy population is essential for economic growth and reduc</w:t>
      </w:r>
      <w:r w:rsidR="004C473B">
        <w:rPr>
          <w:lang w:eastAsia="en-AU"/>
        </w:rPr>
        <w:t>ed</w:t>
      </w:r>
      <w:r>
        <w:rPr>
          <w:lang w:eastAsia="en-AU"/>
        </w:rPr>
        <w:t xml:space="preserve"> inequality. </w:t>
      </w:r>
      <w:r w:rsidRPr="00B713EC">
        <w:rPr>
          <w:lang w:eastAsia="en-AU"/>
        </w:rPr>
        <w:t>PNG’s health indicators are the lowest in the Pacific and health service coverage the third</w:t>
      </w:r>
      <w:r w:rsidR="00C965DB">
        <w:rPr>
          <w:lang w:eastAsia="en-AU"/>
        </w:rPr>
        <w:t xml:space="preserve"> </w:t>
      </w:r>
      <w:r w:rsidRPr="00B713EC">
        <w:rPr>
          <w:lang w:eastAsia="en-AU"/>
        </w:rPr>
        <w:t>worst globally. Improvements in life expectancy</w:t>
      </w:r>
      <w:r w:rsidRPr="008E6E3C">
        <w:rPr>
          <w:lang w:eastAsia="en-AU"/>
        </w:rPr>
        <w:t xml:space="preserve"> and reductions in maternal and child </w:t>
      </w:r>
      <w:r w:rsidRPr="00B713EC">
        <w:rPr>
          <w:lang w:eastAsia="en-AU"/>
        </w:rPr>
        <w:t>mortality have been slower than for PNG’s economic and regional peers.</w:t>
      </w:r>
      <w:r>
        <w:rPr>
          <w:lang w:eastAsia="en-AU"/>
        </w:rPr>
        <w:t xml:space="preserve"> </w:t>
      </w:r>
      <w:r w:rsidRPr="00297657">
        <w:rPr>
          <w:lang w:eastAsia="en-AU"/>
        </w:rPr>
        <w:t xml:space="preserve">A strong and expanded health system catering for the needs of children and young adults entering </w:t>
      </w:r>
      <w:r w:rsidR="00AE2983">
        <w:rPr>
          <w:lang w:eastAsia="en-AU"/>
        </w:rPr>
        <w:t xml:space="preserve">their </w:t>
      </w:r>
      <w:r w:rsidRPr="00297657">
        <w:rPr>
          <w:lang w:eastAsia="en-AU"/>
        </w:rPr>
        <w:t>reproductive years is required for PNG to make use of its wealth and human capital. </w:t>
      </w:r>
      <w:r>
        <w:rPr>
          <w:lang w:eastAsia="en-AU"/>
        </w:rPr>
        <w:t>The PNG Government’s agenda is clear on increasing access to health services across the country, but the system continues to be fragile, under</w:t>
      </w:r>
      <w:r w:rsidR="00A20501">
        <w:rPr>
          <w:lang w:eastAsia="en-AU"/>
        </w:rPr>
        <w:t>-</w:t>
      </w:r>
      <w:r>
        <w:rPr>
          <w:lang w:eastAsia="en-AU"/>
        </w:rPr>
        <w:t>resourced, and heavily reliant on the contributions of partners.</w:t>
      </w:r>
    </w:p>
    <w:p w14:paraId="73D60303" w14:textId="77777777" w:rsidR="002F4955" w:rsidRPr="003632CD" w:rsidRDefault="002F4955" w:rsidP="00720C8B">
      <w:pPr>
        <w:pStyle w:val="H3-Heading3"/>
        <w:rPr>
          <w:lang w:eastAsia="en-AU"/>
        </w:rPr>
      </w:pPr>
      <w:r w:rsidRPr="003632CD">
        <w:rPr>
          <w:lang w:eastAsia="en-AU"/>
        </w:rPr>
        <w:lastRenderedPageBreak/>
        <w:t xml:space="preserve">Climate </w:t>
      </w:r>
      <w:r w:rsidRPr="00E90562">
        <w:t>change</w:t>
      </w:r>
    </w:p>
    <w:p w14:paraId="3DCE9D96" w14:textId="7BDD4BD3" w:rsidR="00673E30" w:rsidRPr="00C108DF" w:rsidRDefault="00673E30" w:rsidP="00E90562">
      <w:pPr>
        <w:rPr>
          <w:lang w:eastAsia="en-AU"/>
        </w:rPr>
      </w:pPr>
      <w:r w:rsidRPr="21964D42">
        <w:rPr>
          <w:lang w:eastAsia="en-AU"/>
        </w:rPr>
        <w:t xml:space="preserve">PNG ranks </w:t>
      </w:r>
      <w:r w:rsidR="000618AC">
        <w:rPr>
          <w:lang w:eastAsia="en-AU"/>
        </w:rPr>
        <w:t>among</w:t>
      </w:r>
      <w:r w:rsidRPr="21964D42">
        <w:rPr>
          <w:lang w:eastAsia="en-AU"/>
        </w:rPr>
        <w:t xml:space="preserve"> the world’s most climate vulnerable countries. The bulk of PNG’s people depend on rain-fed subsistence agriculture, leaving them vulnerable to changing weather patterns. </w:t>
      </w:r>
      <w:r>
        <w:rPr>
          <w:lang w:eastAsia="en-AU"/>
        </w:rPr>
        <w:t>Climate modelling p</w:t>
      </w:r>
      <w:r w:rsidRPr="21964D42">
        <w:rPr>
          <w:lang w:eastAsia="en-AU"/>
        </w:rPr>
        <w:t>redict</w:t>
      </w:r>
      <w:r>
        <w:rPr>
          <w:lang w:eastAsia="en-AU"/>
        </w:rPr>
        <w:t>s</w:t>
      </w:r>
      <w:r w:rsidRPr="21964D42">
        <w:rPr>
          <w:lang w:eastAsia="en-AU"/>
        </w:rPr>
        <w:t xml:space="preserve"> more frequent droughts and floods</w:t>
      </w:r>
      <w:r>
        <w:rPr>
          <w:lang w:eastAsia="en-AU"/>
        </w:rPr>
        <w:t>, which</w:t>
      </w:r>
      <w:r w:rsidRPr="21964D42">
        <w:rPr>
          <w:lang w:eastAsia="en-AU"/>
        </w:rPr>
        <w:t xml:space="preserve"> will reduce </w:t>
      </w:r>
      <w:r w:rsidR="008950ED">
        <w:rPr>
          <w:lang w:eastAsia="en-AU"/>
        </w:rPr>
        <w:t xml:space="preserve">the </w:t>
      </w:r>
      <w:r w:rsidRPr="21964D42">
        <w:rPr>
          <w:lang w:eastAsia="en-AU"/>
        </w:rPr>
        <w:t>yields and reliability of subsistence crops</w:t>
      </w:r>
      <w:r>
        <w:rPr>
          <w:lang w:eastAsia="en-AU"/>
        </w:rPr>
        <w:t>. This in turn will increase</w:t>
      </w:r>
      <w:r w:rsidRPr="21964D42">
        <w:rPr>
          <w:lang w:eastAsia="en-AU"/>
        </w:rPr>
        <w:t xml:space="preserve"> poverty rates and worsen malnutrition. Climate events could lead to food insecurity, instability and increased internal migration, as occurred in 2015</w:t>
      </w:r>
      <w:r w:rsidR="00543A51">
        <w:rPr>
          <w:lang w:eastAsia="en-AU"/>
        </w:rPr>
        <w:t>–</w:t>
      </w:r>
      <w:r w:rsidRPr="21964D42">
        <w:rPr>
          <w:lang w:eastAsia="en-AU"/>
        </w:rPr>
        <w:t>16, when an estimated 460,000 people faced food insecurity due to failed crop production and water shortages. PNG already has the highest rate of malaria in the Asia</w:t>
      </w:r>
      <w:r w:rsidR="00355CCF">
        <w:rPr>
          <w:lang w:eastAsia="en-AU"/>
        </w:rPr>
        <w:t>–</w:t>
      </w:r>
      <w:r w:rsidRPr="21964D42">
        <w:rPr>
          <w:lang w:eastAsia="en-AU"/>
        </w:rPr>
        <w:t>Pacific region</w:t>
      </w:r>
      <w:r w:rsidR="008950ED">
        <w:rPr>
          <w:lang w:eastAsia="en-AU"/>
        </w:rPr>
        <w:t>,</w:t>
      </w:r>
      <w:r w:rsidRPr="21964D42">
        <w:rPr>
          <w:lang w:eastAsia="en-AU"/>
        </w:rPr>
        <w:t xml:space="preserve"> and rising temperatures are expected to expand the geographical spread of malaria, dengue fever, leptospirosis, lymphatic filariasis, chikungunya and </w:t>
      </w:r>
      <w:r w:rsidR="005A14BE">
        <w:rPr>
          <w:lang w:eastAsia="en-AU"/>
        </w:rPr>
        <w:t>Z</w:t>
      </w:r>
      <w:r w:rsidRPr="21964D42">
        <w:rPr>
          <w:lang w:eastAsia="en-AU"/>
        </w:rPr>
        <w:t>ika.</w:t>
      </w:r>
    </w:p>
    <w:p w14:paraId="3A80699F" w14:textId="1956BA98" w:rsidR="00673E30" w:rsidRPr="00C108DF" w:rsidRDefault="00673E30" w:rsidP="00E90562">
      <w:pPr>
        <w:rPr>
          <w:lang w:eastAsia="en-AU"/>
        </w:rPr>
      </w:pPr>
      <w:r w:rsidRPr="00C108DF">
        <w:rPr>
          <w:lang w:eastAsia="en-AU"/>
        </w:rPr>
        <w:t>Economic impacts are also expected</w:t>
      </w:r>
      <w:r w:rsidR="00762DAA">
        <w:rPr>
          <w:lang w:eastAsia="en-AU"/>
        </w:rPr>
        <w:t xml:space="preserve"> from climate change</w:t>
      </w:r>
      <w:r w:rsidRPr="00C108DF">
        <w:rPr>
          <w:lang w:eastAsia="en-AU"/>
        </w:rPr>
        <w:t xml:space="preserve">. </w:t>
      </w:r>
      <w:r>
        <w:rPr>
          <w:lang w:eastAsia="en-AU"/>
        </w:rPr>
        <w:t>Climate risks (</w:t>
      </w:r>
      <w:r w:rsidR="0084374C">
        <w:rPr>
          <w:lang w:eastAsia="en-AU"/>
        </w:rPr>
        <w:t>for example,</w:t>
      </w:r>
      <w:r>
        <w:rPr>
          <w:lang w:eastAsia="en-AU"/>
        </w:rPr>
        <w:t xml:space="preserve"> s</w:t>
      </w:r>
      <w:r w:rsidRPr="00C108DF">
        <w:rPr>
          <w:lang w:eastAsia="en-AU"/>
        </w:rPr>
        <w:t>ea level rise, storm</w:t>
      </w:r>
      <w:r>
        <w:rPr>
          <w:lang w:eastAsia="en-AU"/>
        </w:rPr>
        <w:t>s)</w:t>
      </w:r>
      <w:r w:rsidRPr="00C108DF">
        <w:rPr>
          <w:lang w:eastAsia="en-AU"/>
        </w:rPr>
        <w:t xml:space="preserve"> and disaster </w:t>
      </w:r>
      <w:r>
        <w:rPr>
          <w:lang w:eastAsia="en-AU"/>
        </w:rPr>
        <w:t>risks</w:t>
      </w:r>
      <w:r w:rsidRPr="00C108DF">
        <w:rPr>
          <w:lang w:eastAsia="en-AU"/>
        </w:rPr>
        <w:t xml:space="preserve"> will threaten key infrastructure; rainfall variability will impact the</w:t>
      </w:r>
      <w:r w:rsidR="00191F5B">
        <w:rPr>
          <w:lang w:eastAsia="en-AU"/>
        </w:rPr>
        <w:t xml:space="preserve"> geographic range and</w:t>
      </w:r>
      <w:r w:rsidRPr="00C108DF">
        <w:rPr>
          <w:lang w:eastAsia="en-AU"/>
        </w:rPr>
        <w:t xml:space="preserve"> yield of cash crops; </w:t>
      </w:r>
      <w:r w:rsidR="00B5468B">
        <w:rPr>
          <w:lang w:eastAsia="en-AU"/>
        </w:rPr>
        <w:t xml:space="preserve">and </w:t>
      </w:r>
      <w:r>
        <w:rPr>
          <w:lang w:eastAsia="en-AU"/>
        </w:rPr>
        <w:t xml:space="preserve">both </w:t>
      </w:r>
      <w:r w:rsidRPr="00C108DF">
        <w:rPr>
          <w:lang w:eastAsia="en-AU"/>
        </w:rPr>
        <w:t>climate</w:t>
      </w:r>
      <w:r>
        <w:rPr>
          <w:lang w:eastAsia="en-AU"/>
        </w:rPr>
        <w:t xml:space="preserve"> and disaster</w:t>
      </w:r>
      <w:r w:rsidRPr="00C108DF">
        <w:rPr>
          <w:lang w:eastAsia="en-AU"/>
        </w:rPr>
        <w:t xml:space="preserve"> impacts may increase the cost of doing business for the resources sector, causing a decline in government revenue. The global energy transition may present opportunities to expand critical minerals extraction (notably copper), </w:t>
      </w:r>
      <w:r w:rsidR="00B5468B">
        <w:rPr>
          <w:lang w:eastAsia="en-AU"/>
        </w:rPr>
        <w:t>but</w:t>
      </w:r>
      <w:r w:rsidRPr="00C108DF">
        <w:rPr>
          <w:lang w:eastAsia="en-AU"/>
        </w:rPr>
        <w:t xml:space="preserve"> this may be offset by declining global demand for liqu</w:t>
      </w:r>
      <w:r w:rsidR="00DC0231">
        <w:rPr>
          <w:lang w:eastAsia="en-AU"/>
        </w:rPr>
        <w:t>e</w:t>
      </w:r>
      <w:r w:rsidRPr="00C108DF">
        <w:rPr>
          <w:lang w:eastAsia="en-AU"/>
        </w:rPr>
        <w:t>fied natural gas</w:t>
      </w:r>
      <w:r w:rsidR="00DC0231">
        <w:rPr>
          <w:lang w:eastAsia="en-AU"/>
        </w:rPr>
        <w:t xml:space="preserve"> (LNG)</w:t>
      </w:r>
      <w:r w:rsidRPr="00C108DF">
        <w:rPr>
          <w:lang w:eastAsia="en-AU"/>
        </w:rPr>
        <w:t>, PNG’s most important export.</w:t>
      </w:r>
    </w:p>
    <w:p w14:paraId="6B60CDCE" w14:textId="6257C621" w:rsidR="00673E30" w:rsidRPr="00A03842" w:rsidRDefault="00673E30" w:rsidP="00E90562">
      <w:pPr>
        <w:rPr>
          <w:lang w:eastAsia="en-AU"/>
        </w:rPr>
      </w:pPr>
      <w:r w:rsidRPr="00A03842">
        <w:rPr>
          <w:lang w:eastAsia="en-AU"/>
        </w:rPr>
        <w:t xml:space="preserve">PNG is strengthening policy and regulatory settings for climate </w:t>
      </w:r>
      <w:r w:rsidR="0081460C">
        <w:rPr>
          <w:lang w:eastAsia="en-AU"/>
        </w:rPr>
        <w:t xml:space="preserve">change </w:t>
      </w:r>
      <w:r w:rsidRPr="00A03842">
        <w:rPr>
          <w:lang w:eastAsia="en-AU"/>
        </w:rPr>
        <w:t xml:space="preserve">adaptation and introducing frameworks for emissions reduction and energy transition. </w:t>
      </w:r>
      <w:proofErr w:type="gramStart"/>
      <w:r w:rsidRPr="00A03842">
        <w:rPr>
          <w:lang w:eastAsia="en-AU"/>
        </w:rPr>
        <w:t>PNG’s</w:t>
      </w:r>
      <w:proofErr w:type="gramEnd"/>
      <w:r w:rsidRPr="00A03842">
        <w:rPr>
          <w:lang w:eastAsia="en-AU"/>
        </w:rPr>
        <w:t xml:space="preserve"> </w:t>
      </w:r>
      <w:r w:rsidR="00F32D92">
        <w:rPr>
          <w:lang w:eastAsia="en-AU"/>
        </w:rPr>
        <w:t>e</w:t>
      </w:r>
      <w:r w:rsidRPr="00A03842">
        <w:rPr>
          <w:lang w:eastAsia="en-AU"/>
        </w:rPr>
        <w:t>nhanced Nationally Determined Contribution</w:t>
      </w:r>
      <w:r w:rsidR="00F65FE7">
        <w:rPr>
          <w:rStyle w:val="EndnoteReference"/>
          <w:rFonts w:cs="Calibri Light"/>
          <w:color w:val="313E48" w:themeColor="text2"/>
          <w:lang w:eastAsia="en-AU"/>
        </w:rPr>
        <w:endnoteReference w:id="9"/>
      </w:r>
      <w:r w:rsidRPr="00A03842">
        <w:rPr>
          <w:lang w:eastAsia="en-AU"/>
        </w:rPr>
        <w:t xml:space="preserve"> and National Adaptation Plan</w:t>
      </w:r>
      <w:r w:rsidR="00AB531E">
        <w:rPr>
          <w:rStyle w:val="EndnoteReference"/>
          <w:rFonts w:cs="Calibri Light"/>
          <w:color w:val="313E48" w:themeColor="text2"/>
          <w:lang w:eastAsia="en-AU"/>
        </w:rPr>
        <w:endnoteReference w:id="10"/>
      </w:r>
      <w:r w:rsidRPr="00A03842">
        <w:rPr>
          <w:lang w:eastAsia="en-AU"/>
        </w:rPr>
        <w:t xml:space="preserve"> identify four priority sectors for climate change adaptation in the country: agriculture, transport, infrastructure and health.</w:t>
      </w:r>
    </w:p>
    <w:p w14:paraId="7BC437E4" w14:textId="685E305E" w:rsidR="00673E30" w:rsidRDefault="00673E30" w:rsidP="00E90562">
      <w:pPr>
        <w:rPr>
          <w:lang w:eastAsia="en-AU"/>
        </w:rPr>
      </w:pPr>
      <w:r>
        <w:rPr>
          <w:lang w:eastAsia="en-AU"/>
        </w:rPr>
        <w:t>To date,</w:t>
      </w:r>
      <w:r w:rsidRPr="00A03842">
        <w:rPr>
          <w:lang w:eastAsia="en-AU"/>
        </w:rPr>
        <w:t xml:space="preserve"> PNG has had limited success in accessing large-scale climate finance to support its climate and energy transition priorities. A key priority for the PNG Government is to unlock access to global sources of climate finance to meet the country’s adaptation needs, support </w:t>
      </w:r>
      <w:r>
        <w:rPr>
          <w:lang w:eastAsia="en-AU"/>
        </w:rPr>
        <w:t>its</w:t>
      </w:r>
      <w:r w:rsidRPr="00A03842">
        <w:rPr>
          <w:lang w:eastAsia="en-AU"/>
        </w:rPr>
        <w:t xml:space="preserve"> energy </w:t>
      </w:r>
      <w:proofErr w:type="gramStart"/>
      <w:r w:rsidRPr="00A03842">
        <w:rPr>
          <w:lang w:eastAsia="en-AU"/>
        </w:rPr>
        <w:t>transition</w:t>
      </w:r>
      <w:proofErr w:type="gramEnd"/>
      <w:r w:rsidRPr="00A03842">
        <w:rPr>
          <w:lang w:eastAsia="en-AU"/>
        </w:rPr>
        <w:t xml:space="preserve"> and sustainably derive revenue from natural resources. Through the </w:t>
      </w:r>
      <w:r w:rsidR="00FB35CB">
        <w:t>Climate Finance Initiative for Resilience and a Sustainable Transition (</w:t>
      </w:r>
      <w:r w:rsidRPr="00A03842">
        <w:rPr>
          <w:lang w:eastAsia="en-AU"/>
        </w:rPr>
        <w:t>Climate FIRST</w:t>
      </w:r>
      <w:r w:rsidR="00FB35CB">
        <w:rPr>
          <w:lang w:eastAsia="en-AU"/>
        </w:rPr>
        <w:t>;</w:t>
      </w:r>
      <w:r w:rsidRPr="00A03842">
        <w:rPr>
          <w:lang w:eastAsia="en-AU"/>
        </w:rPr>
        <w:t xml:space="preserve"> $20</w:t>
      </w:r>
      <w:r w:rsidR="000F6B0F">
        <w:rPr>
          <w:lang w:eastAsia="en-AU"/>
        </w:rPr>
        <w:t> </w:t>
      </w:r>
      <w:r w:rsidRPr="00A03842">
        <w:rPr>
          <w:lang w:eastAsia="en-AU"/>
        </w:rPr>
        <w:t>million; 2024</w:t>
      </w:r>
      <w:r w:rsidR="006C608D">
        <w:rPr>
          <w:lang w:eastAsia="en-AU"/>
        </w:rPr>
        <w:t>–</w:t>
      </w:r>
      <w:r w:rsidRPr="00A03842">
        <w:rPr>
          <w:lang w:eastAsia="en-AU"/>
        </w:rPr>
        <w:t>27)</w:t>
      </w:r>
      <w:r w:rsidR="00120208">
        <w:rPr>
          <w:rStyle w:val="EndnoteReference"/>
          <w:rFonts w:cs="Calibri Light"/>
          <w:color w:val="313E48" w:themeColor="text2"/>
          <w:lang w:eastAsia="en-AU"/>
        </w:rPr>
        <w:endnoteReference w:id="11"/>
      </w:r>
      <w:r w:rsidRPr="00A03842">
        <w:rPr>
          <w:lang w:eastAsia="en-AU"/>
        </w:rPr>
        <w:t xml:space="preserve"> Australia will provide catalytic funding which will enable the PNG Government to build a pipeline of high-quality climate finance proposals in line with the priorities identified </w:t>
      </w:r>
      <w:r>
        <w:rPr>
          <w:lang w:eastAsia="en-AU"/>
        </w:rPr>
        <w:t>in its N</w:t>
      </w:r>
      <w:r w:rsidR="00120208">
        <w:rPr>
          <w:lang w:eastAsia="en-AU"/>
        </w:rPr>
        <w:t xml:space="preserve">ationally </w:t>
      </w:r>
      <w:r>
        <w:rPr>
          <w:lang w:eastAsia="en-AU"/>
        </w:rPr>
        <w:t>D</w:t>
      </w:r>
      <w:r w:rsidR="00120208">
        <w:rPr>
          <w:lang w:eastAsia="en-AU"/>
        </w:rPr>
        <w:t xml:space="preserve">etermined </w:t>
      </w:r>
      <w:r>
        <w:rPr>
          <w:lang w:eastAsia="en-AU"/>
        </w:rPr>
        <w:t>C</w:t>
      </w:r>
      <w:r w:rsidR="00120208">
        <w:rPr>
          <w:lang w:eastAsia="en-AU"/>
        </w:rPr>
        <w:t>ontributions</w:t>
      </w:r>
      <w:r>
        <w:rPr>
          <w:lang w:eastAsia="en-AU"/>
        </w:rPr>
        <w:t xml:space="preserve"> and </w:t>
      </w:r>
      <w:r w:rsidR="00120208">
        <w:rPr>
          <w:lang w:eastAsia="en-AU"/>
        </w:rPr>
        <w:t>National Adaptation Plan</w:t>
      </w:r>
      <w:r>
        <w:rPr>
          <w:lang w:eastAsia="en-AU"/>
        </w:rPr>
        <w:t>. PNG has the third</w:t>
      </w:r>
      <w:r w:rsidR="009B3E6B">
        <w:rPr>
          <w:lang w:eastAsia="en-AU"/>
        </w:rPr>
        <w:t xml:space="preserve"> </w:t>
      </w:r>
      <w:r>
        <w:rPr>
          <w:lang w:eastAsia="en-AU"/>
        </w:rPr>
        <w:t>largest tropical rainforest in the world, and the PNG Government has prioritised forest preservation as a climate change mitigation measure. Australia will support a new initiative</w:t>
      </w:r>
      <w:r w:rsidR="0063709D">
        <w:rPr>
          <w:rStyle w:val="EndnoteReference"/>
          <w:rFonts w:cs="Calibri Light"/>
          <w:color w:val="313E48" w:themeColor="text2"/>
          <w:lang w:eastAsia="en-AU"/>
        </w:rPr>
        <w:endnoteReference w:id="12"/>
      </w:r>
      <w:r>
        <w:rPr>
          <w:lang w:eastAsia="en-AU"/>
        </w:rPr>
        <w:t>, led by France and the European Union, that aims to preserve PNG’s rainforests and biodiversity.</w:t>
      </w:r>
    </w:p>
    <w:p w14:paraId="31A120F0" w14:textId="76FFDC43" w:rsidR="00673E30" w:rsidRPr="003B174B" w:rsidRDefault="00673E30" w:rsidP="00E90562">
      <w:pPr>
        <w:rPr>
          <w:lang w:eastAsia="en-AU"/>
        </w:rPr>
      </w:pPr>
      <w:r>
        <w:rPr>
          <w:lang w:eastAsia="en-AU"/>
        </w:rPr>
        <w:t xml:space="preserve">To further support the PNG Government’s </w:t>
      </w:r>
      <w:r w:rsidR="0081460C">
        <w:rPr>
          <w:lang w:eastAsia="en-AU"/>
        </w:rPr>
        <w:t xml:space="preserve">climate change </w:t>
      </w:r>
      <w:r>
        <w:rPr>
          <w:lang w:eastAsia="en-AU"/>
        </w:rPr>
        <w:t xml:space="preserve">adaptation and mitigation priorities, Australia will deepen efforts to integrate climate considerations across the development program, capitalising on the strength of our partnerships built over many years. We will ensure active consideration of climate risks in our programming across all key sectors and adapt our efforts to strengthen our support. A focus will be on increasing community resilience in the face of more frequent </w:t>
      </w:r>
      <w:r w:rsidR="00342318">
        <w:rPr>
          <w:lang w:eastAsia="en-AU"/>
        </w:rPr>
        <w:t xml:space="preserve">extreme </w:t>
      </w:r>
      <w:r>
        <w:rPr>
          <w:lang w:eastAsia="en-AU"/>
        </w:rPr>
        <w:t>weather events and sea</w:t>
      </w:r>
      <w:r w:rsidR="00545118">
        <w:rPr>
          <w:lang w:eastAsia="en-AU"/>
        </w:rPr>
        <w:t xml:space="preserve"> </w:t>
      </w:r>
      <w:r>
        <w:rPr>
          <w:lang w:eastAsia="en-AU"/>
        </w:rPr>
        <w:t>level rise. We will utilise government, university</w:t>
      </w:r>
      <w:r w:rsidR="00F348C3">
        <w:rPr>
          <w:lang w:eastAsia="en-AU"/>
        </w:rPr>
        <w:t xml:space="preserve">, </w:t>
      </w:r>
      <w:r>
        <w:rPr>
          <w:lang w:eastAsia="en-AU"/>
        </w:rPr>
        <w:t>research centre</w:t>
      </w:r>
      <w:r w:rsidR="00737CB2">
        <w:rPr>
          <w:lang w:eastAsia="en-AU"/>
        </w:rPr>
        <w:t xml:space="preserve"> and</w:t>
      </w:r>
      <w:r>
        <w:rPr>
          <w:lang w:eastAsia="en-AU"/>
        </w:rPr>
        <w:t xml:space="preserve"> First Nations knowledge </w:t>
      </w:r>
      <w:r w:rsidR="00737CB2">
        <w:rPr>
          <w:lang w:eastAsia="en-AU"/>
        </w:rPr>
        <w:t xml:space="preserve">and expertise </w:t>
      </w:r>
      <w:r>
        <w:rPr>
          <w:lang w:eastAsia="en-AU"/>
        </w:rPr>
        <w:t>to explore opportunities for partnerships, which will support communities to prepare for the likely impacts of climate change on agricultural production, food and water security</w:t>
      </w:r>
      <w:r w:rsidR="00B37B47">
        <w:rPr>
          <w:lang w:eastAsia="en-AU"/>
        </w:rPr>
        <w:t>,</w:t>
      </w:r>
      <w:r>
        <w:rPr>
          <w:lang w:eastAsia="en-AU"/>
        </w:rPr>
        <w:t xml:space="preserve"> and </w:t>
      </w:r>
      <w:r w:rsidRPr="003B174B">
        <w:rPr>
          <w:lang w:eastAsia="en-AU"/>
        </w:rPr>
        <w:t xml:space="preserve">health. We will also continue to support the capacity of the </w:t>
      </w:r>
      <w:r w:rsidR="00544DD1">
        <w:rPr>
          <w:lang w:eastAsia="en-AU"/>
        </w:rPr>
        <w:t>PNG</w:t>
      </w:r>
      <w:r w:rsidR="009C3C70">
        <w:rPr>
          <w:lang w:eastAsia="en-AU"/>
        </w:rPr>
        <w:t xml:space="preserve"> </w:t>
      </w:r>
      <w:r w:rsidRPr="003B174B">
        <w:rPr>
          <w:lang w:eastAsia="en-AU"/>
        </w:rPr>
        <w:t>National Disaster Centre and build humanitarian response capabilities.</w:t>
      </w:r>
    </w:p>
    <w:p w14:paraId="0D795B73" w14:textId="78D99CF8" w:rsidR="00673E30" w:rsidRDefault="00D24E54" w:rsidP="00E90562">
      <w:pPr>
        <w:rPr>
          <w:lang w:eastAsia="en-AU"/>
        </w:rPr>
      </w:pPr>
      <w:r>
        <w:rPr>
          <w:lang w:eastAsia="en-AU"/>
        </w:rPr>
        <w:t xml:space="preserve">Through </w:t>
      </w:r>
      <w:r w:rsidR="00673E30" w:rsidRPr="003B174B">
        <w:rPr>
          <w:lang w:eastAsia="en-AU"/>
        </w:rPr>
        <w:t>the PNG Electrification Partnership</w:t>
      </w:r>
      <w:r w:rsidR="00673E30">
        <w:rPr>
          <w:lang w:eastAsia="en-AU"/>
        </w:rPr>
        <w:t>,</w:t>
      </w:r>
      <w:r w:rsidR="00673E30" w:rsidRPr="003B174B">
        <w:rPr>
          <w:lang w:eastAsia="en-AU"/>
        </w:rPr>
        <w:t xml:space="preserve"> we will support the PNG Government to reach its </w:t>
      </w:r>
      <w:r w:rsidR="00673E30" w:rsidRPr="001B5E82">
        <w:rPr>
          <w:lang w:eastAsia="en-AU"/>
        </w:rPr>
        <w:t xml:space="preserve">electrification </w:t>
      </w:r>
      <w:r w:rsidR="00673E30" w:rsidRPr="003B174B">
        <w:rPr>
          <w:lang w:eastAsia="en-AU"/>
        </w:rPr>
        <w:t>target</w:t>
      </w:r>
      <w:r w:rsidR="00673E30">
        <w:rPr>
          <w:lang w:eastAsia="en-AU"/>
        </w:rPr>
        <w:t xml:space="preserve">s, </w:t>
      </w:r>
      <w:r w:rsidR="00673E30" w:rsidRPr="003B174B">
        <w:rPr>
          <w:lang w:eastAsia="en-AU"/>
        </w:rPr>
        <w:t>focus</w:t>
      </w:r>
      <w:r w:rsidR="00810C4D">
        <w:rPr>
          <w:lang w:eastAsia="en-AU"/>
        </w:rPr>
        <w:t>ing</w:t>
      </w:r>
      <w:r w:rsidR="00673E30" w:rsidRPr="003B174B">
        <w:rPr>
          <w:lang w:eastAsia="en-AU"/>
        </w:rPr>
        <w:t xml:space="preserve"> on renewable energy solutions. Our on</w:t>
      </w:r>
      <w:r w:rsidR="00B876B9">
        <w:rPr>
          <w:lang w:eastAsia="en-AU"/>
        </w:rPr>
        <w:t>-</w:t>
      </w:r>
      <w:r w:rsidR="00673E30" w:rsidRPr="003B174B">
        <w:rPr>
          <w:lang w:eastAsia="en-AU"/>
        </w:rPr>
        <w:t xml:space="preserve"> and off-grid renewable energy initiatives</w:t>
      </w:r>
      <w:r w:rsidR="00673E30">
        <w:rPr>
          <w:lang w:eastAsia="en-AU"/>
        </w:rPr>
        <w:t xml:space="preserve"> and our technical, regulatory and policy support are directly contributing to PNG’s mitigation goals while increasing access to electricity for PNG citizens. Australia’s new infrastructure investments in PNG will be carefully designed to be climate resilient. We will continue to work with other development partners in tackling climate change’s impacts.</w:t>
      </w:r>
    </w:p>
    <w:p w14:paraId="1D0A3F7B" w14:textId="7832283F" w:rsidR="002F4955" w:rsidRPr="002352A4" w:rsidRDefault="00673E30" w:rsidP="00E90562">
      <w:pPr>
        <w:rPr>
          <w:rFonts w:ascii="Calibri Light" w:hAnsi="Calibri Light"/>
          <w:lang w:eastAsia="en-AU"/>
        </w:rPr>
      </w:pPr>
      <w:r w:rsidRPr="54A711B3">
        <w:rPr>
          <w:lang w:eastAsia="en-AU"/>
        </w:rPr>
        <w:t>We</w:t>
      </w:r>
      <w:r>
        <w:rPr>
          <w:lang w:eastAsia="en-AU"/>
        </w:rPr>
        <w:t xml:space="preserve"> will </w:t>
      </w:r>
      <w:r w:rsidRPr="2EE77354">
        <w:rPr>
          <w:lang w:eastAsia="en-AU"/>
        </w:rPr>
        <w:t>take</w:t>
      </w:r>
      <w:r w:rsidRPr="54A711B3">
        <w:rPr>
          <w:lang w:eastAsia="en-AU"/>
        </w:rPr>
        <w:t xml:space="preserve"> a twin</w:t>
      </w:r>
      <w:r w:rsidR="00C774A2">
        <w:rPr>
          <w:lang w:eastAsia="en-AU"/>
        </w:rPr>
        <w:t>-</w:t>
      </w:r>
      <w:r w:rsidRPr="54A711B3">
        <w:rPr>
          <w:lang w:eastAsia="en-AU"/>
        </w:rPr>
        <w:t>track approach to climate change</w:t>
      </w:r>
      <w:r w:rsidRPr="2EE77354">
        <w:rPr>
          <w:lang w:eastAsia="en-AU"/>
        </w:rPr>
        <w:t xml:space="preserve"> within our development </w:t>
      </w:r>
      <w:r w:rsidRPr="184CD720">
        <w:rPr>
          <w:lang w:eastAsia="en-AU"/>
        </w:rPr>
        <w:t>cooperation</w:t>
      </w:r>
      <w:r w:rsidRPr="54A711B3">
        <w:rPr>
          <w:lang w:eastAsia="en-AU"/>
        </w:rPr>
        <w:t xml:space="preserve">, combining targeted investments </w:t>
      </w:r>
      <w:r w:rsidRPr="05B00653">
        <w:rPr>
          <w:lang w:eastAsia="en-AU"/>
        </w:rPr>
        <w:t>(outlined above</w:t>
      </w:r>
      <w:r w:rsidRPr="719DDA35">
        <w:rPr>
          <w:lang w:eastAsia="en-AU"/>
        </w:rPr>
        <w:t>)</w:t>
      </w:r>
      <w:r w:rsidRPr="05B00653">
        <w:rPr>
          <w:lang w:eastAsia="en-AU"/>
        </w:rPr>
        <w:t xml:space="preserve"> </w:t>
      </w:r>
      <w:r w:rsidRPr="54A711B3">
        <w:rPr>
          <w:lang w:eastAsia="en-AU"/>
        </w:rPr>
        <w:t xml:space="preserve">with integration of climate considerations across all of Australia’s development programming. We will design all new programs to meet climate targets as set out in Australia’s International </w:t>
      </w:r>
      <w:r w:rsidRPr="54A711B3">
        <w:rPr>
          <w:lang w:eastAsia="en-AU"/>
        </w:rPr>
        <w:lastRenderedPageBreak/>
        <w:t xml:space="preserve">Development Policy. </w:t>
      </w:r>
      <w:r>
        <w:rPr>
          <w:lang w:eastAsia="en-AU"/>
        </w:rPr>
        <w:t>We</w:t>
      </w:r>
      <w:r w:rsidRPr="54A711B3">
        <w:rPr>
          <w:lang w:eastAsia="en-AU"/>
        </w:rPr>
        <w:t xml:space="preserve"> will focus efforts to conduct research to understand and respond to emerging climate risks, </w:t>
      </w:r>
      <w:r w:rsidR="00126B9B">
        <w:rPr>
          <w:lang w:eastAsia="en-AU"/>
        </w:rPr>
        <w:t xml:space="preserve">especially </w:t>
      </w:r>
      <w:r w:rsidRPr="54A711B3">
        <w:rPr>
          <w:lang w:eastAsia="en-AU"/>
        </w:rPr>
        <w:t>around food security</w:t>
      </w:r>
      <w:r w:rsidRPr="33F23481">
        <w:rPr>
          <w:lang w:eastAsia="en-AU"/>
        </w:rPr>
        <w:t>. At the mid-</w:t>
      </w:r>
      <w:r w:rsidR="00D11CF4">
        <w:rPr>
          <w:lang w:eastAsia="en-AU"/>
        </w:rPr>
        <w:t>cycle</w:t>
      </w:r>
      <w:r w:rsidRPr="33F23481">
        <w:rPr>
          <w:lang w:eastAsia="en-AU"/>
        </w:rPr>
        <w:t xml:space="preserve"> review point of the DPP, we will re-evaluate our approach to climate change and consider if a stand</w:t>
      </w:r>
      <w:r w:rsidR="00366DA6">
        <w:rPr>
          <w:lang w:eastAsia="en-AU"/>
        </w:rPr>
        <w:t>-</w:t>
      </w:r>
      <w:r w:rsidRPr="33F23481">
        <w:rPr>
          <w:lang w:eastAsia="en-AU"/>
        </w:rPr>
        <w:t>alone climate objective is required.</w:t>
      </w:r>
      <w:r w:rsidRPr="54A711B3">
        <w:rPr>
          <w:lang w:eastAsia="en-AU"/>
        </w:rPr>
        <w:t xml:space="preserve"> </w:t>
      </w:r>
      <w:r w:rsidRPr="0B606D11">
        <w:rPr>
          <w:lang w:eastAsia="en-AU"/>
        </w:rPr>
        <w:t xml:space="preserve">The introduction of new climate targets will increase the complexity of aid program management in PNG and will require additional technical inputs to support those implementing </w:t>
      </w:r>
      <w:r w:rsidR="00192A45" w:rsidRPr="00E90562">
        <w:rPr>
          <w:lang w:eastAsia="en-AU"/>
        </w:rPr>
        <w:t xml:space="preserve">programs that have not </w:t>
      </w:r>
      <w:r w:rsidR="7618EDDD" w:rsidRPr="00E90562">
        <w:rPr>
          <w:lang w:eastAsia="en-AU"/>
        </w:rPr>
        <w:t>previously</w:t>
      </w:r>
      <w:r w:rsidR="70F9D2B8" w:rsidRPr="00E90562">
        <w:rPr>
          <w:lang w:eastAsia="en-AU"/>
        </w:rPr>
        <w:t xml:space="preserve"> </w:t>
      </w:r>
      <w:r w:rsidR="25506233" w:rsidRPr="00E90562">
        <w:rPr>
          <w:lang w:eastAsia="en-AU"/>
        </w:rPr>
        <w:t xml:space="preserve">incorporated a </w:t>
      </w:r>
      <w:r w:rsidR="58FD78D8" w:rsidRPr="00E90562">
        <w:rPr>
          <w:lang w:eastAsia="en-AU"/>
        </w:rPr>
        <w:t xml:space="preserve">climate </w:t>
      </w:r>
      <w:r w:rsidR="25506233" w:rsidRPr="00E90562">
        <w:rPr>
          <w:lang w:eastAsia="en-AU"/>
        </w:rPr>
        <w:t>focus</w:t>
      </w:r>
      <w:r w:rsidRPr="00E90562">
        <w:rPr>
          <w:lang w:eastAsia="en-AU"/>
        </w:rPr>
        <w:t>.</w:t>
      </w:r>
    </w:p>
    <w:p w14:paraId="2D320CF4" w14:textId="225D5A3C" w:rsidR="002F4955" w:rsidRPr="00DC48C8" w:rsidRDefault="002F4955" w:rsidP="001450D2">
      <w:pPr>
        <w:pStyle w:val="H3-Heading3"/>
        <w:rPr>
          <w:lang w:eastAsia="en-AU"/>
        </w:rPr>
      </w:pPr>
      <w:r w:rsidRPr="413282F0">
        <w:rPr>
          <w:lang w:eastAsia="en-AU"/>
        </w:rPr>
        <w:t xml:space="preserve">Gender </w:t>
      </w:r>
      <w:r w:rsidR="003B0C8A">
        <w:rPr>
          <w:lang w:eastAsia="en-AU"/>
        </w:rPr>
        <w:t>e</w:t>
      </w:r>
      <w:r w:rsidRPr="413282F0">
        <w:rPr>
          <w:lang w:eastAsia="en-AU"/>
        </w:rPr>
        <w:t xml:space="preserve">quality, </w:t>
      </w:r>
      <w:proofErr w:type="gramStart"/>
      <w:r w:rsidR="003B0C8A">
        <w:rPr>
          <w:lang w:eastAsia="en-AU"/>
        </w:rPr>
        <w:t>d</w:t>
      </w:r>
      <w:r w:rsidRPr="413282F0">
        <w:rPr>
          <w:lang w:eastAsia="en-AU"/>
        </w:rPr>
        <w:t>isability</w:t>
      </w:r>
      <w:proofErr w:type="gramEnd"/>
      <w:r w:rsidRPr="413282F0">
        <w:rPr>
          <w:lang w:eastAsia="en-AU"/>
        </w:rPr>
        <w:t xml:space="preserve"> and </w:t>
      </w:r>
      <w:r w:rsidR="003B0C8A">
        <w:rPr>
          <w:lang w:eastAsia="en-AU"/>
        </w:rPr>
        <w:t>s</w:t>
      </w:r>
      <w:r w:rsidRPr="413282F0">
        <w:rPr>
          <w:lang w:eastAsia="en-AU"/>
        </w:rPr>
        <w:t xml:space="preserve">ocial </w:t>
      </w:r>
      <w:r w:rsidR="003B0C8A">
        <w:rPr>
          <w:lang w:eastAsia="en-AU"/>
        </w:rPr>
        <w:t>i</w:t>
      </w:r>
      <w:r w:rsidRPr="413282F0">
        <w:rPr>
          <w:lang w:eastAsia="en-AU"/>
        </w:rPr>
        <w:t>nclusion (GEDSI)</w:t>
      </w:r>
    </w:p>
    <w:p w14:paraId="7EBBD7A2" w14:textId="5CCB3E8D" w:rsidR="00825131" w:rsidRPr="008E6E3C" w:rsidRDefault="00825131" w:rsidP="00E90562">
      <w:pPr>
        <w:rPr>
          <w:lang w:eastAsia="en-AU"/>
        </w:rPr>
      </w:pPr>
      <w:r w:rsidRPr="008E6E3C">
        <w:rPr>
          <w:lang w:eastAsia="en-AU"/>
        </w:rPr>
        <w:t xml:space="preserve">The PNG Government has </w:t>
      </w:r>
      <w:r w:rsidR="006664AC">
        <w:rPr>
          <w:lang w:eastAsia="en-AU"/>
        </w:rPr>
        <w:t xml:space="preserve">taken </w:t>
      </w:r>
      <w:r w:rsidRPr="008E6E3C">
        <w:rPr>
          <w:lang w:eastAsia="en-AU"/>
        </w:rPr>
        <w:t>steps towards supporting gender equality with the establishment of the Permanent Parliamentary Committee on Gender Equality and Women’s Empowerment and a</w:t>
      </w:r>
      <w:r>
        <w:rPr>
          <w:lang w:eastAsia="en-AU"/>
        </w:rPr>
        <w:t xml:space="preserve">n update </w:t>
      </w:r>
      <w:r w:rsidRPr="008E6E3C">
        <w:rPr>
          <w:lang w:eastAsia="en-AU"/>
        </w:rPr>
        <w:t>under</w:t>
      </w:r>
      <w:r w:rsidR="00A866E2">
        <w:rPr>
          <w:lang w:eastAsia="en-AU"/>
        </w:rPr>
        <w:t xml:space="preserve"> </w:t>
      </w:r>
      <w:r w:rsidRPr="008E6E3C">
        <w:rPr>
          <w:lang w:eastAsia="en-AU"/>
        </w:rPr>
        <w:t>way of PNG’s National Policy for Women and Gender Equality (2011</w:t>
      </w:r>
      <w:r w:rsidR="00275031">
        <w:rPr>
          <w:lang w:eastAsia="en-AU"/>
        </w:rPr>
        <w:t>–</w:t>
      </w:r>
      <w:r w:rsidRPr="008E6E3C">
        <w:rPr>
          <w:lang w:eastAsia="en-AU"/>
        </w:rPr>
        <w:t>2015). Through the MTDP</w:t>
      </w:r>
      <w:r w:rsidR="006664AC">
        <w:rPr>
          <w:lang w:eastAsia="en-AU"/>
        </w:rPr>
        <w:t> </w:t>
      </w:r>
      <w:r w:rsidRPr="008E6E3C">
        <w:rPr>
          <w:lang w:eastAsia="en-AU"/>
        </w:rPr>
        <w:t>IV</w:t>
      </w:r>
      <w:r>
        <w:rPr>
          <w:lang w:eastAsia="en-AU"/>
        </w:rPr>
        <w:t>,</w:t>
      </w:r>
      <w:r w:rsidRPr="008E6E3C">
        <w:rPr>
          <w:lang w:eastAsia="en-AU"/>
        </w:rPr>
        <w:t xml:space="preserve"> K148.7</w:t>
      </w:r>
      <w:r w:rsidR="006664AC">
        <w:rPr>
          <w:lang w:eastAsia="en-AU"/>
        </w:rPr>
        <w:t> </w:t>
      </w:r>
      <w:r w:rsidRPr="008E6E3C">
        <w:rPr>
          <w:lang w:eastAsia="en-AU"/>
        </w:rPr>
        <w:t xml:space="preserve">million (approximately </w:t>
      </w:r>
      <w:r>
        <w:rPr>
          <w:lang w:eastAsia="en-AU"/>
        </w:rPr>
        <w:t>$</w:t>
      </w:r>
      <w:r w:rsidR="006664AC" w:rsidRPr="008E6E3C">
        <w:rPr>
          <w:lang w:eastAsia="en-AU"/>
        </w:rPr>
        <w:t>60</w:t>
      </w:r>
      <w:r w:rsidR="006664AC">
        <w:rPr>
          <w:lang w:eastAsia="en-AU"/>
        </w:rPr>
        <w:t> </w:t>
      </w:r>
      <w:r w:rsidRPr="008E6E3C">
        <w:rPr>
          <w:lang w:eastAsia="en-AU"/>
        </w:rPr>
        <w:t xml:space="preserve">million) is committed over </w:t>
      </w:r>
      <w:r w:rsidR="00EF12FE">
        <w:rPr>
          <w:lang w:eastAsia="en-AU"/>
        </w:rPr>
        <w:t>5 </w:t>
      </w:r>
      <w:r w:rsidRPr="008E6E3C">
        <w:rPr>
          <w:lang w:eastAsia="en-AU"/>
        </w:rPr>
        <w:t xml:space="preserve">years to improve PNG’s standing </w:t>
      </w:r>
      <w:r w:rsidRPr="006A77A6">
        <w:rPr>
          <w:lang w:eastAsia="en-AU"/>
        </w:rPr>
        <w:t xml:space="preserve">in the </w:t>
      </w:r>
      <w:r w:rsidR="00BB5944">
        <w:rPr>
          <w:lang w:eastAsia="en-AU"/>
        </w:rPr>
        <w:t xml:space="preserve">World Bank’s </w:t>
      </w:r>
      <w:r w:rsidRPr="006A77A6">
        <w:rPr>
          <w:lang w:eastAsia="en-AU"/>
        </w:rPr>
        <w:t>Gender Parity Index for</w:t>
      </w:r>
      <w:r w:rsidRPr="008E6E3C">
        <w:rPr>
          <w:lang w:eastAsia="en-AU"/>
        </w:rPr>
        <w:t xml:space="preserve"> </w:t>
      </w:r>
      <w:r>
        <w:rPr>
          <w:lang w:eastAsia="en-AU"/>
        </w:rPr>
        <w:t>women</w:t>
      </w:r>
      <w:r w:rsidRPr="008E6E3C">
        <w:rPr>
          <w:lang w:eastAsia="en-AU"/>
        </w:rPr>
        <w:t xml:space="preserve"> in education, </w:t>
      </w:r>
      <w:proofErr w:type="gramStart"/>
      <w:r w:rsidRPr="008E6E3C">
        <w:rPr>
          <w:lang w:eastAsia="en-AU"/>
        </w:rPr>
        <w:t>employment</w:t>
      </w:r>
      <w:proofErr w:type="gramEnd"/>
      <w:r w:rsidRPr="008E6E3C">
        <w:rPr>
          <w:lang w:eastAsia="en-AU"/>
        </w:rPr>
        <w:t xml:space="preserve"> and business; reduce </w:t>
      </w:r>
      <w:r>
        <w:rPr>
          <w:lang w:eastAsia="en-AU"/>
        </w:rPr>
        <w:t>gender-based violence (GBV)</w:t>
      </w:r>
      <w:r w:rsidRPr="008E6E3C">
        <w:rPr>
          <w:lang w:eastAsia="en-AU"/>
        </w:rPr>
        <w:t>; and quadruple the number of women in leadership.</w:t>
      </w:r>
    </w:p>
    <w:p w14:paraId="074C697A" w14:textId="6FA255EF" w:rsidR="00825131" w:rsidRPr="008E6E3C" w:rsidRDefault="3EC54E04" w:rsidP="00E90562">
      <w:pPr>
        <w:rPr>
          <w:lang w:eastAsia="en-AU"/>
        </w:rPr>
      </w:pPr>
      <w:r w:rsidRPr="39646263">
        <w:rPr>
          <w:lang w:eastAsia="en-AU"/>
        </w:rPr>
        <w:t xml:space="preserve">The PNG Government has signalled a commitment to </w:t>
      </w:r>
      <w:bookmarkStart w:id="4" w:name="_Hlk160742555"/>
      <w:r w:rsidRPr="39646263">
        <w:rPr>
          <w:lang w:eastAsia="en-AU"/>
        </w:rPr>
        <w:t>expanding</w:t>
      </w:r>
      <w:bookmarkEnd w:id="4"/>
      <w:r w:rsidRPr="39646263">
        <w:rPr>
          <w:lang w:eastAsia="en-AU"/>
        </w:rPr>
        <w:t xml:space="preserve"> inclusion and accessibility for people with </w:t>
      </w:r>
      <w:r w:rsidR="0A450060" w:rsidRPr="39646263">
        <w:rPr>
          <w:lang w:eastAsia="en-AU"/>
        </w:rPr>
        <w:t>disability</w:t>
      </w:r>
      <w:r w:rsidRPr="39646263">
        <w:rPr>
          <w:lang w:eastAsia="en-AU"/>
        </w:rPr>
        <w:t>. The MTDP</w:t>
      </w:r>
      <w:r w:rsidR="0A450060" w:rsidRPr="39646263">
        <w:rPr>
          <w:lang w:eastAsia="en-AU"/>
        </w:rPr>
        <w:t> </w:t>
      </w:r>
      <w:r w:rsidRPr="39646263">
        <w:rPr>
          <w:lang w:eastAsia="en-AU"/>
        </w:rPr>
        <w:t>IV commits K87.0</w:t>
      </w:r>
      <w:r w:rsidR="0A450060" w:rsidRPr="39646263">
        <w:rPr>
          <w:lang w:eastAsia="en-AU"/>
        </w:rPr>
        <w:t> </w:t>
      </w:r>
      <w:r w:rsidRPr="39646263">
        <w:rPr>
          <w:lang w:eastAsia="en-AU"/>
        </w:rPr>
        <w:t>million (approximately $35</w:t>
      </w:r>
      <w:r w:rsidR="0A450060" w:rsidRPr="39646263">
        <w:rPr>
          <w:lang w:eastAsia="en-AU"/>
        </w:rPr>
        <w:t> </w:t>
      </w:r>
      <w:r w:rsidRPr="39646263">
        <w:rPr>
          <w:lang w:eastAsia="en-AU"/>
        </w:rPr>
        <w:t xml:space="preserve">million) </w:t>
      </w:r>
      <w:r w:rsidR="2CB8C8AE" w:rsidRPr="39646263">
        <w:rPr>
          <w:lang w:eastAsia="en-AU"/>
        </w:rPr>
        <w:t xml:space="preserve">and aims </w:t>
      </w:r>
      <w:r w:rsidR="2C3A26B1" w:rsidRPr="39646263">
        <w:rPr>
          <w:lang w:eastAsia="en-AU"/>
        </w:rPr>
        <w:t xml:space="preserve">to </w:t>
      </w:r>
      <w:r w:rsidR="00A3684E">
        <w:rPr>
          <w:lang w:eastAsia="en-AU"/>
        </w:rPr>
        <w:t>‘</w:t>
      </w:r>
      <w:r w:rsidR="174E92AA" w:rsidRPr="00E90562">
        <w:rPr>
          <w:lang w:eastAsia="en-AU"/>
        </w:rPr>
        <w:t>support</w:t>
      </w:r>
      <w:r w:rsidRPr="00E90562">
        <w:rPr>
          <w:lang w:eastAsia="en-AU"/>
        </w:rPr>
        <w:t xml:space="preserve"> </w:t>
      </w:r>
      <w:r w:rsidR="174E92AA" w:rsidRPr="00E90562">
        <w:rPr>
          <w:lang w:eastAsia="en-AU"/>
        </w:rPr>
        <w:t>people with special needs</w:t>
      </w:r>
      <w:r w:rsidRPr="00E90562">
        <w:rPr>
          <w:lang w:eastAsia="en-AU"/>
        </w:rPr>
        <w:t xml:space="preserve"> and </w:t>
      </w:r>
      <w:r w:rsidR="174E92AA" w:rsidRPr="00E90562">
        <w:rPr>
          <w:lang w:eastAsia="en-AU"/>
        </w:rPr>
        <w:t>ensure</w:t>
      </w:r>
      <w:r w:rsidRPr="00E90562">
        <w:rPr>
          <w:lang w:eastAsia="en-AU"/>
        </w:rPr>
        <w:t xml:space="preserve"> </w:t>
      </w:r>
      <w:r w:rsidR="6669F52E" w:rsidRPr="00E90562">
        <w:rPr>
          <w:lang w:eastAsia="en-AU"/>
        </w:rPr>
        <w:t>their right</w:t>
      </w:r>
      <w:r w:rsidRPr="00E90562">
        <w:rPr>
          <w:lang w:eastAsia="en-AU"/>
        </w:rPr>
        <w:t xml:space="preserve"> to a minimum standard of </w:t>
      </w:r>
      <w:r w:rsidR="2C3A26B1" w:rsidRPr="00E90562">
        <w:rPr>
          <w:lang w:eastAsia="en-AU"/>
        </w:rPr>
        <w:t>living</w:t>
      </w:r>
      <w:r w:rsidR="1D65B65E" w:rsidRPr="00E90562">
        <w:rPr>
          <w:lang w:eastAsia="en-AU"/>
        </w:rPr>
        <w:t xml:space="preserve"> is accorded</w:t>
      </w:r>
      <w:r w:rsidR="00A3684E">
        <w:rPr>
          <w:lang w:eastAsia="en-AU"/>
        </w:rPr>
        <w:t>’</w:t>
      </w:r>
      <w:r w:rsidR="5FD4DF16" w:rsidRPr="00E90562">
        <w:rPr>
          <w:lang w:eastAsia="en-AU"/>
        </w:rPr>
        <w:t>.</w:t>
      </w:r>
      <w:r w:rsidR="5FD4DF16" w:rsidRPr="00924D20">
        <w:rPr>
          <w:lang w:eastAsia="en-AU"/>
        </w:rPr>
        <w:t xml:space="preserve"> It</w:t>
      </w:r>
      <w:r w:rsidRPr="00924D20">
        <w:rPr>
          <w:lang w:eastAsia="en-AU"/>
        </w:rPr>
        <w:t xml:space="preserve"> commits</w:t>
      </w:r>
      <w:r w:rsidRPr="39646263">
        <w:rPr>
          <w:lang w:eastAsia="en-AU"/>
        </w:rPr>
        <w:t xml:space="preserve"> to a review of </w:t>
      </w:r>
      <w:r w:rsidRPr="00924D20">
        <w:rPr>
          <w:lang w:eastAsia="en-AU"/>
        </w:rPr>
        <w:t xml:space="preserve">the </w:t>
      </w:r>
      <w:r w:rsidR="6B82E60F" w:rsidRPr="00E90562">
        <w:rPr>
          <w:lang w:eastAsia="en-AU"/>
        </w:rPr>
        <w:t>N</w:t>
      </w:r>
      <w:r w:rsidRPr="00E90562">
        <w:rPr>
          <w:lang w:eastAsia="en-AU"/>
        </w:rPr>
        <w:t>ational</w:t>
      </w:r>
      <w:r w:rsidRPr="00924D20">
        <w:rPr>
          <w:lang w:eastAsia="en-AU"/>
        </w:rPr>
        <w:t xml:space="preserve"> Disability</w:t>
      </w:r>
      <w:r w:rsidRPr="39646263">
        <w:rPr>
          <w:lang w:eastAsia="en-AU"/>
        </w:rPr>
        <w:t xml:space="preserve"> Policy and the Social Protection Policy. The MTDP</w:t>
      </w:r>
      <w:r w:rsidR="2D212334" w:rsidRPr="39646263">
        <w:rPr>
          <w:lang w:eastAsia="en-AU"/>
        </w:rPr>
        <w:t> </w:t>
      </w:r>
      <w:r w:rsidRPr="39646263">
        <w:rPr>
          <w:lang w:eastAsia="en-AU"/>
        </w:rPr>
        <w:t xml:space="preserve">IV also has an ambitious goal to increase the proportion of children with </w:t>
      </w:r>
      <w:r w:rsidR="2D212334" w:rsidRPr="39646263">
        <w:rPr>
          <w:lang w:eastAsia="en-AU"/>
        </w:rPr>
        <w:t xml:space="preserve">disability </w:t>
      </w:r>
      <w:r w:rsidRPr="39646263">
        <w:rPr>
          <w:lang w:eastAsia="en-AU"/>
        </w:rPr>
        <w:t xml:space="preserve">enrolled in school from </w:t>
      </w:r>
      <w:r w:rsidR="7B6B6A7F" w:rsidRPr="39646263">
        <w:rPr>
          <w:lang w:eastAsia="en-AU"/>
        </w:rPr>
        <w:t>5 </w:t>
      </w:r>
      <w:r w:rsidRPr="39646263">
        <w:rPr>
          <w:lang w:eastAsia="en-AU"/>
        </w:rPr>
        <w:t>per cent in 2020 to 50 per cent by 2027.</w:t>
      </w:r>
    </w:p>
    <w:p w14:paraId="04453238" w14:textId="2084DC3A" w:rsidR="0090060E" w:rsidRDefault="00825131" w:rsidP="00E90562">
      <w:pPr>
        <w:rPr>
          <w:lang w:eastAsia="en-AU"/>
        </w:rPr>
      </w:pPr>
      <w:r w:rsidRPr="083DA640">
        <w:rPr>
          <w:lang w:eastAsia="en-AU"/>
        </w:rPr>
        <w:t xml:space="preserve">GBV is a global scourge, including in Australia. Like many countries, PNG continues to have unacceptably high rates of GBV, with </w:t>
      </w:r>
      <w:r w:rsidR="00BC4CBA">
        <w:rPr>
          <w:lang w:eastAsia="en-AU"/>
        </w:rPr>
        <w:t xml:space="preserve">more than </w:t>
      </w:r>
      <w:r w:rsidRPr="083DA640">
        <w:rPr>
          <w:lang w:eastAsia="en-AU"/>
        </w:rPr>
        <w:t xml:space="preserve">two-thirds of women having experienced physical or sexual violence by a partner. On average, </w:t>
      </w:r>
      <w:r w:rsidR="00D30457">
        <w:rPr>
          <w:lang w:eastAsia="en-AU"/>
        </w:rPr>
        <w:t xml:space="preserve">a reported </w:t>
      </w:r>
      <w:r w:rsidRPr="083DA640">
        <w:rPr>
          <w:lang w:eastAsia="en-AU"/>
        </w:rPr>
        <w:t>72</w:t>
      </w:r>
      <w:r w:rsidR="00746E00">
        <w:rPr>
          <w:lang w:eastAsia="en-AU"/>
        </w:rPr>
        <w:t> </w:t>
      </w:r>
      <w:r w:rsidRPr="083DA640">
        <w:rPr>
          <w:lang w:eastAsia="en-AU"/>
        </w:rPr>
        <w:t>people per year experience sorcery-accusation related violence (SARV), which is primarily targeted towards women</w:t>
      </w:r>
      <w:r w:rsidRPr="00C176E5">
        <w:rPr>
          <w:lang w:eastAsia="en-AU"/>
        </w:rPr>
        <w:t>. These figures</w:t>
      </w:r>
      <w:r w:rsidR="00D30457">
        <w:rPr>
          <w:lang w:eastAsia="en-AU"/>
        </w:rPr>
        <w:t xml:space="preserve"> probably</w:t>
      </w:r>
      <w:r w:rsidRPr="00C176E5">
        <w:rPr>
          <w:lang w:eastAsia="en-AU"/>
        </w:rPr>
        <w:t xml:space="preserve"> significantly under-represent the true number of incidents due to the lack of official data, along with non- and under-reporting</w:t>
      </w:r>
      <w:r w:rsidRPr="083DA640">
        <w:rPr>
          <w:lang w:eastAsia="en-AU"/>
        </w:rPr>
        <w:t>.</w:t>
      </w:r>
    </w:p>
    <w:p w14:paraId="12D8C02F" w14:textId="40223B3A" w:rsidR="009320A7" w:rsidRDefault="00825131" w:rsidP="00E90562">
      <w:pPr>
        <w:rPr>
          <w:lang w:eastAsia="en-AU"/>
        </w:rPr>
      </w:pPr>
      <w:r w:rsidRPr="083DA640">
        <w:rPr>
          <w:lang w:eastAsia="en-AU"/>
        </w:rPr>
        <w:t>Women are significantly underrepresented in leadership positions</w:t>
      </w:r>
      <w:r w:rsidR="0090435E">
        <w:rPr>
          <w:lang w:eastAsia="en-AU"/>
        </w:rPr>
        <w:t xml:space="preserve"> – </w:t>
      </w:r>
      <w:r w:rsidRPr="083DA640">
        <w:rPr>
          <w:lang w:eastAsia="en-AU"/>
        </w:rPr>
        <w:t xml:space="preserve">there are just </w:t>
      </w:r>
      <w:r w:rsidR="0090435E">
        <w:rPr>
          <w:lang w:eastAsia="en-AU"/>
        </w:rPr>
        <w:t>three</w:t>
      </w:r>
      <w:r w:rsidR="00E7485C">
        <w:rPr>
          <w:lang w:eastAsia="en-AU"/>
        </w:rPr>
        <w:t> </w:t>
      </w:r>
      <w:r w:rsidRPr="083DA640">
        <w:rPr>
          <w:lang w:eastAsia="en-AU"/>
        </w:rPr>
        <w:t>women among the 118</w:t>
      </w:r>
      <w:r w:rsidR="00B75AF7">
        <w:rPr>
          <w:lang w:eastAsia="en-AU"/>
        </w:rPr>
        <w:t> </w:t>
      </w:r>
      <w:r w:rsidRPr="083DA640">
        <w:rPr>
          <w:lang w:eastAsia="en-AU"/>
        </w:rPr>
        <w:t xml:space="preserve">members of </w:t>
      </w:r>
      <w:r w:rsidR="00CA30EE">
        <w:rPr>
          <w:lang w:eastAsia="en-AU"/>
        </w:rPr>
        <w:t>the 11</w:t>
      </w:r>
      <w:r w:rsidR="00CA30EE" w:rsidRPr="00E22138">
        <w:rPr>
          <w:vertAlign w:val="superscript"/>
          <w:lang w:eastAsia="en-AU"/>
        </w:rPr>
        <w:t>th</w:t>
      </w:r>
      <w:r w:rsidR="00CA30EE">
        <w:rPr>
          <w:lang w:eastAsia="en-AU"/>
        </w:rPr>
        <w:t xml:space="preserve"> National P</w:t>
      </w:r>
      <w:r w:rsidRPr="083DA640">
        <w:rPr>
          <w:lang w:eastAsia="en-AU"/>
        </w:rPr>
        <w:t xml:space="preserve">arliament. The recent appointment of the first female </w:t>
      </w:r>
      <w:r w:rsidR="00CE27F8">
        <w:rPr>
          <w:lang w:eastAsia="en-AU"/>
        </w:rPr>
        <w:t>G</w:t>
      </w:r>
      <w:r w:rsidRPr="083DA640">
        <w:rPr>
          <w:lang w:eastAsia="en-AU"/>
        </w:rPr>
        <w:t>overnor of the Central Bank of PNG is a notable achievement.</w:t>
      </w:r>
    </w:p>
    <w:p w14:paraId="1977181B" w14:textId="6A7F4618" w:rsidR="00825131" w:rsidRPr="008E6E3C" w:rsidRDefault="00825131" w:rsidP="00E90562">
      <w:pPr>
        <w:rPr>
          <w:lang w:eastAsia="en-AU"/>
        </w:rPr>
      </w:pPr>
      <w:r w:rsidRPr="083DA640">
        <w:rPr>
          <w:lang w:eastAsia="en-AU"/>
        </w:rPr>
        <w:t xml:space="preserve">People living with disabilities in PNG are largely invisible. An estimated 975,000 people in PNG live with disabilities, of </w:t>
      </w:r>
      <w:r w:rsidR="00176DB4">
        <w:rPr>
          <w:lang w:eastAsia="en-AU"/>
        </w:rPr>
        <w:t xml:space="preserve">whom </w:t>
      </w:r>
      <w:r w:rsidRPr="083DA640">
        <w:rPr>
          <w:lang w:eastAsia="en-AU"/>
        </w:rPr>
        <w:t>98</w:t>
      </w:r>
      <w:r w:rsidR="00176DB4">
        <w:rPr>
          <w:lang w:eastAsia="en-AU"/>
        </w:rPr>
        <w:t> </w:t>
      </w:r>
      <w:r w:rsidRPr="083DA640">
        <w:rPr>
          <w:lang w:eastAsia="en-AU"/>
        </w:rPr>
        <w:t>per cent have no access to support services.</w:t>
      </w:r>
      <w:r w:rsidR="0091270A">
        <w:rPr>
          <w:rStyle w:val="EndnoteReference"/>
          <w:lang w:eastAsia="en-AU"/>
        </w:rPr>
        <w:endnoteReference w:id="13"/>
      </w:r>
    </w:p>
    <w:p w14:paraId="08E492C9" w14:textId="05222021" w:rsidR="00825131" w:rsidRDefault="00825131" w:rsidP="00E90562">
      <w:pPr>
        <w:rPr>
          <w:lang w:eastAsia="en-AU"/>
        </w:rPr>
      </w:pPr>
      <w:r w:rsidRPr="004C1D1F">
        <w:rPr>
          <w:lang w:eastAsia="en-AU"/>
        </w:rPr>
        <w:t xml:space="preserve">As global evidence suggests, </w:t>
      </w:r>
      <w:r w:rsidRPr="008E6E3C">
        <w:rPr>
          <w:lang w:eastAsia="en-AU"/>
        </w:rPr>
        <w:t xml:space="preserve">PNG </w:t>
      </w:r>
      <w:r>
        <w:rPr>
          <w:lang w:eastAsia="en-AU"/>
        </w:rPr>
        <w:t>will</w:t>
      </w:r>
      <w:r w:rsidRPr="008E6E3C">
        <w:rPr>
          <w:lang w:eastAsia="en-AU"/>
        </w:rPr>
        <w:t xml:space="preserve"> only </w:t>
      </w:r>
      <w:r>
        <w:rPr>
          <w:lang w:eastAsia="en-AU"/>
        </w:rPr>
        <w:t>be able to</w:t>
      </w:r>
      <w:r w:rsidRPr="008E6E3C">
        <w:rPr>
          <w:lang w:eastAsia="en-AU"/>
        </w:rPr>
        <w:t xml:space="preserve"> unlock its full potential when it can benefit from true participation by all. Consistent with PNG and Australia’s shared development commitments and priorities, we will work together to increase opportunities for women, people with disabilit</w:t>
      </w:r>
      <w:r w:rsidR="00654F88">
        <w:rPr>
          <w:lang w:eastAsia="en-AU"/>
        </w:rPr>
        <w:t>y</w:t>
      </w:r>
      <w:r w:rsidR="00CA7654">
        <w:rPr>
          <w:lang w:eastAsia="en-AU"/>
        </w:rPr>
        <w:t>,</w:t>
      </w:r>
      <w:r>
        <w:rPr>
          <w:lang w:eastAsia="en-AU"/>
        </w:rPr>
        <w:t xml:space="preserve"> and </w:t>
      </w:r>
      <w:r w:rsidR="555702D0">
        <w:rPr>
          <w:lang w:eastAsia="en-AU"/>
        </w:rPr>
        <w:t>all children</w:t>
      </w:r>
      <w:r w:rsidR="4B064A1B">
        <w:rPr>
          <w:lang w:eastAsia="en-AU"/>
        </w:rPr>
        <w:t xml:space="preserve">, including </w:t>
      </w:r>
      <w:r w:rsidR="7A43D921">
        <w:rPr>
          <w:lang w:eastAsia="en-AU"/>
        </w:rPr>
        <w:t>those</w:t>
      </w:r>
      <w:r w:rsidR="4B064A1B">
        <w:rPr>
          <w:lang w:eastAsia="en-AU"/>
        </w:rPr>
        <w:t xml:space="preserve"> with disabilities.</w:t>
      </w:r>
      <w:r w:rsidR="5E18AFC8">
        <w:rPr>
          <w:lang w:eastAsia="en-AU"/>
        </w:rPr>
        <w:t xml:space="preserve"> </w:t>
      </w:r>
      <w:r w:rsidRPr="00B84BE5">
        <w:rPr>
          <w:lang w:eastAsia="en-AU"/>
        </w:rPr>
        <w:t>Australia is a long-term advocate and supporter of gender equality in PNG, with targeted investments of almost $120</w:t>
      </w:r>
      <w:r w:rsidR="009357FC">
        <w:rPr>
          <w:lang w:eastAsia="en-AU"/>
        </w:rPr>
        <w:t> </w:t>
      </w:r>
      <w:r w:rsidRPr="00B84BE5">
        <w:rPr>
          <w:lang w:eastAsia="en-AU"/>
        </w:rPr>
        <w:t xml:space="preserve">million over the </w:t>
      </w:r>
      <w:r w:rsidR="009357FC">
        <w:rPr>
          <w:lang w:eastAsia="en-AU"/>
        </w:rPr>
        <w:t>p</w:t>
      </w:r>
      <w:r w:rsidRPr="00B84BE5">
        <w:rPr>
          <w:lang w:eastAsia="en-AU"/>
        </w:rPr>
        <w:t>ast 10</w:t>
      </w:r>
      <w:r w:rsidR="009357FC">
        <w:rPr>
          <w:lang w:eastAsia="en-AU"/>
        </w:rPr>
        <w:t> </w:t>
      </w:r>
      <w:r w:rsidRPr="00B84BE5">
        <w:rPr>
          <w:lang w:eastAsia="en-AU"/>
        </w:rPr>
        <w:t xml:space="preserve">years and mainstreaming of gender </w:t>
      </w:r>
      <w:r>
        <w:rPr>
          <w:lang w:eastAsia="en-AU"/>
        </w:rPr>
        <w:t>equality</w:t>
      </w:r>
      <w:r w:rsidRPr="00B84BE5">
        <w:rPr>
          <w:lang w:eastAsia="en-AU"/>
        </w:rPr>
        <w:t xml:space="preserve"> across the development program. </w:t>
      </w:r>
      <w:r w:rsidRPr="00964BFF">
        <w:rPr>
          <w:lang w:eastAsia="en-AU"/>
        </w:rPr>
        <w:t xml:space="preserve">Australia’s </w:t>
      </w:r>
      <w:r w:rsidR="009357FC">
        <w:rPr>
          <w:lang w:eastAsia="en-AU"/>
        </w:rPr>
        <w:t>5</w:t>
      </w:r>
      <w:r w:rsidRPr="00964BFF">
        <w:rPr>
          <w:lang w:eastAsia="en-AU"/>
        </w:rPr>
        <w:t>-year $55</w:t>
      </w:r>
      <w:r w:rsidR="009357FC">
        <w:rPr>
          <w:lang w:eastAsia="en-AU"/>
        </w:rPr>
        <w:t> </w:t>
      </w:r>
      <w:r w:rsidRPr="00964BFF">
        <w:rPr>
          <w:lang w:eastAsia="en-AU"/>
        </w:rPr>
        <w:t xml:space="preserve">million flagship gender </w:t>
      </w:r>
      <w:r>
        <w:rPr>
          <w:lang w:eastAsia="en-AU"/>
        </w:rPr>
        <w:t xml:space="preserve">equality </w:t>
      </w:r>
      <w:r w:rsidRPr="00964BFF">
        <w:rPr>
          <w:lang w:eastAsia="en-AU"/>
        </w:rPr>
        <w:t xml:space="preserve">program, </w:t>
      </w:r>
      <w:r w:rsidRPr="008E6E3C">
        <w:rPr>
          <w:lang w:eastAsia="en-AU"/>
        </w:rPr>
        <w:t>PNG Women Lead</w:t>
      </w:r>
      <w:r>
        <w:rPr>
          <w:lang w:eastAsia="en-AU"/>
        </w:rPr>
        <w:t>,</w:t>
      </w:r>
      <w:r w:rsidR="00851983">
        <w:rPr>
          <w:rStyle w:val="EndnoteReference"/>
          <w:rFonts w:cs="Calibri Light"/>
          <w:color w:val="313E48" w:themeColor="text2"/>
          <w:lang w:eastAsia="en-AU"/>
        </w:rPr>
        <w:endnoteReference w:id="14"/>
      </w:r>
      <w:r w:rsidRPr="008E6E3C">
        <w:rPr>
          <w:lang w:eastAsia="en-AU"/>
        </w:rPr>
        <w:t xml:space="preserve"> </w:t>
      </w:r>
      <w:r>
        <w:rPr>
          <w:lang w:eastAsia="en-AU"/>
        </w:rPr>
        <w:t>is building</w:t>
      </w:r>
      <w:r w:rsidRPr="00964BFF">
        <w:rPr>
          <w:lang w:eastAsia="en-AU"/>
        </w:rPr>
        <w:t xml:space="preserve"> on a foundation of gains in promoting women’s leadership, supporting grassroots women’s organisations, and combat</w:t>
      </w:r>
      <w:r w:rsidR="00810C4D">
        <w:rPr>
          <w:lang w:eastAsia="en-AU"/>
        </w:rPr>
        <w:t>ing</w:t>
      </w:r>
      <w:r w:rsidRPr="00964BFF">
        <w:rPr>
          <w:lang w:eastAsia="en-AU"/>
        </w:rPr>
        <w:t xml:space="preserve"> GBV and SARV</w:t>
      </w:r>
      <w:r>
        <w:rPr>
          <w:lang w:eastAsia="en-AU"/>
        </w:rPr>
        <w:t xml:space="preserve">. </w:t>
      </w:r>
      <w:r w:rsidRPr="01338067">
        <w:rPr>
          <w:lang w:eastAsia="en-AU"/>
        </w:rPr>
        <w:t xml:space="preserve">We will also intensify </w:t>
      </w:r>
      <w:r w:rsidRPr="00576DF9">
        <w:rPr>
          <w:lang w:eastAsia="en-AU"/>
        </w:rPr>
        <w:t>efforts to mainstream gender equality across</w:t>
      </w:r>
      <w:r>
        <w:rPr>
          <w:lang w:eastAsia="en-AU"/>
        </w:rPr>
        <w:t xml:space="preserve"> Australia’s development</w:t>
      </w:r>
      <w:r w:rsidRPr="00576DF9">
        <w:rPr>
          <w:lang w:eastAsia="en-AU"/>
        </w:rPr>
        <w:t xml:space="preserve"> program</w:t>
      </w:r>
      <w:r>
        <w:rPr>
          <w:lang w:eastAsia="en-AU"/>
        </w:rPr>
        <w:t xml:space="preserve"> and </w:t>
      </w:r>
      <w:r w:rsidRPr="223EACED">
        <w:rPr>
          <w:lang w:eastAsia="en-AU"/>
        </w:rPr>
        <w:t>design new programs to meet gender equality performance targets</w:t>
      </w:r>
      <w:r>
        <w:rPr>
          <w:lang w:eastAsia="en-AU"/>
        </w:rPr>
        <w:t xml:space="preserve">, </w:t>
      </w:r>
      <w:r w:rsidRPr="00576DF9">
        <w:rPr>
          <w:lang w:eastAsia="en-AU"/>
        </w:rPr>
        <w:t xml:space="preserve">in line with </w:t>
      </w:r>
      <w:r>
        <w:rPr>
          <w:lang w:eastAsia="en-AU"/>
        </w:rPr>
        <w:t>Australia’s</w:t>
      </w:r>
      <w:r w:rsidRPr="00576DF9">
        <w:rPr>
          <w:lang w:eastAsia="en-AU"/>
        </w:rPr>
        <w:t xml:space="preserve"> International Development Policy</w:t>
      </w:r>
      <w:r>
        <w:rPr>
          <w:lang w:eastAsia="en-AU"/>
        </w:rPr>
        <w:t xml:space="preserve"> and </w:t>
      </w:r>
      <w:r w:rsidRPr="002A18F9">
        <w:rPr>
          <w:lang w:eastAsia="en-AU"/>
        </w:rPr>
        <w:t xml:space="preserve">International Gender Equality </w:t>
      </w:r>
      <w:r w:rsidRPr="007D073D">
        <w:rPr>
          <w:lang w:eastAsia="en-AU"/>
        </w:rPr>
        <w:t>Strategy. This includes ensuring that</w:t>
      </w:r>
      <w:r w:rsidRPr="7B2A9223">
        <w:rPr>
          <w:lang w:eastAsia="en-AU"/>
        </w:rPr>
        <w:t xml:space="preserve"> gender equality is</w:t>
      </w:r>
      <w:r>
        <w:rPr>
          <w:lang w:eastAsia="en-AU"/>
        </w:rPr>
        <w:t xml:space="preserve"> </w:t>
      </w:r>
      <w:r w:rsidRPr="7B2A9223">
        <w:rPr>
          <w:lang w:eastAsia="en-AU"/>
        </w:rPr>
        <w:t xml:space="preserve">a fundamental consideration </w:t>
      </w:r>
      <w:r w:rsidR="00BF0A3A">
        <w:rPr>
          <w:lang w:eastAsia="en-AU"/>
        </w:rPr>
        <w:t xml:space="preserve">in </w:t>
      </w:r>
      <w:r w:rsidRPr="7B2A9223">
        <w:rPr>
          <w:lang w:eastAsia="en-AU"/>
        </w:rPr>
        <w:t>all objectives of the DPP, particularly th</w:t>
      </w:r>
      <w:r>
        <w:rPr>
          <w:lang w:eastAsia="en-AU"/>
        </w:rPr>
        <w:t>r</w:t>
      </w:r>
      <w:r w:rsidRPr="7B2A9223">
        <w:rPr>
          <w:lang w:eastAsia="en-AU"/>
        </w:rPr>
        <w:t>ough enhanced accountability for gender</w:t>
      </w:r>
      <w:r w:rsidR="00A363CB">
        <w:rPr>
          <w:lang w:eastAsia="en-AU"/>
        </w:rPr>
        <w:t>-</w:t>
      </w:r>
      <w:r w:rsidRPr="7B2A9223">
        <w:rPr>
          <w:lang w:eastAsia="en-AU"/>
        </w:rPr>
        <w:t>responsive governance.</w:t>
      </w:r>
    </w:p>
    <w:p w14:paraId="43DFEDBB" w14:textId="5334CAE7" w:rsidR="00825131" w:rsidRPr="00BE6C84" w:rsidRDefault="00825131" w:rsidP="00E90562">
      <w:pPr>
        <w:rPr>
          <w:lang w:eastAsia="en-AU"/>
        </w:rPr>
      </w:pPr>
      <w:r w:rsidRPr="3FF9C96A">
        <w:rPr>
          <w:lang w:eastAsia="en-AU"/>
        </w:rPr>
        <w:t xml:space="preserve">Australia supported PNG to ratify and implement the United Nations Convention on the Rights of Persons with Disabilities in 2013 and to update the PNG Disability Strategy in 2015. Under this DPP, we will intensify </w:t>
      </w:r>
      <w:r w:rsidR="006D6756">
        <w:rPr>
          <w:lang w:eastAsia="en-AU"/>
        </w:rPr>
        <w:t>our</w:t>
      </w:r>
      <w:r w:rsidRPr="3FF9C96A">
        <w:rPr>
          <w:lang w:eastAsia="en-AU"/>
        </w:rPr>
        <w:t xml:space="preserve"> promotion of disability</w:t>
      </w:r>
      <w:r w:rsidR="00E249F6">
        <w:rPr>
          <w:lang w:eastAsia="en-AU"/>
        </w:rPr>
        <w:t>-</w:t>
      </w:r>
      <w:r w:rsidRPr="3FF9C96A">
        <w:rPr>
          <w:lang w:eastAsia="en-AU"/>
        </w:rPr>
        <w:t xml:space="preserve">inclusive development, deliver on our new Disability Equity and Rights Strategy, incorporate universal design considerations into our infrastructure investments and support PNG’s implementation of its National Disability Policy. </w:t>
      </w:r>
      <w:r w:rsidRPr="223EACED">
        <w:rPr>
          <w:lang w:eastAsia="en-AU"/>
        </w:rPr>
        <w:t>We are committed to strengthening our focus on disability</w:t>
      </w:r>
      <w:r w:rsidR="008C3C9C">
        <w:rPr>
          <w:lang w:eastAsia="en-AU"/>
        </w:rPr>
        <w:t>-</w:t>
      </w:r>
      <w:r w:rsidRPr="223EACED">
        <w:rPr>
          <w:lang w:eastAsia="en-AU"/>
        </w:rPr>
        <w:t>inclusive development though the reinstatement of a disability focal point at the Australian High Commission</w:t>
      </w:r>
      <w:r>
        <w:rPr>
          <w:lang w:eastAsia="en-AU"/>
        </w:rPr>
        <w:t xml:space="preserve">, </w:t>
      </w:r>
      <w:r w:rsidR="006A0904">
        <w:rPr>
          <w:lang w:eastAsia="en-AU"/>
        </w:rPr>
        <w:t>the establishment of</w:t>
      </w:r>
      <w:r>
        <w:rPr>
          <w:lang w:eastAsia="en-AU"/>
        </w:rPr>
        <w:t xml:space="preserve"> a</w:t>
      </w:r>
      <w:r w:rsidRPr="223EACED">
        <w:rPr>
          <w:lang w:eastAsia="en-AU"/>
        </w:rPr>
        <w:t xml:space="preserve"> GEDSI </w:t>
      </w:r>
      <w:r w:rsidRPr="223EACED">
        <w:rPr>
          <w:lang w:eastAsia="en-AU"/>
        </w:rPr>
        <w:lastRenderedPageBreak/>
        <w:t>community of practice</w:t>
      </w:r>
      <w:r>
        <w:rPr>
          <w:lang w:eastAsia="en-AU"/>
        </w:rPr>
        <w:t xml:space="preserve">, and </w:t>
      </w:r>
      <w:r w:rsidRPr="3FF9C96A">
        <w:rPr>
          <w:lang w:eastAsia="en-AU"/>
        </w:rPr>
        <w:t>stronger coordination across our programs to guide our engagement with the sector and promote best practice.</w:t>
      </w:r>
    </w:p>
    <w:p w14:paraId="4FFAF290" w14:textId="6F41114A" w:rsidR="005E7FFE" w:rsidRDefault="00825131" w:rsidP="001A1E2F">
      <w:pPr>
        <w:rPr>
          <w:lang w:eastAsia="en-AU"/>
        </w:rPr>
      </w:pPr>
      <w:r w:rsidRPr="7E46ED09">
        <w:rPr>
          <w:lang w:eastAsia="en-AU"/>
        </w:rPr>
        <w:t>Mainstreaming efforts across the development program will focus on the need to recognise and prioritise people who are most likely to be left behind</w:t>
      </w:r>
      <w:r w:rsidR="00320F60">
        <w:rPr>
          <w:lang w:eastAsia="en-AU"/>
        </w:rPr>
        <w:t>,</w:t>
      </w:r>
      <w:r w:rsidRPr="7E46ED09">
        <w:rPr>
          <w:lang w:eastAsia="en-AU"/>
        </w:rPr>
        <w:t xml:space="preserve"> </w:t>
      </w:r>
      <w:r w:rsidRPr="004C29FC">
        <w:rPr>
          <w:lang w:eastAsia="en-AU"/>
        </w:rPr>
        <w:t>including women, the</w:t>
      </w:r>
      <w:r w:rsidRPr="7E46ED09">
        <w:rPr>
          <w:lang w:eastAsia="en-AU"/>
        </w:rPr>
        <w:t xml:space="preserve"> poor, rural populations, the elderly, youth, people living with HIV</w:t>
      </w:r>
      <w:r>
        <w:rPr>
          <w:lang w:eastAsia="en-AU"/>
        </w:rPr>
        <w:t xml:space="preserve"> and</w:t>
      </w:r>
      <w:r w:rsidRPr="7E46ED09">
        <w:rPr>
          <w:lang w:eastAsia="en-AU"/>
        </w:rPr>
        <w:t xml:space="preserve"> </w:t>
      </w:r>
      <w:r w:rsidR="00581DC0" w:rsidRPr="00E90562">
        <w:t>lesbian, gay, bisexual, transgender, intersex, queer/questioning, asexual</w:t>
      </w:r>
      <w:r w:rsidR="00581DC0">
        <w:t xml:space="preserve"> (</w:t>
      </w:r>
      <w:r w:rsidRPr="7E46ED09">
        <w:rPr>
          <w:lang w:eastAsia="en-AU"/>
        </w:rPr>
        <w:t>LGBTQIA+</w:t>
      </w:r>
      <w:r w:rsidR="00581DC0">
        <w:rPr>
          <w:lang w:eastAsia="en-AU"/>
        </w:rPr>
        <w:t>)</w:t>
      </w:r>
      <w:r>
        <w:rPr>
          <w:lang w:eastAsia="en-AU"/>
        </w:rPr>
        <w:t xml:space="preserve"> people</w:t>
      </w:r>
      <w:r w:rsidRPr="7E46ED09">
        <w:rPr>
          <w:lang w:eastAsia="en-AU"/>
        </w:rPr>
        <w:t>.</w:t>
      </w:r>
    </w:p>
    <w:p w14:paraId="6566A189" w14:textId="40AB42F6" w:rsidR="00741B36" w:rsidRPr="00A05C1F" w:rsidRDefault="00741B36" w:rsidP="00E90562">
      <w:pPr>
        <w:pStyle w:val="H3-Heading3"/>
        <w:rPr>
          <w:lang w:eastAsia="en-AU"/>
        </w:rPr>
      </w:pPr>
      <w:r w:rsidRPr="00A05C1F">
        <w:rPr>
          <w:lang w:eastAsia="en-AU"/>
        </w:rPr>
        <w:t xml:space="preserve">First </w:t>
      </w:r>
      <w:r w:rsidRPr="00A05C1F" w:rsidDel="00772355">
        <w:rPr>
          <w:lang w:eastAsia="en-AU"/>
        </w:rPr>
        <w:t>Nations</w:t>
      </w:r>
      <w:r w:rsidDel="00772355">
        <w:rPr>
          <w:lang w:eastAsia="en-AU"/>
        </w:rPr>
        <w:t xml:space="preserve"> </w:t>
      </w:r>
      <w:r>
        <w:rPr>
          <w:lang w:eastAsia="en-AU"/>
        </w:rPr>
        <w:t>Australians</w:t>
      </w:r>
    </w:p>
    <w:p w14:paraId="2D4FFB62" w14:textId="030AB721" w:rsidR="00741B36" w:rsidRDefault="00741B36" w:rsidP="00E90562">
      <w:pPr>
        <w:rPr>
          <w:lang w:eastAsia="en-AU"/>
        </w:rPr>
      </w:pPr>
      <w:r>
        <w:rPr>
          <w:lang w:eastAsia="en-AU"/>
        </w:rPr>
        <w:t>The</w:t>
      </w:r>
      <w:r w:rsidRPr="00155313">
        <w:rPr>
          <w:lang w:eastAsia="en-AU"/>
        </w:rPr>
        <w:t xml:space="preserve"> DPP </w:t>
      </w:r>
      <w:r>
        <w:rPr>
          <w:lang w:eastAsia="en-AU"/>
        </w:rPr>
        <w:t xml:space="preserve">reflects </w:t>
      </w:r>
      <w:r w:rsidRPr="00155313">
        <w:rPr>
          <w:lang w:eastAsia="en-AU"/>
        </w:rPr>
        <w:t>Australia</w:t>
      </w:r>
      <w:r>
        <w:rPr>
          <w:lang w:eastAsia="en-AU"/>
        </w:rPr>
        <w:t>’</w:t>
      </w:r>
      <w:r w:rsidRPr="00155313">
        <w:rPr>
          <w:lang w:eastAsia="en-AU"/>
        </w:rPr>
        <w:t>s commit</w:t>
      </w:r>
      <w:r>
        <w:rPr>
          <w:lang w:eastAsia="en-AU"/>
        </w:rPr>
        <w:t>ment</w:t>
      </w:r>
      <w:r w:rsidRPr="00155313">
        <w:rPr>
          <w:lang w:eastAsia="en-AU"/>
        </w:rPr>
        <w:t xml:space="preserve"> to respect</w:t>
      </w:r>
      <w:r>
        <w:rPr>
          <w:lang w:eastAsia="en-AU"/>
        </w:rPr>
        <w:t>ing</w:t>
      </w:r>
      <w:r w:rsidRPr="00155313">
        <w:rPr>
          <w:lang w:eastAsia="en-AU"/>
        </w:rPr>
        <w:t xml:space="preserve"> and embed</w:t>
      </w:r>
      <w:r>
        <w:rPr>
          <w:lang w:eastAsia="en-AU"/>
        </w:rPr>
        <w:t>ding</w:t>
      </w:r>
      <w:r w:rsidRPr="00155313">
        <w:rPr>
          <w:lang w:eastAsia="en-AU"/>
        </w:rPr>
        <w:t xml:space="preserve"> the perspectives of First </w:t>
      </w:r>
      <w:r w:rsidRPr="00155313" w:rsidDel="0034176D">
        <w:rPr>
          <w:lang w:eastAsia="en-AU"/>
        </w:rPr>
        <w:t xml:space="preserve">Nations </w:t>
      </w:r>
      <w:r w:rsidRPr="00155313">
        <w:rPr>
          <w:lang w:eastAsia="en-AU"/>
        </w:rPr>
        <w:t>Australians</w:t>
      </w:r>
      <w:r>
        <w:rPr>
          <w:lang w:eastAsia="en-AU"/>
        </w:rPr>
        <w:t xml:space="preserve"> into our development engagement</w:t>
      </w:r>
      <w:r w:rsidRPr="00155313">
        <w:rPr>
          <w:lang w:eastAsia="en-AU"/>
        </w:rPr>
        <w:t xml:space="preserve">. PNG and Australia’s shared history and cultural connections provide a unique foundation for partnerships that </w:t>
      </w:r>
      <w:r>
        <w:rPr>
          <w:lang w:eastAsia="en-AU"/>
        </w:rPr>
        <w:t>reflect</w:t>
      </w:r>
      <w:r w:rsidRPr="00155313">
        <w:rPr>
          <w:lang w:eastAsia="en-AU"/>
        </w:rPr>
        <w:t xml:space="preserve"> the rich diversity, traditions, deep </w:t>
      </w:r>
      <w:proofErr w:type="gramStart"/>
      <w:r w:rsidRPr="00155313">
        <w:rPr>
          <w:lang w:eastAsia="en-AU"/>
        </w:rPr>
        <w:t>skills</w:t>
      </w:r>
      <w:proofErr w:type="gramEnd"/>
      <w:r w:rsidRPr="00155313">
        <w:rPr>
          <w:lang w:eastAsia="en-AU"/>
        </w:rPr>
        <w:t xml:space="preserve"> and expertise of both communities</w:t>
      </w:r>
      <w:r w:rsidRPr="00A648FC">
        <w:rPr>
          <w:lang w:eastAsia="en-AU"/>
        </w:rPr>
        <w:t xml:space="preserve">. By embedding First Nations knowledge and practices in our international development efforts, we </w:t>
      </w:r>
      <w:r w:rsidR="003E176B">
        <w:rPr>
          <w:lang w:eastAsia="en-AU"/>
        </w:rPr>
        <w:t>commit</w:t>
      </w:r>
      <w:r w:rsidR="003E176B" w:rsidRPr="00A648FC">
        <w:rPr>
          <w:lang w:eastAsia="en-AU"/>
        </w:rPr>
        <w:t xml:space="preserve"> </w:t>
      </w:r>
      <w:r w:rsidRPr="00A648FC">
        <w:rPr>
          <w:lang w:eastAsia="en-AU"/>
        </w:rPr>
        <w:t>to foster</w:t>
      </w:r>
      <w:r w:rsidR="00F1012A">
        <w:rPr>
          <w:lang w:eastAsia="en-AU"/>
        </w:rPr>
        <w:t>ing</w:t>
      </w:r>
      <w:r w:rsidRPr="00A648FC">
        <w:rPr>
          <w:lang w:eastAsia="en-AU"/>
        </w:rPr>
        <w:t xml:space="preserve"> more inclusive, </w:t>
      </w:r>
      <w:proofErr w:type="gramStart"/>
      <w:r w:rsidRPr="00A648FC">
        <w:rPr>
          <w:lang w:eastAsia="en-AU"/>
        </w:rPr>
        <w:t>sustainable</w:t>
      </w:r>
      <w:proofErr w:type="gramEnd"/>
      <w:r w:rsidRPr="00A648FC">
        <w:rPr>
          <w:lang w:eastAsia="en-AU"/>
        </w:rPr>
        <w:t xml:space="preserve"> and culturally sensitive programs that benefit both our nations.</w:t>
      </w:r>
    </w:p>
    <w:p w14:paraId="2E66B3B9" w14:textId="4985D21F" w:rsidR="00741B36" w:rsidRPr="00562680" w:rsidRDefault="00741B36" w:rsidP="00741B36">
      <w:pPr>
        <w:rPr>
          <w:rFonts w:ascii="Calibri Light" w:eastAsia="Calibri Light" w:hAnsi="Calibri Light" w:cs="Calibri Light"/>
        </w:rPr>
      </w:pPr>
      <w:r w:rsidRPr="3C9050AA">
        <w:rPr>
          <w:lang w:eastAsia="en-AU"/>
        </w:rPr>
        <w:t xml:space="preserve">In line with this commitment, we will support initiatives that encourage meaningful engagements between First </w:t>
      </w:r>
      <w:r w:rsidR="007B64C3">
        <w:rPr>
          <w:lang w:eastAsia="en-AU"/>
        </w:rPr>
        <w:t>Nations</w:t>
      </w:r>
      <w:r w:rsidR="00E75B91">
        <w:rPr>
          <w:lang w:eastAsia="en-AU"/>
        </w:rPr>
        <w:t xml:space="preserve"> </w:t>
      </w:r>
      <w:r w:rsidRPr="3C9050AA">
        <w:rPr>
          <w:lang w:eastAsia="en-AU"/>
        </w:rPr>
        <w:t xml:space="preserve">Australians and PNG communities. This will include fostering genuine partnerships with PNG </w:t>
      </w:r>
      <w:r w:rsidR="347CB1FC" w:rsidRPr="3C9050AA">
        <w:rPr>
          <w:lang w:eastAsia="en-AU"/>
        </w:rPr>
        <w:t>civil society groups</w:t>
      </w:r>
      <w:r w:rsidR="003C396D">
        <w:rPr>
          <w:lang w:eastAsia="en-AU"/>
        </w:rPr>
        <w:t>,</w:t>
      </w:r>
      <w:r w:rsidR="347CB1FC" w:rsidRPr="3C9050AA">
        <w:rPr>
          <w:lang w:eastAsia="en-AU"/>
        </w:rPr>
        <w:t xml:space="preserve"> especially </w:t>
      </w:r>
      <w:r w:rsidRPr="3C9050AA">
        <w:rPr>
          <w:lang w:eastAsia="en-AU"/>
        </w:rPr>
        <w:t>women’s organisations and First Nations organisations</w:t>
      </w:r>
      <w:r w:rsidR="003C396D">
        <w:rPr>
          <w:lang w:eastAsia="en-AU"/>
        </w:rPr>
        <w:t>,</w:t>
      </w:r>
      <w:r w:rsidRPr="3C9050AA">
        <w:rPr>
          <w:lang w:eastAsia="en-AU"/>
        </w:rPr>
        <w:t xml:space="preserve"> to exchange experiences, build trust, and collaboratively enhance leadership, economic </w:t>
      </w:r>
      <w:proofErr w:type="gramStart"/>
      <w:r w:rsidRPr="3C9050AA">
        <w:rPr>
          <w:lang w:eastAsia="en-AU"/>
        </w:rPr>
        <w:t>empowerment</w:t>
      </w:r>
      <w:proofErr w:type="gramEnd"/>
      <w:r w:rsidRPr="3C9050AA">
        <w:rPr>
          <w:lang w:eastAsia="en-AU"/>
        </w:rPr>
        <w:t xml:space="preserve"> and security. We will support programs that promote</w:t>
      </w:r>
      <w:r>
        <w:br/>
      </w:r>
      <w:r w:rsidRPr="3C9050AA">
        <w:rPr>
          <w:lang w:eastAsia="en-AU"/>
        </w:rPr>
        <w:t xml:space="preserve">local ownership and leadership, ensure cultural safety, facilitate cultural exchanges, and leverage </w:t>
      </w:r>
      <w:r w:rsidR="00A733E0" w:rsidRPr="3C9050AA">
        <w:rPr>
          <w:lang w:eastAsia="en-AU"/>
        </w:rPr>
        <w:t>i</w:t>
      </w:r>
      <w:r w:rsidRPr="3C9050AA">
        <w:rPr>
          <w:lang w:eastAsia="en-AU"/>
        </w:rPr>
        <w:t xml:space="preserve">ndigenous knowledge and practices to address contemporary challenges </w:t>
      </w:r>
      <w:r w:rsidR="00A733E0" w:rsidRPr="3C9050AA">
        <w:rPr>
          <w:lang w:eastAsia="en-AU"/>
        </w:rPr>
        <w:t xml:space="preserve">such as </w:t>
      </w:r>
      <w:r w:rsidRPr="3C9050AA">
        <w:rPr>
          <w:lang w:eastAsia="en-AU"/>
        </w:rPr>
        <w:t>environmental management and health security. The approach is based on principles that value mutual respect and shared learning, ensuring that development efforts empower communities and encourage inclusive participation.</w:t>
      </w:r>
    </w:p>
    <w:p w14:paraId="55D00FAA" w14:textId="1C5FB808" w:rsidR="00562680" w:rsidRDefault="00790E5A">
      <w:pPr>
        <w:spacing w:before="0" w:after="0" w:line="240" w:lineRule="auto"/>
        <w:rPr>
          <w:rFonts w:asciiTheme="minorHAnsi" w:eastAsiaTheme="majorEastAsia" w:hAnsiTheme="minorHAnsi" w:cstheme="minorHAnsi"/>
          <w:b/>
          <w:bCs/>
          <w:color w:val="313E48"/>
          <w:sz w:val="36"/>
          <w:szCs w:val="32"/>
        </w:rPr>
      </w:pPr>
      <w:r>
        <w:br w:type="page"/>
      </w:r>
    </w:p>
    <w:p w14:paraId="6938626A" w14:textId="0CBD978D" w:rsidR="002F4955" w:rsidRPr="00DC7B09" w:rsidRDefault="002F4955" w:rsidP="00DC7B09">
      <w:pPr>
        <w:pStyle w:val="H2-Heading2"/>
      </w:pPr>
      <w:r w:rsidRPr="00DC7B09">
        <w:lastRenderedPageBreak/>
        <w:t>Section 3: Joint objectives of the Australia</w:t>
      </w:r>
      <w:r w:rsidR="003E4B67">
        <w:t>–PNG</w:t>
      </w:r>
      <w:r w:rsidRPr="00DC7B09">
        <w:t xml:space="preserve"> </w:t>
      </w:r>
      <w:r w:rsidR="006C091E">
        <w:t>d</w:t>
      </w:r>
      <w:r w:rsidRPr="00DC7B09">
        <w:t>evelopment</w:t>
      </w:r>
      <w:r w:rsidR="0028620A">
        <w:t xml:space="preserve"> </w:t>
      </w:r>
      <w:r w:rsidR="006C091E">
        <w:t>p</w:t>
      </w:r>
      <w:r w:rsidRPr="00DC7B09">
        <w:t>artnership</w:t>
      </w:r>
    </w:p>
    <w:p w14:paraId="07DCC4E3" w14:textId="2A584E9C" w:rsidR="000355C2" w:rsidRPr="001A1E2F" w:rsidRDefault="000355C2" w:rsidP="00E90562">
      <w:pPr>
        <w:rPr>
          <w:lang w:eastAsia="en-AU"/>
        </w:rPr>
      </w:pPr>
      <w:r w:rsidRPr="001A1E2F">
        <w:rPr>
          <w:lang w:eastAsia="en-AU"/>
        </w:rPr>
        <w:t>The overarching goal for the Australia</w:t>
      </w:r>
      <w:r w:rsidR="00D016D6" w:rsidRPr="001A1E2F">
        <w:rPr>
          <w:lang w:eastAsia="en-AU"/>
        </w:rPr>
        <w:t>–</w:t>
      </w:r>
      <w:r w:rsidR="001D4E71" w:rsidRPr="001A1E2F">
        <w:rPr>
          <w:lang w:eastAsia="en-AU"/>
        </w:rPr>
        <w:t xml:space="preserve">PNG </w:t>
      </w:r>
      <w:r w:rsidR="00D016D6" w:rsidRPr="001A1E2F">
        <w:rPr>
          <w:lang w:eastAsia="en-AU"/>
        </w:rPr>
        <w:t>D</w:t>
      </w:r>
      <w:r w:rsidRPr="001A1E2F">
        <w:rPr>
          <w:lang w:eastAsia="en-AU"/>
        </w:rPr>
        <w:t xml:space="preserve">evelopment </w:t>
      </w:r>
      <w:r w:rsidR="00D016D6" w:rsidRPr="001A1E2F">
        <w:rPr>
          <w:lang w:eastAsia="en-AU"/>
        </w:rPr>
        <w:t>P</w:t>
      </w:r>
      <w:r w:rsidRPr="001A1E2F">
        <w:rPr>
          <w:lang w:eastAsia="en-AU"/>
        </w:rPr>
        <w:t xml:space="preserve">artnership is a peaceful, stable, </w:t>
      </w:r>
      <w:proofErr w:type="gramStart"/>
      <w:r w:rsidRPr="001A1E2F">
        <w:rPr>
          <w:lang w:eastAsia="en-AU"/>
        </w:rPr>
        <w:t>resilient</w:t>
      </w:r>
      <w:proofErr w:type="gramEnd"/>
      <w:r w:rsidRPr="001A1E2F">
        <w:rPr>
          <w:lang w:eastAsia="en-AU"/>
        </w:rPr>
        <w:t xml:space="preserve"> and prosperous PNG. Four development partnership objectives have been identified to contribute to this goal, </w:t>
      </w:r>
      <w:r w:rsidR="00062EA5">
        <w:rPr>
          <w:lang w:eastAsia="en-AU"/>
        </w:rPr>
        <w:t>each with a set of</w:t>
      </w:r>
      <w:r w:rsidR="00024FF8" w:rsidRPr="001A1E2F">
        <w:rPr>
          <w:lang w:eastAsia="en-AU"/>
        </w:rPr>
        <w:t xml:space="preserve"> </w:t>
      </w:r>
      <w:r w:rsidRPr="001A1E2F">
        <w:rPr>
          <w:lang w:eastAsia="en-AU"/>
        </w:rPr>
        <w:t>priority outcomes (</w:t>
      </w:r>
      <w:r w:rsidR="00D40D02" w:rsidRPr="001A1E2F">
        <w:rPr>
          <w:lang w:eastAsia="en-AU"/>
        </w:rPr>
        <w:t xml:space="preserve">see </w:t>
      </w:r>
      <w:r w:rsidRPr="001A1E2F">
        <w:rPr>
          <w:lang w:eastAsia="en-AU"/>
        </w:rPr>
        <w:t>Table 1). Australia’s portfolio of investments will remain across a broad range of sectors, reflecting ongoing development needs and Australia’s value</w:t>
      </w:r>
      <w:r w:rsidR="00FD2B40" w:rsidRPr="001A1E2F">
        <w:rPr>
          <w:lang w:eastAsia="en-AU"/>
        </w:rPr>
        <w:t>-</w:t>
      </w:r>
      <w:r w:rsidRPr="001A1E2F">
        <w:rPr>
          <w:lang w:eastAsia="en-AU"/>
        </w:rPr>
        <w:t>add</w:t>
      </w:r>
      <w:r w:rsidR="00FD2B40" w:rsidRPr="001A1E2F">
        <w:rPr>
          <w:lang w:eastAsia="en-AU"/>
        </w:rPr>
        <w:t>ing</w:t>
      </w:r>
      <w:r w:rsidRPr="001A1E2F">
        <w:rPr>
          <w:lang w:eastAsia="en-AU"/>
        </w:rPr>
        <w:t>, as expressed by PNG stakeholders through both International Development Policy and DPP consultations.</w:t>
      </w:r>
    </w:p>
    <w:p w14:paraId="3B79EEA3" w14:textId="339E9395" w:rsidR="000355C2" w:rsidRPr="001A1E2F" w:rsidRDefault="000355C2" w:rsidP="00E90562">
      <w:pPr>
        <w:rPr>
          <w:lang w:eastAsia="en-AU"/>
        </w:rPr>
      </w:pPr>
      <w:r w:rsidRPr="001A1E2F">
        <w:rPr>
          <w:lang w:eastAsia="en-AU"/>
        </w:rPr>
        <w:t xml:space="preserve">In working with PNG to achieve </w:t>
      </w:r>
      <w:r w:rsidR="00B9309B" w:rsidRPr="001A1E2F">
        <w:rPr>
          <w:lang w:eastAsia="en-AU"/>
        </w:rPr>
        <w:t xml:space="preserve">our </w:t>
      </w:r>
      <w:r w:rsidRPr="001A1E2F">
        <w:rPr>
          <w:lang w:eastAsia="en-AU"/>
        </w:rPr>
        <w:t xml:space="preserve">joint objectives, we will need to balance existing and ongoing priorities, needs and partnership areas with </w:t>
      </w:r>
      <w:r w:rsidR="00225B46">
        <w:rPr>
          <w:lang w:eastAsia="en-AU"/>
        </w:rPr>
        <w:t>the</w:t>
      </w:r>
      <w:r w:rsidRPr="001A1E2F">
        <w:rPr>
          <w:lang w:eastAsia="en-AU"/>
        </w:rPr>
        <w:t xml:space="preserve"> emerging priorities of the PNG Government and communities. For example, in health and education, Australia and PNG have long</w:t>
      </w:r>
      <w:r w:rsidR="00397E64" w:rsidRPr="001A1E2F">
        <w:rPr>
          <w:lang w:eastAsia="en-AU"/>
        </w:rPr>
        <w:t>standing</w:t>
      </w:r>
      <w:r w:rsidRPr="001A1E2F">
        <w:rPr>
          <w:lang w:eastAsia="en-AU"/>
        </w:rPr>
        <w:t xml:space="preserve"> partnerships, with significant investment and ongoing shared priorities. At the same time, the PNG Government has asked Australia to increase investment in economic infrastructure, including in key areas such as power, </w:t>
      </w:r>
      <w:proofErr w:type="gramStart"/>
      <w:r w:rsidRPr="001A1E2F">
        <w:rPr>
          <w:lang w:eastAsia="en-AU"/>
        </w:rPr>
        <w:t>telecommunications</w:t>
      </w:r>
      <w:proofErr w:type="gramEnd"/>
      <w:r w:rsidRPr="001A1E2F">
        <w:rPr>
          <w:lang w:eastAsia="en-AU"/>
        </w:rPr>
        <w:t xml:space="preserve"> and ports, </w:t>
      </w:r>
      <w:r w:rsidR="00FF2C7D" w:rsidRPr="001A1E2F">
        <w:rPr>
          <w:lang w:eastAsia="en-AU"/>
        </w:rPr>
        <w:t xml:space="preserve">and </w:t>
      </w:r>
      <w:r w:rsidR="00C41987">
        <w:rPr>
          <w:lang w:eastAsia="en-AU"/>
        </w:rPr>
        <w:t xml:space="preserve">to </w:t>
      </w:r>
      <w:r w:rsidRPr="001A1E2F">
        <w:rPr>
          <w:lang w:eastAsia="en-AU"/>
        </w:rPr>
        <w:t>scal</w:t>
      </w:r>
      <w:r w:rsidR="00FF2C7D" w:rsidRPr="001A1E2F">
        <w:rPr>
          <w:lang w:eastAsia="en-AU"/>
        </w:rPr>
        <w:t>e</w:t>
      </w:r>
      <w:r w:rsidRPr="001A1E2F">
        <w:rPr>
          <w:lang w:eastAsia="en-AU"/>
        </w:rPr>
        <w:t xml:space="preserve"> up efforts in policing, law and justice. Our investments will need to be flexible and responsive to emerging priorities.</w:t>
      </w:r>
    </w:p>
    <w:p w14:paraId="3C92C7E2" w14:textId="65907891" w:rsidR="0053471A" w:rsidRDefault="000355C2" w:rsidP="00E90562">
      <w:pPr>
        <w:rPr>
          <w:lang w:eastAsia="en-AU"/>
        </w:rPr>
      </w:pPr>
      <w:r w:rsidRPr="001A1E2F">
        <w:rPr>
          <w:lang w:eastAsia="en-AU"/>
        </w:rPr>
        <w:t>To achieve impact across this wide-ranging portfolio, we will ensure that the infrastructure we build and the services we support are high</w:t>
      </w:r>
      <w:r w:rsidR="006C1B16" w:rsidRPr="001A1E2F">
        <w:rPr>
          <w:lang w:eastAsia="en-AU"/>
        </w:rPr>
        <w:t>-</w:t>
      </w:r>
      <w:r w:rsidRPr="001A1E2F">
        <w:rPr>
          <w:lang w:eastAsia="en-AU"/>
        </w:rPr>
        <w:t>quality and deliver for the people of PNG. Within sectors, we are consolidating our focus and seeking opportunities to support reform, build the capacity of PNG’s people and institutions, and promote a culture of shared accountability. We will also continue to develop place-based approaches in key locations to maximise and demonstrate the development impact of our investments on service improvements.</w:t>
      </w:r>
    </w:p>
    <w:p w14:paraId="1CCAE076" w14:textId="77777777" w:rsidR="005C2613" w:rsidRPr="00AC58B3" w:rsidRDefault="005C2613" w:rsidP="005C2613">
      <w:pPr>
        <w:pStyle w:val="H3-Heading3"/>
        <w:pBdr>
          <w:top w:val="single" w:sz="4" w:space="1" w:color="auto"/>
          <w:left w:val="single" w:sz="4" w:space="4" w:color="auto"/>
          <w:bottom w:val="single" w:sz="4" w:space="1" w:color="auto"/>
          <w:right w:val="single" w:sz="4" w:space="4" w:color="auto"/>
        </w:pBdr>
      </w:pPr>
      <w:r w:rsidRPr="00AC58B3">
        <w:t>Our place-based approaches in PNG</w:t>
      </w:r>
    </w:p>
    <w:p w14:paraId="2E11BEF9" w14:textId="77777777" w:rsidR="005C2613" w:rsidRPr="00AC58B3" w:rsidRDefault="005C2613" w:rsidP="005C2613">
      <w:pPr>
        <w:pBdr>
          <w:top w:val="single" w:sz="4" w:space="1" w:color="auto"/>
          <w:left w:val="single" w:sz="4" w:space="4" w:color="auto"/>
          <w:bottom w:val="single" w:sz="4" w:space="1" w:color="auto"/>
          <w:right w:val="single" w:sz="4" w:space="4" w:color="auto"/>
        </w:pBdr>
      </w:pPr>
      <w:r w:rsidRPr="00AC58B3">
        <w:t>Australia’s assistance will continue to take place-based approaches in some areas to concentrate our development impact. Through our Western Province Partnership, we are improving food and water security</w:t>
      </w:r>
      <w:r>
        <w:t>,</w:t>
      </w:r>
      <w:r w:rsidRPr="00AC58B3">
        <w:t xml:space="preserve"> livelihoods and community resilience</w:t>
      </w:r>
      <w:r>
        <w:t>,</w:t>
      </w:r>
      <w:r w:rsidRPr="00AC58B3">
        <w:t xml:space="preserve"> </w:t>
      </w:r>
      <w:proofErr w:type="gramStart"/>
      <w:r w:rsidRPr="00AC58B3">
        <w:t>governance</w:t>
      </w:r>
      <w:proofErr w:type="gramEnd"/>
      <w:r w:rsidRPr="00AC58B3">
        <w:t xml:space="preserve"> and women’s leadership. Similarly, our Bougainville Partnership is prioritising autonomy and effective governance, economic development, and peace, </w:t>
      </w:r>
      <w:proofErr w:type="gramStart"/>
      <w:r w:rsidRPr="00AC58B3">
        <w:t>stability</w:t>
      </w:r>
      <w:proofErr w:type="gramEnd"/>
      <w:r w:rsidRPr="00AC58B3">
        <w:t xml:space="preserve"> and community cohesion. Western Province and Bougainville are also priorities for our health, </w:t>
      </w:r>
      <w:proofErr w:type="gramStart"/>
      <w:r w:rsidRPr="00AC58B3">
        <w:t>education</w:t>
      </w:r>
      <w:proofErr w:type="gramEnd"/>
      <w:r w:rsidRPr="00AC58B3">
        <w:t xml:space="preserve"> and justice programs. Along the historic Kokoda Track, we continue to help communities access essential services and build livelihoods.</w:t>
      </w:r>
    </w:p>
    <w:p w14:paraId="79D82175" w14:textId="7C46EB72" w:rsidR="005C2613" w:rsidRPr="00AC58B3" w:rsidRDefault="005C2613" w:rsidP="005C2613">
      <w:pPr>
        <w:pBdr>
          <w:top w:val="single" w:sz="4" w:space="1" w:color="auto"/>
          <w:left w:val="single" w:sz="4" w:space="4" w:color="auto"/>
          <w:bottom w:val="single" w:sz="4" w:space="1" w:color="auto"/>
          <w:right w:val="single" w:sz="4" w:space="4" w:color="auto"/>
        </w:pBdr>
      </w:pPr>
      <w:r w:rsidRPr="00AC58B3">
        <w:t>Place-based approaches help ensure Australia’s engagement supports the PNG Government’s decentralisation efforts and the 8</w:t>
      </w:r>
      <w:r w:rsidR="00FD5875">
        <w:t>7</w:t>
      </w:r>
      <w:r w:rsidRPr="00AC58B3">
        <w:t> per cent of Papua New Guineans living in rural and remote communities. Across our engagements we support national, provincial and district governments to improve the efficiency and effectiveness of rural development, including through digitisation of data management systems. Place-based approaches also provide opportunities to share First Nations Australians’ expertise in support of PNG’s development priorities. Examples include engagement on environmental management, border, and health security.</w:t>
      </w:r>
    </w:p>
    <w:p w14:paraId="73887EE3" w14:textId="77777777" w:rsidR="005C2613" w:rsidRDefault="005C2613" w:rsidP="005C2613">
      <w:pPr>
        <w:pBdr>
          <w:top w:val="single" w:sz="4" w:space="1" w:color="auto"/>
          <w:left w:val="single" w:sz="4" w:space="4" w:color="auto"/>
          <w:bottom w:val="single" w:sz="4" w:space="1" w:color="auto"/>
          <w:right w:val="single" w:sz="4" w:space="4" w:color="auto"/>
        </w:pBdr>
        <w:rPr>
          <w:lang w:eastAsia="en-AU"/>
        </w:rPr>
      </w:pPr>
      <w:r w:rsidRPr="00AC58B3">
        <w:t>We will explore opportunities to adopt place-based approaches beyond our work in Western Province, the Kokoda Track area and Bougainville, looking at the effects of consolidating our investments in some regions to increase impact. We will commission a review of our place-based approaches in the first year of the DPP to inform future programming.</w:t>
      </w:r>
    </w:p>
    <w:p w14:paraId="4FC4C991" w14:textId="0D1DD709" w:rsidR="000355C2" w:rsidRDefault="0053471A" w:rsidP="00E90562">
      <w:pPr>
        <w:rPr>
          <w:lang w:eastAsia="en-AU"/>
        </w:rPr>
      </w:pPr>
      <w:r w:rsidRPr="00E90562">
        <w:rPr>
          <w:lang w:eastAsia="en-AU"/>
        </w:rPr>
        <w:t>To assist PNG in meeting its significant development goals and needs, Australia will work with other development partners to attract broader investment and international finance. This includes establishing strategic partnerships with multilateral organisations to complement our portfolio of investments and maximise our influence across key policy areas. We will seek to build greater coherence and collaboration with like-minded donors to bolster our collective efforts, including by continuing to play a leadership role in donor forums. Building cross-program linkages and opportunities for collaboration between Australian programs will maximise the impact.</w:t>
      </w:r>
    </w:p>
    <w:p w14:paraId="68BAA24C" w14:textId="7306B45D" w:rsidR="000355C2" w:rsidRPr="0025456D" w:rsidRDefault="000355C2" w:rsidP="00F20A28">
      <w:pPr>
        <w:rPr>
          <w:rFonts w:eastAsiaTheme="majorEastAsia" w:cstheme="majorBidi"/>
        </w:rPr>
      </w:pPr>
      <w:r w:rsidRPr="0025456D">
        <w:rPr>
          <w:rFonts w:eastAsiaTheme="majorEastAsia" w:cstheme="majorBidi"/>
        </w:rPr>
        <w:lastRenderedPageBreak/>
        <w:t>Our four partnership objectives align with the principles and priorities agreed to by Australia and PNG</w:t>
      </w:r>
      <w:r>
        <w:rPr>
          <w:rFonts w:eastAsiaTheme="majorEastAsia" w:cstheme="majorBidi"/>
        </w:rPr>
        <w:t>,</w:t>
      </w:r>
      <w:r w:rsidRPr="0025456D">
        <w:rPr>
          <w:rFonts w:eastAsiaTheme="majorEastAsia" w:cstheme="majorBidi"/>
        </w:rPr>
        <w:t xml:space="preserve"> as set out in the PNG</w:t>
      </w:r>
      <w:r w:rsidR="00D016D6">
        <w:rPr>
          <w:rFonts w:eastAsiaTheme="majorEastAsia" w:cstheme="majorBidi"/>
        </w:rPr>
        <w:t>–</w:t>
      </w:r>
      <w:r w:rsidRPr="0025456D">
        <w:rPr>
          <w:rFonts w:eastAsiaTheme="majorEastAsia" w:cstheme="majorBidi"/>
        </w:rPr>
        <w:t>Australia C</w:t>
      </w:r>
      <w:r w:rsidR="00CF79FE">
        <w:rPr>
          <w:rFonts w:eastAsiaTheme="majorEastAsia" w:cstheme="majorBidi"/>
        </w:rPr>
        <w:t>SEP</w:t>
      </w:r>
      <w:r w:rsidRPr="0025456D">
        <w:rPr>
          <w:rFonts w:eastAsiaTheme="majorEastAsia" w:cstheme="majorBidi"/>
        </w:rPr>
        <w:t xml:space="preserve"> and the B</w:t>
      </w:r>
      <w:r w:rsidR="00DF7020">
        <w:rPr>
          <w:rFonts w:eastAsiaTheme="majorEastAsia" w:cstheme="majorBidi"/>
        </w:rPr>
        <w:t>SA</w:t>
      </w:r>
      <w:r>
        <w:rPr>
          <w:rFonts w:eastAsiaTheme="majorEastAsia" w:cstheme="majorBidi"/>
        </w:rPr>
        <w:t>,</w:t>
      </w:r>
      <w:r w:rsidRPr="0025456D">
        <w:rPr>
          <w:rFonts w:eastAsiaTheme="majorEastAsia" w:cstheme="majorBidi"/>
        </w:rPr>
        <w:t xml:space="preserve"> and support the </w:t>
      </w:r>
      <w:r w:rsidRPr="001A3D59">
        <w:rPr>
          <w:rFonts w:eastAsiaTheme="majorEastAsia" w:cstheme="majorBidi"/>
        </w:rPr>
        <w:t>priorities presented in PNG’s MTDP</w:t>
      </w:r>
      <w:r w:rsidR="00F23A2C">
        <w:rPr>
          <w:rFonts w:eastAsiaTheme="majorEastAsia" w:cstheme="majorBidi"/>
        </w:rPr>
        <w:t> </w:t>
      </w:r>
      <w:r w:rsidRPr="001A3D59">
        <w:rPr>
          <w:rFonts w:eastAsiaTheme="majorEastAsia" w:cstheme="majorBidi"/>
        </w:rPr>
        <w:t>IV. A mid</w:t>
      </w:r>
      <w:r w:rsidR="0019518F">
        <w:rPr>
          <w:rFonts w:eastAsiaTheme="majorEastAsia" w:cstheme="majorBidi"/>
        </w:rPr>
        <w:t>-</w:t>
      </w:r>
      <w:r w:rsidRPr="001A3D59">
        <w:rPr>
          <w:rFonts w:eastAsiaTheme="majorEastAsia" w:cstheme="majorBidi"/>
        </w:rPr>
        <w:t>cycle review (2026</w:t>
      </w:r>
      <w:r w:rsidR="00F23A2C">
        <w:rPr>
          <w:rFonts w:eastAsiaTheme="majorEastAsia" w:cstheme="majorBidi"/>
        </w:rPr>
        <w:t>–</w:t>
      </w:r>
      <w:r w:rsidRPr="001A3D59">
        <w:rPr>
          <w:rFonts w:eastAsiaTheme="majorEastAsia" w:cstheme="majorBidi"/>
        </w:rPr>
        <w:t xml:space="preserve">27) of the DPP will be undertaken to </w:t>
      </w:r>
      <w:r w:rsidR="00CA77D1">
        <w:rPr>
          <w:rFonts w:eastAsiaTheme="majorEastAsia" w:cstheme="majorBidi"/>
        </w:rPr>
        <w:t xml:space="preserve">evaluate </w:t>
      </w:r>
      <w:r w:rsidRPr="001A3D59">
        <w:rPr>
          <w:rFonts w:eastAsiaTheme="majorEastAsia" w:cstheme="majorBidi"/>
        </w:rPr>
        <w:t>progress and adjust as required, aligning with the end of the MTDP</w:t>
      </w:r>
      <w:r w:rsidR="00CA77D1">
        <w:rPr>
          <w:rFonts w:eastAsiaTheme="majorEastAsia" w:cstheme="majorBidi"/>
        </w:rPr>
        <w:t> </w:t>
      </w:r>
      <w:r w:rsidRPr="001A3D59">
        <w:rPr>
          <w:rFonts w:eastAsiaTheme="majorEastAsia" w:cstheme="majorBidi"/>
        </w:rPr>
        <w:t>IV in 2027</w:t>
      </w:r>
      <w:r>
        <w:rPr>
          <w:rFonts w:eastAsiaTheme="majorEastAsia" w:cstheme="majorBidi"/>
        </w:rPr>
        <w:t xml:space="preserve"> and preparation for PNG’s subsequent development plan</w:t>
      </w:r>
      <w:r w:rsidRPr="001A3D59">
        <w:rPr>
          <w:rFonts w:eastAsiaTheme="majorEastAsia" w:cstheme="majorBidi"/>
        </w:rPr>
        <w:t>.</w:t>
      </w:r>
    </w:p>
    <w:p w14:paraId="0519FAC8" w14:textId="007ABB3C" w:rsidR="003E4B67" w:rsidRDefault="000355C2" w:rsidP="00BD6DC0">
      <w:pPr>
        <w:rPr>
          <w:lang w:eastAsia="en-AU"/>
        </w:rPr>
      </w:pPr>
      <w:r w:rsidRPr="0025456D">
        <w:rPr>
          <w:rFonts w:eastAsiaTheme="majorEastAsia" w:cstheme="majorBidi"/>
        </w:rPr>
        <w:t xml:space="preserve">While the framework </w:t>
      </w:r>
      <w:r w:rsidR="00EE2B5C">
        <w:rPr>
          <w:rFonts w:eastAsiaTheme="majorEastAsia" w:cstheme="majorBidi"/>
        </w:rPr>
        <w:t xml:space="preserve">in </w:t>
      </w:r>
      <w:r w:rsidRPr="0025456D">
        <w:rPr>
          <w:rFonts w:eastAsiaTheme="majorEastAsia" w:cstheme="majorBidi"/>
        </w:rPr>
        <w:t>Table 1 visually presents objectives and outcomes in pillars, there are clear linkages and synergies across outcomes and objectives, with many investments contributing</w:t>
      </w:r>
      <w:r>
        <w:rPr>
          <w:rFonts w:eastAsiaTheme="majorEastAsia" w:cstheme="majorBidi"/>
        </w:rPr>
        <w:t xml:space="preserve"> to multiple areas of the framework</w:t>
      </w:r>
      <w:r w:rsidRPr="0025456D">
        <w:rPr>
          <w:rFonts w:eastAsiaTheme="majorEastAsia" w:cstheme="majorBidi"/>
        </w:rPr>
        <w:t>.</w:t>
      </w:r>
    </w:p>
    <w:p w14:paraId="7B67814B" w14:textId="339D8E91" w:rsidR="002F4955" w:rsidRDefault="002F4955" w:rsidP="00E90562">
      <w:pPr>
        <w:pStyle w:val="Tabletitle"/>
      </w:pPr>
      <w:r w:rsidRPr="4BA5C0C5">
        <w:t>Table 1: Australia</w:t>
      </w:r>
      <w:r w:rsidR="00505EEC">
        <w:t>–</w:t>
      </w:r>
      <w:r w:rsidR="006C091E">
        <w:t>PNG</w:t>
      </w:r>
      <w:r w:rsidRPr="4BA5C0C5">
        <w:t xml:space="preserve"> </w:t>
      </w:r>
      <w:r w:rsidR="0028620A">
        <w:t>d</w:t>
      </w:r>
      <w:r w:rsidRPr="4BA5C0C5">
        <w:t xml:space="preserve">evelopment </w:t>
      </w:r>
      <w:r w:rsidR="0028620A">
        <w:t>p</w:t>
      </w:r>
      <w:r w:rsidRPr="4BA5C0C5">
        <w:t>artnership</w:t>
      </w:r>
    </w:p>
    <w:p w14:paraId="4CD804CB" w14:textId="4724352E" w:rsidR="009C22DC" w:rsidRPr="009C22DC" w:rsidRDefault="009C22DC" w:rsidP="009C22DC">
      <w:pPr>
        <w:rPr>
          <w:b/>
          <w:bCs/>
          <w:lang w:eastAsia="en-AU"/>
        </w:rPr>
      </w:pPr>
      <w:r w:rsidRPr="009C22DC">
        <w:rPr>
          <w:b/>
          <w:bCs/>
          <w:lang w:eastAsia="en-AU"/>
        </w:rPr>
        <w:t xml:space="preserve">Goal: A </w:t>
      </w:r>
      <w:r w:rsidR="00397736">
        <w:rPr>
          <w:b/>
          <w:bCs/>
          <w:lang w:eastAsia="en-AU"/>
        </w:rPr>
        <w:t xml:space="preserve">peaceful, stable, </w:t>
      </w:r>
      <w:proofErr w:type="gramStart"/>
      <w:r w:rsidR="00397736">
        <w:rPr>
          <w:b/>
          <w:bCs/>
          <w:lang w:eastAsia="en-AU"/>
        </w:rPr>
        <w:t>resilient</w:t>
      </w:r>
      <w:proofErr w:type="gramEnd"/>
      <w:r w:rsidR="00397736">
        <w:rPr>
          <w:b/>
          <w:bCs/>
          <w:lang w:eastAsia="en-AU"/>
        </w:rPr>
        <w:t xml:space="preserve"> and prosperous P</w:t>
      </w:r>
      <w:r w:rsidR="0028620A">
        <w:rPr>
          <w:b/>
          <w:bCs/>
          <w:lang w:eastAsia="en-AU"/>
        </w:rPr>
        <w:t>NG</w:t>
      </w:r>
    </w:p>
    <w:tbl>
      <w:tblPr>
        <w:tblStyle w:val="ListTable3-Accent1"/>
        <w:tblpPr w:leftFromText="181" w:rightFromText="181" w:bottomFromText="284" w:vertAnchor="text" w:tblpY="1"/>
        <w:tblOverlap w:val="never"/>
        <w:tblW w:w="5000" w:type="pct"/>
        <w:tblBorders>
          <w:insideH w:val="single" w:sz="4" w:space="0" w:color="3A586E" w:themeColor="accent1"/>
        </w:tblBorders>
        <w:tblLayout w:type="fixed"/>
        <w:tblLook w:val="04A0" w:firstRow="1" w:lastRow="0" w:firstColumn="1" w:lastColumn="0" w:noHBand="0" w:noVBand="1"/>
        <w:tblCaption w:val="Australia–PNG development partnership "/>
        <w:tblDescription w:val="The objectives, outcomes, focus areas and ways of working to support the goal of a prosperous, resilient and stable PNG&#10;"/>
      </w:tblPr>
      <w:tblGrid>
        <w:gridCol w:w="1269"/>
        <w:gridCol w:w="2231"/>
        <w:gridCol w:w="2231"/>
        <w:gridCol w:w="2231"/>
        <w:gridCol w:w="2232"/>
      </w:tblGrid>
      <w:tr w:rsidR="008D0181" w:rsidRPr="000E77A9" w14:paraId="4C7F5D06" w14:textId="7678439A" w:rsidTr="00543341">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3A586E"/>
          </w:tcPr>
          <w:p w14:paraId="163CC4FA" w14:textId="77777777" w:rsidR="006C4E72" w:rsidRPr="00E90562" w:rsidRDefault="006C4E72" w:rsidP="00C52E5B">
            <w:pPr>
              <w:pStyle w:val="TableBodyCopy"/>
              <w:rPr>
                <w:color w:val="FFFFFF" w:themeColor="background1"/>
                <w:lang w:eastAsia="en-AU"/>
              </w:rPr>
            </w:pPr>
            <w:r w:rsidRPr="00E90562">
              <w:rPr>
                <w:color w:val="FFFFFF" w:themeColor="background1"/>
                <w:lang w:eastAsia="en-AU"/>
              </w:rPr>
              <w:t>Objective</w:t>
            </w:r>
          </w:p>
        </w:tc>
        <w:tc>
          <w:tcPr>
            <w:tcW w:w="1094" w:type="pct"/>
            <w:tcBorders>
              <w:top w:val="single" w:sz="4" w:space="0" w:color="auto"/>
              <w:left w:val="single" w:sz="4" w:space="0" w:color="auto"/>
              <w:bottom w:val="single" w:sz="4" w:space="0" w:color="auto"/>
              <w:right w:val="single" w:sz="4" w:space="0" w:color="auto"/>
            </w:tcBorders>
            <w:shd w:val="clear" w:color="auto" w:fill="D6E8D2" w:themeFill="accent3" w:themeFillTint="33"/>
            <w:hideMark/>
          </w:tcPr>
          <w:p w14:paraId="345D6D82" w14:textId="00361FBA" w:rsidR="006C4E72" w:rsidRPr="007502C6" w:rsidRDefault="006C4E72" w:rsidP="00397046">
            <w:pPr>
              <w:pStyle w:val="TableBodyCopy"/>
              <w:cnfStyle w:val="100000000000" w:firstRow="1" w:lastRow="0" w:firstColumn="0" w:lastColumn="0" w:oddVBand="0" w:evenVBand="0" w:oddHBand="0" w:evenHBand="0" w:firstRowFirstColumn="0" w:firstRowLastColumn="0" w:lastRowFirstColumn="0" w:lastRowLastColumn="0"/>
              <w:rPr>
                <w:b w:val="0"/>
                <w:bCs w:val="0"/>
              </w:rPr>
            </w:pPr>
            <w:r w:rsidRPr="007502C6">
              <w:rPr>
                <w:b w:val="0"/>
                <w:bCs w:val="0"/>
              </w:rPr>
              <w:t>Objective 1:</w:t>
            </w:r>
          </w:p>
          <w:p w14:paraId="7F3EE106" w14:textId="7EEECA26" w:rsidR="006C4E72" w:rsidRPr="007502C6" w:rsidRDefault="00A47100" w:rsidP="00397046">
            <w:pPr>
              <w:pStyle w:val="TableBodyCop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eastAsia="en-AU"/>
              </w:rPr>
            </w:pPr>
            <w:r w:rsidRPr="00A47100">
              <w:rPr>
                <w:b w:val="0"/>
                <w:bCs w:val="0"/>
              </w:rPr>
              <w:t xml:space="preserve">Building an </w:t>
            </w:r>
            <w:r>
              <w:rPr>
                <w:b w:val="0"/>
                <w:bCs w:val="0"/>
              </w:rPr>
              <w:t>e</w:t>
            </w:r>
            <w:r w:rsidRPr="00A47100">
              <w:rPr>
                <w:b w:val="0"/>
                <w:bCs w:val="0"/>
              </w:rPr>
              <w:t xml:space="preserve">conomic </w:t>
            </w:r>
            <w:r>
              <w:rPr>
                <w:b w:val="0"/>
                <w:bCs w:val="0"/>
              </w:rPr>
              <w:t>p</w:t>
            </w:r>
            <w:r w:rsidRPr="00A47100">
              <w:rPr>
                <w:b w:val="0"/>
                <w:bCs w:val="0"/>
              </w:rPr>
              <w:t xml:space="preserve">artnership for </w:t>
            </w:r>
            <w:r>
              <w:rPr>
                <w:b w:val="0"/>
                <w:bCs w:val="0"/>
              </w:rPr>
              <w:t>p</w:t>
            </w:r>
            <w:r w:rsidRPr="00A47100">
              <w:rPr>
                <w:b w:val="0"/>
                <w:bCs w:val="0"/>
              </w:rPr>
              <w:t>rosperity</w:t>
            </w:r>
            <w:r w:rsidR="006C4E72" w:rsidRPr="007502C6">
              <w:rPr>
                <w:b w:val="0"/>
                <w:bCs w:val="0"/>
                <w:lang w:eastAsia="en-AU"/>
              </w:rPr>
              <w:t> </w:t>
            </w:r>
          </w:p>
        </w:tc>
        <w:tc>
          <w:tcPr>
            <w:tcW w:w="1094" w:type="pct"/>
            <w:tcBorders>
              <w:top w:val="single" w:sz="4" w:space="0" w:color="auto"/>
              <w:left w:val="single" w:sz="4" w:space="0" w:color="auto"/>
              <w:bottom w:val="single" w:sz="4" w:space="0" w:color="auto"/>
              <w:right w:val="single" w:sz="4" w:space="0" w:color="auto"/>
            </w:tcBorders>
            <w:shd w:val="clear" w:color="auto" w:fill="FBEED2" w:themeFill="accent4" w:themeFillTint="33"/>
            <w:hideMark/>
          </w:tcPr>
          <w:p w14:paraId="2A4BAA5A" w14:textId="29CE20D2" w:rsidR="006C4E72" w:rsidRPr="007502C6" w:rsidRDefault="006C4E72" w:rsidP="00397046">
            <w:pPr>
              <w:pStyle w:val="TableBodyCopy"/>
              <w:cnfStyle w:val="100000000000" w:firstRow="1" w:lastRow="0" w:firstColumn="0" w:lastColumn="0" w:oddVBand="0" w:evenVBand="0" w:oddHBand="0" w:evenHBand="0" w:firstRowFirstColumn="0" w:firstRowLastColumn="0" w:lastRowFirstColumn="0" w:lastRowLastColumn="0"/>
              <w:rPr>
                <w:b w:val="0"/>
                <w:bCs w:val="0"/>
              </w:rPr>
            </w:pPr>
            <w:r w:rsidRPr="007502C6">
              <w:rPr>
                <w:b w:val="0"/>
                <w:bCs w:val="0"/>
              </w:rPr>
              <w:t>Objective 2:</w:t>
            </w:r>
          </w:p>
          <w:p w14:paraId="33D30C3F" w14:textId="2F099A33" w:rsidR="006C4E72" w:rsidRPr="007502C6" w:rsidRDefault="00B552D1" w:rsidP="00397046">
            <w:pPr>
              <w:pStyle w:val="TableBodyCop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eastAsia="en-AU"/>
              </w:rPr>
            </w:pPr>
            <w:r w:rsidRPr="00B552D1">
              <w:rPr>
                <w:b w:val="0"/>
                <w:bCs w:val="0"/>
                <w:lang w:eastAsia="en-AU"/>
              </w:rPr>
              <w:t xml:space="preserve">Promoting </w:t>
            </w:r>
            <w:r>
              <w:rPr>
                <w:b w:val="0"/>
                <w:bCs w:val="0"/>
                <w:lang w:eastAsia="en-AU"/>
              </w:rPr>
              <w:t>i</w:t>
            </w:r>
            <w:r w:rsidRPr="00B552D1">
              <w:rPr>
                <w:b w:val="0"/>
                <w:bCs w:val="0"/>
                <w:lang w:eastAsia="en-AU"/>
              </w:rPr>
              <w:t xml:space="preserve">mproved </w:t>
            </w:r>
            <w:r w:rsidR="005F3F02">
              <w:rPr>
                <w:b w:val="0"/>
                <w:bCs w:val="0"/>
                <w:lang w:eastAsia="en-AU"/>
              </w:rPr>
              <w:t>l</w:t>
            </w:r>
            <w:r w:rsidRPr="00B552D1">
              <w:rPr>
                <w:b w:val="0"/>
                <w:bCs w:val="0"/>
                <w:lang w:eastAsia="en-AU"/>
              </w:rPr>
              <w:t xml:space="preserve">aw, </w:t>
            </w:r>
            <w:proofErr w:type="gramStart"/>
            <w:r w:rsidR="005F3F02">
              <w:rPr>
                <w:b w:val="0"/>
                <w:bCs w:val="0"/>
                <w:lang w:eastAsia="en-AU"/>
              </w:rPr>
              <w:t>o</w:t>
            </w:r>
            <w:r w:rsidRPr="00B552D1">
              <w:rPr>
                <w:b w:val="0"/>
                <w:bCs w:val="0"/>
                <w:lang w:eastAsia="en-AU"/>
              </w:rPr>
              <w:t>rder</w:t>
            </w:r>
            <w:proofErr w:type="gramEnd"/>
            <w:r w:rsidRPr="00B552D1">
              <w:rPr>
                <w:b w:val="0"/>
                <w:bCs w:val="0"/>
                <w:lang w:eastAsia="en-AU"/>
              </w:rPr>
              <w:t xml:space="preserve"> and </w:t>
            </w:r>
            <w:r w:rsidR="005F3F02">
              <w:rPr>
                <w:b w:val="0"/>
                <w:bCs w:val="0"/>
                <w:lang w:eastAsia="en-AU"/>
              </w:rPr>
              <w:t>g</w:t>
            </w:r>
            <w:r w:rsidRPr="00B552D1">
              <w:rPr>
                <w:b w:val="0"/>
                <w:bCs w:val="0"/>
                <w:lang w:eastAsia="en-AU"/>
              </w:rPr>
              <w:t>overnance</w:t>
            </w:r>
          </w:p>
        </w:tc>
        <w:tc>
          <w:tcPr>
            <w:tcW w:w="1094" w:type="pct"/>
            <w:tcBorders>
              <w:top w:val="single" w:sz="4" w:space="0" w:color="auto"/>
              <w:left w:val="single" w:sz="4" w:space="0" w:color="auto"/>
              <w:bottom w:val="single" w:sz="4" w:space="0" w:color="auto"/>
              <w:right w:val="single" w:sz="4" w:space="0" w:color="auto"/>
            </w:tcBorders>
            <w:shd w:val="clear" w:color="auto" w:fill="F0DBD4" w:themeFill="accent5" w:themeFillTint="33"/>
            <w:hideMark/>
          </w:tcPr>
          <w:p w14:paraId="4289A6A7" w14:textId="1E6D5758" w:rsidR="006C4E72" w:rsidRPr="007502C6" w:rsidRDefault="006C4E72" w:rsidP="00397046">
            <w:pPr>
              <w:pStyle w:val="TableBodyCopy"/>
              <w:cnfStyle w:val="100000000000" w:firstRow="1" w:lastRow="0" w:firstColumn="0" w:lastColumn="0" w:oddVBand="0" w:evenVBand="0" w:oddHBand="0" w:evenHBand="0" w:firstRowFirstColumn="0" w:firstRowLastColumn="0" w:lastRowFirstColumn="0" w:lastRowLastColumn="0"/>
              <w:rPr>
                <w:b w:val="0"/>
                <w:bCs w:val="0"/>
              </w:rPr>
            </w:pPr>
            <w:r w:rsidRPr="007502C6">
              <w:rPr>
                <w:b w:val="0"/>
                <w:bCs w:val="0"/>
              </w:rPr>
              <w:t>Objective</w:t>
            </w:r>
            <w:r w:rsidR="00697E28">
              <w:rPr>
                <w:b w:val="0"/>
                <w:bCs w:val="0"/>
              </w:rPr>
              <w:t xml:space="preserve"> </w:t>
            </w:r>
            <w:r w:rsidRPr="007502C6">
              <w:rPr>
                <w:b w:val="0"/>
                <w:bCs w:val="0"/>
              </w:rPr>
              <w:t>3:</w:t>
            </w:r>
          </w:p>
          <w:p w14:paraId="35CB1F5F" w14:textId="2FAAB947" w:rsidR="006C4E72" w:rsidRPr="007502C6" w:rsidRDefault="00D730F1" w:rsidP="00397046">
            <w:pPr>
              <w:pStyle w:val="TableBodyCop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eastAsia="en-AU"/>
              </w:rPr>
            </w:pPr>
            <w:r w:rsidRPr="00D730F1">
              <w:rPr>
                <w:b w:val="0"/>
                <w:bCs w:val="0"/>
                <w:lang w:eastAsia="en-AU"/>
              </w:rPr>
              <w:t xml:space="preserve">Investing in </w:t>
            </w:r>
            <w:r w:rsidR="0010421B">
              <w:rPr>
                <w:b w:val="0"/>
                <w:bCs w:val="0"/>
                <w:lang w:eastAsia="en-AU"/>
              </w:rPr>
              <w:t>p</w:t>
            </w:r>
            <w:r w:rsidRPr="00D730F1">
              <w:rPr>
                <w:b w:val="0"/>
                <w:bCs w:val="0"/>
                <w:lang w:eastAsia="en-AU"/>
              </w:rPr>
              <w:t xml:space="preserve">eople and </w:t>
            </w:r>
            <w:r w:rsidR="001E06AC">
              <w:rPr>
                <w:b w:val="0"/>
                <w:bCs w:val="0"/>
                <w:lang w:eastAsia="en-AU"/>
              </w:rPr>
              <w:t xml:space="preserve">building </w:t>
            </w:r>
            <w:r w:rsidR="0010421B">
              <w:rPr>
                <w:b w:val="0"/>
                <w:bCs w:val="0"/>
                <w:lang w:eastAsia="en-AU"/>
              </w:rPr>
              <w:t>r</w:t>
            </w:r>
            <w:r w:rsidRPr="00D730F1">
              <w:rPr>
                <w:b w:val="0"/>
                <w:bCs w:val="0"/>
                <w:lang w:eastAsia="en-AU"/>
              </w:rPr>
              <w:t xml:space="preserve">esilient </w:t>
            </w:r>
            <w:r w:rsidR="0010421B">
              <w:rPr>
                <w:b w:val="0"/>
                <w:bCs w:val="0"/>
                <w:lang w:eastAsia="en-AU"/>
              </w:rPr>
              <w:t>c</w:t>
            </w:r>
            <w:r w:rsidRPr="00D730F1">
              <w:rPr>
                <w:b w:val="0"/>
                <w:bCs w:val="0"/>
                <w:lang w:eastAsia="en-AU"/>
              </w:rPr>
              <w:t>ommunities</w:t>
            </w:r>
          </w:p>
        </w:tc>
        <w:tc>
          <w:tcPr>
            <w:tcW w:w="1095" w:type="pct"/>
            <w:tcBorders>
              <w:top w:val="single" w:sz="4" w:space="0" w:color="auto"/>
              <w:left w:val="single" w:sz="4" w:space="0" w:color="auto"/>
              <w:bottom w:val="single" w:sz="4" w:space="0" w:color="auto"/>
              <w:right w:val="single" w:sz="4" w:space="0" w:color="auto"/>
            </w:tcBorders>
            <w:shd w:val="clear" w:color="auto" w:fill="D9D9D9"/>
          </w:tcPr>
          <w:p w14:paraId="3774ABC3" w14:textId="4392ADD6" w:rsidR="00697E28" w:rsidRPr="007502C6" w:rsidRDefault="00697E28" w:rsidP="00397046">
            <w:pPr>
              <w:pStyle w:val="TableBodyCopy"/>
              <w:cnfStyle w:val="100000000000" w:firstRow="1" w:lastRow="0" w:firstColumn="0" w:lastColumn="0" w:oddVBand="0" w:evenVBand="0" w:oddHBand="0" w:evenHBand="0" w:firstRowFirstColumn="0" w:firstRowLastColumn="0" w:lastRowFirstColumn="0" w:lastRowLastColumn="0"/>
              <w:rPr>
                <w:b w:val="0"/>
                <w:bCs w:val="0"/>
              </w:rPr>
            </w:pPr>
            <w:r w:rsidRPr="007502C6">
              <w:rPr>
                <w:b w:val="0"/>
                <w:bCs w:val="0"/>
              </w:rPr>
              <w:t>Objective</w:t>
            </w:r>
            <w:r>
              <w:rPr>
                <w:b w:val="0"/>
                <w:bCs w:val="0"/>
              </w:rPr>
              <w:t xml:space="preserve"> 4</w:t>
            </w:r>
            <w:r w:rsidRPr="007502C6">
              <w:rPr>
                <w:b w:val="0"/>
                <w:bCs w:val="0"/>
              </w:rPr>
              <w:t>:</w:t>
            </w:r>
          </w:p>
          <w:p w14:paraId="7EC6581D" w14:textId="7E045B35" w:rsidR="006C4E72" w:rsidRPr="007502C6" w:rsidRDefault="00444F8C" w:rsidP="00397046">
            <w:pPr>
              <w:pStyle w:val="TableBodyCopy"/>
              <w:cnfStyle w:val="100000000000" w:firstRow="1" w:lastRow="0" w:firstColumn="0" w:lastColumn="0" w:oddVBand="0" w:evenVBand="0" w:oddHBand="0" w:evenHBand="0" w:firstRowFirstColumn="0" w:firstRowLastColumn="0" w:lastRowFirstColumn="0" w:lastRowLastColumn="0"/>
            </w:pPr>
            <w:r w:rsidRPr="00444F8C">
              <w:rPr>
                <w:b w:val="0"/>
                <w:bCs w:val="0"/>
                <w:lang w:eastAsia="en-AU"/>
              </w:rPr>
              <w:t xml:space="preserve">Building </w:t>
            </w:r>
            <w:r>
              <w:rPr>
                <w:b w:val="0"/>
                <w:bCs w:val="0"/>
                <w:lang w:eastAsia="en-AU"/>
              </w:rPr>
              <w:t>c</w:t>
            </w:r>
            <w:r w:rsidRPr="00444F8C">
              <w:rPr>
                <w:b w:val="0"/>
                <w:bCs w:val="0"/>
                <w:lang w:eastAsia="en-AU"/>
              </w:rPr>
              <w:t xml:space="preserve">lose </w:t>
            </w:r>
            <w:r>
              <w:rPr>
                <w:b w:val="0"/>
                <w:bCs w:val="0"/>
                <w:lang w:eastAsia="en-AU"/>
              </w:rPr>
              <w:t>f</w:t>
            </w:r>
            <w:r w:rsidRPr="00444F8C">
              <w:rPr>
                <w:b w:val="0"/>
                <w:bCs w:val="0"/>
                <w:lang w:eastAsia="en-AU"/>
              </w:rPr>
              <w:t xml:space="preserve">riendships and </w:t>
            </w:r>
            <w:r>
              <w:rPr>
                <w:b w:val="0"/>
                <w:bCs w:val="0"/>
                <w:lang w:eastAsia="en-AU"/>
              </w:rPr>
              <w:t>e</w:t>
            </w:r>
            <w:r w:rsidRPr="00444F8C">
              <w:rPr>
                <w:b w:val="0"/>
                <w:bCs w:val="0"/>
                <w:lang w:eastAsia="en-AU"/>
              </w:rPr>
              <w:t xml:space="preserve">nduring </w:t>
            </w:r>
            <w:r>
              <w:rPr>
                <w:b w:val="0"/>
                <w:bCs w:val="0"/>
                <w:lang w:eastAsia="en-AU"/>
              </w:rPr>
              <w:t>t</w:t>
            </w:r>
            <w:r w:rsidRPr="00444F8C">
              <w:rPr>
                <w:b w:val="0"/>
                <w:bCs w:val="0"/>
                <w:lang w:eastAsia="en-AU"/>
              </w:rPr>
              <w:t>ies</w:t>
            </w:r>
          </w:p>
        </w:tc>
      </w:tr>
      <w:tr w:rsidR="00C83DAB" w:rsidRPr="000E77A9" w14:paraId="36E10D84" w14:textId="77777777" w:rsidTr="00543341">
        <w:trPr>
          <w:cnfStyle w:val="000000100000" w:firstRow="0" w:lastRow="0" w:firstColumn="0" w:lastColumn="0" w:oddVBand="0" w:evenVBand="0" w:oddHBand="1" w:evenHBand="0" w:firstRowFirstColumn="0" w:firstRowLastColumn="0" w:lastRowFirstColumn="0" w:lastRowLastColumn="0"/>
          <w:cantSplit/>
          <w:trHeight w:val="2856"/>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3A586E"/>
          </w:tcPr>
          <w:p w14:paraId="69FD4E1B" w14:textId="4FB3D74D" w:rsidR="00C83DAB" w:rsidRPr="003A58F8" w:rsidRDefault="00C83DAB" w:rsidP="00C83DAB">
            <w:pPr>
              <w:pStyle w:val="TableBodyCopy"/>
              <w:rPr>
                <w:color w:val="FFFFFF" w:themeColor="background1"/>
                <w:lang w:eastAsia="en-AU"/>
              </w:rPr>
            </w:pPr>
            <w:r w:rsidRPr="00AC58B3">
              <w:rPr>
                <w:color w:val="FFFFFF" w:themeColor="background1"/>
                <w:lang w:eastAsia="en-AU"/>
              </w:rPr>
              <w:t>Outcomes</w:t>
            </w:r>
          </w:p>
        </w:tc>
        <w:tc>
          <w:tcPr>
            <w:tcW w:w="1094" w:type="pct"/>
            <w:tcBorders>
              <w:top w:val="single" w:sz="4" w:space="0" w:color="auto"/>
              <w:left w:val="single" w:sz="4" w:space="0" w:color="auto"/>
              <w:bottom w:val="single" w:sz="4" w:space="0" w:color="auto"/>
              <w:right w:val="single" w:sz="4" w:space="0" w:color="auto"/>
            </w:tcBorders>
            <w:shd w:val="clear" w:color="auto" w:fill="D6E8D2" w:themeFill="accent3" w:themeFillTint="33"/>
          </w:tcPr>
          <w:p w14:paraId="648DFA70" w14:textId="77777777" w:rsidR="00D13C29" w:rsidRDefault="00C83DAB" w:rsidP="00006A10">
            <w:pPr>
              <w:pStyle w:val="TableBodyCopy"/>
              <w:cnfStyle w:val="000000100000" w:firstRow="0" w:lastRow="0" w:firstColumn="0" w:lastColumn="0" w:oddVBand="0" w:evenVBand="0" w:oddHBand="1" w:evenHBand="0" w:firstRowFirstColumn="0" w:firstRowLastColumn="0" w:lastRowFirstColumn="0" w:lastRowLastColumn="0"/>
            </w:pPr>
            <w:r w:rsidRPr="00FD6378">
              <w:t>Outcome 1.1</w:t>
            </w:r>
            <w:r w:rsidR="00D13C29">
              <w:t xml:space="preserve"> </w:t>
            </w:r>
          </w:p>
          <w:p w14:paraId="4E43E825" w14:textId="24E2F63F" w:rsidR="00D13C29" w:rsidRPr="00006A10" w:rsidRDefault="00C83DAB" w:rsidP="00006A10">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006A10">
              <w:rPr>
                <w:rFonts w:cstheme="minorHAnsi"/>
              </w:rPr>
              <w:t>Economic stability:</w:t>
            </w:r>
            <w:r w:rsidR="00E26630" w:rsidRPr="00006A10">
              <w:rPr>
                <w:rFonts w:cstheme="minorHAnsi"/>
              </w:rPr>
              <w:t xml:space="preserve"> </w:t>
            </w:r>
            <w:r w:rsidRPr="00006A10">
              <w:rPr>
                <w:rFonts w:cstheme="minorHAnsi"/>
              </w:rPr>
              <w:t xml:space="preserve">Supporting improved macroeconomic management, public financial management and broader economic </w:t>
            </w:r>
            <w:proofErr w:type="gramStart"/>
            <w:r w:rsidRPr="00006A10">
              <w:rPr>
                <w:rFonts w:cstheme="minorHAnsi"/>
              </w:rPr>
              <w:t>reform</w:t>
            </w:r>
            <w:proofErr w:type="gramEnd"/>
          </w:p>
          <w:p w14:paraId="4EBBEF0C" w14:textId="77777777" w:rsidR="002F4853" w:rsidRDefault="00C83DA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FD6378">
              <w:t>Outcome 1.2</w:t>
            </w:r>
          </w:p>
          <w:p w14:paraId="68BE3608" w14:textId="6E44569E" w:rsidR="00C83DAB" w:rsidRPr="00FD6378"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Infrastructure for growth</w:t>
            </w:r>
            <w:r>
              <w:t xml:space="preserve">: </w:t>
            </w:r>
            <w:r w:rsidRPr="00FD6378">
              <w:t xml:space="preserve">Investing in high-quality resilient and accessible infrastructure to drive economic </w:t>
            </w:r>
            <w:proofErr w:type="gramStart"/>
            <w:r w:rsidRPr="00FD6378">
              <w:t>growth</w:t>
            </w:r>
            <w:proofErr w:type="gramEnd"/>
          </w:p>
          <w:p w14:paraId="3762811D" w14:textId="77777777" w:rsidR="002F4853" w:rsidRDefault="00C83DA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AC58B3">
              <w:t>Outcome 1.3</w:t>
            </w:r>
            <w:r>
              <w:t xml:space="preserve"> </w:t>
            </w:r>
          </w:p>
          <w:p w14:paraId="2464C4F8" w14:textId="78CBA414" w:rsidR="00C83DAB"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Shared and equitable benefits of growth</w:t>
            </w:r>
            <w:r>
              <w:t xml:space="preserve">: Increasing and diversifying trade, agriculture and supply chains to expand livelihood </w:t>
            </w:r>
            <w:proofErr w:type="gramStart"/>
            <w:r>
              <w:t>opportunities</w:t>
            </w:r>
            <w:proofErr w:type="gramEnd"/>
          </w:p>
          <w:p w14:paraId="35AA5413" w14:textId="77777777" w:rsidR="00C83DAB"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p>
        </w:tc>
        <w:tc>
          <w:tcPr>
            <w:tcW w:w="1094" w:type="pct"/>
            <w:tcBorders>
              <w:top w:val="single" w:sz="4" w:space="0" w:color="auto"/>
              <w:left w:val="single" w:sz="4" w:space="0" w:color="auto"/>
              <w:bottom w:val="single" w:sz="4" w:space="0" w:color="auto"/>
              <w:right w:val="single" w:sz="4" w:space="0" w:color="auto"/>
            </w:tcBorders>
            <w:shd w:val="clear" w:color="auto" w:fill="FBEED2" w:themeFill="accent4" w:themeFillTint="33"/>
          </w:tcPr>
          <w:p w14:paraId="5CCD376A" w14:textId="77777777" w:rsidR="005740D9" w:rsidRDefault="005740D9" w:rsidP="005740D9">
            <w:pPr>
              <w:pStyle w:val="TableBodyCopy"/>
              <w:cnfStyle w:val="000000100000" w:firstRow="0" w:lastRow="0" w:firstColumn="0" w:lastColumn="0" w:oddVBand="0" w:evenVBand="0" w:oddHBand="1" w:evenHBand="0" w:firstRowFirstColumn="0" w:firstRowLastColumn="0" w:lastRowFirstColumn="0" w:lastRowLastColumn="0"/>
            </w:pPr>
            <w:r w:rsidRPr="00FD6378">
              <w:t>Outcome 2.1</w:t>
            </w:r>
          </w:p>
          <w:p w14:paraId="23DF5875" w14:textId="49551FEE" w:rsidR="005740D9" w:rsidRPr="002F4853" w:rsidRDefault="005740D9" w:rsidP="005740D9">
            <w:pPr>
              <w:pStyle w:val="TableBodyCopy"/>
              <w:cnfStyle w:val="000000100000" w:firstRow="0" w:lastRow="0" w:firstColumn="0" w:lastColumn="0" w:oddVBand="0" w:evenVBand="0" w:oddHBand="1" w:evenHBand="0" w:firstRowFirstColumn="0" w:firstRowLastColumn="0" w:lastRowFirstColumn="0" w:lastRowLastColumn="0"/>
              <w:rPr>
                <w:rFonts w:cstheme="minorHAnsi"/>
              </w:rPr>
            </w:pPr>
            <w:r w:rsidRPr="003931D1">
              <w:rPr>
                <w:rFonts w:cstheme="minorHAnsi"/>
              </w:rPr>
              <w:t xml:space="preserve">Peace and stability: Supporting PNG to maintain security and stability, advance the rule of law and strengthen </w:t>
            </w:r>
            <w:proofErr w:type="gramStart"/>
            <w:r w:rsidRPr="003931D1">
              <w:rPr>
                <w:rFonts w:cstheme="minorHAnsi"/>
              </w:rPr>
              <w:t>policing</w:t>
            </w:r>
            <w:proofErr w:type="gramEnd"/>
            <w:r w:rsidRPr="004E00CC">
              <w:rPr>
                <w:lang w:eastAsia="en-AU"/>
              </w:rPr>
              <w:t xml:space="preserve"> </w:t>
            </w:r>
          </w:p>
          <w:p w14:paraId="78FA47A9" w14:textId="77777777" w:rsidR="00EB33C5" w:rsidRDefault="001168F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FD6378">
              <w:t>Outcome 2.2</w:t>
            </w:r>
          </w:p>
          <w:p w14:paraId="334145A3" w14:textId="64E32473" w:rsidR="005740D9" w:rsidRDefault="001168FB" w:rsidP="001168FB">
            <w:pPr>
              <w:pStyle w:val="TableBodyCopy"/>
              <w:cnfStyle w:val="000000100000" w:firstRow="0" w:lastRow="0" w:firstColumn="0" w:lastColumn="0" w:oddVBand="0" w:evenVBand="0" w:oddHBand="1" w:evenHBand="0" w:firstRowFirstColumn="0" w:firstRowLastColumn="0" w:lastRowFirstColumn="0" w:lastRowLastColumn="0"/>
            </w:pPr>
            <w:r w:rsidRPr="00FD6378">
              <w:t>Accountability</w:t>
            </w:r>
            <w:r>
              <w:t xml:space="preserve">: </w:t>
            </w:r>
            <w:r w:rsidRPr="00FD6378">
              <w:t xml:space="preserve"> Supporting PNG </w:t>
            </w:r>
            <w:r>
              <w:t>G</w:t>
            </w:r>
            <w:r w:rsidRPr="00FD6378">
              <w:t>overnment institutions to be accountable to their citizens and uphold human rights</w:t>
            </w:r>
          </w:p>
          <w:p w14:paraId="0669A6D1" w14:textId="1DB49192" w:rsidR="00C83DAB" w:rsidRDefault="00C83DA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AC58B3">
              <w:t>Outcome 2.3</w:t>
            </w:r>
          </w:p>
          <w:p w14:paraId="626836D1" w14:textId="1E31532E" w:rsidR="00C83DAB" w:rsidRPr="00FD6378"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Institutional </w:t>
            </w:r>
            <w:r>
              <w:t>e</w:t>
            </w:r>
            <w:r w:rsidRPr="00FD6378">
              <w:t>ffectiveness</w:t>
            </w:r>
            <w:r>
              <w:t xml:space="preserve">: </w:t>
            </w:r>
            <w:r w:rsidRPr="00FD6378">
              <w:t xml:space="preserve"> National, subnational and community institutions are more effective, </w:t>
            </w:r>
            <w:proofErr w:type="gramStart"/>
            <w:r w:rsidRPr="00FD6378">
              <w:t>responsive</w:t>
            </w:r>
            <w:proofErr w:type="gramEnd"/>
            <w:r w:rsidRPr="00FD6378">
              <w:t xml:space="preserve"> and transparent</w:t>
            </w:r>
          </w:p>
        </w:tc>
        <w:tc>
          <w:tcPr>
            <w:tcW w:w="1094" w:type="pct"/>
            <w:tcBorders>
              <w:top w:val="single" w:sz="4" w:space="0" w:color="auto"/>
              <w:left w:val="single" w:sz="4" w:space="0" w:color="auto"/>
              <w:bottom w:val="single" w:sz="4" w:space="0" w:color="auto"/>
              <w:right w:val="single" w:sz="4" w:space="0" w:color="auto"/>
            </w:tcBorders>
            <w:shd w:val="clear" w:color="auto" w:fill="F0DBD4" w:themeFill="accent5" w:themeFillTint="33"/>
          </w:tcPr>
          <w:p w14:paraId="63B033BE" w14:textId="77777777" w:rsidR="00C83DAB" w:rsidRPr="00FD6378"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Outcome 3.1</w:t>
            </w:r>
          </w:p>
          <w:p w14:paraId="2063CBCD" w14:textId="77777777" w:rsidR="001168FB"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Service </w:t>
            </w:r>
            <w:r>
              <w:t>d</w:t>
            </w:r>
            <w:r w:rsidRPr="00FD6378">
              <w:t>elivery</w:t>
            </w:r>
            <w:r>
              <w:t xml:space="preserve">: </w:t>
            </w:r>
            <w:r w:rsidRPr="00FD6378">
              <w:t xml:space="preserve">PNG systems delivering greater skills development and more sustainable access to and use of essential services </w:t>
            </w:r>
            <w:r>
              <w:t>that</w:t>
            </w:r>
            <w:r w:rsidRPr="00FD6378">
              <w:t xml:space="preserve"> are responsive to people’s </w:t>
            </w:r>
            <w:proofErr w:type="gramStart"/>
            <w:r w:rsidRPr="00FD6378">
              <w:t>needs</w:t>
            </w:r>
            <w:proofErr w:type="gramEnd"/>
            <w:r w:rsidR="001168FB" w:rsidRPr="00FD6378">
              <w:t xml:space="preserve"> </w:t>
            </w:r>
          </w:p>
          <w:p w14:paraId="0359FCDF" w14:textId="77777777" w:rsidR="00EB33C5" w:rsidRDefault="001168F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FD6378">
              <w:t>Outcome 3.2</w:t>
            </w:r>
          </w:p>
          <w:p w14:paraId="734276F1" w14:textId="6226BE28" w:rsidR="001168FB" w:rsidRDefault="001168FB" w:rsidP="001168FB">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Institutional and </w:t>
            </w:r>
            <w:r>
              <w:t>i</w:t>
            </w:r>
            <w:r w:rsidRPr="00FD6378">
              <w:t xml:space="preserve">ndividual </w:t>
            </w:r>
            <w:r>
              <w:t>r</w:t>
            </w:r>
            <w:r w:rsidRPr="00FD6378">
              <w:t>esilience</w:t>
            </w:r>
            <w:r>
              <w:t xml:space="preserve">: </w:t>
            </w:r>
            <w:r w:rsidRPr="00FD6378">
              <w:t xml:space="preserve">Supporting institutions, communities and individuals to respond and adapt to climate and disaster risks, and economic and social </w:t>
            </w:r>
            <w:proofErr w:type="gramStart"/>
            <w:r w:rsidRPr="00FD6378">
              <w:t>shocks</w:t>
            </w:r>
            <w:proofErr w:type="gramEnd"/>
          </w:p>
          <w:p w14:paraId="0633592D" w14:textId="6525B94C" w:rsidR="001168FB" w:rsidRDefault="001168F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AC58B3">
              <w:t>Outcome 3.3</w:t>
            </w:r>
          </w:p>
          <w:p w14:paraId="530BC891" w14:textId="7AF0D9ED" w:rsidR="00C83DAB" w:rsidRPr="00FD6378" w:rsidRDefault="001168FB" w:rsidP="001168FB">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Gender </w:t>
            </w:r>
            <w:r>
              <w:t>e</w:t>
            </w:r>
            <w:r w:rsidRPr="00FD6378">
              <w:t xml:space="preserve">quality, </w:t>
            </w:r>
            <w:proofErr w:type="gramStart"/>
            <w:r>
              <w:t>d</w:t>
            </w:r>
            <w:r w:rsidRPr="00FD6378">
              <w:t>isability</w:t>
            </w:r>
            <w:proofErr w:type="gramEnd"/>
            <w:r w:rsidRPr="00FD6378">
              <w:t xml:space="preserve"> and </w:t>
            </w:r>
            <w:r>
              <w:t>s</w:t>
            </w:r>
            <w:r w:rsidRPr="00FD6378">
              <w:t xml:space="preserve">ocial </w:t>
            </w:r>
            <w:r>
              <w:t>i</w:t>
            </w:r>
            <w:r w:rsidRPr="00FD6378">
              <w:t>nclusion</w:t>
            </w:r>
            <w:r>
              <w:t>: Supporting PNG to address barriers that prevent Papua New Guineans from fulfilling their potential, and opening up opportunities for voice and leadership</w:t>
            </w:r>
          </w:p>
        </w:tc>
        <w:tc>
          <w:tcPr>
            <w:tcW w:w="1095" w:type="pct"/>
            <w:tcBorders>
              <w:top w:val="single" w:sz="4" w:space="0" w:color="auto"/>
              <w:left w:val="single" w:sz="4" w:space="0" w:color="auto"/>
              <w:bottom w:val="single" w:sz="4" w:space="0" w:color="auto"/>
              <w:right w:val="single" w:sz="4" w:space="0" w:color="auto"/>
            </w:tcBorders>
            <w:shd w:val="clear" w:color="auto" w:fill="D9D9D9"/>
          </w:tcPr>
          <w:p w14:paraId="3E30225B" w14:textId="77777777" w:rsidR="00DA17B3"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Outcome 4.1</w:t>
            </w:r>
          </w:p>
          <w:p w14:paraId="49F99C91" w14:textId="335AD1D2" w:rsidR="00C83DAB" w:rsidRDefault="00C83DAB" w:rsidP="00C83DAB">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Individual </w:t>
            </w:r>
            <w:r>
              <w:t>l</w:t>
            </w:r>
            <w:r w:rsidRPr="00FD6378">
              <w:t>inkages</w:t>
            </w:r>
            <w:r>
              <w:t xml:space="preserve">: </w:t>
            </w:r>
            <w:r w:rsidRPr="00FD6378">
              <w:t>Building and maintaining positive people-to-people and community relationships, networks and linkages between Papua New Guineans and Australians living in PNG and Australia</w:t>
            </w:r>
          </w:p>
          <w:p w14:paraId="602AF161" w14:textId="77777777" w:rsidR="00DA17B3" w:rsidRDefault="001168FB" w:rsidP="00006A10">
            <w:pPr>
              <w:pStyle w:val="TableBodyCopy"/>
              <w:spacing w:before="240"/>
              <w:cnfStyle w:val="000000100000" w:firstRow="0" w:lastRow="0" w:firstColumn="0" w:lastColumn="0" w:oddVBand="0" w:evenVBand="0" w:oddHBand="1" w:evenHBand="0" w:firstRowFirstColumn="0" w:firstRowLastColumn="0" w:lastRowFirstColumn="0" w:lastRowLastColumn="0"/>
            </w:pPr>
            <w:r w:rsidRPr="00FD6378">
              <w:t>Outcome 4.2</w:t>
            </w:r>
          </w:p>
          <w:p w14:paraId="061A37F3" w14:textId="195D27A5" w:rsidR="001168FB" w:rsidRPr="00FD6378" w:rsidRDefault="001168FB" w:rsidP="00DA17B3">
            <w:pPr>
              <w:pStyle w:val="TableBodyCopy"/>
              <w:cnfStyle w:val="000000100000" w:firstRow="0" w:lastRow="0" w:firstColumn="0" w:lastColumn="0" w:oddVBand="0" w:evenVBand="0" w:oddHBand="1" w:evenHBand="0" w:firstRowFirstColumn="0" w:firstRowLastColumn="0" w:lastRowFirstColumn="0" w:lastRowLastColumn="0"/>
            </w:pPr>
            <w:r w:rsidRPr="00FD6378">
              <w:t xml:space="preserve">Institutional </w:t>
            </w:r>
            <w:r>
              <w:t>l</w:t>
            </w:r>
            <w:r w:rsidRPr="00FD6378">
              <w:t>inkages</w:t>
            </w:r>
            <w:r>
              <w:t>:</w:t>
            </w:r>
            <w:r w:rsidR="00DA17B3">
              <w:t xml:space="preserve"> </w:t>
            </w:r>
            <w:r w:rsidRPr="00FD6378">
              <w:t>Developing and maintaining partnerships of mutual strategic benefit between PNG and Australian institutions</w:t>
            </w:r>
          </w:p>
        </w:tc>
      </w:tr>
      <w:tr w:rsidR="00C83DAB" w:rsidRPr="000E77A9" w14:paraId="670B563D" w14:textId="6A0F859B" w:rsidTr="00543341">
        <w:trPr>
          <w:cantSplit/>
          <w:trHeight w:val="5526"/>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3A586E"/>
          </w:tcPr>
          <w:p w14:paraId="2F30CBD3" w14:textId="77777777" w:rsidR="00C83DAB" w:rsidRPr="00E90562" w:rsidRDefault="00C83DAB" w:rsidP="00C83DAB">
            <w:pPr>
              <w:pStyle w:val="TableBodyCopy"/>
              <w:rPr>
                <w:rFonts w:eastAsia="Times New Roman" w:cs="Calibri"/>
                <w:color w:val="FFFFFF" w:themeColor="background1"/>
                <w:lang w:eastAsia="en-AU"/>
              </w:rPr>
            </w:pPr>
            <w:r w:rsidRPr="00E90562">
              <w:rPr>
                <w:rFonts w:eastAsia="Times New Roman" w:cs="Calibri"/>
                <w:color w:val="FFFFFF" w:themeColor="background1"/>
                <w:lang w:eastAsia="en-AU"/>
              </w:rPr>
              <w:lastRenderedPageBreak/>
              <w:t>Focus areas</w:t>
            </w:r>
          </w:p>
        </w:tc>
        <w:tc>
          <w:tcPr>
            <w:tcW w:w="1094" w:type="pct"/>
            <w:tcBorders>
              <w:top w:val="single" w:sz="4" w:space="0" w:color="auto"/>
              <w:left w:val="single" w:sz="4" w:space="0" w:color="auto"/>
              <w:bottom w:val="single" w:sz="4" w:space="0" w:color="auto"/>
              <w:right w:val="single" w:sz="4" w:space="0" w:color="auto"/>
            </w:tcBorders>
            <w:shd w:val="clear" w:color="auto" w:fill="D6E8D2" w:themeFill="accent3" w:themeFillTint="33"/>
          </w:tcPr>
          <w:p w14:paraId="3B5961D7" w14:textId="2CB367CE" w:rsidR="00C83DAB" w:rsidRDefault="00C83DAB" w:rsidP="00C83DAB">
            <w:pPr>
              <w:pStyle w:val="TableBodyCopy"/>
              <w:cnfStyle w:val="000000000000" w:firstRow="0" w:lastRow="0" w:firstColumn="0" w:lastColumn="0" w:oddVBand="0" w:evenVBand="0" w:oddHBand="0" w:evenHBand="0" w:firstRowFirstColumn="0" w:firstRowLastColumn="0" w:lastRowFirstColumn="0" w:lastRowLastColumn="0"/>
            </w:pPr>
            <w:r>
              <w:t>Objective 1 focus areas</w:t>
            </w:r>
          </w:p>
          <w:p w14:paraId="233ADC70" w14:textId="39052749"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Economic </w:t>
            </w:r>
            <w:r>
              <w:t>m</w:t>
            </w:r>
            <w:r w:rsidRPr="00DA4744">
              <w:t>anagement</w:t>
            </w:r>
          </w:p>
          <w:p w14:paraId="58BF88B7" w14:textId="3329011C"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Economic and </w:t>
            </w:r>
            <w:r>
              <w:t>s</w:t>
            </w:r>
            <w:r w:rsidRPr="00DA4744">
              <w:t xml:space="preserve">ocial </w:t>
            </w:r>
            <w:r>
              <w:t>i</w:t>
            </w:r>
            <w:r w:rsidRPr="00DA4744">
              <w:t>nfrastructure</w:t>
            </w:r>
          </w:p>
          <w:p w14:paraId="002418A2" w14:textId="471C4D10"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Agriculture</w:t>
            </w:r>
          </w:p>
          <w:p w14:paraId="54C0E725" w14:textId="6276D52E"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Private </w:t>
            </w:r>
            <w:r>
              <w:t>s</w:t>
            </w:r>
            <w:r w:rsidRPr="00DA4744">
              <w:t>ector</w:t>
            </w:r>
          </w:p>
          <w:p w14:paraId="4FC3C0E2" w14:textId="57889971"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Transport (air, </w:t>
            </w:r>
            <w:proofErr w:type="gramStart"/>
            <w:r w:rsidRPr="00DA4744">
              <w:t>sea</w:t>
            </w:r>
            <w:proofErr w:type="gramEnd"/>
            <w:r w:rsidRPr="00DA4744">
              <w:t xml:space="preserve"> and road)</w:t>
            </w:r>
          </w:p>
          <w:p w14:paraId="19FB48D5" w14:textId="1CF0EDF7" w:rsidR="00C83DAB" w:rsidRPr="00DA4744"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Cyber</w:t>
            </w:r>
          </w:p>
        </w:tc>
        <w:tc>
          <w:tcPr>
            <w:tcW w:w="1094" w:type="pct"/>
            <w:tcBorders>
              <w:top w:val="single" w:sz="4" w:space="0" w:color="auto"/>
              <w:left w:val="single" w:sz="4" w:space="0" w:color="auto"/>
              <w:bottom w:val="single" w:sz="4" w:space="0" w:color="auto"/>
              <w:right w:val="single" w:sz="4" w:space="0" w:color="auto"/>
            </w:tcBorders>
            <w:shd w:val="clear" w:color="auto" w:fill="FBEED2" w:themeFill="accent4" w:themeFillTint="33"/>
          </w:tcPr>
          <w:p w14:paraId="715DD8AD" w14:textId="037E57D3" w:rsidR="00C83DAB" w:rsidRDefault="00C83DAB" w:rsidP="00C83DAB">
            <w:pPr>
              <w:pStyle w:val="TableBodyCopy"/>
              <w:cnfStyle w:val="000000000000" w:firstRow="0" w:lastRow="0" w:firstColumn="0" w:lastColumn="0" w:oddVBand="0" w:evenVBand="0" w:oddHBand="0" w:evenHBand="0" w:firstRowFirstColumn="0" w:firstRowLastColumn="0" w:lastRowFirstColumn="0" w:lastRowLastColumn="0"/>
            </w:pPr>
            <w:r>
              <w:t>Objective 2 focus areas</w:t>
            </w:r>
          </w:p>
          <w:p w14:paraId="6E6126C1" w14:textId="61E5E0FD"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Policing and </w:t>
            </w:r>
            <w:r>
              <w:t>d</w:t>
            </w:r>
            <w:r w:rsidRPr="00DA4744">
              <w:t>efence cooperation</w:t>
            </w:r>
          </w:p>
          <w:p w14:paraId="674DE96B" w14:textId="688051C7" w:rsidR="00BF03F2" w:rsidRDefault="00C83DAB" w:rsidP="00BF03F2">
            <w:pPr>
              <w:pStyle w:val="Tablebullet"/>
              <w:cnfStyle w:val="000000000000" w:firstRow="0" w:lastRow="0" w:firstColumn="0" w:lastColumn="0" w:oddVBand="0" w:evenVBand="0" w:oddHBand="0" w:evenHBand="0" w:firstRowFirstColumn="0" w:firstRowLastColumn="0" w:lastRowFirstColumn="0" w:lastRowLastColumn="0"/>
            </w:pPr>
            <w:r w:rsidRPr="00DA4744">
              <w:t xml:space="preserve">Law and </w:t>
            </w:r>
            <w:r>
              <w:t>j</w:t>
            </w:r>
            <w:r w:rsidRPr="00DA4744">
              <w:t>ustice</w:t>
            </w:r>
          </w:p>
          <w:p w14:paraId="7EF80A1A" w14:textId="0AF39F31" w:rsidR="00BF03F2" w:rsidRDefault="00BF03F2" w:rsidP="00C83DAB">
            <w:pPr>
              <w:pStyle w:val="Tablebullet"/>
              <w:cnfStyle w:val="000000000000" w:firstRow="0" w:lastRow="0" w:firstColumn="0" w:lastColumn="0" w:oddVBand="0" w:evenVBand="0" w:oddHBand="0" w:evenHBand="0" w:firstRowFirstColumn="0" w:firstRowLastColumn="0" w:lastRowFirstColumn="0" w:lastRowLastColumn="0"/>
            </w:pPr>
            <w:r w:rsidRPr="00DA4744">
              <w:t>Supporting PNG’s integrity institutions</w:t>
            </w:r>
            <w:r>
              <w:t xml:space="preserve">  </w:t>
            </w:r>
          </w:p>
          <w:p w14:paraId="507D7884" w14:textId="0E209006"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Governance, </w:t>
            </w:r>
            <w:r>
              <w:t xml:space="preserve">state-owned enterprise </w:t>
            </w:r>
            <w:r w:rsidRPr="00DA4744">
              <w:t>reform</w:t>
            </w:r>
          </w:p>
          <w:p w14:paraId="34CD473F" w14:textId="77EDE0F3"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Civil </w:t>
            </w:r>
            <w:r>
              <w:t>s</w:t>
            </w:r>
            <w:r w:rsidRPr="00DA4744">
              <w:t xml:space="preserve">ociety and </w:t>
            </w:r>
            <w:r>
              <w:t>m</w:t>
            </w:r>
            <w:r w:rsidRPr="00DA4744">
              <w:t>edia</w:t>
            </w:r>
          </w:p>
          <w:p w14:paraId="667E8312" w14:textId="6A86147F" w:rsidR="00C83DAB" w:rsidRPr="00DA4744"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Election support</w:t>
            </w:r>
          </w:p>
        </w:tc>
        <w:tc>
          <w:tcPr>
            <w:tcW w:w="1094" w:type="pct"/>
            <w:tcBorders>
              <w:top w:val="single" w:sz="4" w:space="0" w:color="auto"/>
              <w:left w:val="single" w:sz="4" w:space="0" w:color="auto"/>
              <w:bottom w:val="single" w:sz="4" w:space="0" w:color="auto"/>
              <w:right w:val="single" w:sz="4" w:space="0" w:color="auto"/>
            </w:tcBorders>
            <w:shd w:val="clear" w:color="auto" w:fill="F0DBD4" w:themeFill="accent5" w:themeFillTint="33"/>
          </w:tcPr>
          <w:p w14:paraId="200808FF" w14:textId="37B7F620" w:rsidR="00C83DAB" w:rsidRDefault="00C83DAB" w:rsidP="00C83DAB">
            <w:pPr>
              <w:pStyle w:val="TableBodyCopy"/>
              <w:cnfStyle w:val="000000000000" w:firstRow="0" w:lastRow="0" w:firstColumn="0" w:lastColumn="0" w:oddVBand="0" w:evenVBand="0" w:oddHBand="0" w:evenHBand="0" w:firstRowFirstColumn="0" w:firstRowLastColumn="0" w:lastRowFirstColumn="0" w:lastRowLastColumn="0"/>
            </w:pPr>
            <w:r>
              <w:t>Objective 3 focus areas</w:t>
            </w:r>
          </w:p>
          <w:p w14:paraId="30E977C7" w14:textId="6A8C4877" w:rsidR="005D2C8E" w:rsidRDefault="00BF03F2" w:rsidP="00C83DAB">
            <w:pPr>
              <w:pStyle w:val="Tablebullet"/>
              <w:cnfStyle w:val="000000000000" w:firstRow="0" w:lastRow="0" w:firstColumn="0" w:lastColumn="0" w:oddVBand="0" w:evenVBand="0" w:oddHBand="0" w:evenHBand="0" w:firstRowFirstColumn="0" w:firstRowLastColumn="0" w:lastRowFirstColumn="0" w:lastRowLastColumn="0"/>
            </w:pPr>
            <w:r w:rsidRPr="00DA4744">
              <w:t>Education (</w:t>
            </w:r>
            <w:r>
              <w:t>b</w:t>
            </w:r>
            <w:r w:rsidRPr="00DA4744">
              <w:t>asic</w:t>
            </w:r>
            <w:r>
              <w:t>–s</w:t>
            </w:r>
            <w:r w:rsidRPr="00DA4744">
              <w:t>econdary, TVET, tertiary)</w:t>
            </w:r>
          </w:p>
          <w:p w14:paraId="34BACA4A" w14:textId="0493B092"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Health </w:t>
            </w:r>
            <w:r>
              <w:t>s</w:t>
            </w:r>
            <w:r w:rsidRPr="00DA4744">
              <w:t>ervices and system strengthening</w:t>
            </w:r>
          </w:p>
          <w:p w14:paraId="57BA0ED4" w14:textId="47F33657"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Social </w:t>
            </w:r>
            <w:r>
              <w:t>p</w:t>
            </w:r>
            <w:r w:rsidRPr="00DA4744">
              <w:t>rotection</w:t>
            </w:r>
          </w:p>
          <w:p w14:paraId="0F411581" w14:textId="65F7ADEB"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t>GEDSI</w:t>
            </w:r>
          </w:p>
          <w:p w14:paraId="79061B7D" w14:textId="7BCF6B9F"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Resilience (</w:t>
            </w:r>
            <w:r>
              <w:t>h</w:t>
            </w:r>
            <w:r w:rsidRPr="00DA4744">
              <w:t xml:space="preserve">umanitarian, </w:t>
            </w:r>
            <w:r>
              <w:t>f</w:t>
            </w:r>
            <w:r w:rsidRPr="00DA4744">
              <w:t xml:space="preserve">ood </w:t>
            </w:r>
            <w:r>
              <w:t>s</w:t>
            </w:r>
            <w:r w:rsidRPr="00DA4744">
              <w:t xml:space="preserve">ecurity, </w:t>
            </w:r>
            <w:r>
              <w:t>disaster risk reduction and disaster risk management</w:t>
            </w:r>
            <w:r w:rsidRPr="00DA4744">
              <w:t>)</w:t>
            </w:r>
          </w:p>
          <w:p w14:paraId="079DD963" w14:textId="1C4E3903"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Social </w:t>
            </w:r>
            <w:r>
              <w:t>i</w:t>
            </w:r>
            <w:r w:rsidRPr="00DA4744">
              <w:t>nfrastructure</w:t>
            </w:r>
          </w:p>
          <w:p w14:paraId="5CE562C7" w14:textId="7FEDFA35" w:rsidR="00C83DAB" w:rsidRPr="00DA4744"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Sub</w:t>
            </w:r>
            <w:r>
              <w:t>national</w:t>
            </w:r>
            <w:r w:rsidRPr="00DA4744">
              <w:t xml:space="preserve"> programs</w:t>
            </w:r>
          </w:p>
        </w:tc>
        <w:tc>
          <w:tcPr>
            <w:tcW w:w="1095" w:type="pct"/>
            <w:tcBorders>
              <w:top w:val="single" w:sz="4" w:space="0" w:color="auto"/>
              <w:left w:val="single" w:sz="4" w:space="0" w:color="auto"/>
              <w:bottom w:val="single" w:sz="4" w:space="0" w:color="auto"/>
              <w:right w:val="single" w:sz="4" w:space="0" w:color="auto"/>
            </w:tcBorders>
            <w:shd w:val="clear" w:color="auto" w:fill="D9D9D9"/>
          </w:tcPr>
          <w:p w14:paraId="46044BF8" w14:textId="4277D580" w:rsidR="00C83DAB" w:rsidRDefault="00C83DAB" w:rsidP="00C83DAB">
            <w:pPr>
              <w:pStyle w:val="TableBodyCopy"/>
              <w:cnfStyle w:val="000000000000" w:firstRow="0" w:lastRow="0" w:firstColumn="0" w:lastColumn="0" w:oddVBand="0" w:evenVBand="0" w:oddHBand="0" w:evenHBand="0" w:firstRowFirstColumn="0" w:firstRowLastColumn="0" w:lastRowFirstColumn="0" w:lastRowLastColumn="0"/>
            </w:pPr>
            <w:r>
              <w:t>Objective 4 focus areas</w:t>
            </w:r>
          </w:p>
          <w:p w14:paraId="0FEBDEA6" w14:textId="77777777"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Mobility (including labour and visas)</w:t>
            </w:r>
          </w:p>
          <w:p w14:paraId="0F710A7A" w14:textId="32CDD03C"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Australia Awards and </w:t>
            </w:r>
            <w:r>
              <w:t>S</w:t>
            </w:r>
            <w:r w:rsidRPr="00DA4744">
              <w:t>cholarships</w:t>
            </w:r>
          </w:p>
          <w:p w14:paraId="13D8A928" w14:textId="3609EB2E"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Institutional </w:t>
            </w:r>
            <w:r>
              <w:t>p</w:t>
            </w:r>
            <w:r w:rsidRPr="00DA4744">
              <w:t>artnerships</w:t>
            </w:r>
          </w:p>
          <w:p w14:paraId="18BDA1DC" w14:textId="752677C1" w:rsidR="00C83DAB"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Sports</w:t>
            </w:r>
          </w:p>
          <w:p w14:paraId="70858297" w14:textId="5FCD1615" w:rsidR="00C83DAB" w:rsidRPr="00DA4744" w:rsidRDefault="00C83DAB" w:rsidP="00C83DAB">
            <w:pPr>
              <w:pStyle w:val="Tablebullet"/>
              <w:cnfStyle w:val="000000000000" w:firstRow="0" w:lastRow="0" w:firstColumn="0" w:lastColumn="0" w:oddVBand="0" w:evenVBand="0" w:oddHBand="0" w:evenHBand="0" w:firstRowFirstColumn="0" w:firstRowLastColumn="0" w:lastRowFirstColumn="0" w:lastRowLastColumn="0"/>
            </w:pPr>
            <w:r w:rsidRPr="00DA4744">
              <w:t xml:space="preserve">Business and </w:t>
            </w:r>
            <w:r>
              <w:t>t</w:t>
            </w:r>
            <w:r w:rsidRPr="00DA4744">
              <w:t>rade</w:t>
            </w:r>
          </w:p>
        </w:tc>
      </w:tr>
    </w:tbl>
    <w:p w14:paraId="4D3970FF" w14:textId="365C673A" w:rsidR="0057787D" w:rsidRDefault="0057787D" w:rsidP="00E90562">
      <w:pPr>
        <w:widowControl w:val="0"/>
        <w:spacing w:before="0" w:after="0" w:line="240" w:lineRule="auto"/>
        <w:rPr>
          <w:b/>
          <w:bCs/>
          <w:lang w:eastAsia="en-AU"/>
        </w:rPr>
      </w:pPr>
      <w:r w:rsidRPr="00787486">
        <w:rPr>
          <w:b/>
          <w:bCs/>
          <w:lang w:eastAsia="en-AU"/>
        </w:rPr>
        <w:t>Ways of working</w:t>
      </w:r>
    </w:p>
    <w:p w14:paraId="2FB0CB44" w14:textId="26E7EDFB" w:rsidR="0057787D" w:rsidRDefault="00D4227D" w:rsidP="0057787D">
      <w:pPr>
        <w:rPr>
          <w:lang w:eastAsia="en-AU"/>
        </w:rPr>
      </w:pPr>
      <w:r>
        <w:rPr>
          <w:lang w:eastAsia="en-AU"/>
        </w:rPr>
        <w:t>We will work together to</w:t>
      </w:r>
      <w:r w:rsidR="0057787D">
        <w:rPr>
          <w:lang w:eastAsia="en-AU"/>
        </w:rPr>
        <w:t xml:space="preserve"> progress the objectives set out in Table 1</w:t>
      </w:r>
      <w:r w:rsidR="000C7C61">
        <w:rPr>
          <w:lang w:eastAsia="en-AU"/>
        </w:rPr>
        <w:t xml:space="preserve"> through</w:t>
      </w:r>
      <w:r w:rsidR="0057787D">
        <w:rPr>
          <w:lang w:eastAsia="en-AU"/>
        </w:rPr>
        <w:t xml:space="preserve"> </w:t>
      </w:r>
      <w:r w:rsidR="000C7C61">
        <w:rPr>
          <w:lang w:eastAsia="en-AU"/>
        </w:rPr>
        <w:t>the</w:t>
      </w:r>
      <w:r w:rsidR="00EF24DC">
        <w:rPr>
          <w:lang w:eastAsia="en-AU"/>
        </w:rPr>
        <w:t xml:space="preserve"> following </w:t>
      </w:r>
      <w:r w:rsidR="00A96750">
        <w:rPr>
          <w:lang w:eastAsia="en-AU"/>
        </w:rPr>
        <w:t>four</w:t>
      </w:r>
      <w:r w:rsidR="00EF24DC">
        <w:rPr>
          <w:lang w:eastAsia="en-AU"/>
        </w:rPr>
        <w:t xml:space="preserve"> principles.</w:t>
      </w:r>
    </w:p>
    <w:p w14:paraId="7A2255AA" w14:textId="43348D24" w:rsidR="00EF24DC" w:rsidRPr="00787486" w:rsidRDefault="00EF24DC" w:rsidP="001A1E2F">
      <w:pPr>
        <w:rPr>
          <w:lang w:eastAsia="en-AU"/>
        </w:rPr>
      </w:pPr>
      <w:r>
        <w:rPr>
          <w:lang w:eastAsia="en-AU"/>
        </w:rPr>
        <w:t>Principle 1 – Locally led development:</w:t>
      </w:r>
    </w:p>
    <w:p w14:paraId="2C72C75F" w14:textId="785B58D7" w:rsidR="0057787D" w:rsidRPr="001A1E2F" w:rsidRDefault="00EF24DC" w:rsidP="00E22138">
      <w:pPr>
        <w:pStyle w:val="NormalBullets-L1"/>
        <w:spacing w:before="120" w:after="120"/>
        <w:ind w:left="714" w:hanging="357"/>
      </w:pPr>
      <w:r>
        <w:t xml:space="preserve">Work in </w:t>
      </w:r>
      <w:r w:rsidRPr="001A1E2F">
        <w:t>partnership</w:t>
      </w:r>
      <w:r w:rsidR="00C65EFE" w:rsidRPr="001A1E2F">
        <w:t xml:space="preserve"> with the PNG Government and local actors to align Australian investments with local development strategies, </w:t>
      </w:r>
      <w:proofErr w:type="gramStart"/>
      <w:r w:rsidR="00C65EFE" w:rsidRPr="001A1E2F">
        <w:t>policies</w:t>
      </w:r>
      <w:proofErr w:type="gramEnd"/>
      <w:r w:rsidR="00C65EFE" w:rsidRPr="001A1E2F">
        <w:t xml:space="preserve"> and programs</w:t>
      </w:r>
      <w:r w:rsidRPr="001A1E2F">
        <w:t>.</w:t>
      </w:r>
    </w:p>
    <w:p w14:paraId="4A574EEB" w14:textId="29407B8B" w:rsidR="0057787D" w:rsidRPr="001A1E2F" w:rsidRDefault="00EF24DC" w:rsidP="00E22138">
      <w:pPr>
        <w:pStyle w:val="NormalBullets-L1"/>
        <w:spacing w:before="120" w:after="120"/>
        <w:ind w:left="714" w:hanging="357"/>
      </w:pPr>
      <w:r w:rsidRPr="001A1E2F">
        <w:t>S</w:t>
      </w:r>
      <w:r w:rsidR="00C65EFE" w:rsidRPr="001A1E2F">
        <w:t>upport and strengthen PNG organisations and communities to drive the development agenda and lead and set priorities</w:t>
      </w:r>
      <w:r w:rsidRPr="001A1E2F">
        <w:t>.</w:t>
      </w:r>
    </w:p>
    <w:p w14:paraId="127B6B2F" w14:textId="053F8C9E" w:rsidR="0057787D" w:rsidRDefault="00EF24DC" w:rsidP="00E22138">
      <w:pPr>
        <w:pStyle w:val="NormalBullets-L1"/>
        <w:spacing w:before="120" w:after="120"/>
        <w:ind w:left="714" w:hanging="357"/>
      </w:pPr>
      <w:r w:rsidRPr="001A1E2F">
        <w:t>E</w:t>
      </w:r>
      <w:r w:rsidR="00C65EFE" w:rsidRPr="001A1E2F">
        <w:t>ngag</w:t>
      </w:r>
      <w:r w:rsidRPr="001A1E2F">
        <w:t>e</w:t>
      </w:r>
      <w:r w:rsidR="00C65EFE" w:rsidRPr="001A1E2F">
        <w:t xml:space="preserve"> local expertise</w:t>
      </w:r>
      <w:r w:rsidR="00C65EFE">
        <w:t xml:space="preserve"> as much as possible</w:t>
      </w:r>
      <w:r>
        <w:t>.</w:t>
      </w:r>
    </w:p>
    <w:p w14:paraId="337B77B7" w14:textId="4D7C2A00" w:rsidR="00EF24DC" w:rsidRDefault="00EF24DC" w:rsidP="00E90562">
      <w:r>
        <w:t>Principle 2 – Program quality and accountability:</w:t>
      </w:r>
    </w:p>
    <w:p w14:paraId="23CBAD70" w14:textId="38E16CD6" w:rsidR="0057787D" w:rsidRDefault="00EF24DC" w:rsidP="00E22138">
      <w:pPr>
        <w:pStyle w:val="NormalBullets-L1"/>
        <w:spacing w:before="120" w:after="120"/>
        <w:ind w:left="714" w:hanging="357"/>
      </w:pPr>
      <w:r>
        <w:t>D</w:t>
      </w:r>
      <w:r w:rsidR="00C65EFE">
        <w:t>eliver high-quality</w:t>
      </w:r>
      <w:r w:rsidR="00151836">
        <w:t>,</w:t>
      </w:r>
      <w:r w:rsidR="00C65EFE">
        <w:t xml:space="preserve"> effective programs that are responsive to PNG’s needs, transparent and accountable, and informed by evidence, monitoring, </w:t>
      </w:r>
      <w:proofErr w:type="gramStart"/>
      <w:r w:rsidR="00C65EFE">
        <w:t>evaluation</w:t>
      </w:r>
      <w:proofErr w:type="gramEnd"/>
      <w:r w:rsidR="00C65EFE">
        <w:t xml:space="preserve"> and learning</w:t>
      </w:r>
      <w:r>
        <w:t>.</w:t>
      </w:r>
    </w:p>
    <w:p w14:paraId="469B7537" w14:textId="09DAE731" w:rsidR="00EF24DC" w:rsidRDefault="00EF24DC" w:rsidP="00E90562">
      <w:r>
        <w:t>Principle 3 – GEDSI and climate change:</w:t>
      </w:r>
    </w:p>
    <w:p w14:paraId="57C9607A" w14:textId="4578E4BA" w:rsidR="0057787D" w:rsidRDefault="00EF24DC" w:rsidP="00E22138">
      <w:pPr>
        <w:pStyle w:val="NormalBullets-L1"/>
        <w:spacing w:before="120" w:after="120"/>
        <w:ind w:left="714" w:hanging="357"/>
      </w:pPr>
      <w:r>
        <w:t>I</w:t>
      </w:r>
      <w:r w:rsidR="00C65EFE">
        <w:t xml:space="preserve">mplement a twin-track approach to gender </w:t>
      </w:r>
      <w:r w:rsidR="00C65EFE" w:rsidRPr="001A1E2F">
        <w:t>equality</w:t>
      </w:r>
      <w:r w:rsidR="00C65EFE">
        <w:t xml:space="preserve">, </w:t>
      </w:r>
      <w:proofErr w:type="gramStart"/>
      <w:r w:rsidR="00C65EFE">
        <w:t>disability</w:t>
      </w:r>
      <w:proofErr w:type="gramEnd"/>
      <w:r w:rsidR="00C65EFE">
        <w:t xml:space="preserve"> and climate change</w:t>
      </w:r>
      <w:r>
        <w:t>.</w:t>
      </w:r>
    </w:p>
    <w:p w14:paraId="3ADD907B" w14:textId="20A30DC0" w:rsidR="00EF24DC" w:rsidRDefault="00EF24DC" w:rsidP="00E90562">
      <w:r>
        <w:t xml:space="preserve">Principle 4 </w:t>
      </w:r>
      <w:r w:rsidR="00707740">
        <w:t>–</w:t>
      </w:r>
      <w:r>
        <w:t xml:space="preserve"> </w:t>
      </w:r>
      <w:r w:rsidR="00707740">
        <w:t>Strategic coherence:</w:t>
      </w:r>
    </w:p>
    <w:p w14:paraId="19AD1EDB" w14:textId="49D2A079" w:rsidR="0057787D" w:rsidRPr="00C65EFE" w:rsidRDefault="00707740" w:rsidP="00E22138">
      <w:pPr>
        <w:pStyle w:val="NormalBullets-L1"/>
        <w:spacing w:before="120" w:after="120"/>
        <w:ind w:left="714" w:hanging="357"/>
      </w:pPr>
      <w:r>
        <w:t>I</w:t>
      </w:r>
      <w:r w:rsidR="00C65EFE">
        <w:t>mprov</w:t>
      </w:r>
      <w:r>
        <w:t>e</w:t>
      </w:r>
      <w:r w:rsidR="00C65EFE">
        <w:t xml:space="preserve"> coordination and collaboration across sector programs and Australian Government efforts with development partners to maximise the coherence and impact of Australia’s contributions</w:t>
      </w:r>
      <w:r w:rsidR="00A91E2F">
        <w:t>.</w:t>
      </w:r>
    </w:p>
    <w:p w14:paraId="3433C0B2" w14:textId="6E02C273" w:rsidR="002F4955" w:rsidRPr="00517701" w:rsidRDefault="002F4955" w:rsidP="00517701">
      <w:pPr>
        <w:pStyle w:val="H3-Heading3"/>
      </w:pPr>
      <w:r w:rsidRPr="00517701">
        <w:t xml:space="preserve">Objective 1: </w:t>
      </w:r>
      <w:r w:rsidR="00242C30">
        <w:rPr>
          <w:rFonts w:eastAsia="Times New Roman"/>
          <w:lang w:eastAsia="en-AU"/>
        </w:rPr>
        <w:t>Building a</w:t>
      </w:r>
      <w:r w:rsidR="00242C30" w:rsidRPr="00012149">
        <w:rPr>
          <w:rFonts w:eastAsia="Times New Roman"/>
          <w:lang w:eastAsia="en-AU"/>
        </w:rPr>
        <w:t xml:space="preserve">n </w:t>
      </w:r>
      <w:r w:rsidR="00242C30">
        <w:rPr>
          <w:rFonts w:eastAsia="Times New Roman"/>
          <w:lang w:eastAsia="en-AU"/>
        </w:rPr>
        <w:t>e</w:t>
      </w:r>
      <w:r w:rsidR="00242C30" w:rsidRPr="00012149">
        <w:rPr>
          <w:rFonts w:eastAsia="Times New Roman"/>
          <w:lang w:eastAsia="en-AU"/>
        </w:rPr>
        <w:t xml:space="preserve">conomic </w:t>
      </w:r>
      <w:r w:rsidR="00242C30">
        <w:rPr>
          <w:rFonts w:eastAsia="Times New Roman"/>
          <w:lang w:eastAsia="en-AU"/>
        </w:rPr>
        <w:t>p</w:t>
      </w:r>
      <w:r w:rsidR="00242C30" w:rsidRPr="00012149">
        <w:rPr>
          <w:rFonts w:eastAsia="Times New Roman"/>
          <w:lang w:eastAsia="en-AU"/>
        </w:rPr>
        <w:t xml:space="preserve">artnership for </w:t>
      </w:r>
      <w:proofErr w:type="gramStart"/>
      <w:r w:rsidR="00242C30">
        <w:rPr>
          <w:rFonts w:eastAsia="Times New Roman"/>
          <w:lang w:eastAsia="en-AU"/>
        </w:rPr>
        <w:t>p</w:t>
      </w:r>
      <w:r w:rsidR="00242C30" w:rsidRPr="00012149">
        <w:rPr>
          <w:rFonts w:eastAsia="Times New Roman"/>
          <w:lang w:eastAsia="en-AU"/>
        </w:rPr>
        <w:t>rosperity</w:t>
      </w:r>
      <w:proofErr w:type="gramEnd"/>
    </w:p>
    <w:p w14:paraId="5457FECC" w14:textId="48749530" w:rsidR="00EE5463" w:rsidRPr="001274DE" w:rsidRDefault="00EE5463" w:rsidP="00E90562">
      <w:pPr>
        <w:rPr>
          <w:lang w:eastAsia="en-AU"/>
        </w:rPr>
      </w:pPr>
      <w:r w:rsidRPr="001274DE">
        <w:rPr>
          <w:lang w:eastAsia="en-AU"/>
        </w:rPr>
        <w:t>Our economic assistance is designed to help PNG better convert its natural endowments into sustained broad</w:t>
      </w:r>
      <w:r w:rsidR="005B1411">
        <w:rPr>
          <w:lang w:eastAsia="en-AU"/>
        </w:rPr>
        <w:t>-</w:t>
      </w:r>
      <w:r w:rsidRPr="001274DE">
        <w:rPr>
          <w:lang w:eastAsia="en-AU"/>
        </w:rPr>
        <w:t xml:space="preserve">based growth and create a more diversified economy while maintaining economic stability. </w:t>
      </w:r>
      <w:r w:rsidRPr="7BDD9CB2">
        <w:rPr>
          <w:lang w:eastAsia="en-AU"/>
        </w:rPr>
        <w:t>To support PNG’s economic growth and prosperity</w:t>
      </w:r>
      <w:r>
        <w:rPr>
          <w:lang w:eastAsia="en-AU"/>
        </w:rPr>
        <w:t>,</w:t>
      </w:r>
      <w:r w:rsidRPr="7BDD9CB2">
        <w:rPr>
          <w:lang w:eastAsia="en-AU"/>
        </w:rPr>
        <w:t xml:space="preserve"> Australia will focus investments on economic stability, high</w:t>
      </w:r>
      <w:r w:rsidR="002C2366">
        <w:rPr>
          <w:lang w:eastAsia="en-AU"/>
        </w:rPr>
        <w:t>-</w:t>
      </w:r>
      <w:r w:rsidRPr="7BDD9CB2">
        <w:rPr>
          <w:lang w:eastAsia="en-AU"/>
        </w:rPr>
        <w:t>quality resilient infrastructure, and increasing economic opportunities for Papua New Guineans.</w:t>
      </w:r>
    </w:p>
    <w:p w14:paraId="4ED6C85A" w14:textId="2031483C" w:rsidR="00EE5463" w:rsidRPr="00AE1AA5" w:rsidRDefault="00EE5463" w:rsidP="001A1E2F">
      <w:pPr>
        <w:rPr>
          <w:rFonts w:ascii="Calibri" w:hAnsi="Calibri"/>
        </w:rPr>
      </w:pPr>
      <w:r w:rsidRPr="00430BCF">
        <w:rPr>
          <w:lang w:eastAsia="en-AU"/>
        </w:rPr>
        <w:lastRenderedPageBreak/>
        <w:t>Recognising the importance of improved infrastructure for economic productivity and growth</w:t>
      </w:r>
      <w:r>
        <w:rPr>
          <w:lang w:eastAsia="en-AU"/>
        </w:rPr>
        <w:t>,</w:t>
      </w:r>
      <w:r w:rsidRPr="00430BCF">
        <w:rPr>
          <w:lang w:eastAsia="en-AU"/>
        </w:rPr>
        <w:t xml:space="preserve"> as well as improv</w:t>
      </w:r>
      <w:r w:rsidR="001261FA">
        <w:rPr>
          <w:lang w:eastAsia="en-AU"/>
        </w:rPr>
        <w:t>ed</w:t>
      </w:r>
      <w:r w:rsidRPr="00430BCF">
        <w:rPr>
          <w:lang w:eastAsia="en-AU"/>
        </w:rPr>
        <w:t xml:space="preserve"> access to and quality of services, we will expand our investment in PNG’s economic and social infrastructure</w:t>
      </w:r>
      <w:r>
        <w:rPr>
          <w:lang w:eastAsia="en-AU"/>
        </w:rPr>
        <w:t xml:space="preserve"> from around $200</w:t>
      </w:r>
      <w:r w:rsidR="00273FD3">
        <w:rPr>
          <w:lang w:eastAsia="en-AU"/>
        </w:rPr>
        <w:t> </w:t>
      </w:r>
      <w:r>
        <w:rPr>
          <w:lang w:eastAsia="en-AU"/>
        </w:rPr>
        <w:t xml:space="preserve">million per year to </w:t>
      </w:r>
      <w:r w:rsidR="009A2AA9">
        <w:rPr>
          <w:lang w:eastAsia="en-AU"/>
        </w:rPr>
        <w:t xml:space="preserve">more than </w:t>
      </w:r>
      <w:r>
        <w:rPr>
          <w:lang w:eastAsia="en-AU"/>
        </w:rPr>
        <w:t>$250</w:t>
      </w:r>
      <w:r w:rsidR="009A2AA9">
        <w:rPr>
          <w:lang w:eastAsia="en-AU"/>
        </w:rPr>
        <w:t> </w:t>
      </w:r>
      <w:r>
        <w:rPr>
          <w:lang w:eastAsia="en-AU"/>
        </w:rPr>
        <w:t>million per year by 2025</w:t>
      </w:r>
      <w:r w:rsidR="009A2AA9">
        <w:rPr>
          <w:lang w:eastAsia="en-AU"/>
        </w:rPr>
        <w:t>–</w:t>
      </w:r>
      <w:r>
        <w:rPr>
          <w:lang w:eastAsia="en-AU"/>
        </w:rPr>
        <w:t>26</w:t>
      </w:r>
      <w:r>
        <w:rPr>
          <w:color w:val="44546A"/>
          <w:lang w:eastAsia="en-AU"/>
        </w:rPr>
        <w:t xml:space="preserve">. </w:t>
      </w:r>
      <w:r w:rsidRPr="00430BCF">
        <w:rPr>
          <w:lang w:eastAsia="en-AU"/>
        </w:rPr>
        <w:t>This includes grant financing of around $200</w:t>
      </w:r>
      <w:r w:rsidR="00E77C52">
        <w:rPr>
          <w:lang w:eastAsia="en-AU"/>
        </w:rPr>
        <w:t> </w:t>
      </w:r>
      <w:r w:rsidRPr="00430BCF">
        <w:rPr>
          <w:lang w:eastAsia="en-AU"/>
        </w:rPr>
        <w:t xml:space="preserve">million </w:t>
      </w:r>
      <w:r>
        <w:rPr>
          <w:lang w:eastAsia="en-AU"/>
        </w:rPr>
        <w:t xml:space="preserve">in ODA </w:t>
      </w:r>
      <w:r w:rsidRPr="00430BCF">
        <w:rPr>
          <w:lang w:eastAsia="en-AU"/>
        </w:rPr>
        <w:t>per year</w:t>
      </w:r>
      <w:r>
        <w:rPr>
          <w:lang w:eastAsia="en-AU"/>
        </w:rPr>
        <w:t>,</w:t>
      </w:r>
      <w:r w:rsidRPr="00430BCF">
        <w:rPr>
          <w:lang w:eastAsia="en-AU"/>
        </w:rPr>
        <w:t xml:space="preserve"> in addition to the delivery of </w:t>
      </w:r>
      <w:r w:rsidR="00A111AF">
        <w:rPr>
          <w:lang w:eastAsia="en-AU"/>
        </w:rPr>
        <w:t xml:space="preserve">more than </w:t>
      </w:r>
      <w:r w:rsidRPr="00430BCF">
        <w:rPr>
          <w:lang w:eastAsia="en-AU"/>
        </w:rPr>
        <w:t>$1</w:t>
      </w:r>
      <w:r w:rsidR="00437990">
        <w:rPr>
          <w:lang w:eastAsia="en-AU"/>
        </w:rPr>
        <w:t> </w:t>
      </w:r>
      <w:r w:rsidRPr="00430BCF">
        <w:rPr>
          <w:lang w:eastAsia="en-AU"/>
        </w:rPr>
        <w:t xml:space="preserve">billion in highly concessional financing (loans and grants) for </w:t>
      </w:r>
      <w:r>
        <w:rPr>
          <w:lang w:eastAsia="en-AU"/>
        </w:rPr>
        <w:t xml:space="preserve">high-quality </w:t>
      </w:r>
      <w:r w:rsidRPr="00430BCF">
        <w:rPr>
          <w:lang w:eastAsia="en-AU"/>
        </w:rPr>
        <w:t xml:space="preserve">infrastructure development under the AIFFP. </w:t>
      </w:r>
      <w:r w:rsidRPr="14519804">
        <w:rPr>
          <w:lang w:eastAsia="en-AU"/>
        </w:rPr>
        <w:t xml:space="preserve">We will improve the prioritisation, </w:t>
      </w:r>
      <w:proofErr w:type="gramStart"/>
      <w:r w:rsidRPr="14519804">
        <w:rPr>
          <w:lang w:eastAsia="en-AU"/>
        </w:rPr>
        <w:t>quality</w:t>
      </w:r>
      <w:proofErr w:type="gramEnd"/>
      <w:r w:rsidRPr="14519804">
        <w:rPr>
          <w:lang w:eastAsia="en-AU"/>
        </w:rPr>
        <w:t xml:space="preserve"> and sustainability of infrastructure investments in PNG.</w:t>
      </w:r>
    </w:p>
    <w:p w14:paraId="20D10248" w14:textId="7A8625A4" w:rsidR="00EE5463" w:rsidRDefault="00EE5463" w:rsidP="006542F3">
      <w:pPr>
        <w:spacing w:before="120" w:after="120" w:line="264" w:lineRule="auto"/>
        <w:rPr>
          <w:lang w:eastAsia="en-AU"/>
        </w:rPr>
      </w:pPr>
      <w:r w:rsidRPr="001274DE">
        <w:rPr>
          <w:lang w:eastAsia="en-AU"/>
        </w:rPr>
        <w:t>Our infrastructure investments in PNG are wide-ranging</w:t>
      </w:r>
      <w:r>
        <w:rPr>
          <w:lang w:eastAsia="en-AU"/>
        </w:rPr>
        <w:t>,</w:t>
      </w:r>
      <w:r w:rsidRPr="001274DE">
        <w:rPr>
          <w:lang w:eastAsia="en-AU"/>
        </w:rPr>
        <w:t xml:space="preserve"> including the provision of critical economic infrastructure in telecommunications, roads, ports, aviation, and energy sectors; social infrastructure</w:t>
      </w:r>
      <w:r w:rsidR="004D0656">
        <w:rPr>
          <w:lang w:eastAsia="en-AU"/>
        </w:rPr>
        <w:t>,</w:t>
      </w:r>
      <w:r w:rsidRPr="001274DE">
        <w:rPr>
          <w:lang w:eastAsia="en-AU"/>
        </w:rPr>
        <w:t xml:space="preserve"> including </w:t>
      </w:r>
      <w:r>
        <w:rPr>
          <w:lang w:eastAsia="en-AU"/>
        </w:rPr>
        <w:t>for</w:t>
      </w:r>
      <w:r w:rsidRPr="001274DE">
        <w:rPr>
          <w:lang w:eastAsia="en-AU"/>
        </w:rPr>
        <w:t xml:space="preserve"> health, education</w:t>
      </w:r>
      <w:r>
        <w:rPr>
          <w:lang w:eastAsia="en-AU"/>
        </w:rPr>
        <w:t>, policing</w:t>
      </w:r>
      <w:r w:rsidR="004D0656">
        <w:rPr>
          <w:lang w:eastAsia="en-AU"/>
        </w:rPr>
        <w:t>,</w:t>
      </w:r>
      <w:r>
        <w:rPr>
          <w:lang w:eastAsia="en-AU"/>
        </w:rPr>
        <w:t xml:space="preserve"> and law and justice;</w:t>
      </w:r>
      <w:r w:rsidRPr="001274DE">
        <w:rPr>
          <w:lang w:eastAsia="en-AU"/>
        </w:rPr>
        <w:t xml:space="preserve"> commercial infrastructure</w:t>
      </w:r>
      <w:r w:rsidR="004D0656">
        <w:rPr>
          <w:lang w:eastAsia="en-AU"/>
        </w:rPr>
        <w:t>,</w:t>
      </w:r>
      <w:r w:rsidRPr="001274DE">
        <w:rPr>
          <w:lang w:eastAsia="en-AU"/>
        </w:rPr>
        <w:t xml:space="preserve"> such as local trading markets; and small-scale community infrastructure. </w:t>
      </w:r>
      <w:r>
        <w:rPr>
          <w:lang w:eastAsia="en-AU"/>
        </w:rPr>
        <w:t xml:space="preserve">Decisions about which source of finance should support individual investments are </w:t>
      </w:r>
      <w:r w:rsidRPr="003A51E5">
        <w:rPr>
          <w:lang w:eastAsia="en-AU"/>
        </w:rPr>
        <w:t xml:space="preserve">informed by the size and nature of the infrastructure request from PNG. Under the AIFFP, we work with the PNG </w:t>
      </w:r>
      <w:r w:rsidR="000F6AB5">
        <w:rPr>
          <w:lang w:eastAsia="en-AU"/>
        </w:rPr>
        <w:t>G</w:t>
      </w:r>
      <w:r w:rsidRPr="003A51E5">
        <w:rPr>
          <w:lang w:eastAsia="en-AU"/>
        </w:rPr>
        <w:t xml:space="preserve">overnment and the private sector to finance significant, </w:t>
      </w:r>
      <w:proofErr w:type="gramStart"/>
      <w:r w:rsidRPr="003A51E5">
        <w:rPr>
          <w:lang w:eastAsia="en-AU"/>
        </w:rPr>
        <w:t>large</w:t>
      </w:r>
      <w:proofErr w:type="gramEnd"/>
      <w:r w:rsidRPr="003A51E5">
        <w:rPr>
          <w:lang w:eastAsia="en-AU"/>
        </w:rPr>
        <w:t xml:space="preserve"> and transformational infrastructure projects, while our ODA funding</w:t>
      </w:r>
      <w:r w:rsidRPr="003A51E5">
        <w:t xml:space="preserve"> </w:t>
      </w:r>
      <w:r w:rsidRPr="003A51E5">
        <w:rPr>
          <w:lang w:eastAsia="en-AU"/>
        </w:rPr>
        <w:t>focuses on supporting improved planning, assessment and governance for infrastructure spending and supporting small</w:t>
      </w:r>
      <w:r w:rsidR="00CE43C0">
        <w:rPr>
          <w:lang w:eastAsia="en-AU"/>
        </w:rPr>
        <w:t xml:space="preserve"> to </w:t>
      </w:r>
      <w:r w:rsidRPr="003A51E5">
        <w:rPr>
          <w:lang w:eastAsia="en-AU"/>
        </w:rPr>
        <w:t>medium</w:t>
      </w:r>
      <w:r w:rsidR="00CE43C0">
        <w:rPr>
          <w:lang w:eastAsia="en-AU"/>
        </w:rPr>
        <w:t>-</w:t>
      </w:r>
      <w:r w:rsidRPr="003A51E5">
        <w:rPr>
          <w:lang w:eastAsia="en-AU"/>
        </w:rPr>
        <w:t>scale infrastructure projects. We will</w:t>
      </w:r>
      <w:r w:rsidRPr="001274DE">
        <w:rPr>
          <w:lang w:eastAsia="en-AU"/>
        </w:rPr>
        <w:t xml:space="preserve"> continue to work with the A</w:t>
      </w:r>
      <w:r>
        <w:rPr>
          <w:lang w:eastAsia="en-AU"/>
        </w:rPr>
        <w:t xml:space="preserve">sian </w:t>
      </w:r>
      <w:r w:rsidRPr="001274DE">
        <w:rPr>
          <w:lang w:eastAsia="en-AU"/>
        </w:rPr>
        <w:t>D</w:t>
      </w:r>
      <w:r>
        <w:rPr>
          <w:lang w:eastAsia="en-AU"/>
        </w:rPr>
        <w:t xml:space="preserve">evelopment </w:t>
      </w:r>
      <w:r w:rsidRPr="001274DE">
        <w:rPr>
          <w:lang w:eastAsia="en-AU"/>
        </w:rPr>
        <w:t>B</w:t>
      </w:r>
      <w:r>
        <w:rPr>
          <w:lang w:eastAsia="en-AU"/>
        </w:rPr>
        <w:t>ank</w:t>
      </w:r>
      <w:r w:rsidRPr="001274DE">
        <w:rPr>
          <w:lang w:eastAsia="en-AU"/>
        </w:rPr>
        <w:t>’s</w:t>
      </w:r>
      <w:r w:rsidR="006542F3">
        <w:rPr>
          <w:lang w:eastAsia="en-AU"/>
        </w:rPr>
        <w:t xml:space="preserve"> (ADB)</w:t>
      </w:r>
      <w:r w:rsidRPr="001274DE">
        <w:rPr>
          <w:lang w:eastAsia="en-AU"/>
        </w:rPr>
        <w:t xml:space="preserve"> </w:t>
      </w:r>
      <w:r w:rsidR="004920EE">
        <w:rPr>
          <w:lang w:eastAsia="en-AU"/>
        </w:rPr>
        <w:t xml:space="preserve">Pacific </w:t>
      </w:r>
      <w:r w:rsidRPr="001274DE">
        <w:rPr>
          <w:lang w:eastAsia="en-AU"/>
        </w:rPr>
        <w:t xml:space="preserve">Private Sector Development Initiative to support an improved framework for </w:t>
      </w:r>
      <w:r w:rsidR="003C29BE">
        <w:rPr>
          <w:lang w:eastAsia="en-AU"/>
        </w:rPr>
        <w:t>p</w:t>
      </w:r>
      <w:r w:rsidRPr="001274DE">
        <w:rPr>
          <w:lang w:eastAsia="en-AU"/>
        </w:rPr>
        <w:t>ublic</w:t>
      </w:r>
      <w:r w:rsidR="003C29BE">
        <w:rPr>
          <w:lang w:eastAsia="en-AU"/>
        </w:rPr>
        <w:t>–p</w:t>
      </w:r>
      <w:r w:rsidRPr="001274DE">
        <w:rPr>
          <w:lang w:eastAsia="en-AU"/>
        </w:rPr>
        <w:t xml:space="preserve">rivate </w:t>
      </w:r>
      <w:r w:rsidR="003C29BE">
        <w:rPr>
          <w:lang w:eastAsia="en-AU"/>
        </w:rPr>
        <w:t>p</w:t>
      </w:r>
      <w:r w:rsidRPr="001274DE">
        <w:rPr>
          <w:lang w:eastAsia="en-AU"/>
        </w:rPr>
        <w:t>artnerships for infrastructure development in PNG.</w:t>
      </w:r>
      <w:r>
        <w:rPr>
          <w:lang w:eastAsia="en-AU"/>
        </w:rPr>
        <w:t xml:space="preserve"> </w:t>
      </w:r>
      <w:r w:rsidRPr="00BE6C84">
        <w:rPr>
          <w:lang w:eastAsia="en-AU"/>
        </w:rPr>
        <w:t>Our assistance also seeks to make PNG’s telecommunications sector more affordable and efficient for PNG’s population.</w:t>
      </w:r>
    </w:p>
    <w:p w14:paraId="0D5158FA" w14:textId="5B5938D1" w:rsidR="00EE5463" w:rsidRPr="001274DE" w:rsidRDefault="00EE5463" w:rsidP="00E90562">
      <w:pPr>
        <w:rPr>
          <w:lang w:eastAsia="en-AU"/>
        </w:rPr>
      </w:pPr>
      <w:r w:rsidRPr="006577C4">
        <w:rPr>
          <w:lang w:eastAsia="en-AU"/>
        </w:rPr>
        <w:t>Recognising PNG’s commitment to macroeconomic reform and improving public financial management, we will continue to work with PNG to support finance agencies</w:t>
      </w:r>
      <w:r>
        <w:rPr>
          <w:lang w:eastAsia="en-AU"/>
        </w:rPr>
        <w:t>’</w:t>
      </w:r>
      <w:r w:rsidRPr="006577C4">
        <w:rPr>
          <w:lang w:eastAsia="en-AU"/>
        </w:rPr>
        <w:t xml:space="preserve"> access to local and international expertise across reform and governance priorities. </w:t>
      </w:r>
      <w:r w:rsidRPr="00943C7D">
        <w:rPr>
          <w:lang w:eastAsia="en-AU"/>
        </w:rPr>
        <w:t xml:space="preserve">Through both technical assistance and budget lending, we have supported PNG’s program with the International Monetary Fund (IMF), which is seeking to improve PNG’s fiscal and debt sustainability, economic </w:t>
      </w:r>
      <w:proofErr w:type="gramStart"/>
      <w:r w:rsidRPr="00943C7D">
        <w:rPr>
          <w:lang w:eastAsia="en-AU"/>
        </w:rPr>
        <w:t>management</w:t>
      </w:r>
      <w:proofErr w:type="gramEnd"/>
      <w:r w:rsidRPr="00943C7D">
        <w:rPr>
          <w:lang w:eastAsia="en-AU"/>
        </w:rPr>
        <w:t xml:space="preserve"> and governance. The PNG Institutional Partnerships Program (PIPP) advances our common economic objectives through Australian officials from more than nine agencies </w:t>
      </w:r>
      <w:r w:rsidR="006E5D18">
        <w:rPr>
          <w:lang w:eastAsia="en-AU"/>
        </w:rPr>
        <w:t>who are</w:t>
      </w:r>
      <w:r w:rsidRPr="00943C7D">
        <w:rPr>
          <w:lang w:eastAsia="en-AU"/>
        </w:rPr>
        <w:t xml:space="preserve"> undertaking exchanges, </w:t>
      </w:r>
      <w:proofErr w:type="gramStart"/>
      <w:r w:rsidRPr="00943C7D">
        <w:rPr>
          <w:lang w:eastAsia="en-AU"/>
        </w:rPr>
        <w:t>secondments</w:t>
      </w:r>
      <w:proofErr w:type="gramEnd"/>
      <w:r w:rsidRPr="00943C7D">
        <w:rPr>
          <w:lang w:eastAsia="en-AU"/>
        </w:rPr>
        <w:t xml:space="preserve"> and deployments with PNG counterpart agencies. We will continue to provide technical advice and capacity</w:t>
      </w:r>
      <w:r w:rsidR="00561285">
        <w:rPr>
          <w:lang w:eastAsia="en-AU"/>
        </w:rPr>
        <w:t>-</w:t>
      </w:r>
      <w:r w:rsidRPr="00943C7D">
        <w:rPr>
          <w:lang w:eastAsia="en-AU"/>
        </w:rPr>
        <w:t>building support through the PIPP and the Australia</w:t>
      </w:r>
      <w:r w:rsidR="00561285">
        <w:rPr>
          <w:lang w:eastAsia="en-AU"/>
        </w:rPr>
        <w:t>–</w:t>
      </w:r>
      <w:r w:rsidRPr="00943C7D">
        <w:rPr>
          <w:lang w:eastAsia="en-AU"/>
        </w:rPr>
        <w:t>PNG Economic</w:t>
      </w:r>
      <w:r w:rsidR="00AA29B1">
        <w:rPr>
          <w:lang w:eastAsia="en-AU"/>
        </w:rPr>
        <w:t xml:space="preserve"> </w:t>
      </w:r>
      <w:r w:rsidRPr="00943C7D">
        <w:rPr>
          <w:lang w:eastAsia="en-AU"/>
        </w:rPr>
        <w:t>Partnership, supporting PNG to manage its macro</w:t>
      </w:r>
      <w:r w:rsidR="00AA29B1">
        <w:rPr>
          <w:lang w:eastAsia="en-AU"/>
        </w:rPr>
        <w:t>-</w:t>
      </w:r>
      <w:r w:rsidRPr="00943C7D">
        <w:rPr>
          <w:lang w:eastAsia="en-AU"/>
        </w:rPr>
        <w:t>economy, revenue</w:t>
      </w:r>
      <w:r w:rsidR="00B7434D">
        <w:rPr>
          <w:lang w:eastAsia="en-AU"/>
        </w:rPr>
        <w:t>,</w:t>
      </w:r>
      <w:r w:rsidRPr="00943C7D">
        <w:rPr>
          <w:lang w:eastAsia="en-AU"/>
        </w:rPr>
        <w:t xml:space="preserve"> and public finances and build its economic enabling environment through legislative reform, legal and auditing services, data collection</w:t>
      </w:r>
      <w:r w:rsidR="00040128">
        <w:rPr>
          <w:lang w:eastAsia="en-AU"/>
        </w:rPr>
        <w:t>,</w:t>
      </w:r>
      <w:r w:rsidRPr="00943C7D">
        <w:rPr>
          <w:lang w:eastAsia="en-AU"/>
        </w:rPr>
        <w:t xml:space="preserve"> and statistical analysis. Australian support will continue to strengthen public financial management and enhance </w:t>
      </w:r>
      <w:r w:rsidR="00040128">
        <w:rPr>
          <w:lang w:eastAsia="en-AU"/>
        </w:rPr>
        <w:t>the</w:t>
      </w:r>
      <w:r w:rsidRPr="00943C7D">
        <w:rPr>
          <w:lang w:eastAsia="en-AU"/>
        </w:rPr>
        <w:t xml:space="preserve"> transparency and accountability of public expenditure, given its vital role in enabling better service delivery at all levels of government.</w:t>
      </w:r>
    </w:p>
    <w:p w14:paraId="04CF39FA" w14:textId="2A77F42E" w:rsidR="00EE5463" w:rsidRDefault="00EE5463" w:rsidP="00E90562">
      <w:pPr>
        <w:rPr>
          <w:lang w:eastAsia="en-AU"/>
        </w:rPr>
      </w:pPr>
      <w:r>
        <w:rPr>
          <w:lang w:eastAsia="en-AU"/>
        </w:rPr>
        <w:t>A</w:t>
      </w:r>
      <w:r w:rsidRPr="00012149">
        <w:rPr>
          <w:lang w:eastAsia="en-AU"/>
        </w:rPr>
        <w:t>s PNG’s largest trading and commercial partner</w:t>
      </w:r>
      <w:r>
        <w:rPr>
          <w:lang w:eastAsia="en-AU"/>
        </w:rPr>
        <w:t>, w</w:t>
      </w:r>
      <w:r w:rsidRPr="00012149">
        <w:rPr>
          <w:lang w:eastAsia="en-AU"/>
        </w:rPr>
        <w:t>e will continue to grow the trade and investment relationship</w:t>
      </w:r>
      <w:r w:rsidRPr="008E6E3C">
        <w:rPr>
          <w:lang w:eastAsia="en-AU"/>
        </w:rPr>
        <w:t xml:space="preserve"> </w:t>
      </w:r>
      <w:r>
        <w:rPr>
          <w:lang w:eastAsia="en-AU"/>
        </w:rPr>
        <w:t>to drive</w:t>
      </w:r>
      <w:r w:rsidRPr="008E6E3C">
        <w:rPr>
          <w:lang w:eastAsia="en-AU"/>
        </w:rPr>
        <w:t xml:space="preserve"> </w:t>
      </w:r>
      <w:r w:rsidRPr="00B969AC">
        <w:rPr>
          <w:lang w:eastAsia="en-AU"/>
        </w:rPr>
        <w:t xml:space="preserve">sustainable and efficient </w:t>
      </w:r>
      <w:r w:rsidRPr="008E6E3C">
        <w:rPr>
          <w:lang w:eastAsia="en-AU"/>
        </w:rPr>
        <w:t>economic growth</w:t>
      </w:r>
      <w:r w:rsidRPr="00012149">
        <w:rPr>
          <w:lang w:eastAsia="en-AU"/>
        </w:rPr>
        <w:t xml:space="preserve">. </w:t>
      </w:r>
      <w:r>
        <w:rPr>
          <w:lang w:eastAsia="en-AU"/>
        </w:rPr>
        <w:t>Through the Australia</w:t>
      </w:r>
      <w:r w:rsidR="00263BEA">
        <w:rPr>
          <w:lang w:eastAsia="en-AU"/>
        </w:rPr>
        <w:t>–</w:t>
      </w:r>
      <w:r>
        <w:rPr>
          <w:lang w:eastAsia="en-AU"/>
        </w:rPr>
        <w:t>PNG Economic</w:t>
      </w:r>
      <w:r w:rsidR="00263BEA">
        <w:rPr>
          <w:lang w:eastAsia="en-AU"/>
        </w:rPr>
        <w:t xml:space="preserve"> </w:t>
      </w:r>
      <w:r>
        <w:rPr>
          <w:lang w:eastAsia="en-AU"/>
        </w:rPr>
        <w:t xml:space="preserve">Partnership, we are </w:t>
      </w:r>
      <w:r w:rsidRPr="00012149">
        <w:rPr>
          <w:lang w:eastAsia="en-AU"/>
        </w:rPr>
        <w:t xml:space="preserve">working with PNG to promote agricultural trade by </w:t>
      </w:r>
      <w:r w:rsidRPr="029E92A1">
        <w:rPr>
          <w:lang w:eastAsia="en-AU"/>
        </w:rPr>
        <w:t xml:space="preserve">strengthening value chains for key agricultural exports, including coffee and cocoa. Research led by the Australian Centre for International Agricultural Research will support improvements in food supply, food access and rural incomes for smallholders through increased productivity and enhanced access to markets and services. </w:t>
      </w:r>
      <w:r w:rsidRPr="00012149">
        <w:rPr>
          <w:lang w:eastAsia="en-AU"/>
        </w:rPr>
        <w:t xml:space="preserve">We will </w:t>
      </w:r>
      <w:r>
        <w:rPr>
          <w:lang w:eastAsia="en-AU"/>
        </w:rPr>
        <w:t>also work with PNG to</w:t>
      </w:r>
      <w:r w:rsidRPr="00012149">
        <w:rPr>
          <w:lang w:eastAsia="en-AU"/>
        </w:rPr>
        <w:t xml:space="preserve"> strengthen biosecurity quality, standards</w:t>
      </w:r>
      <w:r w:rsidR="00B273F7">
        <w:rPr>
          <w:lang w:eastAsia="en-AU"/>
        </w:rPr>
        <w:t>,</w:t>
      </w:r>
      <w:r w:rsidRPr="00012149">
        <w:rPr>
          <w:lang w:eastAsia="en-AU"/>
        </w:rPr>
        <w:t xml:space="preserve"> and capacity </w:t>
      </w:r>
      <w:r w:rsidR="00E10016">
        <w:rPr>
          <w:lang w:eastAsia="en-AU"/>
        </w:rPr>
        <w:t xml:space="preserve">and in turn </w:t>
      </w:r>
      <w:r>
        <w:rPr>
          <w:lang w:eastAsia="en-AU"/>
        </w:rPr>
        <w:t>boost PNG exports to Australia and the region.</w:t>
      </w:r>
      <w:r w:rsidRPr="008E6E3C">
        <w:rPr>
          <w:lang w:eastAsia="en-AU"/>
        </w:rPr>
        <w:t xml:space="preserve"> CSIRO’s Australian Centre for Disease Preparedness is supporting biosecurity capacity building for PNG to facilitate increased export of fisheries products.</w:t>
      </w:r>
    </w:p>
    <w:p w14:paraId="4641B0DE" w14:textId="3A45BB9F" w:rsidR="002F4955" w:rsidRPr="00FD7FE8" w:rsidRDefault="00EE5463" w:rsidP="001A1E2F">
      <w:pPr>
        <w:rPr>
          <w:lang w:eastAsia="en-AU"/>
        </w:rPr>
      </w:pPr>
      <w:r>
        <w:rPr>
          <w:lang w:eastAsia="en-AU"/>
        </w:rPr>
        <w:t>Australia</w:t>
      </w:r>
      <w:r w:rsidRPr="001274DE">
        <w:rPr>
          <w:lang w:eastAsia="en-AU"/>
        </w:rPr>
        <w:t xml:space="preserve"> will continue to </w:t>
      </w:r>
      <w:r>
        <w:rPr>
          <w:lang w:eastAsia="en-AU"/>
        </w:rPr>
        <w:t>foster</w:t>
      </w:r>
      <w:r w:rsidRPr="001274DE">
        <w:rPr>
          <w:lang w:eastAsia="en-AU"/>
        </w:rPr>
        <w:t xml:space="preserve"> private sector investment in PNG as a key contributor to improving employment outcomes and </w:t>
      </w:r>
      <w:r w:rsidR="00862668">
        <w:rPr>
          <w:lang w:eastAsia="en-AU"/>
        </w:rPr>
        <w:t xml:space="preserve">promoting </w:t>
      </w:r>
      <w:r w:rsidRPr="001274DE">
        <w:rPr>
          <w:lang w:eastAsia="en-AU"/>
        </w:rPr>
        <w:t xml:space="preserve">sustainable economic growth. </w:t>
      </w:r>
      <w:r w:rsidRPr="67540A86">
        <w:rPr>
          <w:lang w:eastAsia="en-AU"/>
        </w:rPr>
        <w:t>Austrade will facilitate business</w:t>
      </w:r>
      <w:r w:rsidR="00B845E1">
        <w:rPr>
          <w:lang w:eastAsia="en-AU"/>
        </w:rPr>
        <w:t>-</w:t>
      </w:r>
      <w:r w:rsidRPr="67540A86">
        <w:rPr>
          <w:lang w:eastAsia="en-AU"/>
        </w:rPr>
        <w:t>to</w:t>
      </w:r>
      <w:r w:rsidR="00B845E1">
        <w:rPr>
          <w:lang w:eastAsia="en-AU"/>
        </w:rPr>
        <w:t>-</w:t>
      </w:r>
      <w:r w:rsidRPr="67540A86">
        <w:rPr>
          <w:lang w:eastAsia="en-AU"/>
        </w:rPr>
        <w:t xml:space="preserve">business engagement between Australia and PNG and promote </w:t>
      </w:r>
      <w:r w:rsidRPr="00D74665">
        <w:rPr>
          <w:lang w:eastAsia="en-AU"/>
        </w:rPr>
        <w:t>opportunities for increased trade and investment. We will leverage our strong links to the PNG</w:t>
      </w:r>
      <w:r w:rsidR="00D016D6">
        <w:rPr>
          <w:lang w:eastAsia="en-AU"/>
        </w:rPr>
        <w:t>–</w:t>
      </w:r>
      <w:r w:rsidRPr="00D74665">
        <w:rPr>
          <w:lang w:eastAsia="en-AU"/>
        </w:rPr>
        <w:t>Australia business community and our support for business-to-business engagement</w:t>
      </w:r>
      <w:r w:rsidR="008868B6">
        <w:rPr>
          <w:lang w:eastAsia="en-AU"/>
        </w:rPr>
        <w:t>,</w:t>
      </w:r>
      <w:r w:rsidRPr="00D74665">
        <w:rPr>
          <w:lang w:eastAsia="en-AU"/>
        </w:rPr>
        <w:t xml:space="preserve"> helping to facilitate a more efficient and effective regulatory framework that enhances economic activity.</w:t>
      </w:r>
    </w:p>
    <w:p w14:paraId="612B1E38" w14:textId="203BA90B" w:rsidR="002F4955" w:rsidRPr="009F3ACA" w:rsidRDefault="002F4955" w:rsidP="000270CC">
      <w:pPr>
        <w:pStyle w:val="H3-Heading3"/>
      </w:pPr>
      <w:r w:rsidRPr="5738B046">
        <w:lastRenderedPageBreak/>
        <w:t xml:space="preserve">Objective 2: </w:t>
      </w:r>
      <w:r w:rsidR="00844DEF" w:rsidRPr="0072508E">
        <w:rPr>
          <w:rFonts w:eastAsiaTheme="minorEastAsia"/>
        </w:rPr>
        <w:t xml:space="preserve">Promoting improved law, order and </w:t>
      </w:r>
      <w:proofErr w:type="gramStart"/>
      <w:r w:rsidR="00844DEF" w:rsidRPr="00E90562">
        <w:t>governance</w:t>
      </w:r>
      <w:proofErr w:type="gramEnd"/>
    </w:p>
    <w:p w14:paraId="4C2A2C93" w14:textId="01CEDDA4" w:rsidR="00FE2750" w:rsidRPr="00184DEE" w:rsidRDefault="00FE2750" w:rsidP="00E90562">
      <w:pPr>
        <w:rPr>
          <w:lang w:eastAsia="en-AU"/>
        </w:rPr>
      </w:pPr>
      <w:r w:rsidRPr="7BDD9CB2">
        <w:rPr>
          <w:lang w:eastAsia="en-AU"/>
        </w:rPr>
        <w:t xml:space="preserve">Stability and security are foundational elements of effective, accountable states. The rule of law is fundamental to the protection of rights and freedoms, the creation of legal frameworks that enable private sector investment and economic growth, and peaceful dispute resolution. </w:t>
      </w:r>
      <w:r>
        <w:rPr>
          <w:lang w:eastAsia="en-AU"/>
        </w:rPr>
        <w:t>A</w:t>
      </w:r>
      <w:r w:rsidRPr="7BDD9CB2">
        <w:rPr>
          <w:lang w:eastAsia="en-AU"/>
        </w:rPr>
        <w:t xml:space="preserve"> deteriorating internal security situation </w:t>
      </w:r>
      <w:r>
        <w:rPr>
          <w:lang w:eastAsia="en-AU"/>
        </w:rPr>
        <w:t>and poor governance</w:t>
      </w:r>
      <w:r w:rsidRPr="7BDD9CB2">
        <w:rPr>
          <w:lang w:eastAsia="en-AU"/>
        </w:rPr>
        <w:t xml:space="preserve"> deters investment in PNG, inhibits safe and secure elections, </w:t>
      </w:r>
      <w:r>
        <w:rPr>
          <w:lang w:eastAsia="en-AU"/>
        </w:rPr>
        <w:t xml:space="preserve">negatively impacts productivity, </w:t>
      </w:r>
      <w:r w:rsidRPr="7BDD9CB2">
        <w:rPr>
          <w:lang w:eastAsia="en-AU"/>
        </w:rPr>
        <w:t>and undermines human</w:t>
      </w:r>
      <w:r>
        <w:rPr>
          <w:lang w:eastAsia="en-AU"/>
        </w:rPr>
        <w:t xml:space="preserve"> </w:t>
      </w:r>
      <w:r w:rsidRPr="7BDD9CB2">
        <w:rPr>
          <w:lang w:eastAsia="en-AU"/>
        </w:rPr>
        <w:t>security and access to services for citizens.</w:t>
      </w:r>
    </w:p>
    <w:p w14:paraId="08FCE5F0" w14:textId="1DF7BF19" w:rsidR="00FE2750" w:rsidRPr="00184DEE" w:rsidRDefault="00FE2750" w:rsidP="00E90562">
      <w:pPr>
        <w:rPr>
          <w:rFonts w:cs="Calibri Light"/>
          <w:color w:val="313E48" w:themeColor="text2"/>
          <w:lang w:eastAsia="en-AU"/>
        </w:rPr>
      </w:pPr>
      <w:r w:rsidRPr="00184DEE">
        <w:rPr>
          <w:lang w:eastAsia="en-AU"/>
        </w:rPr>
        <w:t>Australia has supported PNG</w:t>
      </w:r>
      <w:r w:rsidR="00B83EAA">
        <w:rPr>
          <w:lang w:eastAsia="en-AU"/>
        </w:rPr>
        <w:t>’</w:t>
      </w:r>
      <w:r w:rsidRPr="00184DEE">
        <w:rPr>
          <w:lang w:eastAsia="en-AU"/>
        </w:rPr>
        <w:t>s security, policing</w:t>
      </w:r>
      <w:r w:rsidR="00B83EAA">
        <w:rPr>
          <w:lang w:eastAsia="en-AU"/>
        </w:rPr>
        <w:t>,</w:t>
      </w:r>
      <w:r w:rsidRPr="00184DEE">
        <w:rPr>
          <w:lang w:eastAsia="en-AU"/>
        </w:rPr>
        <w:t xml:space="preserve"> and law and justice sectors since </w:t>
      </w:r>
      <w:r>
        <w:rPr>
          <w:lang w:eastAsia="en-AU"/>
        </w:rPr>
        <w:t>the 1980s</w:t>
      </w:r>
      <w:r w:rsidR="00C364E6">
        <w:rPr>
          <w:lang w:eastAsia="en-AU"/>
        </w:rPr>
        <w:t>,</w:t>
      </w:r>
      <w:r w:rsidRPr="00184DEE">
        <w:rPr>
          <w:lang w:eastAsia="en-AU"/>
        </w:rPr>
        <w:t xml:space="preserve"> </w:t>
      </w:r>
      <w:r w:rsidR="00C64556">
        <w:rPr>
          <w:lang w:eastAsia="en-AU"/>
        </w:rPr>
        <w:t xml:space="preserve">through </w:t>
      </w:r>
      <w:r w:rsidRPr="00184DEE">
        <w:rPr>
          <w:lang w:eastAsia="en-AU"/>
        </w:rPr>
        <w:t>longstanding partnerships between our defence and police forces</w:t>
      </w:r>
      <w:r w:rsidR="009B191A">
        <w:rPr>
          <w:lang w:eastAsia="en-AU"/>
        </w:rPr>
        <w:t xml:space="preserve"> and</w:t>
      </w:r>
      <w:r w:rsidR="009B191A" w:rsidRPr="00184DEE">
        <w:rPr>
          <w:lang w:eastAsia="en-AU"/>
        </w:rPr>
        <w:t xml:space="preserve"> </w:t>
      </w:r>
      <w:r w:rsidRPr="00184DEE">
        <w:rPr>
          <w:lang w:eastAsia="en-AU"/>
        </w:rPr>
        <w:t xml:space="preserve">government agencies and </w:t>
      </w:r>
      <w:r w:rsidR="003E1303">
        <w:rPr>
          <w:lang w:eastAsia="en-AU"/>
        </w:rPr>
        <w:t xml:space="preserve">as part </w:t>
      </w:r>
      <w:r w:rsidR="00C364E6">
        <w:rPr>
          <w:lang w:eastAsia="en-AU"/>
        </w:rPr>
        <w:t>of</w:t>
      </w:r>
      <w:r w:rsidRPr="00184DEE">
        <w:rPr>
          <w:lang w:eastAsia="en-AU"/>
        </w:rPr>
        <w:t xml:space="preserve"> our development </w:t>
      </w:r>
      <w:r w:rsidRPr="0096144F">
        <w:rPr>
          <w:lang w:eastAsia="en-AU"/>
        </w:rPr>
        <w:t>program.</w:t>
      </w:r>
      <w:r w:rsidRPr="0096144F">
        <w:t xml:space="preserve"> In 2023, we committed $200</w:t>
      </w:r>
      <w:r w:rsidR="002C234B">
        <w:t> </w:t>
      </w:r>
      <w:r w:rsidRPr="0096144F">
        <w:t xml:space="preserve">million (ODA and non-ODA) over </w:t>
      </w:r>
      <w:r w:rsidR="002C234B">
        <w:t>4 </w:t>
      </w:r>
      <w:r w:rsidRPr="0096144F">
        <w:t>years as part of our B</w:t>
      </w:r>
      <w:r w:rsidR="00DF7020">
        <w:t>SA</w:t>
      </w:r>
      <w:r w:rsidRPr="0096144F">
        <w:t xml:space="preserve"> to support PNG’s internal security priorities. These include building PNG’s policing,</w:t>
      </w:r>
      <w:r w:rsidRPr="0096144F">
        <w:rPr>
          <w:rFonts w:cs="Calibri Light"/>
          <w:color w:val="313E48" w:themeColor="text2"/>
        </w:rPr>
        <w:t xml:space="preserve"> </w:t>
      </w:r>
      <w:r w:rsidRPr="00E90562">
        <w:t xml:space="preserve">and law and justice capabilities, investing in non-traditional security sectors </w:t>
      </w:r>
      <w:r w:rsidR="00FC3C16" w:rsidRPr="00E90562">
        <w:t xml:space="preserve">such as </w:t>
      </w:r>
      <w:r w:rsidRPr="00E90562">
        <w:t>cyber and health security, combat</w:t>
      </w:r>
      <w:r w:rsidR="00810C4D" w:rsidRPr="00E90562">
        <w:t>ing</w:t>
      </w:r>
      <w:r w:rsidRPr="00E90562">
        <w:t xml:space="preserve"> GBV, and building climate resilience. Our combined investments in law, justice and policing will increase from $60</w:t>
      </w:r>
      <w:r w:rsidR="00E4200D" w:rsidRPr="00E90562">
        <w:t> </w:t>
      </w:r>
      <w:r w:rsidRPr="00E90562">
        <w:t>million per year (ODA) to $110</w:t>
      </w:r>
      <w:r w:rsidR="00E4200D" w:rsidRPr="00E90562">
        <w:t> </w:t>
      </w:r>
      <w:r w:rsidRPr="00E90562">
        <w:t>million per year (ODA and non-ODA) by 2026</w:t>
      </w:r>
      <w:r w:rsidR="00EF1921" w:rsidRPr="00E90562">
        <w:t>–</w:t>
      </w:r>
      <w:r w:rsidRPr="00E90562">
        <w:t>27.</w:t>
      </w:r>
    </w:p>
    <w:p w14:paraId="690DD631" w14:textId="7EB1AB2D" w:rsidR="00FE2750" w:rsidRPr="00184DEE" w:rsidRDefault="00FE2750" w:rsidP="00E90562">
      <w:pPr>
        <w:rPr>
          <w:lang w:eastAsia="en-AU"/>
        </w:rPr>
      </w:pPr>
      <w:r w:rsidRPr="78ACF9C4">
        <w:rPr>
          <w:lang w:eastAsia="en-AU"/>
        </w:rPr>
        <w:t>Through the PNG</w:t>
      </w:r>
      <w:r w:rsidR="00D016D6">
        <w:rPr>
          <w:lang w:eastAsia="en-AU"/>
        </w:rPr>
        <w:t>–</w:t>
      </w:r>
      <w:r w:rsidRPr="78ACF9C4">
        <w:rPr>
          <w:lang w:eastAsia="en-AU"/>
        </w:rPr>
        <w:t xml:space="preserve">Australia Policing Partnership, the Australian Federal </w:t>
      </w:r>
      <w:proofErr w:type="gramStart"/>
      <w:r w:rsidRPr="78ACF9C4">
        <w:rPr>
          <w:lang w:eastAsia="en-AU"/>
        </w:rPr>
        <w:t>Police</w:t>
      </w:r>
      <w:proofErr w:type="gramEnd"/>
      <w:r w:rsidRPr="78ACF9C4">
        <w:rPr>
          <w:lang w:eastAsia="en-AU"/>
        </w:rPr>
        <w:t xml:space="preserve"> and the Royal Papua New Guinea Constabulary work together to combat crime and corruption and to prevent and respond to GBV and SARV. This includes a focus on engaging men </w:t>
      </w:r>
      <w:r>
        <w:rPr>
          <w:lang w:eastAsia="en-AU"/>
        </w:rPr>
        <w:t xml:space="preserve">to promote </w:t>
      </w:r>
      <w:r w:rsidRPr="78ACF9C4">
        <w:rPr>
          <w:lang w:eastAsia="en-AU"/>
        </w:rPr>
        <w:t>gender equality. The B</w:t>
      </w:r>
      <w:r w:rsidR="00DF7020">
        <w:rPr>
          <w:lang w:eastAsia="en-AU"/>
        </w:rPr>
        <w:t>SA</w:t>
      </w:r>
      <w:r w:rsidRPr="78ACF9C4">
        <w:rPr>
          <w:lang w:eastAsia="en-AU"/>
        </w:rPr>
        <w:t xml:space="preserve"> will further enhance cooperation on policing infrastructure, capability, </w:t>
      </w:r>
      <w:proofErr w:type="gramStart"/>
      <w:r w:rsidRPr="78ACF9C4">
        <w:rPr>
          <w:lang w:eastAsia="en-AU"/>
        </w:rPr>
        <w:t>leadership</w:t>
      </w:r>
      <w:proofErr w:type="gramEnd"/>
      <w:r w:rsidRPr="78ACF9C4">
        <w:rPr>
          <w:lang w:eastAsia="en-AU"/>
        </w:rPr>
        <w:t xml:space="preserve"> and training. </w:t>
      </w:r>
      <w:r w:rsidR="00E446E1">
        <w:rPr>
          <w:lang w:eastAsia="en-AU"/>
        </w:rPr>
        <w:t xml:space="preserve">The Australian Federal Police </w:t>
      </w:r>
      <w:r>
        <w:rPr>
          <w:lang w:eastAsia="en-AU"/>
        </w:rPr>
        <w:t xml:space="preserve">will </w:t>
      </w:r>
      <w:r w:rsidRPr="78ACF9C4">
        <w:rPr>
          <w:lang w:eastAsia="en-AU"/>
        </w:rPr>
        <w:t>also support PNG</w:t>
      </w:r>
      <w:r>
        <w:rPr>
          <w:lang w:eastAsia="en-AU"/>
        </w:rPr>
        <w:t xml:space="preserve"> to</w:t>
      </w:r>
      <w:r w:rsidRPr="78ACF9C4">
        <w:rPr>
          <w:lang w:eastAsia="en-AU"/>
        </w:rPr>
        <w:t xml:space="preserve"> establish a </w:t>
      </w:r>
      <w:r w:rsidR="007C314C">
        <w:rPr>
          <w:lang w:eastAsia="en-AU"/>
        </w:rPr>
        <w:t>p</w:t>
      </w:r>
      <w:r w:rsidRPr="78ACF9C4">
        <w:rPr>
          <w:lang w:eastAsia="en-AU"/>
        </w:rPr>
        <w:t xml:space="preserve">olice </w:t>
      </w:r>
      <w:r w:rsidR="007C314C">
        <w:rPr>
          <w:lang w:eastAsia="en-AU"/>
        </w:rPr>
        <w:t>r</w:t>
      </w:r>
      <w:r w:rsidRPr="78ACF9C4">
        <w:rPr>
          <w:lang w:eastAsia="en-AU"/>
        </w:rPr>
        <w:t xml:space="preserve">ecruit and </w:t>
      </w:r>
      <w:r w:rsidR="007C314C">
        <w:rPr>
          <w:lang w:eastAsia="en-AU"/>
        </w:rPr>
        <w:t>i</w:t>
      </w:r>
      <w:r w:rsidRPr="78ACF9C4">
        <w:rPr>
          <w:lang w:eastAsia="en-AU"/>
        </w:rPr>
        <w:t xml:space="preserve">nvestigations </w:t>
      </w:r>
      <w:r w:rsidR="007C314C">
        <w:rPr>
          <w:lang w:eastAsia="en-AU"/>
        </w:rPr>
        <w:t>t</w:t>
      </w:r>
      <w:r w:rsidRPr="78ACF9C4">
        <w:rPr>
          <w:lang w:eastAsia="en-AU"/>
        </w:rPr>
        <w:t xml:space="preserve">raining </w:t>
      </w:r>
      <w:r w:rsidR="007C314C">
        <w:rPr>
          <w:lang w:eastAsia="en-AU"/>
        </w:rPr>
        <w:t>c</w:t>
      </w:r>
      <w:r w:rsidRPr="78ACF9C4">
        <w:rPr>
          <w:lang w:eastAsia="en-AU"/>
        </w:rPr>
        <w:t xml:space="preserve">entre that will enable PNG to </w:t>
      </w:r>
      <w:r>
        <w:rPr>
          <w:lang w:eastAsia="en-AU"/>
        </w:rPr>
        <w:t>build</w:t>
      </w:r>
      <w:r w:rsidRPr="78ACF9C4">
        <w:rPr>
          <w:lang w:eastAsia="en-AU"/>
        </w:rPr>
        <w:t xml:space="preserve"> a larger, more capable police force.</w:t>
      </w:r>
    </w:p>
    <w:p w14:paraId="52DF03DF" w14:textId="227F4CD2" w:rsidR="00FE2750" w:rsidRDefault="00FE2750" w:rsidP="00E90562">
      <w:pPr>
        <w:rPr>
          <w:lang w:eastAsia="en-AU"/>
        </w:rPr>
      </w:pPr>
      <w:r w:rsidRPr="6E76839C">
        <w:rPr>
          <w:lang w:eastAsia="en-AU"/>
        </w:rPr>
        <w:t xml:space="preserve">Our </w:t>
      </w:r>
      <w:r w:rsidRPr="6E76839C" w:rsidDel="00A20B81">
        <w:rPr>
          <w:lang w:eastAsia="en-AU"/>
        </w:rPr>
        <w:t>Australia</w:t>
      </w:r>
      <w:r w:rsidR="00DF4667">
        <w:rPr>
          <w:lang w:eastAsia="en-AU"/>
        </w:rPr>
        <w:t>–</w:t>
      </w:r>
      <w:r w:rsidRPr="6E76839C">
        <w:rPr>
          <w:lang w:eastAsia="en-AU"/>
        </w:rPr>
        <w:t>Papua New Guinea</w:t>
      </w:r>
      <w:r w:rsidR="0093014E">
        <w:rPr>
          <w:lang w:eastAsia="en-AU"/>
        </w:rPr>
        <w:t xml:space="preserve"> </w:t>
      </w:r>
      <w:r w:rsidRPr="6E76839C">
        <w:rPr>
          <w:lang w:eastAsia="en-AU"/>
        </w:rPr>
        <w:t xml:space="preserve">Law and Justice Partnership supports PNG to provide inclusive law and justice services to its citizens. It strengthens community-level safety and justice mechanisms, including by establishing safe houses for women escaping violence. It also works to build the capabilities of national departments, </w:t>
      </w:r>
      <w:proofErr w:type="gramStart"/>
      <w:r w:rsidRPr="6E76839C">
        <w:rPr>
          <w:lang w:eastAsia="en-AU"/>
        </w:rPr>
        <w:t>agencies</w:t>
      </w:r>
      <w:proofErr w:type="gramEnd"/>
      <w:r w:rsidRPr="6E76839C">
        <w:rPr>
          <w:lang w:eastAsia="en-AU"/>
        </w:rPr>
        <w:t xml:space="preserve"> and the courts. </w:t>
      </w:r>
      <w:r w:rsidR="0084722B">
        <w:rPr>
          <w:lang w:eastAsia="en-AU"/>
        </w:rPr>
        <w:t xml:space="preserve">Under the BSA, </w:t>
      </w:r>
      <w:r w:rsidRPr="6E76839C">
        <w:rPr>
          <w:lang w:eastAsia="en-AU"/>
        </w:rPr>
        <w:t>Australia has boosted investment</w:t>
      </w:r>
      <w:r w:rsidRPr="67540A86">
        <w:rPr>
          <w:lang w:eastAsia="en-AU"/>
        </w:rPr>
        <w:t xml:space="preserve"> in</w:t>
      </w:r>
      <w:r w:rsidRPr="6E76839C">
        <w:rPr>
          <w:lang w:eastAsia="en-AU"/>
        </w:rPr>
        <w:t xml:space="preserve"> this partnership by 25</w:t>
      </w:r>
      <w:r w:rsidR="00D04958">
        <w:rPr>
          <w:lang w:eastAsia="en-AU"/>
        </w:rPr>
        <w:t> </w:t>
      </w:r>
      <w:r w:rsidRPr="6E76839C">
        <w:rPr>
          <w:lang w:eastAsia="en-AU"/>
        </w:rPr>
        <w:t xml:space="preserve">per cent for the next </w:t>
      </w:r>
      <w:r w:rsidR="00D04958">
        <w:rPr>
          <w:lang w:eastAsia="en-AU"/>
        </w:rPr>
        <w:t>4 </w:t>
      </w:r>
      <w:r w:rsidRPr="6E76839C">
        <w:rPr>
          <w:lang w:eastAsia="en-AU"/>
        </w:rPr>
        <w:t>years to better respond to PNG’s security needs.</w:t>
      </w:r>
    </w:p>
    <w:p w14:paraId="50A45555" w14:textId="22E84B51" w:rsidR="00FE2750" w:rsidRDefault="00FE2750" w:rsidP="00E90562">
      <w:pPr>
        <w:rPr>
          <w:lang w:eastAsia="en-AU"/>
        </w:rPr>
      </w:pPr>
      <w:r w:rsidRPr="06A22A5E">
        <w:rPr>
          <w:lang w:eastAsia="en-AU"/>
        </w:rPr>
        <w:t>Australia’s</w:t>
      </w:r>
      <w:r w:rsidRPr="6E76839C">
        <w:rPr>
          <w:lang w:eastAsia="en-AU"/>
        </w:rPr>
        <w:t xml:space="preserve"> Attorney-General’s Department works with PNG’s Department of Justice and Attorney General to progress legal policy development and law reform. Several Australian judges sit as judges o</w:t>
      </w:r>
      <w:r w:rsidR="005566E7">
        <w:rPr>
          <w:lang w:eastAsia="en-AU"/>
        </w:rPr>
        <w:t>n</w:t>
      </w:r>
      <w:r w:rsidRPr="6E76839C">
        <w:rPr>
          <w:lang w:eastAsia="en-AU"/>
        </w:rPr>
        <w:t xml:space="preserve"> the PNG Supreme and National Courts.</w:t>
      </w:r>
      <w:r>
        <w:rPr>
          <w:lang w:eastAsia="en-AU"/>
        </w:rPr>
        <w:t xml:space="preserve"> </w:t>
      </w:r>
      <w:r w:rsidRPr="6A26A024">
        <w:rPr>
          <w:lang w:eastAsia="en-AU"/>
        </w:rPr>
        <w:t xml:space="preserve">The Defence Cooperation </w:t>
      </w:r>
      <w:r w:rsidRPr="4255C72C">
        <w:rPr>
          <w:lang w:eastAsia="en-AU"/>
        </w:rPr>
        <w:t>Program</w:t>
      </w:r>
      <w:r w:rsidRPr="6A26A024">
        <w:rPr>
          <w:lang w:eastAsia="en-AU"/>
        </w:rPr>
        <w:t xml:space="preserve"> between PNG and Australia is our largest bilateral defence cooperation program</w:t>
      </w:r>
      <w:r>
        <w:rPr>
          <w:lang w:eastAsia="en-AU"/>
        </w:rPr>
        <w:t xml:space="preserve"> (non-ODA)</w:t>
      </w:r>
      <w:r w:rsidRPr="6A26A024">
        <w:rPr>
          <w:lang w:eastAsia="en-AU"/>
        </w:rPr>
        <w:t xml:space="preserve">. The core features of this engagement include education, training and exercises with PNG Defence Force partners, military capability cooperation, gifting of defence assets and </w:t>
      </w:r>
      <w:r w:rsidR="00721E1F">
        <w:rPr>
          <w:lang w:eastAsia="en-AU"/>
        </w:rPr>
        <w:t xml:space="preserve">supporting </w:t>
      </w:r>
      <w:r w:rsidRPr="6A26A024">
        <w:rPr>
          <w:lang w:eastAsia="en-AU"/>
        </w:rPr>
        <w:t>infrastructure for PNG</w:t>
      </w:r>
      <w:r w:rsidR="0095486E">
        <w:rPr>
          <w:lang w:eastAsia="en-AU"/>
        </w:rPr>
        <w:t xml:space="preserve"> </w:t>
      </w:r>
      <w:r w:rsidRPr="6A26A024">
        <w:rPr>
          <w:lang w:eastAsia="en-AU"/>
        </w:rPr>
        <w:t>D</w:t>
      </w:r>
      <w:r w:rsidR="0095486E">
        <w:rPr>
          <w:lang w:eastAsia="en-AU"/>
        </w:rPr>
        <w:t xml:space="preserve">efence </w:t>
      </w:r>
      <w:r w:rsidRPr="6A26A024">
        <w:rPr>
          <w:lang w:eastAsia="en-AU"/>
        </w:rPr>
        <w:t>F</w:t>
      </w:r>
      <w:r w:rsidR="0095486E">
        <w:rPr>
          <w:lang w:eastAsia="en-AU"/>
        </w:rPr>
        <w:t>orce</w:t>
      </w:r>
      <w:r w:rsidRPr="6A26A024">
        <w:rPr>
          <w:lang w:eastAsia="en-AU"/>
        </w:rPr>
        <w:t xml:space="preserve"> military bases.</w:t>
      </w:r>
    </w:p>
    <w:p w14:paraId="4B6A771E" w14:textId="0BC34C57" w:rsidR="00FE2750" w:rsidRPr="00530588" w:rsidRDefault="00FE2750" w:rsidP="00E90562">
      <w:r>
        <w:rPr>
          <w:lang w:eastAsia="en-AU"/>
        </w:rPr>
        <w:t>Australia will increase support for PNG to effectively address escalating tribal violence, particularly in the Highlands. Through the PNG</w:t>
      </w:r>
      <w:r w:rsidR="00865588">
        <w:rPr>
          <w:lang w:eastAsia="en-AU"/>
        </w:rPr>
        <w:t>–</w:t>
      </w:r>
      <w:r>
        <w:rPr>
          <w:lang w:eastAsia="en-AU"/>
        </w:rPr>
        <w:t>A</w:t>
      </w:r>
      <w:r w:rsidR="00861DD2">
        <w:rPr>
          <w:lang w:eastAsia="en-AU"/>
        </w:rPr>
        <w:t xml:space="preserve">ustralia </w:t>
      </w:r>
      <w:r>
        <w:rPr>
          <w:lang w:eastAsia="en-AU"/>
        </w:rPr>
        <w:t>P</w:t>
      </w:r>
      <w:r w:rsidR="00861DD2">
        <w:rPr>
          <w:lang w:eastAsia="en-AU"/>
        </w:rPr>
        <w:t xml:space="preserve">olicing </w:t>
      </w:r>
      <w:r>
        <w:rPr>
          <w:lang w:eastAsia="en-AU"/>
        </w:rPr>
        <w:t>P</w:t>
      </w:r>
      <w:r w:rsidR="00861DD2">
        <w:rPr>
          <w:lang w:eastAsia="en-AU"/>
        </w:rPr>
        <w:t>artnership</w:t>
      </w:r>
      <w:r>
        <w:rPr>
          <w:lang w:eastAsia="en-AU"/>
        </w:rPr>
        <w:t xml:space="preserve">, </w:t>
      </w:r>
      <w:r w:rsidR="009770DC">
        <w:rPr>
          <w:lang w:eastAsia="en-AU"/>
        </w:rPr>
        <w:t xml:space="preserve">the </w:t>
      </w:r>
      <w:r w:rsidR="00861DD2">
        <w:rPr>
          <w:lang w:eastAsia="en-AU"/>
        </w:rPr>
        <w:t xml:space="preserve">Defence Cooperation </w:t>
      </w:r>
      <w:proofErr w:type="gramStart"/>
      <w:r w:rsidR="00861DD2">
        <w:rPr>
          <w:lang w:eastAsia="en-AU"/>
        </w:rPr>
        <w:t>Program</w:t>
      </w:r>
      <w:proofErr w:type="gramEnd"/>
      <w:r w:rsidR="00861DD2">
        <w:rPr>
          <w:lang w:eastAsia="en-AU"/>
        </w:rPr>
        <w:t xml:space="preserve"> </w:t>
      </w:r>
      <w:r>
        <w:rPr>
          <w:lang w:eastAsia="en-AU"/>
        </w:rPr>
        <w:t>and our partnership with the International Committee of the Red Cross, we provide prevention and protection support for conflict-affected and displaced communities and work with tribal groups to identify durable conflict</w:t>
      </w:r>
      <w:r w:rsidR="00FC4C7C">
        <w:rPr>
          <w:lang w:eastAsia="en-AU"/>
        </w:rPr>
        <w:t>-</w:t>
      </w:r>
      <w:r>
        <w:rPr>
          <w:lang w:eastAsia="en-AU"/>
        </w:rPr>
        <w:t>resolution and reconciliation mechanisms.</w:t>
      </w:r>
    </w:p>
    <w:p w14:paraId="4E68A08D" w14:textId="5E5469CA" w:rsidR="00FE2750" w:rsidRPr="00184DEE" w:rsidRDefault="00FE2750" w:rsidP="00E90562">
      <w:pPr>
        <w:rPr>
          <w:lang w:eastAsia="en-AU"/>
        </w:rPr>
      </w:pPr>
      <w:r>
        <w:rPr>
          <w:lang w:eastAsia="en-AU"/>
        </w:rPr>
        <w:t>PNG’s</w:t>
      </w:r>
      <w:r w:rsidRPr="00184DEE">
        <w:rPr>
          <w:lang w:eastAsia="en-AU"/>
        </w:rPr>
        <w:t xml:space="preserve"> MTDP</w:t>
      </w:r>
      <w:r w:rsidR="00FC4C7C">
        <w:rPr>
          <w:lang w:eastAsia="en-AU"/>
        </w:rPr>
        <w:t> </w:t>
      </w:r>
      <w:r w:rsidRPr="00184DEE">
        <w:rPr>
          <w:lang w:eastAsia="en-AU"/>
        </w:rPr>
        <w:t xml:space="preserve">IV identifies corruption and ineffective governance as significant risks to PNG’s development. We </w:t>
      </w:r>
      <w:r>
        <w:rPr>
          <w:lang w:eastAsia="en-AU"/>
        </w:rPr>
        <w:t xml:space="preserve">will continue to support PNG to </w:t>
      </w:r>
      <w:r w:rsidRPr="00184DEE">
        <w:rPr>
          <w:lang w:eastAsia="en-AU"/>
        </w:rPr>
        <w:t xml:space="preserve">strengthen financial systems against money laundering and corrupt </w:t>
      </w:r>
      <w:proofErr w:type="gramStart"/>
      <w:r w:rsidRPr="00184DEE">
        <w:rPr>
          <w:lang w:eastAsia="en-AU"/>
        </w:rPr>
        <w:t>activity</w:t>
      </w:r>
      <w:r>
        <w:rPr>
          <w:lang w:eastAsia="en-AU"/>
        </w:rPr>
        <w:t>,</w:t>
      </w:r>
      <w:r w:rsidRPr="00184DEE">
        <w:rPr>
          <w:lang w:eastAsia="en-AU"/>
        </w:rPr>
        <w:t xml:space="preserve"> and</w:t>
      </w:r>
      <w:proofErr w:type="gramEnd"/>
      <w:r w:rsidRPr="00184DEE">
        <w:rPr>
          <w:lang w:eastAsia="en-AU"/>
        </w:rPr>
        <w:t xml:space="preserve"> </w:t>
      </w:r>
      <w:r>
        <w:rPr>
          <w:lang w:eastAsia="en-AU"/>
        </w:rPr>
        <w:t>are exploring opportunities to bolster integrity</w:t>
      </w:r>
      <w:r w:rsidRPr="00184DEE">
        <w:rPr>
          <w:lang w:eastAsia="en-AU"/>
        </w:rPr>
        <w:t xml:space="preserve"> institutions </w:t>
      </w:r>
      <w:r>
        <w:rPr>
          <w:lang w:eastAsia="en-AU"/>
        </w:rPr>
        <w:t>including</w:t>
      </w:r>
      <w:r w:rsidRPr="00184DEE">
        <w:rPr>
          <w:lang w:eastAsia="en-AU"/>
        </w:rPr>
        <w:t xml:space="preserve"> the newly established PNG I</w:t>
      </w:r>
      <w:r>
        <w:rPr>
          <w:lang w:eastAsia="en-AU"/>
        </w:rPr>
        <w:t>ndependent Commission Against Corruption (ICAC)</w:t>
      </w:r>
      <w:r w:rsidRPr="00184DEE">
        <w:rPr>
          <w:lang w:eastAsia="en-AU"/>
        </w:rPr>
        <w:t>.</w:t>
      </w:r>
    </w:p>
    <w:p w14:paraId="1EE41538" w14:textId="1AD43CFC" w:rsidR="00FE2750" w:rsidRPr="0051385E" w:rsidRDefault="00FE2750" w:rsidP="00E90562">
      <w:pPr>
        <w:rPr>
          <w:lang w:eastAsia="en-AU"/>
        </w:rPr>
      </w:pPr>
      <w:r w:rsidRPr="54A711B3">
        <w:t>Civil society plays a critical role in</w:t>
      </w:r>
      <w:r w:rsidRPr="54A711B3">
        <w:rPr>
          <w:lang w:eastAsia="en-AU"/>
        </w:rPr>
        <w:t xml:space="preserve"> strengthening public demand for transparency and accountability. Through our Building Community Engagement in PNG Program (BCEP), we work with civil society organisations, </w:t>
      </w:r>
      <w:proofErr w:type="gramStart"/>
      <w:r w:rsidRPr="54A711B3">
        <w:rPr>
          <w:lang w:eastAsia="en-AU"/>
        </w:rPr>
        <w:t>churches</w:t>
      </w:r>
      <w:proofErr w:type="gramEnd"/>
      <w:r w:rsidRPr="54A711B3">
        <w:rPr>
          <w:lang w:eastAsia="en-AU"/>
        </w:rPr>
        <w:t xml:space="preserve"> and progressive leaders to build stronger state</w:t>
      </w:r>
      <w:r w:rsidR="00AB3D40">
        <w:rPr>
          <w:lang w:eastAsia="en-AU"/>
        </w:rPr>
        <w:t>–</w:t>
      </w:r>
      <w:r w:rsidRPr="54A711B3">
        <w:rPr>
          <w:lang w:eastAsia="en-AU"/>
        </w:rPr>
        <w:t xml:space="preserve">citizen relationships and strengthen demand for better service delivery. </w:t>
      </w:r>
      <w:r>
        <w:rPr>
          <w:lang w:eastAsia="en-AU"/>
        </w:rPr>
        <w:t>T</w:t>
      </w:r>
      <w:r w:rsidRPr="54A711B3">
        <w:rPr>
          <w:lang w:eastAsia="en-AU"/>
        </w:rPr>
        <w:t xml:space="preserve">he partnership </w:t>
      </w:r>
      <w:r>
        <w:rPr>
          <w:lang w:eastAsia="en-AU"/>
        </w:rPr>
        <w:t xml:space="preserve">between </w:t>
      </w:r>
      <w:r w:rsidRPr="54A711B3">
        <w:rPr>
          <w:lang w:eastAsia="en-AU"/>
        </w:rPr>
        <w:t>ABC International, the PNG National Broadcasting Corporation and other media actors supports an impartial, free PNG media. Both BCEP and PNG</w:t>
      </w:r>
      <w:r>
        <w:rPr>
          <w:lang w:eastAsia="en-AU"/>
        </w:rPr>
        <w:t xml:space="preserve"> </w:t>
      </w:r>
      <w:r w:rsidRPr="54A711B3">
        <w:rPr>
          <w:lang w:eastAsia="en-AU"/>
        </w:rPr>
        <w:t>W</w:t>
      </w:r>
      <w:r>
        <w:rPr>
          <w:lang w:eastAsia="en-AU"/>
        </w:rPr>
        <w:t xml:space="preserve">omen </w:t>
      </w:r>
      <w:r w:rsidRPr="54A711B3">
        <w:rPr>
          <w:lang w:eastAsia="en-AU"/>
        </w:rPr>
        <w:t>L</w:t>
      </w:r>
      <w:r>
        <w:rPr>
          <w:lang w:eastAsia="en-AU"/>
        </w:rPr>
        <w:t>ead</w:t>
      </w:r>
      <w:r w:rsidRPr="54A711B3">
        <w:rPr>
          <w:lang w:eastAsia="en-AU"/>
        </w:rPr>
        <w:t xml:space="preserve"> will continue to support women’s organisations and networks to advocate for women’s human rights.</w:t>
      </w:r>
    </w:p>
    <w:p w14:paraId="2F0ED093" w14:textId="5B343E3A" w:rsidR="00FE2750" w:rsidRDefault="00FE2750" w:rsidP="00E90562">
      <w:pPr>
        <w:rPr>
          <w:lang w:eastAsia="en-AU"/>
        </w:rPr>
      </w:pPr>
      <w:r w:rsidRPr="54A711B3">
        <w:rPr>
          <w:lang w:eastAsia="en-AU"/>
        </w:rPr>
        <w:lastRenderedPageBreak/>
        <w:t xml:space="preserve">Efficient and credible elections are critical to a safe, stable PNG. We will work with partners to support election reform efforts and provide long-term support for election administration, planning and delivery, in line with the recommendations of a 2023 PNG parliamentary committee review. Our considerable experience in election support prepares us well to focus on </w:t>
      </w:r>
      <w:r w:rsidR="00A33410">
        <w:rPr>
          <w:lang w:eastAsia="en-AU"/>
        </w:rPr>
        <w:t xml:space="preserve">the </w:t>
      </w:r>
      <w:r w:rsidRPr="54A711B3">
        <w:rPr>
          <w:lang w:eastAsia="en-AU"/>
        </w:rPr>
        <w:t>prevention of GBV during election cycles.</w:t>
      </w:r>
    </w:p>
    <w:p w14:paraId="4E3347EC" w14:textId="16C01971" w:rsidR="002F4955" w:rsidRPr="009F3ACA" w:rsidRDefault="00FE2750" w:rsidP="003833C8">
      <w:r w:rsidRPr="00EA3443">
        <w:rPr>
          <w:lang w:eastAsia="en-AU"/>
        </w:rPr>
        <w:t xml:space="preserve">Across our development program, we are supporting functional, </w:t>
      </w:r>
      <w:proofErr w:type="gramStart"/>
      <w:r w:rsidRPr="00EA3443">
        <w:rPr>
          <w:lang w:eastAsia="en-AU"/>
        </w:rPr>
        <w:t>affordable</w:t>
      </w:r>
      <w:proofErr w:type="gramEnd"/>
      <w:r w:rsidRPr="00EA3443">
        <w:rPr>
          <w:lang w:eastAsia="en-AU"/>
        </w:rPr>
        <w:t xml:space="preserve"> and accountable institutions that are key to effective economic management and service delivery. </w:t>
      </w:r>
      <w:r w:rsidRPr="00184DEE">
        <w:t xml:space="preserve">We will continue to couple our infrastructure programs with support for the PNG Government’s </w:t>
      </w:r>
      <w:r>
        <w:t xml:space="preserve">efforts to reform </w:t>
      </w:r>
      <w:r w:rsidR="00AD339E">
        <w:t>s</w:t>
      </w:r>
      <w:r w:rsidRPr="06A22A5E">
        <w:t>tate</w:t>
      </w:r>
      <w:r w:rsidR="00AD339E">
        <w:t>-o</w:t>
      </w:r>
      <w:r w:rsidRPr="06A22A5E">
        <w:t xml:space="preserve">wned </w:t>
      </w:r>
      <w:r w:rsidR="00AD339E">
        <w:t>e</w:t>
      </w:r>
      <w:r w:rsidRPr="06A22A5E">
        <w:t>nterprises</w:t>
      </w:r>
      <w:r w:rsidRPr="00184DEE">
        <w:t xml:space="preserve"> (SOE</w:t>
      </w:r>
      <w:r w:rsidR="00B3399E">
        <w:t>s</w:t>
      </w:r>
      <w:r w:rsidRPr="00184DEE">
        <w:t>)</w:t>
      </w:r>
      <w:r>
        <w:t>,</w:t>
      </w:r>
      <w:r w:rsidRPr="00184DEE">
        <w:t xml:space="preserve"> working with the ADB. Improved governance and financial management in PNG’s SOEs and </w:t>
      </w:r>
      <w:r>
        <w:t>g</w:t>
      </w:r>
      <w:r w:rsidRPr="00184DEE">
        <w:t>overnment agencies will support more effective infrastructure development and service delivery.</w:t>
      </w:r>
    </w:p>
    <w:p w14:paraId="205B130F" w14:textId="24103E82" w:rsidR="002F4955" w:rsidRPr="009F3ACA" w:rsidRDefault="002F4955" w:rsidP="00E737AF">
      <w:pPr>
        <w:pStyle w:val="H3-Heading3"/>
      </w:pPr>
      <w:r w:rsidRPr="5738B046">
        <w:t xml:space="preserve">Objective 3: </w:t>
      </w:r>
      <w:r w:rsidR="00FB286F" w:rsidRPr="00012149">
        <w:rPr>
          <w:rFonts w:eastAsiaTheme="minorEastAsia"/>
        </w:rPr>
        <w:t xml:space="preserve">Investing in </w:t>
      </w:r>
      <w:r w:rsidR="00FB286F">
        <w:rPr>
          <w:rFonts w:eastAsiaTheme="minorEastAsia"/>
        </w:rPr>
        <w:t>p</w:t>
      </w:r>
      <w:r w:rsidR="00FB286F" w:rsidRPr="00012149">
        <w:rPr>
          <w:rFonts w:eastAsiaTheme="minorEastAsia"/>
        </w:rPr>
        <w:t>eople and</w:t>
      </w:r>
      <w:r w:rsidR="001E06AC">
        <w:rPr>
          <w:rFonts w:eastAsiaTheme="minorEastAsia"/>
        </w:rPr>
        <w:t xml:space="preserve"> building</w:t>
      </w:r>
      <w:r w:rsidR="00FB286F" w:rsidRPr="00012149">
        <w:rPr>
          <w:rFonts w:eastAsiaTheme="minorEastAsia"/>
        </w:rPr>
        <w:t xml:space="preserve"> </w:t>
      </w:r>
      <w:r w:rsidR="00FB286F">
        <w:rPr>
          <w:rFonts w:eastAsiaTheme="minorEastAsia"/>
        </w:rPr>
        <w:t>r</w:t>
      </w:r>
      <w:r w:rsidR="00FB286F" w:rsidRPr="00012149">
        <w:rPr>
          <w:rFonts w:eastAsiaTheme="minorEastAsia"/>
        </w:rPr>
        <w:t xml:space="preserve">esilient </w:t>
      </w:r>
      <w:proofErr w:type="gramStart"/>
      <w:r w:rsidR="00FB286F">
        <w:rPr>
          <w:rFonts w:eastAsiaTheme="minorEastAsia"/>
        </w:rPr>
        <w:t>c</w:t>
      </w:r>
      <w:r w:rsidR="00FB286F" w:rsidRPr="00012149">
        <w:rPr>
          <w:rFonts w:eastAsiaTheme="minorEastAsia"/>
        </w:rPr>
        <w:t>ommunities</w:t>
      </w:r>
      <w:proofErr w:type="gramEnd"/>
    </w:p>
    <w:p w14:paraId="07FC3850" w14:textId="6337E9E9" w:rsidR="009B3A43" w:rsidRPr="008E6E3C" w:rsidRDefault="009B3A43" w:rsidP="00E90562">
      <w:pPr>
        <w:rPr>
          <w:lang w:eastAsia="en-AU"/>
        </w:rPr>
      </w:pPr>
      <w:r w:rsidRPr="7BDD9CB2">
        <w:rPr>
          <w:lang w:eastAsia="en-AU"/>
        </w:rPr>
        <w:t xml:space="preserve">Human capital is essential for economic development and unlocking the full potential of PNG’s young </w:t>
      </w:r>
      <w:r w:rsidR="00E86249">
        <w:rPr>
          <w:lang w:eastAsia="en-AU"/>
        </w:rPr>
        <w:t xml:space="preserve">and growing </w:t>
      </w:r>
      <w:r w:rsidRPr="7BDD9CB2">
        <w:rPr>
          <w:lang w:eastAsia="en-AU"/>
        </w:rPr>
        <w:t xml:space="preserve">population. We will invest in PNG’s people by boosting our support for education </w:t>
      </w:r>
      <w:r w:rsidR="002E525B">
        <w:rPr>
          <w:lang w:eastAsia="en-AU"/>
        </w:rPr>
        <w:t xml:space="preserve">and </w:t>
      </w:r>
      <w:r w:rsidRPr="7BDD9CB2">
        <w:rPr>
          <w:lang w:eastAsia="en-AU"/>
        </w:rPr>
        <w:t>maintaining key investments that promote better health and nutrition, improve outcomes for women and people with disabilit</w:t>
      </w:r>
      <w:r w:rsidR="002E525B">
        <w:rPr>
          <w:lang w:eastAsia="en-AU"/>
        </w:rPr>
        <w:t>y</w:t>
      </w:r>
      <w:r w:rsidRPr="7BDD9CB2">
        <w:rPr>
          <w:lang w:eastAsia="en-AU"/>
        </w:rPr>
        <w:t>, and build resilience, including in the face of a changing climate.</w:t>
      </w:r>
      <w:r w:rsidRPr="0CF8571C">
        <w:rPr>
          <w:lang w:eastAsia="en-AU"/>
        </w:rPr>
        <w:t xml:space="preserve"> </w:t>
      </w:r>
      <w:r w:rsidRPr="00CE587E">
        <w:rPr>
          <w:lang w:eastAsia="en-AU"/>
        </w:rPr>
        <w:t>This includes more coordinated</w:t>
      </w:r>
      <w:r w:rsidRPr="59B77521">
        <w:rPr>
          <w:lang w:eastAsia="en-AU"/>
        </w:rPr>
        <w:t xml:space="preserve"> approaches </w:t>
      </w:r>
      <w:r w:rsidRPr="00CE587E">
        <w:rPr>
          <w:lang w:eastAsia="en-AU"/>
        </w:rPr>
        <w:t xml:space="preserve">under a place-based approach </w:t>
      </w:r>
      <w:r w:rsidRPr="59B77521">
        <w:rPr>
          <w:lang w:eastAsia="en-AU"/>
        </w:rPr>
        <w:t xml:space="preserve">in </w:t>
      </w:r>
      <w:r w:rsidRPr="00CE587E">
        <w:rPr>
          <w:lang w:eastAsia="en-AU"/>
        </w:rPr>
        <w:t>some</w:t>
      </w:r>
      <w:r w:rsidRPr="59B77521">
        <w:rPr>
          <w:lang w:eastAsia="en-AU"/>
        </w:rPr>
        <w:t xml:space="preserve"> locations</w:t>
      </w:r>
      <w:r w:rsidRPr="67540A86">
        <w:rPr>
          <w:lang w:eastAsia="en-AU"/>
        </w:rPr>
        <w:t>, such as</w:t>
      </w:r>
      <w:r>
        <w:rPr>
          <w:lang w:eastAsia="en-AU"/>
        </w:rPr>
        <w:t xml:space="preserve"> Bougainville and Western Province, and along </w:t>
      </w:r>
      <w:r w:rsidRPr="59B77521">
        <w:rPr>
          <w:lang w:eastAsia="en-AU"/>
        </w:rPr>
        <w:t xml:space="preserve">the Kokoda </w:t>
      </w:r>
      <w:r w:rsidR="00E104EF">
        <w:rPr>
          <w:lang w:eastAsia="en-AU"/>
        </w:rPr>
        <w:t>T</w:t>
      </w:r>
      <w:r w:rsidRPr="59B77521">
        <w:rPr>
          <w:lang w:eastAsia="en-AU"/>
        </w:rPr>
        <w:t xml:space="preserve">rack where Australia </w:t>
      </w:r>
      <w:r w:rsidRPr="656B84C1">
        <w:rPr>
          <w:lang w:eastAsia="en-AU"/>
        </w:rPr>
        <w:t xml:space="preserve">supports </w:t>
      </w:r>
      <w:r>
        <w:rPr>
          <w:lang w:eastAsia="en-AU"/>
        </w:rPr>
        <w:t xml:space="preserve">access to essential </w:t>
      </w:r>
      <w:r w:rsidRPr="656B84C1">
        <w:rPr>
          <w:lang w:eastAsia="en-AU"/>
        </w:rPr>
        <w:t>service</w:t>
      </w:r>
      <w:r>
        <w:rPr>
          <w:lang w:eastAsia="en-AU"/>
        </w:rPr>
        <w:t>s</w:t>
      </w:r>
      <w:r w:rsidRPr="656B84C1">
        <w:rPr>
          <w:lang w:eastAsia="en-AU"/>
        </w:rPr>
        <w:t xml:space="preserve"> and livelihood activities.</w:t>
      </w:r>
    </w:p>
    <w:p w14:paraId="72090CF5" w14:textId="63025E82" w:rsidR="009B3A43" w:rsidRPr="00BE6C84" w:rsidRDefault="009B3A43" w:rsidP="00E90562">
      <w:pPr>
        <w:rPr>
          <w:lang w:eastAsia="en-AU"/>
        </w:rPr>
      </w:pPr>
      <w:r w:rsidRPr="54A711B3">
        <w:rPr>
          <w:lang w:eastAsia="en-AU"/>
        </w:rPr>
        <w:t xml:space="preserve">Australia and PNG jointly recognise that </w:t>
      </w:r>
      <w:r w:rsidR="00A938EB">
        <w:rPr>
          <w:lang w:eastAsia="en-AU"/>
        </w:rPr>
        <w:t>high-</w:t>
      </w:r>
      <w:r w:rsidRPr="54A711B3">
        <w:rPr>
          <w:lang w:eastAsia="en-AU"/>
        </w:rPr>
        <w:t>quality education is a key vehicle for human capital development. Australia will boost its overall investment in education from $</w:t>
      </w:r>
      <w:r>
        <w:rPr>
          <w:lang w:eastAsia="en-AU"/>
        </w:rPr>
        <w:t>75</w:t>
      </w:r>
      <w:r w:rsidR="00C7003E">
        <w:rPr>
          <w:lang w:eastAsia="en-AU"/>
        </w:rPr>
        <w:t> </w:t>
      </w:r>
      <w:r w:rsidRPr="54A711B3">
        <w:rPr>
          <w:lang w:eastAsia="en-AU"/>
        </w:rPr>
        <w:t xml:space="preserve">million to </w:t>
      </w:r>
      <w:r w:rsidR="00C7003E">
        <w:rPr>
          <w:lang w:eastAsia="en-AU"/>
        </w:rPr>
        <w:t xml:space="preserve">more than </w:t>
      </w:r>
      <w:r w:rsidRPr="54A711B3">
        <w:rPr>
          <w:lang w:eastAsia="en-AU"/>
        </w:rPr>
        <w:t>$</w:t>
      </w:r>
      <w:r>
        <w:rPr>
          <w:lang w:eastAsia="en-AU"/>
        </w:rPr>
        <w:t>100</w:t>
      </w:r>
      <w:r w:rsidR="00C7003E">
        <w:rPr>
          <w:lang w:eastAsia="en-AU"/>
        </w:rPr>
        <w:t> </w:t>
      </w:r>
      <w:r w:rsidRPr="54A711B3">
        <w:rPr>
          <w:lang w:eastAsia="en-AU"/>
        </w:rPr>
        <w:t xml:space="preserve">million </w:t>
      </w:r>
      <w:r>
        <w:rPr>
          <w:lang w:eastAsia="en-AU"/>
        </w:rPr>
        <w:t xml:space="preserve">(ODA) </w:t>
      </w:r>
      <w:r w:rsidRPr="54A711B3">
        <w:rPr>
          <w:lang w:eastAsia="en-AU"/>
        </w:rPr>
        <w:t xml:space="preserve">per year over the next </w:t>
      </w:r>
      <w:r w:rsidR="00C7003E">
        <w:rPr>
          <w:lang w:eastAsia="en-AU"/>
        </w:rPr>
        <w:t>4 </w:t>
      </w:r>
      <w:r w:rsidRPr="54A711B3">
        <w:rPr>
          <w:lang w:eastAsia="en-AU"/>
        </w:rPr>
        <w:t xml:space="preserve">years, increasing our focus on access, student retention and learning outcomes. Our lift in education will support more students to enter the workforce with the skills that they need. We will also encourage </w:t>
      </w:r>
      <w:r>
        <w:rPr>
          <w:lang w:eastAsia="en-AU"/>
        </w:rPr>
        <w:t>greater</w:t>
      </w:r>
      <w:r w:rsidRPr="54A711B3">
        <w:rPr>
          <w:lang w:eastAsia="en-AU"/>
        </w:rPr>
        <w:t xml:space="preserve"> links between our education systems.</w:t>
      </w:r>
    </w:p>
    <w:p w14:paraId="6043002C" w14:textId="6CF098A9" w:rsidR="009B3A43" w:rsidRPr="00BE6C84" w:rsidRDefault="009B3A43" w:rsidP="00E90562">
      <w:pPr>
        <w:rPr>
          <w:lang w:eastAsia="en-AU"/>
        </w:rPr>
      </w:pPr>
      <w:r w:rsidRPr="54A711B3">
        <w:rPr>
          <w:lang w:eastAsia="en-AU"/>
        </w:rPr>
        <w:t xml:space="preserve">Australia will expand support for foundational education in PNG as a key pathway to employment through secondary, </w:t>
      </w:r>
      <w:proofErr w:type="gramStart"/>
      <w:r w:rsidRPr="54A711B3">
        <w:rPr>
          <w:lang w:eastAsia="en-AU"/>
        </w:rPr>
        <w:t>technical</w:t>
      </w:r>
      <w:proofErr w:type="gramEnd"/>
      <w:r w:rsidRPr="54A711B3">
        <w:rPr>
          <w:lang w:eastAsia="en-AU"/>
        </w:rPr>
        <w:t xml:space="preserve"> and tertiary education. We will focus on supporting girls’ education and reducing their high dropout rates. We will also support PNG</w:t>
      </w:r>
      <w:r>
        <w:rPr>
          <w:lang w:eastAsia="en-AU"/>
        </w:rPr>
        <w:t>’</w:t>
      </w:r>
      <w:r w:rsidRPr="54A711B3">
        <w:rPr>
          <w:lang w:eastAsia="en-AU"/>
        </w:rPr>
        <w:t xml:space="preserve">s </w:t>
      </w:r>
      <w:r w:rsidRPr="00656758">
        <w:rPr>
          <w:lang w:eastAsia="en-AU"/>
        </w:rPr>
        <w:t xml:space="preserve">high-performing upper secondary schools </w:t>
      </w:r>
      <w:r w:rsidRPr="54A711B3">
        <w:rPr>
          <w:lang w:eastAsia="en-AU"/>
        </w:rPr>
        <w:t xml:space="preserve">and assist more students to progress to higher education. We will continue to invest in higher education opportunities through our </w:t>
      </w:r>
      <w:hyperlink r:id="rId13">
        <w:r w:rsidRPr="54A711B3">
          <w:rPr>
            <w:lang w:eastAsia="en-AU"/>
          </w:rPr>
          <w:t>Australia Awards</w:t>
        </w:r>
      </w:hyperlink>
      <w:r w:rsidRPr="54A711B3">
        <w:rPr>
          <w:lang w:eastAsia="en-AU"/>
        </w:rPr>
        <w:t xml:space="preserve"> in PNG Program and build PNG’s research capability, including through the Pacific Research Program.</w:t>
      </w:r>
    </w:p>
    <w:p w14:paraId="056A8ADA" w14:textId="28CA8AE6" w:rsidR="009B3A43" w:rsidRPr="00BE6C84" w:rsidRDefault="009B3A43" w:rsidP="00E90562">
      <w:pPr>
        <w:rPr>
          <w:lang w:eastAsia="en-AU"/>
        </w:rPr>
      </w:pPr>
      <w:r w:rsidRPr="54A711B3">
        <w:rPr>
          <w:lang w:eastAsia="en-AU"/>
        </w:rPr>
        <w:t xml:space="preserve">We will continue to invest in PNG’s TVET colleges and systems, including to support PNG </w:t>
      </w:r>
      <w:r w:rsidR="00D60003">
        <w:rPr>
          <w:lang w:eastAsia="en-AU"/>
        </w:rPr>
        <w:t xml:space="preserve">to </w:t>
      </w:r>
      <w:r w:rsidRPr="54A711B3">
        <w:rPr>
          <w:lang w:eastAsia="en-AU"/>
        </w:rPr>
        <w:t>access additional finance for this important sector, responding to the opportunities offered by PNG’s growing youth dividend. In partnership with the ADB, we will work to improve the employment outcomes of students from TVET institutions across the country to meet domestic labour gaps and labour mobility opportunities. An increased focus on labour mobility priorities</w:t>
      </w:r>
      <w:r>
        <w:rPr>
          <w:lang w:eastAsia="en-AU"/>
        </w:rPr>
        <w:t xml:space="preserve"> </w:t>
      </w:r>
      <w:r w:rsidRPr="00656758">
        <w:rPr>
          <w:lang w:eastAsia="en-AU"/>
        </w:rPr>
        <w:t>in our skills investments</w:t>
      </w:r>
      <w:r w:rsidRPr="54A711B3">
        <w:rPr>
          <w:lang w:eastAsia="en-AU"/>
        </w:rPr>
        <w:t xml:space="preserve"> will help improve the competitiveness of potential PNG Pacific Australia Labour Mobility (PALM) workers, in line with PNG’s goal to grow the number of citizens benefit</w:t>
      </w:r>
      <w:r w:rsidR="000618AC">
        <w:rPr>
          <w:lang w:eastAsia="en-AU"/>
        </w:rPr>
        <w:t>ing</w:t>
      </w:r>
      <w:r w:rsidRPr="54A711B3">
        <w:rPr>
          <w:lang w:eastAsia="en-AU"/>
        </w:rPr>
        <w:t xml:space="preserve"> from overseas labour schemes to 8</w:t>
      </w:r>
      <w:r w:rsidR="003E5112">
        <w:rPr>
          <w:lang w:eastAsia="en-AU"/>
        </w:rPr>
        <w:t>,</w:t>
      </w:r>
      <w:r w:rsidRPr="54A711B3">
        <w:rPr>
          <w:lang w:eastAsia="en-AU"/>
        </w:rPr>
        <w:t>000.</w:t>
      </w:r>
    </w:p>
    <w:p w14:paraId="635D9221" w14:textId="6532307A" w:rsidR="009B3A43" w:rsidRPr="00BE6C84" w:rsidRDefault="009B3A43" w:rsidP="00E90562">
      <w:pPr>
        <w:rPr>
          <w:lang w:eastAsia="en-AU"/>
        </w:rPr>
      </w:pPr>
      <w:r w:rsidRPr="54A711B3">
        <w:rPr>
          <w:lang w:eastAsia="en-AU"/>
        </w:rPr>
        <w:t>Australia will maintain our support for essential health services</w:t>
      </w:r>
      <w:r w:rsidRPr="00187028">
        <w:rPr>
          <w:lang w:eastAsia="en-AU"/>
        </w:rPr>
        <w:t xml:space="preserve"> </w:t>
      </w:r>
      <w:r w:rsidRPr="54A711B3">
        <w:rPr>
          <w:lang w:eastAsia="en-AU"/>
        </w:rPr>
        <w:t>as another foundational requirement for human capital development</w:t>
      </w:r>
      <w:r>
        <w:rPr>
          <w:lang w:eastAsia="en-AU"/>
        </w:rPr>
        <w:t xml:space="preserve">. Our portfolio of investments is targeted to PNG’s health sector challenges. We </w:t>
      </w:r>
      <w:r w:rsidRPr="00F32EE7">
        <w:rPr>
          <w:lang w:eastAsia="en-AU"/>
        </w:rPr>
        <w:t xml:space="preserve">will change the way funding is delivered to make investments more coherent, streamlined and aligned with </w:t>
      </w:r>
      <w:r>
        <w:rPr>
          <w:lang w:eastAsia="en-AU"/>
        </w:rPr>
        <w:t xml:space="preserve">the </w:t>
      </w:r>
      <w:r w:rsidRPr="00F32EE7">
        <w:rPr>
          <w:lang w:eastAsia="en-AU"/>
        </w:rPr>
        <w:t>PNG</w:t>
      </w:r>
      <w:r>
        <w:rPr>
          <w:lang w:eastAsia="en-AU"/>
        </w:rPr>
        <w:t xml:space="preserve"> Government’s</w:t>
      </w:r>
      <w:r w:rsidRPr="00F32EE7">
        <w:rPr>
          <w:lang w:eastAsia="en-AU"/>
        </w:rPr>
        <w:t xml:space="preserve"> priorities and plans.</w:t>
      </w:r>
      <w:r>
        <w:rPr>
          <w:lang w:eastAsia="en-AU"/>
        </w:rPr>
        <w:t xml:space="preserve"> We will</w:t>
      </w:r>
      <w:r w:rsidRPr="54A711B3">
        <w:rPr>
          <w:lang w:eastAsia="en-AU"/>
        </w:rPr>
        <w:t xml:space="preserve"> build system capacity to deliver sustainable and efficient models of</w:t>
      </w:r>
      <w:r>
        <w:rPr>
          <w:lang w:eastAsia="en-AU"/>
        </w:rPr>
        <w:t xml:space="preserve"> care</w:t>
      </w:r>
      <w:r w:rsidRPr="54A711B3">
        <w:rPr>
          <w:lang w:eastAsia="en-AU"/>
        </w:rPr>
        <w:t xml:space="preserve">. We will invest in </w:t>
      </w:r>
      <w:r>
        <w:rPr>
          <w:lang w:eastAsia="en-AU"/>
        </w:rPr>
        <w:t>health</w:t>
      </w:r>
      <w:r w:rsidRPr="54A711B3">
        <w:rPr>
          <w:lang w:eastAsia="en-AU"/>
        </w:rPr>
        <w:t xml:space="preserve"> facilities </w:t>
      </w:r>
      <w:r>
        <w:rPr>
          <w:lang w:eastAsia="en-AU"/>
        </w:rPr>
        <w:t xml:space="preserve">where they </w:t>
      </w:r>
      <w:r w:rsidRPr="54A711B3">
        <w:rPr>
          <w:lang w:eastAsia="en-AU"/>
        </w:rPr>
        <w:t xml:space="preserve">are critical to provision of services, including support to assist these facilities to operate as intended, and </w:t>
      </w:r>
      <w:r>
        <w:rPr>
          <w:lang w:eastAsia="en-AU"/>
        </w:rPr>
        <w:t>work to strengthen health systems to</w:t>
      </w:r>
      <w:r w:rsidRPr="54A711B3">
        <w:rPr>
          <w:lang w:eastAsia="en-AU"/>
        </w:rPr>
        <w:t xml:space="preserve"> enable the sustainability of our infrastructure investments. We will retain flexibility to respond to health emergencies when requested and to support opportunities for innovation and best practice.</w:t>
      </w:r>
    </w:p>
    <w:p w14:paraId="17BBDA07" w14:textId="3156C964" w:rsidR="009B3A43" w:rsidRPr="00BE6C84" w:rsidRDefault="009B3A43" w:rsidP="00E90562">
      <w:pPr>
        <w:rPr>
          <w:lang w:eastAsia="en-AU"/>
        </w:rPr>
      </w:pPr>
      <w:r w:rsidRPr="00BE6C84">
        <w:rPr>
          <w:lang w:eastAsia="en-AU"/>
        </w:rPr>
        <w:t xml:space="preserve">PNG </w:t>
      </w:r>
      <w:r>
        <w:rPr>
          <w:lang w:eastAsia="en-AU"/>
        </w:rPr>
        <w:t>benefits from</w:t>
      </w:r>
      <w:r w:rsidRPr="00BE6C84">
        <w:rPr>
          <w:lang w:eastAsia="en-AU"/>
        </w:rPr>
        <w:t xml:space="preserve"> Australia’s significant investment in </w:t>
      </w:r>
      <w:r w:rsidR="00744F02">
        <w:rPr>
          <w:lang w:eastAsia="en-AU"/>
        </w:rPr>
        <w:t>T</w:t>
      </w:r>
      <w:r w:rsidRPr="00BE6C84">
        <w:rPr>
          <w:lang w:eastAsia="en-AU"/>
        </w:rPr>
        <w:t>he Global Fund</w:t>
      </w:r>
      <w:r w:rsidRPr="00BE6C84" w:rsidDel="00744F02">
        <w:rPr>
          <w:lang w:eastAsia="en-AU"/>
        </w:rPr>
        <w:t xml:space="preserve">, which supports programs in the fight against HIV, </w:t>
      </w:r>
      <w:proofErr w:type="gramStart"/>
      <w:r w:rsidRPr="00BE6C84" w:rsidDel="00744F02">
        <w:rPr>
          <w:lang w:eastAsia="en-AU"/>
        </w:rPr>
        <w:t>tuberculosis</w:t>
      </w:r>
      <w:proofErr w:type="gramEnd"/>
      <w:r w:rsidRPr="00BE6C84" w:rsidDel="00744F02">
        <w:rPr>
          <w:lang w:eastAsia="en-AU"/>
        </w:rPr>
        <w:t xml:space="preserve"> and malaria</w:t>
      </w:r>
      <w:r w:rsidRPr="00BE6C84">
        <w:rPr>
          <w:lang w:eastAsia="en-AU"/>
        </w:rPr>
        <w:t xml:space="preserve">. PNG is also the single biggest Pacific recipient of assistance through our Partnerships for a Healthy Region </w:t>
      </w:r>
      <w:r w:rsidR="004D5458">
        <w:rPr>
          <w:lang w:eastAsia="en-AU"/>
        </w:rPr>
        <w:t>i</w:t>
      </w:r>
      <w:r w:rsidRPr="00BE6C84">
        <w:rPr>
          <w:lang w:eastAsia="en-AU"/>
        </w:rPr>
        <w:t>nitiative</w:t>
      </w:r>
      <w:r w:rsidR="004D5458">
        <w:rPr>
          <w:lang w:eastAsia="en-AU"/>
        </w:rPr>
        <w:t>, which</w:t>
      </w:r>
      <w:r w:rsidRPr="00BE6C84">
        <w:rPr>
          <w:lang w:eastAsia="en-AU"/>
        </w:rPr>
        <w:t xml:space="preserve"> will support PNG to build resilient and equitable health</w:t>
      </w:r>
      <w:r w:rsidRPr="00BE6C84" w:rsidDel="00D26C39">
        <w:rPr>
          <w:lang w:eastAsia="en-AU"/>
        </w:rPr>
        <w:t xml:space="preserve"> </w:t>
      </w:r>
      <w:r w:rsidR="00D26C39">
        <w:rPr>
          <w:lang w:eastAsia="en-AU"/>
        </w:rPr>
        <w:t xml:space="preserve">care </w:t>
      </w:r>
      <w:r w:rsidRPr="00BE6C84">
        <w:rPr>
          <w:lang w:eastAsia="en-AU"/>
        </w:rPr>
        <w:t xml:space="preserve">systems. </w:t>
      </w:r>
      <w:r>
        <w:rPr>
          <w:lang w:eastAsia="en-AU"/>
        </w:rPr>
        <w:t xml:space="preserve">The Australian </w:t>
      </w:r>
      <w:r w:rsidR="00E53709">
        <w:rPr>
          <w:lang w:eastAsia="en-AU"/>
        </w:rPr>
        <w:t>Non-Government Organisation (</w:t>
      </w:r>
      <w:r>
        <w:rPr>
          <w:lang w:eastAsia="en-AU"/>
        </w:rPr>
        <w:t>NGO</w:t>
      </w:r>
      <w:r w:rsidR="00E53709">
        <w:rPr>
          <w:lang w:eastAsia="en-AU"/>
        </w:rPr>
        <w:t>)</w:t>
      </w:r>
      <w:r>
        <w:rPr>
          <w:lang w:eastAsia="en-AU"/>
        </w:rPr>
        <w:t xml:space="preserve"> Cooperation Program will retain its significant focus </w:t>
      </w:r>
      <w:r>
        <w:rPr>
          <w:lang w:eastAsia="en-AU"/>
        </w:rPr>
        <w:lastRenderedPageBreak/>
        <w:t xml:space="preserve">on health programming in </w:t>
      </w:r>
      <w:r w:rsidR="003407D3">
        <w:rPr>
          <w:lang w:eastAsia="en-AU"/>
        </w:rPr>
        <w:t>P</w:t>
      </w:r>
      <w:r w:rsidR="004A3391">
        <w:rPr>
          <w:lang w:eastAsia="en-AU"/>
        </w:rPr>
        <w:t>NG</w:t>
      </w:r>
      <w:r>
        <w:rPr>
          <w:lang w:eastAsia="en-AU"/>
        </w:rPr>
        <w:t xml:space="preserve"> in recognition of the critical role NGOs play in complementing provincial governments’ rural health service delivery efforts.</w:t>
      </w:r>
    </w:p>
    <w:p w14:paraId="1CA7F073" w14:textId="645BFEF7" w:rsidR="009B3A43" w:rsidRPr="00B62A54" w:rsidRDefault="009B3A43" w:rsidP="00E90562">
      <w:pPr>
        <w:rPr>
          <w:lang w:eastAsia="en-AU"/>
        </w:rPr>
      </w:pPr>
      <w:r w:rsidRPr="7BDD9CB2">
        <w:rPr>
          <w:lang w:eastAsia="en-AU"/>
        </w:rPr>
        <w:t xml:space="preserve">We will continue to support water, </w:t>
      </w:r>
      <w:proofErr w:type="gramStart"/>
      <w:r w:rsidRPr="7BDD9CB2">
        <w:rPr>
          <w:lang w:eastAsia="en-AU"/>
        </w:rPr>
        <w:t>sanitation</w:t>
      </w:r>
      <w:proofErr w:type="gramEnd"/>
      <w:r>
        <w:rPr>
          <w:lang w:eastAsia="en-AU"/>
        </w:rPr>
        <w:t xml:space="preserve"> </w:t>
      </w:r>
      <w:r w:rsidRPr="7BDD9CB2">
        <w:rPr>
          <w:lang w:eastAsia="en-AU"/>
        </w:rPr>
        <w:t>and hygiene (WASH) initiatives and childhood nutrition so that PNG’s children are well</w:t>
      </w:r>
      <w:r w:rsidR="000154D9">
        <w:rPr>
          <w:lang w:eastAsia="en-AU"/>
        </w:rPr>
        <w:t xml:space="preserve"> </w:t>
      </w:r>
      <w:r w:rsidRPr="7BDD9CB2">
        <w:rPr>
          <w:lang w:eastAsia="en-AU"/>
        </w:rPr>
        <w:t>nourished and can thrive. We will work with the World Bank to improve nutrition outcomes and pilot the establishment of a social protection system</w:t>
      </w:r>
      <w:r w:rsidR="007D2EAA">
        <w:rPr>
          <w:lang w:eastAsia="en-AU"/>
        </w:rPr>
        <w:t xml:space="preserve"> – </w:t>
      </w:r>
      <w:r w:rsidRPr="7BDD9CB2">
        <w:rPr>
          <w:lang w:eastAsia="en-AU"/>
        </w:rPr>
        <w:t xml:space="preserve">noting PNG is one of the only countries in the region that does not have a national </w:t>
      </w:r>
      <w:r>
        <w:rPr>
          <w:lang w:eastAsia="en-AU"/>
        </w:rPr>
        <w:t xml:space="preserve">social protection </w:t>
      </w:r>
      <w:r w:rsidRPr="7BDD9CB2">
        <w:rPr>
          <w:lang w:eastAsia="en-AU"/>
        </w:rPr>
        <w:t xml:space="preserve">system in place </w:t>
      </w:r>
      <w:r w:rsidRPr="00B62A54">
        <w:rPr>
          <w:lang w:eastAsia="en-AU"/>
        </w:rPr>
        <w:t>and the importance of social protection as a mechanism for investing in people and responding to disasters and shocks</w:t>
      </w:r>
      <w:r w:rsidRPr="00B62A54">
        <w:rPr>
          <w:rFonts w:cstheme="majorHAnsi"/>
          <w:lang w:eastAsia="en-AU"/>
        </w:rPr>
        <w:t>.</w:t>
      </w:r>
      <w:r w:rsidRPr="00B62A54">
        <w:rPr>
          <w:rFonts w:cstheme="majorHAnsi"/>
        </w:rPr>
        <w:t xml:space="preserve"> We will explore other opportunities to help the PNG </w:t>
      </w:r>
      <w:r w:rsidR="004020DC">
        <w:rPr>
          <w:rFonts w:cstheme="majorHAnsi"/>
        </w:rPr>
        <w:t>G</w:t>
      </w:r>
      <w:r w:rsidRPr="00B62A54">
        <w:rPr>
          <w:rFonts w:cstheme="majorHAnsi"/>
        </w:rPr>
        <w:t xml:space="preserve">overnment take forward </w:t>
      </w:r>
      <w:r w:rsidR="00FB1DCF">
        <w:rPr>
          <w:rFonts w:cstheme="majorHAnsi"/>
        </w:rPr>
        <w:t>its</w:t>
      </w:r>
      <w:r w:rsidRPr="00B62A54">
        <w:rPr>
          <w:rFonts w:cstheme="majorHAnsi"/>
        </w:rPr>
        <w:t xml:space="preserve"> social protection policy.</w:t>
      </w:r>
    </w:p>
    <w:p w14:paraId="71C01E34" w14:textId="6771350B" w:rsidR="009B3A43" w:rsidRPr="002B0DA4" w:rsidRDefault="009B3A43" w:rsidP="00E90562">
      <w:pPr>
        <w:rPr>
          <w:lang w:eastAsia="en-AU"/>
        </w:rPr>
      </w:pPr>
      <w:r w:rsidRPr="54A711B3">
        <w:rPr>
          <w:lang w:eastAsia="en-AU"/>
        </w:rPr>
        <w:t xml:space="preserve">Our focus on </w:t>
      </w:r>
      <w:r>
        <w:rPr>
          <w:lang w:eastAsia="en-AU"/>
        </w:rPr>
        <w:t>gender equality</w:t>
      </w:r>
      <w:r w:rsidRPr="54A711B3">
        <w:rPr>
          <w:lang w:eastAsia="en-AU"/>
        </w:rPr>
        <w:t xml:space="preserve"> will be </w:t>
      </w:r>
      <w:r>
        <w:rPr>
          <w:lang w:eastAsia="en-AU"/>
        </w:rPr>
        <w:t>mainstreamed</w:t>
      </w:r>
      <w:r w:rsidRPr="54A711B3">
        <w:rPr>
          <w:lang w:eastAsia="en-AU"/>
        </w:rPr>
        <w:t xml:space="preserve"> through all key</w:t>
      </w:r>
      <w:r>
        <w:rPr>
          <w:lang w:eastAsia="en-AU"/>
        </w:rPr>
        <w:t xml:space="preserve"> </w:t>
      </w:r>
      <w:r w:rsidRPr="54A711B3">
        <w:rPr>
          <w:lang w:eastAsia="en-AU"/>
        </w:rPr>
        <w:t>investments and particularly through PNG</w:t>
      </w:r>
      <w:r>
        <w:rPr>
          <w:lang w:eastAsia="en-AU"/>
        </w:rPr>
        <w:t xml:space="preserve"> Women Lead</w:t>
      </w:r>
      <w:r w:rsidRPr="54A711B3">
        <w:rPr>
          <w:lang w:eastAsia="en-AU"/>
        </w:rPr>
        <w:t xml:space="preserve">, </w:t>
      </w:r>
      <w:r>
        <w:rPr>
          <w:lang w:eastAsia="en-AU"/>
        </w:rPr>
        <w:t>BCEP</w:t>
      </w:r>
      <w:r w:rsidRPr="54A711B3">
        <w:rPr>
          <w:lang w:eastAsia="en-AU"/>
        </w:rPr>
        <w:t xml:space="preserve"> and </w:t>
      </w:r>
      <w:r w:rsidR="008B350C">
        <w:rPr>
          <w:lang w:eastAsia="en-AU"/>
        </w:rPr>
        <w:t xml:space="preserve">the </w:t>
      </w:r>
      <w:r w:rsidRPr="78ACF9C4">
        <w:rPr>
          <w:lang w:eastAsia="en-AU"/>
        </w:rPr>
        <w:t>Australia</w:t>
      </w:r>
      <w:r w:rsidR="008B350C">
        <w:rPr>
          <w:lang w:eastAsia="en-AU"/>
        </w:rPr>
        <w:t>–PNG</w:t>
      </w:r>
      <w:r w:rsidRPr="78ACF9C4">
        <w:rPr>
          <w:lang w:eastAsia="en-AU"/>
        </w:rPr>
        <w:t xml:space="preserve"> Law and Justice Partnership</w:t>
      </w:r>
      <w:r w:rsidRPr="00B958ED">
        <w:rPr>
          <w:lang w:eastAsia="en-AU"/>
        </w:rPr>
        <w:t xml:space="preserve">. We will increase our analysis and removal of the key barriers </w:t>
      </w:r>
      <w:r w:rsidR="007B6B38">
        <w:rPr>
          <w:lang w:eastAsia="en-AU"/>
        </w:rPr>
        <w:t xml:space="preserve">that </w:t>
      </w:r>
      <w:r w:rsidRPr="00B958ED">
        <w:rPr>
          <w:lang w:eastAsia="en-AU"/>
        </w:rPr>
        <w:t xml:space="preserve">gender inequalities present to </w:t>
      </w:r>
      <w:proofErr w:type="gramStart"/>
      <w:r w:rsidRPr="00B958ED">
        <w:rPr>
          <w:lang w:eastAsia="en-AU"/>
        </w:rPr>
        <w:t>development</w:t>
      </w:r>
      <w:r w:rsidR="007B6B38">
        <w:rPr>
          <w:lang w:eastAsia="en-AU"/>
        </w:rPr>
        <w:t>;</w:t>
      </w:r>
      <w:proofErr w:type="gramEnd"/>
      <w:r w:rsidRPr="00B958ED">
        <w:rPr>
          <w:lang w:eastAsia="en-AU"/>
        </w:rPr>
        <w:t xml:space="preserve"> for example, through improved legislation and policy reform, increased access to opportunities for women in leadership, decision</w:t>
      </w:r>
      <w:r w:rsidR="00797AAA">
        <w:rPr>
          <w:lang w:eastAsia="en-AU"/>
        </w:rPr>
        <w:t>-</w:t>
      </w:r>
      <w:r w:rsidRPr="00B958ED">
        <w:rPr>
          <w:lang w:eastAsia="en-AU"/>
        </w:rPr>
        <w:t xml:space="preserve">making and economic advancement, and through enhanced engagement of men for gender equality. We will prioritise opportunities for supporting organisations of people with </w:t>
      </w:r>
      <w:r w:rsidR="007B6B38" w:rsidRPr="00B958ED">
        <w:rPr>
          <w:lang w:eastAsia="en-AU"/>
        </w:rPr>
        <w:t>disabilit</w:t>
      </w:r>
      <w:r w:rsidR="007B6B38">
        <w:rPr>
          <w:lang w:eastAsia="en-AU"/>
        </w:rPr>
        <w:t>y</w:t>
      </w:r>
      <w:r w:rsidRPr="00B958ED">
        <w:rPr>
          <w:lang w:eastAsia="en-AU"/>
        </w:rPr>
        <w:t>, working towards long</w:t>
      </w:r>
      <w:r w:rsidR="004F5412">
        <w:rPr>
          <w:lang w:eastAsia="en-AU"/>
        </w:rPr>
        <w:t>-</w:t>
      </w:r>
      <w:r w:rsidRPr="00B958ED">
        <w:rPr>
          <w:lang w:eastAsia="en-AU"/>
        </w:rPr>
        <w:t>term partnerships that include core funding and capacity building.</w:t>
      </w:r>
    </w:p>
    <w:p w14:paraId="72539418" w14:textId="60EB8B6B" w:rsidR="009B3A43" w:rsidRPr="00BE6C84" w:rsidRDefault="009B3A43" w:rsidP="00E90562">
      <w:pPr>
        <w:rPr>
          <w:lang w:eastAsia="en-AU"/>
        </w:rPr>
      </w:pPr>
      <w:r w:rsidRPr="54A711B3">
        <w:rPr>
          <w:lang w:eastAsia="en-AU"/>
        </w:rPr>
        <w:t xml:space="preserve">We will integrate climate change resilience, </w:t>
      </w:r>
      <w:proofErr w:type="gramStart"/>
      <w:r w:rsidRPr="54A711B3">
        <w:rPr>
          <w:lang w:eastAsia="en-AU"/>
        </w:rPr>
        <w:t>adaptation</w:t>
      </w:r>
      <w:proofErr w:type="gramEnd"/>
      <w:r w:rsidRPr="54A711B3">
        <w:rPr>
          <w:lang w:eastAsia="en-AU"/>
        </w:rPr>
        <w:t xml:space="preserve"> and mitigation across all development investments to drive meaningful change over time. Through the Climate FIRST Initiative</w:t>
      </w:r>
      <w:r>
        <w:rPr>
          <w:lang w:eastAsia="en-AU"/>
        </w:rPr>
        <w:t xml:space="preserve"> (ODA)</w:t>
      </w:r>
      <w:r w:rsidRPr="54A711B3">
        <w:rPr>
          <w:lang w:eastAsia="en-AU"/>
        </w:rPr>
        <w:t xml:space="preserve">, we will assist PNG to access international climate finance streams by developing the systems, institutional structures and mechanisms that will attract investment and deliver lasting outcomes. </w:t>
      </w:r>
      <w:r w:rsidRPr="00BE6C84">
        <w:rPr>
          <w:lang w:eastAsia="en-AU"/>
        </w:rPr>
        <w:t xml:space="preserve">Our PNG Electrification Partnership will increase access to electricity and assist PNG to meet its climate goals. </w:t>
      </w:r>
      <w:r w:rsidRPr="211FA1D2">
        <w:rPr>
          <w:lang w:eastAsia="en-AU"/>
        </w:rPr>
        <w:t>The Australian Centre for International Agricultural Research and the International Food Policy Research Institute will support climate resilient and gender</w:t>
      </w:r>
      <w:r w:rsidR="00B01F21">
        <w:rPr>
          <w:lang w:eastAsia="en-AU"/>
        </w:rPr>
        <w:t>-</w:t>
      </w:r>
      <w:r w:rsidRPr="211FA1D2">
        <w:rPr>
          <w:lang w:eastAsia="en-AU"/>
        </w:rPr>
        <w:t xml:space="preserve">responsive agriculture and improved food security outcomes. </w:t>
      </w:r>
      <w:r w:rsidRPr="00BE6C84">
        <w:rPr>
          <w:lang w:eastAsia="en-AU"/>
        </w:rPr>
        <w:t xml:space="preserve">We recognise that food security is a cross-cutting challenge </w:t>
      </w:r>
      <w:r>
        <w:rPr>
          <w:lang w:eastAsia="en-AU"/>
        </w:rPr>
        <w:t>with significant gendered elements</w:t>
      </w:r>
      <w:r w:rsidRPr="00BE6C84">
        <w:rPr>
          <w:lang w:eastAsia="en-AU"/>
        </w:rPr>
        <w:t xml:space="preserve"> that needs to be addressed across our program, and especially in our climate change, agriculture, health, </w:t>
      </w:r>
      <w:proofErr w:type="gramStart"/>
      <w:r w:rsidRPr="00BE6C84">
        <w:rPr>
          <w:lang w:eastAsia="en-AU"/>
        </w:rPr>
        <w:t>humanitarian</w:t>
      </w:r>
      <w:proofErr w:type="gramEnd"/>
      <w:r w:rsidRPr="00BE6C84">
        <w:rPr>
          <w:lang w:eastAsia="en-AU"/>
        </w:rPr>
        <w:t xml:space="preserve"> and </w:t>
      </w:r>
      <w:r>
        <w:rPr>
          <w:lang w:eastAsia="en-AU"/>
        </w:rPr>
        <w:t>place-based</w:t>
      </w:r>
      <w:r w:rsidRPr="00BE6C84">
        <w:rPr>
          <w:lang w:eastAsia="en-AU"/>
        </w:rPr>
        <w:t xml:space="preserve"> </w:t>
      </w:r>
      <w:r w:rsidRPr="00325F79">
        <w:rPr>
          <w:lang w:eastAsia="en-AU"/>
        </w:rPr>
        <w:t xml:space="preserve">investments. At the </w:t>
      </w:r>
      <w:r w:rsidR="00046F59">
        <w:rPr>
          <w:lang w:eastAsia="en-AU"/>
        </w:rPr>
        <w:t>mid</w:t>
      </w:r>
      <w:r w:rsidR="00046F59">
        <w:rPr>
          <w:lang w:eastAsia="en-AU"/>
        </w:rPr>
        <w:noBreakHyphen/>
        <w:t>cycle review</w:t>
      </w:r>
      <w:r w:rsidRPr="00325F79">
        <w:rPr>
          <w:lang w:eastAsia="en-AU"/>
        </w:rPr>
        <w:t xml:space="preserve"> of the DPP, we will assess whether to elevate climate change and food security and resilience of food systems as outcomes in the DPP.</w:t>
      </w:r>
    </w:p>
    <w:p w14:paraId="0B654971" w14:textId="5915F10E" w:rsidR="009B3A43" w:rsidRPr="00BE6C84" w:rsidRDefault="009B3A43" w:rsidP="00E90562">
      <w:pPr>
        <w:rPr>
          <w:lang w:eastAsia="en-AU"/>
        </w:rPr>
      </w:pPr>
      <w:r w:rsidRPr="7E46ED09">
        <w:rPr>
          <w:lang w:eastAsia="en-AU"/>
        </w:rPr>
        <w:t xml:space="preserve">Australia works with </w:t>
      </w:r>
      <w:r>
        <w:rPr>
          <w:lang w:eastAsia="en-AU"/>
        </w:rPr>
        <w:t xml:space="preserve">the </w:t>
      </w:r>
      <w:r w:rsidRPr="7E46ED09">
        <w:rPr>
          <w:lang w:eastAsia="en-AU"/>
        </w:rPr>
        <w:t xml:space="preserve">PNG </w:t>
      </w:r>
      <w:r>
        <w:rPr>
          <w:lang w:eastAsia="en-AU"/>
        </w:rPr>
        <w:t xml:space="preserve">Government </w:t>
      </w:r>
      <w:r w:rsidRPr="7E46ED09">
        <w:rPr>
          <w:lang w:eastAsia="en-AU"/>
        </w:rPr>
        <w:t xml:space="preserve">and others to </w:t>
      </w:r>
      <w:r>
        <w:rPr>
          <w:lang w:eastAsia="en-AU"/>
        </w:rPr>
        <w:t>enable</w:t>
      </w:r>
      <w:r w:rsidRPr="7E46ED09">
        <w:rPr>
          <w:lang w:eastAsia="en-AU"/>
        </w:rPr>
        <w:t xml:space="preserve"> timely and effective humanitarian assistance when needed. We support the PNG Defence Force’s response efforts</w:t>
      </w:r>
      <w:r>
        <w:rPr>
          <w:lang w:eastAsia="en-AU"/>
        </w:rPr>
        <w:t xml:space="preserve">, including </w:t>
      </w:r>
      <w:r w:rsidRPr="7E46ED09">
        <w:rPr>
          <w:lang w:eastAsia="en-AU"/>
        </w:rPr>
        <w:t xml:space="preserve">through the </w:t>
      </w:r>
      <w:r>
        <w:rPr>
          <w:lang w:eastAsia="en-AU"/>
        </w:rPr>
        <w:t>National Disaster Centre</w:t>
      </w:r>
      <w:r w:rsidR="00930340">
        <w:rPr>
          <w:lang w:eastAsia="en-AU"/>
        </w:rPr>
        <w:t>,</w:t>
      </w:r>
      <w:r>
        <w:rPr>
          <w:lang w:eastAsia="en-AU"/>
        </w:rPr>
        <w:t xml:space="preserve"> </w:t>
      </w:r>
      <w:r w:rsidRPr="7E46ED09">
        <w:rPr>
          <w:lang w:eastAsia="en-AU"/>
        </w:rPr>
        <w:t>and will continue to work with humanitarian partners to build the capacity and capability of the national humanitarian preparedness and response system.</w:t>
      </w:r>
      <w:r>
        <w:rPr>
          <w:lang w:eastAsia="en-AU"/>
        </w:rPr>
        <w:t xml:space="preserve"> We will maintain</w:t>
      </w:r>
      <w:r w:rsidRPr="7E46ED09">
        <w:rPr>
          <w:lang w:eastAsia="en-AU"/>
        </w:rPr>
        <w:t xml:space="preserve"> </w:t>
      </w:r>
      <w:r>
        <w:rPr>
          <w:lang w:eastAsia="en-AU"/>
        </w:rPr>
        <w:t>o</w:t>
      </w:r>
      <w:r w:rsidRPr="7E46ED09">
        <w:rPr>
          <w:lang w:eastAsia="en-AU"/>
        </w:rPr>
        <w:t xml:space="preserve">ur in-country warehousing capabilities </w:t>
      </w:r>
      <w:r>
        <w:rPr>
          <w:lang w:eastAsia="en-AU"/>
        </w:rPr>
        <w:t xml:space="preserve">and find opportunities to enhance in-country logistics capacity to </w:t>
      </w:r>
      <w:r w:rsidR="00172D09">
        <w:rPr>
          <w:lang w:eastAsia="en-AU"/>
        </w:rPr>
        <w:t xml:space="preserve">overcome </w:t>
      </w:r>
      <w:r>
        <w:rPr>
          <w:lang w:eastAsia="en-AU"/>
        </w:rPr>
        <w:t xml:space="preserve">challenges </w:t>
      </w:r>
      <w:r w:rsidR="00172D09">
        <w:rPr>
          <w:lang w:eastAsia="en-AU"/>
        </w:rPr>
        <w:t xml:space="preserve">that </w:t>
      </w:r>
      <w:r w:rsidR="00EE6952">
        <w:rPr>
          <w:lang w:eastAsia="en-AU"/>
        </w:rPr>
        <w:t xml:space="preserve">can </w:t>
      </w:r>
      <w:r>
        <w:rPr>
          <w:lang w:eastAsia="en-AU"/>
        </w:rPr>
        <w:t>prevent the timely deployment and distribution of lifesaving relief in the event of an emergency.</w:t>
      </w:r>
    </w:p>
    <w:p w14:paraId="60F6F69F" w14:textId="0B041409" w:rsidR="002F4955" w:rsidRDefault="009B3A43" w:rsidP="00BB5E59">
      <w:pPr>
        <w:rPr>
          <w:lang w:eastAsia="en-AU"/>
        </w:rPr>
      </w:pPr>
      <w:r w:rsidRPr="7E46ED09">
        <w:rPr>
          <w:lang w:eastAsia="en-AU"/>
        </w:rPr>
        <w:t xml:space="preserve">To build resilience, Australia supports the PNG Government and local communities to lead </w:t>
      </w:r>
      <w:r>
        <w:rPr>
          <w:lang w:eastAsia="en-AU"/>
        </w:rPr>
        <w:t xml:space="preserve">inclusive </w:t>
      </w:r>
      <w:r w:rsidRPr="7E46ED09">
        <w:rPr>
          <w:lang w:eastAsia="en-AU"/>
        </w:rPr>
        <w:t>national adaptation and disaster risk reduction efforts</w:t>
      </w:r>
      <w:r>
        <w:rPr>
          <w:lang w:eastAsia="en-AU"/>
        </w:rPr>
        <w:t xml:space="preserve"> to mitigate the</w:t>
      </w:r>
      <w:r w:rsidRPr="00BE6C84">
        <w:rPr>
          <w:lang w:eastAsia="en-AU"/>
        </w:rPr>
        <w:t xml:space="preserve"> shared threat of environmental disasters</w:t>
      </w:r>
      <w:r>
        <w:rPr>
          <w:lang w:eastAsia="en-AU"/>
        </w:rPr>
        <w:t>.</w:t>
      </w:r>
      <w:r w:rsidRPr="00BE6C84">
        <w:rPr>
          <w:lang w:eastAsia="en-AU"/>
        </w:rPr>
        <w:t xml:space="preserve"> </w:t>
      </w:r>
      <w:r>
        <w:rPr>
          <w:lang w:eastAsia="en-AU"/>
        </w:rPr>
        <w:t>W</w:t>
      </w:r>
      <w:r w:rsidRPr="00BE6C84">
        <w:rPr>
          <w:lang w:eastAsia="en-AU"/>
        </w:rPr>
        <w:t>e will continue support for capability in geohazards and forecasting through Geoscience Australia and the Bureau of Meteorology</w:t>
      </w:r>
      <w:r w:rsidRPr="7E46ED09">
        <w:rPr>
          <w:lang w:eastAsia="en-AU"/>
        </w:rPr>
        <w:t>.</w:t>
      </w:r>
      <w:r>
        <w:rPr>
          <w:lang w:eastAsia="en-AU"/>
        </w:rPr>
        <w:t xml:space="preserve"> </w:t>
      </w:r>
      <w:r w:rsidRPr="00BE6C84">
        <w:rPr>
          <w:lang w:eastAsia="en-AU"/>
        </w:rPr>
        <w:t xml:space="preserve">We will also work with Australian NGOs and </w:t>
      </w:r>
      <w:r>
        <w:rPr>
          <w:lang w:eastAsia="en-AU"/>
        </w:rPr>
        <w:t xml:space="preserve">their </w:t>
      </w:r>
      <w:r w:rsidRPr="00BE6C84">
        <w:rPr>
          <w:lang w:eastAsia="en-AU"/>
        </w:rPr>
        <w:t xml:space="preserve">local partners through the Australian Humanitarian Partnership to build community resilience and contribute to </w:t>
      </w:r>
      <w:r w:rsidR="00782498">
        <w:rPr>
          <w:lang w:eastAsia="en-AU"/>
        </w:rPr>
        <w:t xml:space="preserve">disaster </w:t>
      </w:r>
      <w:r w:rsidR="00C6509F">
        <w:rPr>
          <w:lang w:eastAsia="en-AU"/>
        </w:rPr>
        <w:t xml:space="preserve">and humanitarian </w:t>
      </w:r>
      <w:r w:rsidRPr="00BE6C84">
        <w:rPr>
          <w:lang w:eastAsia="en-AU"/>
        </w:rPr>
        <w:t>response efforts.</w:t>
      </w:r>
    </w:p>
    <w:p w14:paraId="0A763FEF" w14:textId="3148F853" w:rsidR="009B3A43" w:rsidRPr="009F3ACA" w:rsidRDefault="009B3A43" w:rsidP="009B3A43">
      <w:pPr>
        <w:pStyle w:val="H3-Heading3"/>
      </w:pPr>
      <w:r w:rsidRPr="5738B046">
        <w:t xml:space="preserve">Objective </w:t>
      </w:r>
      <w:r>
        <w:t>4</w:t>
      </w:r>
      <w:r w:rsidRPr="5738B046">
        <w:t xml:space="preserve">: </w:t>
      </w:r>
      <w:r w:rsidR="00422FC4" w:rsidRPr="00012149">
        <w:rPr>
          <w:rFonts w:eastAsiaTheme="minorEastAsia"/>
        </w:rPr>
        <w:t xml:space="preserve">Building </w:t>
      </w:r>
      <w:r w:rsidR="00422FC4">
        <w:rPr>
          <w:rFonts w:eastAsiaTheme="minorEastAsia"/>
        </w:rPr>
        <w:t>c</w:t>
      </w:r>
      <w:r w:rsidR="00422FC4" w:rsidRPr="00012149">
        <w:rPr>
          <w:rFonts w:eastAsiaTheme="minorEastAsia"/>
        </w:rPr>
        <w:t xml:space="preserve">lose </w:t>
      </w:r>
      <w:r w:rsidR="00422FC4">
        <w:rPr>
          <w:rFonts w:eastAsiaTheme="minorEastAsia"/>
        </w:rPr>
        <w:t>f</w:t>
      </w:r>
      <w:r w:rsidR="00422FC4" w:rsidRPr="00012149">
        <w:rPr>
          <w:rFonts w:eastAsiaTheme="minorEastAsia"/>
        </w:rPr>
        <w:t xml:space="preserve">riendships and </w:t>
      </w:r>
      <w:r w:rsidR="00422FC4">
        <w:rPr>
          <w:rFonts w:eastAsiaTheme="minorEastAsia"/>
        </w:rPr>
        <w:t>e</w:t>
      </w:r>
      <w:r w:rsidR="00422FC4" w:rsidRPr="00012149">
        <w:rPr>
          <w:rFonts w:eastAsiaTheme="minorEastAsia"/>
        </w:rPr>
        <w:t xml:space="preserve">nduring </w:t>
      </w:r>
      <w:proofErr w:type="gramStart"/>
      <w:r w:rsidR="00422FC4">
        <w:rPr>
          <w:rFonts w:eastAsiaTheme="minorEastAsia"/>
        </w:rPr>
        <w:t>t</w:t>
      </w:r>
      <w:r w:rsidR="00422FC4" w:rsidRPr="00012149">
        <w:rPr>
          <w:rFonts w:eastAsiaTheme="minorEastAsia"/>
        </w:rPr>
        <w:t>ies</w:t>
      </w:r>
      <w:proofErr w:type="gramEnd"/>
    </w:p>
    <w:p w14:paraId="48A56AEC" w14:textId="4F4C35CC" w:rsidR="000A6E90" w:rsidRDefault="000A6E90" w:rsidP="00E90562">
      <w:pPr>
        <w:rPr>
          <w:lang w:eastAsia="en-AU"/>
        </w:rPr>
      </w:pPr>
      <w:r w:rsidRPr="008E6E3C">
        <w:rPr>
          <w:lang w:eastAsia="en-AU"/>
        </w:rPr>
        <w:t>As close friends and neighbours with a rich shared history</w:t>
      </w:r>
      <w:r>
        <w:rPr>
          <w:lang w:eastAsia="en-AU"/>
        </w:rPr>
        <w:t>,</w:t>
      </w:r>
      <w:r w:rsidRPr="008E6E3C">
        <w:rPr>
          <w:lang w:eastAsia="en-AU"/>
        </w:rPr>
        <w:t xml:space="preserve"> it is in our mutual interest</w:t>
      </w:r>
      <w:r w:rsidRPr="00012149">
        <w:rPr>
          <w:lang w:eastAsia="en-AU"/>
        </w:rPr>
        <w:t xml:space="preserve"> to expand and deepen ties at all levels of our societies</w:t>
      </w:r>
      <w:r w:rsidRPr="008E6E3C">
        <w:rPr>
          <w:lang w:eastAsia="en-AU"/>
        </w:rPr>
        <w:t xml:space="preserve"> in support of a peaceful, </w:t>
      </w:r>
      <w:r w:rsidR="00123518">
        <w:rPr>
          <w:lang w:eastAsia="en-AU"/>
        </w:rPr>
        <w:t xml:space="preserve">stable, </w:t>
      </w:r>
      <w:proofErr w:type="gramStart"/>
      <w:r w:rsidR="00123518">
        <w:rPr>
          <w:lang w:eastAsia="en-AU"/>
        </w:rPr>
        <w:t>resilient</w:t>
      </w:r>
      <w:proofErr w:type="gramEnd"/>
      <w:r w:rsidR="00123518">
        <w:rPr>
          <w:lang w:eastAsia="en-AU"/>
        </w:rPr>
        <w:t xml:space="preserve"> and </w:t>
      </w:r>
      <w:r w:rsidRPr="008E6E3C">
        <w:rPr>
          <w:lang w:eastAsia="en-AU"/>
        </w:rPr>
        <w:t>prosperous Pacific</w:t>
      </w:r>
      <w:r w:rsidRPr="00012149">
        <w:rPr>
          <w:lang w:eastAsia="en-AU"/>
        </w:rPr>
        <w:t>.</w:t>
      </w:r>
    </w:p>
    <w:p w14:paraId="0D03B3E2" w14:textId="3462704F" w:rsidR="000A6E90" w:rsidRDefault="000A6E90" w:rsidP="00E90562">
      <w:pPr>
        <w:rPr>
          <w:lang w:eastAsia="en-AU"/>
        </w:rPr>
      </w:pPr>
      <w:r w:rsidRPr="00012149">
        <w:rPr>
          <w:lang w:eastAsia="en-AU"/>
        </w:rPr>
        <w:t xml:space="preserve">We will foster stronger links between First </w:t>
      </w:r>
      <w:r w:rsidRPr="00012149" w:rsidDel="0053704B">
        <w:rPr>
          <w:lang w:eastAsia="en-AU"/>
        </w:rPr>
        <w:t xml:space="preserve">Nations </w:t>
      </w:r>
      <w:r w:rsidRPr="00012149">
        <w:rPr>
          <w:lang w:eastAsia="en-AU"/>
        </w:rPr>
        <w:t xml:space="preserve">Australians and PNG, building on a shared history that continues today through the Torres Strait Treaty. </w:t>
      </w:r>
      <w:r>
        <w:rPr>
          <w:lang w:eastAsia="en-AU"/>
        </w:rPr>
        <w:t>This</w:t>
      </w:r>
      <w:r w:rsidRPr="000767FF">
        <w:rPr>
          <w:lang w:eastAsia="en-AU"/>
        </w:rPr>
        <w:t xml:space="preserve"> historical </w:t>
      </w:r>
      <w:r>
        <w:rPr>
          <w:lang w:eastAsia="en-AU"/>
        </w:rPr>
        <w:t xml:space="preserve">connection </w:t>
      </w:r>
      <w:r w:rsidRPr="000767FF">
        <w:rPr>
          <w:lang w:eastAsia="en-AU"/>
        </w:rPr>
        <w:t>provide</w:t>
      </w:r>
      <w:r>
        <w:rPr>
          <w:lang w:eastAsia="en-AU"/>
        </w:rPr>
        <w:t>s</w:t>
      </w:r>
      <w:r w:rsidRPr="000767FF">
        <w:rPr>
          <w:lang w:eastAsia="en-AU"/>
        </w:rPr>
        <w:t xml:space="preserve"> a unique opportunity to integrate First Nations perspectives into development initiatives. By leveraging these shared cultural ties, </w:t>
      </w:r>
      <w:r>
        <w:rPr>
          <w:lang w:eastAsia="en-AU"/>
        </w:rPr>
        <w:t xml:space="preserve">we will </w:t>
      </w:r>
      <w:r w:rsidRPr="000767FF">
        <w:rPr>
          <w:lang w:eastAsia="en-AU"/>
        </w:rPr>
        <w:t>design</w:t>
      </w:r>
      <w:r>
        <w:rPr>
          <w:lang w:eastAsia="en-AU"/>
        </w:rPr>
        <w:t xml:space="preserve"> programs that are</w:t>
      </w:r>
      <w:r w:rsidRPr="000767FF">
        <w:rPr>
          <w:lang w:eastAsia="en-AU"/>
        </w:rPr>
        <w:t xml:space="preserve"> more inclusive and responsive to the needs of both PNG and First Nations</w:t>
      </w:r>
      <w:r>
        <w:rPr>
          <w:lang w:eastAsia="en-AU"/>
        </w:rPr>
        <w:t xml:space="preserve"> </w:t>
      </w:r>
      <w:r w:rsidDel="00DB3E54">
        <w:rPr>
          <w:lang w:eastAsia="en-AU"/>
        </w:rPr>
        <w:t>Australian</w:t>
      </w:r>
      <w:r w:rsidRPr="000767FF" w:rsidDel="00DB3E54">
        <w:rPr>
          <w:lang w:eastAsia="en-AU"/>
        </w:rPr>
        <w:t xml:space="preserve"> </w:t>
      </w:r>
      <w:r w:rsidRPr="000767FF">
        <w:rPr>
          <w:lang w:eastAsia="en-AU"/>
        </w:rPr>
        <w:t>communities.</w:t>
      </w:r>
    </w:p>
    <w:p w14:paraId="621897E7" w14:textId="1040A3DA" w:rsidR="000A6E90" w:rsidRPr="00BE6C84" w:rsidRDefault="000A6E90" w:rsidP="00E90562">
      <w:pPr>
        <w:rPr>
          <w:lang w:eastAsia="en-AU"/>
        </w:rPr>
      </w:pPr>
      <w:r w:rsidRPr="00012149">
        <w:rPr>
          <w:lang w:eastAsia="en-AU"/>
        </w:rPr>
        <w:lastRenderedPageBreak/>
        <w:t xml:space="preserve">We will </w:t>
      </w:r>
      <w:r>
        <w:rPr>
          <w:lang w:eastAsia="en-AU"/>
        </w:rPr>
        <w:t>work with the PNG Government to</w:t>
      </w:r>
      <w:r w:rsidRPr="00012149">
        <w:rPr>
          <w:lang w:eastAsia="en-AU"/>
        </w:rPr>
        <w:t xml:space="preserve"> create more opportunities for </w:t>
      </w:r>
      <w:r w:rsidR="00412284">
        <w:rPr>
          <w:lang w:eastAsia="en-AU"/>
        </w:rPr>
        <w:t xml:space="preserve">mutual </w:t>
      </w:r>
      <w:r>
        <w:rPr>
          <w:lang w:eastAsia="en-AU"/>
        </w:rPr>
        <w:t xml:space="preserve">travel </w:t>
      </w:r>
      <w:r w:rsidR="00460105">
        <w:rPr>
          <w:lang w:eastAsia="en-AU"/>
        </w:rPr>
        <w:t>between our countries</w:t>
      </w:r>
      <w:r>
        <w:rPr>
          <w:lang w:eastAsia="en-AU"/>
        </w:rPr>
        <w:t>, including to work and</w:t>
      </w:r>
      <w:r w:rsidRPr="00012149">
        <w:rPr>
          <w:lang w:eastAsia="en-AU"/>
        </w:rPr>
        <w:t xml:space="preserve"> </w:t>
      </w:r>
      <w:r w:rsidR="00412284">
        <w:rPr>
          <w:lang w:eastAsia="en-AU"/>
        </w:rPr>
        <w:t xml:space="preserve">conduct </w:t>
      </w:r>
      <w:r w:rsidRPr="00012149">
        <w:rPr>
          <w:lang w:eastAsia="en-AU"/>
        </w:rPr>
        <w:t xml:space="preserve">business. We will foster links between our peoples through a range of institutional partnerships, education and cultural exchanges, and sport. </w:t>
      </w:r>
      <w:r w:rsidRPr="7BDD9CB2">
        <w:rPr>
          <w:lang w:eastAsia="en-AU"/>
        </w:rPr>
        <w:t>In recognition of the enduring people-to-people links to Kokoda</w:t>
      </w:r>
      <w:r w:rsidRPr="06A22A5E">
        <w:rPr>
          <w:lang w:eastAsia="en-AU"/>
        </w:rPr>
        <w:t xml:space="preserve">, </w:t>
      </w:r>
      <w:r w:rsidR="3E7557B2" w:rsidRPr="06A22A5E">
        <w:rPr>
          <w:lang w:eastAsia="en-AU"/>
        </w:rPr>
        <w:t>the significance of the Kokoda campaign</w:t>
      </w:r>
      <w:r w:rsidRPr="7BDD9CB2">
        <w:rPr>
          <w:lang w:eastAsia="en-AU"/>
        </w:rPr>
        <w:t xml:space="preserve"> and the intrinsic environmental values of the area, the Australian and PNG </w:t>
      </w:r>
      <w:r>
        <w:rPr>
          <w:lang w:eastAsia="en-AU"/>
        </w:rPr>
        <w:t>G</w:t>
      </w:r>
      <w:r w:rsidRPr="7BDD9CB2">
        <w:rPr>
          <w:lang w:eastAsia="en-AU"/>
        </w:rPr>
        <w:t xml:space="preserve">overnments are committed to protecting the Kokoda Track </w:t>
      </w:r>
      <w:r w:rsidR="00491BFC">
        <w:rPr>
          <w:lang w:eastAsia="en-AU"/>
        </w:rPr>
        <w:t xml:space="preserve">and the surrounding area </w:t>
      </w:r>
      <w:r w:rsidRPr="7BDD9CB2">
        <w:rPr>
          <w:lang w:eastAsia="en-AU"/>
        </w:rPr>
        <w:t>for future generations</w:t>
      </w:r>
      <w:r>
        <w:rPr>
          <w:lang w:eastAsia="en-AU"/>
        </w:rPr>
        <w:t>.</w:t>
      </w:r>
    </w:p>
    <w:p w14:paraId="64885899" w14:textId="34F7556E" w:rsidR="000A6E90" w:rsidRPr="00012149" w:rsidRDefault="000A6E90" w:rsidP="00E90562">
      <w:pPr>
        <w:rPr>
          <w:lang w:eastAsia="en-AU"/>
        </w:rPr>
      </w:pPr>
      <w:r w:rsidRPr="00012149">
        <w:rPr>
          <w:lang w:eastAsia="en-AU"/>
        </w:rPr>
        <w:t>We will increase PNG’s participation in the PALM scheme to address gaps in Australia’s labour force,</w:t>
      </w:r>
      <w:r w:rsidRPr="00012149" w:rsidDel="000707B3">
        <w:rPr>
          <w:lang w:eastAsia="en-AU"/>
        </w:rPr>
        <w:t xml:space="preserve"> </w:t>
      </w:r>
      <w:r w:rsidRPr="00012149">
        <w:rPr>
          <w:lang w:eastAsia="en-AU"/>
        </w:rPr>
        <w:t>deepen people-to-people links</w:t>
      </w:r>
      <w:r w:rsidRPr="00012149" w:rsidDel="00D37D33">
        <w:rPr>
          <w:lang w:eastAsia="en-AU"/>
        </w:rPr>
        <w:t xml:space="preserve"> and </w:t>
      </w:r>
      <w:r w:rsidRPr="00012149" w:rsidDel="007A0018">
        <w:rPr>
          <w:lang w:eastAsia="en-AU"/>
        </w:rPr>
        <w:t>d</w:t>
      </w:r>
      <w:r w:rsidRPr="00012149">
        <w:rPr>
          <w:lang w:eastAsia="en-AU"/>
        </w:rPr>
        <w:t>eliver jobs for PNG workers</w:t>
      </w:r>
      <w:r>
        <w:rPr>
          <w:lang w:eastAsia="en-AU"/>
        </w:rPr>
        <w:t>,</w:t>
      </w:r>
      <w:r w:rsidRPr="00012149">
        <w:rPr>
          <w:lang w:eastAsia="en-AU"/>
        </w:rPr>
        <w:t xml:space="preserve"> enabling them to develop skills, earn income and support their families back home. Australia has </w:t>
      </w:r>
      <w:r>
        <w:rPr>
          <w:lang w:eastAsia="en-AU"/>
        </w:rPr>
        <w:t>heeded the</w:t>
      </w:r>
      <w:r w:rsidRPr="00012149">
        <w:rPr>
          <w:lang w:eastAsia="en-AU"/>
        </w:rPr>
        <w:t xml:space="preserve"> call from PNG</w:t>
      </w:r>
      <w:r w:rsidRPr="00012149" w:rsidDel="00AF2B47">
        <w:rPr>
          <w:lang w:eastAsia="en-AU"/>
        </w:rPr>
        <w:t xml:space="preserve"> </w:t>
      </w:r>
      <w:r w:rsidRPr="00012149">
        <w:rPr>
          <w:lang w:eastAsia="en-AU"/>
        </w:rPr>
        <w:t>for deeper connections and easier movement around the regio</w:t>
      </w:r>
      <w:r>
        <w:rPr>
          <w:lang w:eastAsia="en-AU"/>
        </w:rPr>
        <w:t>n by</w:t>
      </w:r>
      <w:r w:rsidRPr="00012149">
        <w:rPr>
          <w:lang w:eastAsia="en-AU"/>
        </w:rPr>
        <w:t xml:space="preserve"> taking concrete steps to improve access, </w:t>
      </w:r>
      <w:proofErr w:type="gramStart"/>
      <w:r w:rsidRPr="00012149">
        <w:rPr>
          <w:lang w:eastAsia="en-AU"/>
        </w:rPr>
        <w:t>mobility</w:t>
      </w:r>
      <w:proofErr w:type="gramEnd"/>
      <w:r w:rsidRPr="00012149">
        <w:rPr>
          <w:lang w:eastAsia="en-AU"/>
        </w:rPr>
        <w:t xml:space="preserve"> and migration opportunities. The Pacific Engagement Visa (PEV) will encourage greater cultural, </w:t>
      </w:r>
      <w:proofErr w:type="gramStart"/>
      <w:r w:rsidRPr="00012149">
        <w:rPr>
          <w:lang w:eastAsia="en-AU"/>
        </w:rPr>
        <w:t>business</w:t>
      </w:r>
      <w:proofErr w:type="gramEnd"/>
      <w:r w:rsidRPr="00012149">
        <w:rPr>
          <w:lang w:eastAsia="en-AU"/>
        </w:rPr>
        <w:t xml:space="preserve"> and educational exchange</w:t>
      </w:r>
      <w:r w:rsidR="00614BA1">
        <w:rPr>
          <w:lang w:eastAsia="en-AU"/>
        </w:rPr>
        <w:t>s</w:t>
      </w:r>
      <w:r w:rsidRPr="00012149">
        <w:rPr>
          <w:lang w:eastAsia="en-AU"/>
        </w:rPr>
        <w:t xml:space="preserve"> while also growing PNG’s diaspora in Australia. This will contribute to PNG’s economy through remittances, </w:t>
      </w:r>
      <w:proofErr w:type="gramStart"/>
      <w:r w:rsidRPr="00012149">
        <w:rPr>
          <w:lang w:eastAsia="en-AU"/>
        </w:rPr>
        <w:t>investments</w:t>
      </w:r>
      <w:proofErr w:type="gramEnd"/>
      <w:r w:rsidRPr="00012149">
        <w:rPr>
          <w:lang w:eastAsia="en-AU"/>
        </w:rPr>
        <w:t xml:space="preserve"> and skills exchange</w:t>
      </w:r>
      <w:r w:rsidR="00614BA1">
        <w:rPr>
          <w:lang w:eastAsia="en-AU"/>
        </w:rPr>
        <w:t>s</w:t>
      </w:r>
      <w:r w:rsidRPr="00012149">
        <w:rPr>
          <w:lang w:eastAsia="en-AU"/>
        </w:rPr>
        <w:t>.</w:t>
      </w:r>
    </w:p>
    <w:p w14:paraId="5DBBE40F" w14:textId="6BA339C9" w:rsidR="000A6E90" w:rsidRPr="00BE6C84" w:rsidRDefault="000A6E90" w:rsidP="00E90562">
      <w:pPr>
        <w:rPr>
          <w:lang w:eastAsia="en-AU"/>
        </w:rPr>
      </w:pPr>
      <w:r w:rsidRPr="00BE6C84">
        <w:rPr>
          <w:lang w:eastAsia="en-AU"/>
        </w:rPr>
        <w:t>We are committed to maintaining partnerships of mutual strategic benefit between PNG and Australian institutions. Through the PIPP we will strengthen our government-to-government institutional relationships.</w:t>
      </w:r>
      <w:r w:rsidR="000F4D98">
        <w:rPr>
          <w:lang w:eastAsia="en-AU"/>
        </w:rPr>
        <w:t xml:space="preserve"> </w:t>
      </w:r>
      <w:r w:rsidRPr="00BE6C84">
        <w:rPr>
          <w:lang w:eastAsia="en-AU"/>
        </w:rPr>
        <w:t xml:space="preserve">We </w:t>
      </w:r>
      <w:r>
        <w:rPr>
          <w:lang w:eastAsia="en-AU"/>
        </w:rPr>
        <w:t xml:space="preserve">also </w:t>
      </w:r>
      <w:r w:rsidRPr="00BE6C84">
        <w:rPr>
          <w:lang w:eastAsia="en-AU"/>
        </w:rPr>
        <w:t xml:space="preserve">remain committed to supporting </w:t>
      </w:r>
      <w:r>
        <w:rPr>
          <w:lang w:eastAsia="en-AU"/>
        </w:rPr>
        <w:t xml:space="preserve">volunteers through the </w:t>
      </w:r>
      <w:r w:rsidRPr="00BE6C84">
        <w:rPr>
          <w:lang w:eastAsia="en-AU"/>
        </w:rPr>
        <w:t xml:space="preserve">Australian Volunteers </w:t>
      </w:r>
      <w:r>
        <w:rPr>
          <w:lang w:eastAsia="en-AU"/>
        </w:rPr>
        <w:t xml:space="preserve">Program </w:t>
      </w:r>
      <w:r w:rsidRPr="00BE6C84">
        <w:rPr>
          <w:lang w:eastAsia="en-AU"/>
        </w:rPr>
        <w:t>to work with organisations in PNG. This people-centred approach to capacity development forges rich friendships and enduring ties.</w:t>
      </w:r>
    </w:p>
    <w:p w14:paraId="0C2904AB" w14:textId="0EB58D2D" w:rsidR="000A6E90" w:rsidRPr="00BE6C84" w:rsidRDefault="000A6E90" w:rsidP="00E90562">
      <w:pPr>
        <w:rPr>
          <w:lang w:eastAsia="en-AU"/>
        </w:rPr>
      </w:pPr>
      <w:r w:rsidRPr="00BE6C84">
        <w:rPr>
          <w:lang w:eastAsia="en-AU"/>
        </w:rPr>
        <w:t xml:space="preserve">Australia will continue to </w:t>
      </w:r>
      <w:r>
        <w:rPr>
          <w:lang w:eastAsia="en-AU"/>
        </w:rPr>
        <w:t xml:space="preserve">support PNG to develop </w:t>
      </w:r>
      <w:r w:rsidRPr="00BE6C84">
        <w:rPr>
          <w:lang w:eastAsia="en-AU"/>
        </w:rPr>
        <w:t>emerging leaders so that they can return home and contribute to their nation’s development</w:t>
      </w:r>
      <w:r>
        <w:rPr>
          <w:lang w:eastAsia="en-AU"/>
        </w:rPr>
        <w:t xml:space="preserve"> and </w:t>
      </w:r>
      <w:r w:rsidRPr="00BE6C84">
        <w:rPr>
          <w:lang w:eastAsia="en-AU"/>
        </w:rPr>
        <w:t>prosperity. The Australia</w:t>
      </w:r>
      <w:r w:rsidR="00E05448">
        <w:rPr>
          <w:lang w:eastAsia="en-AU"/>
        </w:rPr>
        <w:t>–</w:t>
      </w:r>
      <w:r w:rsidRPr="00BE6C84">
        <w:rPr>
          <w:lang w:eastAsia="en-AU"/>
        </w:rPr>
        <w:t xml:space="preserve">PNG Network and </w:t>
      </w:r>
      <w:r w:rsidR="005F21CD">
        <w:rPr>
          <w:lang w:eastAsia="en-AU"/>
        </w:rPr>
        <w:t xml:space="preserve">its </w:t>
      </w:r>
      <w:r w:rsidRPr="00BE6C84">
        <w:rPr>
          <w:lang w:eastAsia="en-AU"/>
        </w:rPr>
        <w:t>Australia</w:t>
      </w:r>
      <w:r w:rsidR="00622E48">
        <w:rPr>
          <w:lang w:eastAsia="en-AU"/>
        </w:rPr>
        <w:t>–</w:t>
      </w:r>
      <w:r w:rsidRPr="00BE6C84">
        <w:rPr>
          <w:lang w:eastAsia="en-AU"/>
        </w:rPr>
        <w:t xml:space="preserve">PNG Emerging Leaders Dialogue will continue to strengthen people-to-people links and foster partnerships and knowledge sharing between business, civil society, </w:t>
      </w:r>
      <w:proofErr w:type="gramStart"/>
      <w:r w:rsidRPr="00BE6C84">
        <w:rPr>
          <w:lang w:eastAsia="en-AU"/>
        </w:rPr>
        <w:t>communities</w:t>
      </w:r>
      <w:proofErr w:type="gramEnd"/>
      <w:r>
        <w:rPr>
          <w:lang w:eastAsia="en-AU"/>
        </w:rPr>
        <w:t xml:space="preserve"> and</w:t>
      </w:r>
      <w:r w:rsidRPr="00BE6C84">
        <w:rPr>
          <w:lang w:eastAsia="en-AU"/>
        </w:rPr>
        <w:t xml:space="preserve"> academia. Our Australia Awards </w:t>
      </w:r>
      <w:r>
        <w:rPr>
          <w:lang w:eastAsia="en-AU"/>
        </w:rPr>
        <w:t xml:space="preserve">in </w:t>
      </w:r>
      <w:r w:rsidRPr="00BE6C84">
        <w:rPr>
          <w:lang w:eastAsia="en-AU"/>
        </w:rPr>
        <w:t xml:space="preserve">PNG </w:t>
      </w:r>
      <w:r>
        <w:rPr>
          <w:lang w:eastAsia="en-AU"/>
        </w:rPr>
        <w:t>P</w:t>
      </w:r>
      <w:r w:rsidRPr="00BE6C84">
        <w:rPr>
          <w:lang w:eastAsia="en-AU"/>
        </w:rPr>
        <w:t xml:space="preserve">rogram will support Papua New Guineans to advance their professional and academic skills through tertiary study in Australia and PNG. Since 2011, Australia has provided </w:t>
      </w:r>
      <w:r w:rsidRPr="00656758">
        <w:rPr>
          <w:lang w:eastAsia="en-AU"/>
        </w:rPr>
        <w:t>approximately 5</w:t>
      </w:r>
      <w:r w:rsidR="00B65D24">
        <w:rPr>
          <w:lang w:eastAsia="en-AU"/>
        </w:rPr>
        <w:t>,</w:t>
      </w:r>
      <w:r w:rsidRPr="00656758">
        <w:rPr>
          <w:lang w:eastAsia="en-AU"/>
        </w:rPr>
        <w:t xml:space="preserve">000 </w:t>
      </w:r>
      <w:r w:rsidRPr="00BE6C84">
        <w:rPr>
          <w:lang w:eastAsia="en-AU"/>
        </w:rPr>
        <w:t>Australia Awards scholarships to Papua New Guineans, and we are committed to delivering scholarships for up to 300 PNG students per year in Australia and PNG.</w:t>
      </w:r>
    </w:p>
    <w:p w14:paraId="1CA4D935" w14:textId="360AECCE" w:rsidR="000A6E90" w:rsidRPr="0040414B" w:rsidRDefault="000A6E90" w:rsidP="00E90562">
      <w:pPr>
        <w:rPr>
          <w:lang w:eastAsia="en-AU"/>
        </w:rPr>
      </w:pPr>
      <w:r w:rsidRPr="083DA640">
        <w:rPr>
          <w:lang w:eastAsia="en-AU"/>
        </w:rPr>
        <w:t xml:space="preserve">As two proud sporting nations, sport plays a critical role in connecting our people, promoting development and unity, building leadership </w:t>
      </w:r>
      <w:proofErr w:type="gramStart"/>
      <w:r w:rsidRPr="083DA640">
        <w:rPr>
          <w:lang w:eastAsia="en-AU"/>
        </w:rPr>
        <w:t>skills</w:t>
      </w:r>
      <w:proofErr w:type="gramEnd"/>
      <w:r w:rsidRPr="083DA640">
        <w:rPr>
          <w:lang w:eastAsia="en-AU"/>
        </w:rPr>
        <w:t xml:space="preserve"> and encouraging a healthy lifestyle. Our </w:t>
      </w:r>
      <w:r w:rsidR="00521119">
        <w:rPr>
          <w:lang w:eastAsia="en-AU"/>
        </w:rPr>
        <w:t xml:space="preserve">Team Up </w:t>
      </w:r>
      <w:r w:rsidRPr="083DA640">
        <w:rPr>
          <w:lang w:eastAsia="en-AU"/>
        </w:rPr>
        <w:t xml:space="preserve">sport for development programs in </w:t>
      </w:r>
      <w:r w:rsidRPr="083DA640">
        <w:rPr>
          <w:rFonts w:eastAsia="Calibri Light"/>
        </w:rPr>
        <w:t>PNG</w:t>
      </w:r>
      <w:r w:rsidRPr="0025456D">
        <w:rPr>
          <w:rFonts w:eastAsia="Calibri Light"/>
        </w:rPr>
        <w:t xml:space="preserve"> support women</w:t>
      </w:r>
      <w:r w:rsidR="0002336E">
        <w:rPr>
          <w:rFonts w:eastAsia="Calibri Light"/>
        </w:rPr>
        <w:t>,</w:t>
      </w:r>
      <w:r w:rsidRPr="0025456D">
        <w:rPr>
          <w:rFonts w:eastAsia="Calibri Light"/>
        </w:rPr>
        <w:t xml:space="preserve"> </w:t>
      </w:r>
      <w:proofErr w:type="gramStart"/>
      <w:r w:rsidRPr="0025456D">
        <w:rPr>
          <w:rFonts w:eastAsia="Calibri Light"/>
        </w:rPr>
        <w:t>girls</w:t>
      </w:r>
      <w:proofErr w:type="gramEnd"/>
      <w:r w:rsidRPr="0025456D">
        <w:rPr>
          <w:rFonts w:eastAsia="Calibri Light"/>
        </w:rPr>
        <w:t xml:space="preserve"> and people with disability to benefit from participation in safe, inclusive and accessible sport programs. Through</w:t>
      </w:r>
      <w:r w:rsidRPr="083DA640">
        <w:rPr>
          <w:lang w:eastAsia="en-AU"/>
        </w:rPr>
        <w:t xml:space="preserve"> </w:t>
      </w:r>
      <w:proofErr w:type="spellStart"/>
      <w:r w:rsidRPr="083DA640">
        <w:rPr>
          <w:lang w:eastAsia="en-AU"/>
        </w:rPr>
        <w:t>PacificAus</w:t>
      </w:r>
      <w:proofErr w:type="spellEnd"/>
      <w:r w:rsidRPr="083DA640">
        <w:rPr>
          <w:lang w:eastAsia="en-AU"/>
        </w:rPr>
        <w:t xml:space="preserve"> Sports, we partner with Australian national sports organisations to support a range of Pacific sports, including rugby league, rugby union, netball, football, </w:t>
      </w:r>
      <w:r w:rsidR="002329FC">
        <w:rPr>
          <w:lang w:eastAsia="en-AU"/>
        </w:rPr>
        <w:t>Australian rules football</w:t>
      </w:r>
      <w:r w:rsidRPr="083DA640">
        <w:rPr>
          <w:lang w:eastAsia="en-AU"/>
        </w:rPr>
        <w:t xml:space="preserve">, </w:t>
      </w:r>
      <w:proofErr w:type="gramStart"/>
      <w:r w:rsidRPr="083DA640">
        <w:rPr>
          <w:lang w:eastAsia="en-AU"/>
        </w:rPr>
        <w:t>cricket</w:t>
      </w:r>
      <w:proofErr w:type="gramEnd"/>
      <w:r w:rsidRPr="083DA640">
        <w:rPr>
          <w:lang w:eastAsia="en-AU"/>
        </w:rPr>
        <w:t xml:space="preserve"> and Olympic/Paralympic sports, with funding split evenly between women and men.</w:t>
      </w:r>
      <w:r w:rsidRPr="083DA640">
        <w:t xml:space="preserve"> We</w:t>
      </w:r>
      <w:r w:rsidRPr="083DA640">
        <w:rPr>
          <w:lang w:eastAsia="en-AU"/>
        </w:rPr>
        <w:t xml:space="preserve"> offer pathways for PNG athletes to engage with the Australian sport sector, including supporting Australian schoolboys and schoolgirls </w:t>
      </w:r>
      <w:r w:rsidR="009331CD">
        <w:rPr>
          <w:lang w:eastAsia="en-AU"/>
        </w:rPr>
        <w:t xml:space="preserve">to </w:t>
      </w:r>
      <w:r w:rsidRPr="083DA640">
        <w:rPr>
          <w:lang w:eastAsia="en-AU"/>
        </w:rPr>
        <w:t>travel to PNG to play PNG teams.</w:t>
      </w:r>
    </w:p>
    <w:p w14:paraId="1232266E" w14:textId="0BA07195" w:rsidR="009B3A43" w:rsidRPr="009F3ACA" w:rsidRDefault="000A6E90" w:rsidP="00BB5E59">
      <w:pPr>
        <w:rPr>
          <w:lang w:eastAsia="en-AU"/>
        </w:rPr>
      </w:pPr>
      <w:r w:rsidRPr="0456E119">
        <w:rPr>
          <w:lang w:eastAsia="en-AU"/>
        </w:rPr>
        <w:t xml:space="preserve">Recognising </w:t>
      </w:r>
      <w:r w:rsidRPr="63C5D2AB">
        <w:rPr>
          <w:lang w:eastAsia="en-AU"/>
        </w:rPr>
        <w:t>PNG’s importance</w:t>
      </w:r>
      <w:r w:rsidRPr="0456E119">
        <w:rPr>
          <w:lang w:eastAsia="en-AU"/>
        </w:rPr>
        <w:t xml:space="preserve"> as a leading Pacific </w:t>
      </w:r>
      <w:r w:rsidRPr="656A4923">
        <w:rPr>
          <w:lang w:eastAsia="en-AU"/>
        </w:rPr>
        <w:t>voice</w:t>
      </w:r>
      <w:r w:rsidRPr="1E55FEC8">
        <w:rPr>
          <w:lang w:eastAsia="en-AU"/>
        </w:rPr>
        <w:t xml:space="preserve"> </w:t>
      </w:r>
      <w:r w:rsidRPr="175577A0">
        <w:rPr>
          <w:lang w:eastAsia="en-AU"/>
        </w:rPr>
        <w:t>at multilateral for</w:t>
      </w:r>
      <w:r w:rsidR="00810C4D">
        <w:rPr>
          <w:lang w:eastAsia="en-AU"/>
        </w:rPr>
        <w:t>ums</w:t>
      </w:r>
      <w:r w:rsidRPr="656A4923">
        <w:rPr>
          <w:lang w:eastAsia="en-AU"/>
        </w:rPr>
        <w:t xml:space="preserve">, we will continue to support PNG to </w:t>
      </w:r>
      <w:r w:rsidRPr="63C5D2AB">
        <w:rPr>
          <w:lang w:eastAsia="en-AU"/>
        </w:rPr>
        <w:t>strengthen its engagement</w:t>
      </w:r>
      <w:r w:rsidRPr="2679057C">
        <w:rPr>
          <w:lang w:eastAsia="en-AU"/>
        </w:rPr>
        <w:t xml:space="preserve"> at </w:t>
      </w:r>
      <w:r w:rsidR="00164C66">
        <w:rPr>
          <w:lang w:eastAsia="en-AU"/>
        </w:rPr>
        <w:t>the Pacific Islands Forum</w:t>
      </w:r>
      <w:r w:rsidRPr="2679057C">
        <w:rPr>
          <w:lang w:eastAsia="en-AU"/>
        </w:rPr>
        <w:t xml:space="preserve">, </w:t>
      </w:r>
      <w:r w:rsidR="000F07B0">
        <w:rPr>
          <w:lang w:eastAsia="en-AU"/>
        </w:rPr>
        <w:t>Asia</w:t>
      </w:r>
      <w:r w:rsidR="00870DF5">
        <w:rPr>
          <w:lang w:eastAsia="en-AU"/>
        </w:rPr>
        <w:t>–</w:t>
      </w:r>
      <w:r w:rsidR="000F07B0">
        <w:rPr>
          <w:lang w:eastAsia="en-AU"/>
        </w:rPr>
        <w:t>Pacific Economic Cooperation (</w:t>
      </w:r>
      <w:r w:rsidRPr="2679057C">
        <w:rPr>
          <w:lang w:eastAsia="en-AU"/>
        </w:rPr>
        <w:t>APEC</w:t>
      </w:r>
      <w:r w:rsidR="000F07B0">
        <w:rPr>
          <w:lang w:eastAsia="en-AU"/>
        </w:rPr>
        <w:t>)</w:t>
      </w:r>
      <w:r w:rsidRPr="63C5D2AB">
        <w:rPr>
          <w:lang w:eastAsia="en-AU"/>
        </w:rPr>
        <w:t xml:space="preserve">, UN </w:t>
      </w:r>
      <w:r w:rsidRPr="2679057C">
        <w:rPr>
          <w:lang w:eastAsia="en-AU"/>
        </w:rPr>
        <w:t xml:space="preserve">and </w:t>
      </w:r>
      <w:r w:rsidRPr="63C5D2AB">
        <w:rPr>
          <w:lang w:eastAsia="en-AU"/>
        </w:rPr>
        <w:t xml:space="preserve">other regional and </w:t>
      </w:r>
      <w:r w:rsidRPr="175577A0">
        <w:rPr>
          <w:lang w:eastAsia="en-AU"/>
        </w:rPr>
        <w:t>international forums</w:t>
      </w:r>
      <w:r w:rsidRPr="2679057C">
        <w:rPr>
          <w:lang w:eastAsia="en-AU"/>
        </w:rPr>
        <w:t>.</w:t>
      </w:r>
    </w:p>
    <w:p w14:paraId="6AB50D14" w14:textId="77777777" w:rsidR="005E7FFE" w:rsidRPr="002169EF" w:rsidRDefault="005E7FFE" w:rsidP="00F54F79">
      <w:pPr>
        <w:widowControl w:val="0"/>
        <w:spacing w:before="0" w:after="0" w:line="240" w:lineRule="auto"/>
      </w:pPr>
      <w:r>
        <w:br w:type="page"/>
      </w:r>
    </w:p>
    <w:p w14:paraId="3EC3A2E4" w14:textId="25321162" w:rsidR="002F4955" w:rsidRPr="00C10C2C" w:rsidRDefault="002F4955" w:rsidP="000270CC">
      <w:pPr>
        <w:pStyle w:val="H2-Heading2"/>
      </w:pPr>
      <w:r w:rsidRPr="00C10C2C">
        <w:lastRenderedPageBreak/>
        <w:t xml:space="preserve">Section 4: Delivering our </w:t>
      </w:r>
      <w:proofErr w:type="gramStart"/>
      <w:r w:rsidR="00505EEC" w:rsidRPr="000270CC">
        <w:t>p</w:t>
      </w:r>
      <w:r w:rsidRPr="000270CC">
        <w:t>artnership</w:t>
      </w:r>
      <w:proofErr w:type="gramEnd"/>
    </w:p>
    <w:p w14:paraId="08D100F0" w14:textId="77777777" w:rsidR="002F4955" w:rsidRPr="00CF05FA" w:rsidRDefault="002F4955" w:rsidP="000270CC">
      <w:pPr>
        <w:pStyle w:val="H3-Heading3"/>
      </w:pPr>
      <w:r w:rsidRPr="413282F0">
        <w:t xml:space="preserve">Locally led </w:t>
      </w:r>
      <w:proofErr w:type="gramStart"/>
      <w:r w:rsidRPr="00E90562">
        <w:t>development</w:t>
      </w:r>
      <w:proofErr w:type="gramEnd"/>
    </w:p>
    <w:p w14:paraId="78ABBF96" w14:textId="0CD1B58B" w:rsidR="009524E0" w:rsidRPr="000D2FFE" w:rsidRDefault="009524E0" w:rsidP="00E90562">
      <w:pPr>
        <w:rPr>
          <w:lang w:eastAsia="en-AU"/>
        </w:rPr>
      </w:pPr>
      <w:r w:rsidRPr="000D2FFE">
        <w:rPr>
          <w:lang w:eastAsia="en-AU"/>
        </w:rPr>
        <w:t>Our approach to promoting locally led, inclusive development builds on our strong partnership with the PNG Government and lessons learned through decades of engagement with PNG institutions, civil society</w:t>
      </w:r>
      <w:r w:rsidR="00615FDD">
        <w:rPr>
          <w:lang w:eastAsia="en-AU"/>
        </w:rPr>
        <w:t xml:space="preserve"> organisations</w:t>
      </w:r>
      <w:r w:rsidRPr="000D2FFE">
        <w:rPr>
          <w:lang w:eastAsia="en-AU"/>
        </w:rPr>
        <w:t xml:space="preserve"> and people.</w:t>
      </w:r>
    </w:p>
    <w:p w14:paraId="6FE1D6F3" w14:textId="597B527D" w:rsidR="009524E0" w:rsidRPr="000D2FFE" w:rsidRDefault="009524E0" w:rsidP="00E90562">
      <w:pPr>
        <w:rPr>
          <w:lang w:eastAsia="en-AU"/>
        </w:rPr>
      </w:pPr>
      <w:r w:rsidRPr="000D2FFE">
        <w:rPr>
          <w:lang w:eastAsia="en-AU"/>
        </w:rPr>
        <w:t xml:space="preserve">Our largest investments, including our lending, align with the PNG Government’s top priorities for support from development partners outlined in </w:t>
      </w:r>
      <w:r w:rsidR="00C838BB">
        <w:rPr>
          <w:lang w:eastAsia="en-AU"/>
        </w:rPr>
        <w:t xml:space="preserve">the </w:t>
      </w:r>
      <w:r w:rsidRPr="000D2FFE">
        <w:rPr>
          <w:lang w:eastAsia="en-AU"/>
        </w:rPr>
        <w:t>MTDP</w:t>
      </w:r>
      <w:r w:rsidR="00D05962">
        <w:rPr>
          <w:lang w:eastAsia="en-AU"/>
        </w:rPr>
        <w:t> </w:t>
      </w:r>
      <w:r w:rsidRPr="000D2FFE">
        <w:rPr>
          <w:lang w:eastAsia="en-AU"/>
        </w:rPr>
        <w:t xml:space="preserve">IV, including infrastructure, economic development, and law, </w:t>
      </w:r>
      <w:proofErr w:type="gramStart"/>
      <w:r w:rsidRPr="000D2FFE">
        <w:rPr>
          <w:lang w:eastAsia="en-AU"/>
        </w:rPr>
        <w:t>order</w:t>
      </w:r>
      <w:proofErr w:type="gramEnd"/>
      <w:r w:rsidRPr="000D2FFE">
        <w:rPr>
          <w:lang w:eastAsia="en-AU"/>
        </w:rPr>
        <w:t xml:space="preserve"> and justice. Within these and other sectors, we work closely with </w:t>
      </w:r>
      <w:r w:rsidR="00D42797">
        <w:rPr>
          <w:lang w:eastAsia="en-AU"/>
        </w:rPr>
        <w:t xml:space="preserve">our </w:t>
      </w:r>
      <w:r w:rsidRPr="000D2FFE">
        <w:rPr>
          <w:lang w:eastAsia="en-AU"/>
        </w:rPr>
        <w:t>PNG counterparts to ensure our support responds to</w:t>
      </w:r>
      <w:r>
        <w:rPr>
          <w:lang w:eastAsia="en-AU"/>
        </w:rPr>
        <w:t xml:space="preserve"> </w:t>
      </w:r>
      <w:r w:rsidR="00D05962">
        <w:rPr>
          <w:lang w:eastAsia="en-AU"/>
        </w:rPr>
        <w:t xml:space="preserve">the </w:t>
      </w:r>
      <w:r w:rsidRPr="000D2FFE">
        <w:rPr>
          <w:lang w:eastAsia="en-AU"/>
        </w:rPr>
        <w:t>areas of most critical need. Shared priorities have also been articulated in the PNG</w:t>
      </w:r>
      <w:r w:rsidR="0066391B">
        <w:rPr>
          <w:lang w:eastAsia="en-AU"/>
        </w:rPr>
        <w:t>–</w:t>
      </w:r>
      <w:r w:rsidRPr="000D2FFE">
        <w:rPr>
          <w:lang w:eastAsia="en-AU"/>
        </w:rPr>
        <w:t>Australia C</w:t>
      </w:r>
      <w:r w:rsidR="00CF79FE">
        <w:rPr>
          <w:lang w:eastAsia="en-AU"/>
        </w:rPr>
        <w:t>SEP</w:t>
      </w:r>
      <w:r w:rsidRPr="000D2FFE">
        <w:rPr>
          <w:lang w:eastAsia="en-AU"/>
        </w:rPr>
        <w:t xml:space="preserve"> and related </w:t>
      </w:r>
      <w:r w:rsidR="005B3BD6">
        <w:rPr>
          <w:lang w:eastAsia="en-AU"/>
        </w:rPr>
        <w:t>a</w:t>
      </w:r>
      <w:r w:rsidRPr="000D2FFE">
        <w:rPr>
          <w:lang w:eastAsia="en-AU"/>
        </w:rPr>
        <w:t xml:space="preserve">ction </w:t>
      </w:r>
      <w:r w:rsidR="005B3BD6">
        <w:rPr>
          <w:lang w:eastAsia="en-AU"/>
        </w:rPr>
        <w:t>p</w:t>
      </w:r>
      <w:r w:rsidRPr="000D2FFE">
        <w:rPr>
          <w:lang w:eastAsia="en-AU"/>
        </w:rPr>
        <w:t xml:space="preserve">lans, which are consistent with the priorities set out in this DPP. Where possible and appropriate, our support will be channelled through the PNG Government’s systems, including its </w:t>
      </w:r>
      <w:r w:rsidR="00DD7FB0">
        <w:rPr>
          <w:lang w:eastAsia="en-AU"/>
        </w:rPr>
        <w:t>t</w:t>
      </w:r>
      <w:r w:rsidRPr="000D2FFE">
        <w:rPr>
          <w:lang w:eastAsia="en-AU"/>
        </w:rPr>
        <w:t xml:space="preserve">rust </w:t>
      </w:r>
      <w:r w:rsidR="00DD7FB0">
        <w:rPr>
          <w:lang w:eastAsia="en-AU"/>
        </w:rPr>
        <w:t>a</w:t>
      </w:r>
      <w:r w:rsidRPr="000D2FFE">
        <w:rPr>
          <w:lang w:eastAsia="en-AU"/>
        </w:rPr>
        <w:t>ccounts.</w:t>
      </w:r>
    </w:p>
    <w:p w14:paraId="4600130D" w14:textId="503454E6" w:rsidR="009524E0" w:rsidRPr="000D2FFE" w:rsidRDefault="009524E0" w:rsidP="00E90562">
      <w:pPr>
        <w:rPr>
          <w:lang w:eastAsia="en-AU"/>
        </w:rPr>
      </w:pPr>
      <w:r w:rsidRPr="000D2FFE">
        <w:rPr>
          <w:lang w:eastAsia="en-AU"/>
        </w:rPr>
        <w:t xml:space="preserve">Australia’s support for essential services will transition towards helping the PNG Government to deliver services to its citizens. This shift needs to be managed carefully to ensure access to essential services remains available while we assist PNG to deliver a more effective, efficient system </w:t>
      </w:r>
      <w:r w:rsidRPr="267E9828">
        <w:rPr>
          <w:lang w:eastAsia="en-AU"/>
        </w:rPr>
        <w:t>that</w:t>
      </w:r>
      <w:r w:rsidRPr="000D2FFE">
        <w:rPr>
          <w:lang w:eastAsia="en-AU"/>
        </w:rPr>
        <w:t xml:space="preserve"> can deliver services </w:t>
      </w:r>
      <w:r w:rsidR="00BE1606">
        <w:rPr>
          <w:lang w:eastAsia="en-AU"/>
        </w:rPr>
        <w:t xml:space="preserve">that </w:t>
      </w:r>
      <w:r w:rsidRPr="000D2FFE">
        <w:rPr>
          <w:lang w:eastAsia="en-AU"/>
        </w:rPr>
        <w:t>are responsive to its people’s needs over the longer</w:t>
      </w:r>
      <w:r w:rsidR="00BE1606">
        <w:rPr>
          <w:lang w:eastAsia="en-AU"/>
        </w:rPr>
        <w:t xml:space="preserve"> </w:t>
      </w:r>
      <w:r w:rsidRPr="000D2FFE">
        <w:rPr>
          <w:lang w:eastAsia="en-AU"/>
        </w:rPr>
        <w:t>term.</w:t>
      </w:r>
    </w:p>
    <w:p w14:paraId="0BE7AD6C" w14:textId="5DA26B2F" w:rsidR="009524E0" w:rsidRPr="000D2FFE" w:rsidRDefault="009524E0" w:rsidP="00E90562">
      <w:pPr>
        <w:rPr>
          <w:lang w:eastAsia="en-AU"/>
        </w:rPr>
      </w:pPr>
      <w:r w:rsidRPr="000D2FFE">
        <w:rPr>
          <w:lang w:eastAsia="en-AU"/>
        </w:rPr>
        <w:t>We recognise that strong, local civil society is foundational to development, and that the development of a robust civil society is in PNG</w:t>
      </w:r>
      <w:r w:rsidR="00BE1606">
        <w:rPr>
          <w:lang w:eastAsia="en-AU"/>
        </w:rPr>
        <w:t>’</w:t>
      </w:r>
      <w:r w:rsidRPr="000D2FFE">
        <w:rPr>
          <w:lang w:eastAsia="en-AU"/>
        </w:rPr>
        <w:t>s interests. Civil society, including the media, think tanks, and universities can play a critical role in promoting accountability, and civil society organisations</w:t>
      </w:r>
      <w:r w:rsidR="00111A67">
        <w:rPr>
          <w:lang w:eastAsia="en-AU"/>
        </w:rPr>
        <w:t xml:space="preserve"> such as</w:t>
      </w:r>
      <w:r w:rsidRPr="000D2FFE">
        <w:rPr>
          <w:lang w:eastAsia="en-AU"/>
        </w:rPr>
        <w:t xml:space="preserve"> churches draw on their local leadership, </w:t>
      </w:r>
      <w:proofErr w:type="gramStart"/>
      <w:r w:rsidRPr="000D2FFE">
        <w:rPr>
          <w:lang w:eastAsia="en-AU"/>
        </w:rPr>
        <w:t>knowledge</w:t>
      </w:r>
      <w:proofErr w:type="gramEnd"/>
      <w:r w:rsidRPr="000D2FFE">
        <w:rPr>
          <w:lang w:eastAsia="en-AU"/>
        </w:rPr>
        <w:t xml:space="preserve"> and networks to deliver services effectively in rural and remote communities. Civil society also offers leadership pathways, particularly for women and people with disabilit</w:t>
      </w:r>
      <w:r w:rsidR="008866B6">
        <w:rPr>
          <w:lang w:eastAsia="en-AU"/>
        </w:rPr>
        <w:t>y</w:t>
      </w:r>
      <w:r w:rsidRPr="000D2FFE">
        <w:rPr>
          <w:lang w:eastAsia="en-AU"/>
        </w:rPr>
        <w:t>.</w:t>
      </w:r>
    </w:p>
    <w:p w14:paraId="51F4B797" w14:textId="3CC095AF" w:rsidR="009524E0" w:rsidRPr="000D2FFE" w:rsidRDefault="009524E0" w:rsidP="00E90562">
      <w:pPr>
        <w:rPr>
          <w:lang w:eastAsia="en-AU"/>
        </w:rPr>
      </w:pPr>
      <w:r w:rsidRPr="000D2FFE">
        <w:rPr>
          <w:lang w:eastAsia="en-AU"/>
        </w:rPr>
        <w:t xml:space="preserve">Where possible, we will provide core funding and consistent investment in organisational capacity, recurrent operating </w:t>
      </w:r>
      <w:proofErr w:type="gramStart"/>
      <w:r w:rsidRPr="000D2FFE">
        <w:rPr>
          <w:lang w:eastAsia="en-AU"/>
        </w:rPr>
        <w:t>costs</w:t>
      </w:r>
      <w:proofErr w:type="gramEnd"/>
      <w:r w:rsidRPr="000D2FFE">
        <w:rPr>
          <w:lang w:eastAsia="en-AU"/>
        </w:rPr>
        <w:t xml:space="preserve"> and personnel</w:t>
      </w:r>
      <w:r>
        <w:rPr>
          <w:lang w:eastAsia="en-AU"/>
        </w:rPr>
        <w:t xml:space="preserve"> to strengthen civil society organisations</w:t>
      </w:r>
      <w:r w:rsidRPr="000D2FFE">
        <w:rPr>
          <w:lang w:eastAsia="en-AU"/>
        </w:rPr>
        <w:t xml:space="preserve">. Our partnership-based approach will enable </w:t>
      </w:r>
      <w:r>
        <w:rPr>
          <w:lang w:eastAsia="en-AU"/>
        </w:rPr>
        <w:t>organisations</w:t>
      </w:r>
      <w:r w:rsidRPr="000D2FFE">
        <w:rPr>
          <w:lang w:eastAsia="en-AU"/>
        </w:rPr>
        <w:t xml:space="preserve"> to set agendas and meet the needs of their constituents and clients. To extend </w:t>
      </w:r>
      <w:r>
        <w:rPr>
          <w:lang w:eastAsia="en-AU"/>
        </w:rPr>
        <w:t>the</w:t>
      </w:r>
      <w:r w:rsidRPr="000D2FFE">
        <w:rPr>
          <w:lang w:eastAsia="en-AU"/>
        </w:rPr>
        <w:t xml:space="preserve"> reach</w:t>
      </w:r>
      <w:r>
        <w:rPr>
          <w:lang w:eastAsia="en-AU"/>
        </w:rPr>
        <w:t xml:space="preserve"> of our support</w:t>
      </w:r>
      <w:r w:rsidRPr="000D2FFE">
        <w:rPr>
          <w:lang w:eastAsia="en-AU"/>
        </w:rPr>
        <w:t>, we will</w:t>
      </w:r>
      <w:r>
        <w:rPr>
          <w:lang w:eastAsia="en-AU"/>
        </w:rPr>
        <w:t xml:space="preserve"> initially focus on </w:t>
      </w:r>
      <w:r w:rsidRPr="000D2FFE">
        <w:rPr>
          <w:lang w:eastAsia="en-AU"/>
        </w:rPr>
        <w:t>work</w:t>
      </w:r>
      <w:r w:rsidR="00A97E08">
        <w:rPr>
          <w:lang w:eastAsia="en-AU"/>
        </w:rPr>
        <w:t>ing</w:t>
      </w:r>
      <w:r w:rsidRPr="000D2FFE">
        <w:rPr>
          <w:lang w:eastAsia="en-AU"/>
        </w:rPr>
        <w:t xml:space="preserve"> with more established organisations that can build broader engagement with smaller organisations. We will form longer-term partnerships with local civil society organisations, recognising that this requires an in-</w:t>
      </w:r>
      <w:proofErr w:type="gramStart"/>
      <w:r w:rsidRPr="000D2FFE">
        <w:rPr>
          <w:lang w:eastAsia="en-AU"/>
        </w:rPr>
        <w:t>principle</w:t>
      </w:r>
      <w:proofErr w:type="gramEnd"/>
      <w:r w:rsidRPr="000D2FFE">
        <w:rPr>
          <w:lang w:eastAsia="en-AU"/>
        </w:rPr>
        <w:t xml:space="preserve"> commitment that extends beyond typical </w:t>
      </w:r>
      <w:r w:rsidR="00765559">
        <w:rPr>
          <w:lang w:eastAsia="en-AU"/>
        </w:rPr>
        <w:t>4</w:t>
      </w:r>
      <w:r w:rsidRPr="000D2FFE">
        <w:rPr>
          <w:lang w:eastAsia="en-AU"/>
        </w:rPr>
        <w:t xml:space="preserve">- or </w:t>
      </w:r>
      <w:r w:rsidR="00765559">
        <w:rPr>
          <w:lang w:eastAsia="en-AU"/>
        </w:rPr>
        <w:t>5</w:t>
      </w:r>
      <w:r w:rsidRPr="000D2FFE">
        <w:rPr>
          <w:lang w:eastAsia="en-AU"/>
        </w:rPr>
        <w:t>-year program cycles.</w:t>
      </w:r>
    </w:p>
    <w:p w14:paraId="3433EDE7" w14:textId="433B1ED6" w:rsidR="009524E0" w:rsidRPr="000D2FFE" w:rsidRDefault="009524E0" w:rsidP="00E90562">
      <w:pPr>
        <w:rPr>
          <w:lang w:eastAsia="en-AU"/>
        </w:rPr>
      </w:pPr>
      <w:r w:rsidRPr="000D2FFE">
        <w:rPr>
          <w:lang w:eastAsia="en-AU"/>
        </w:rPr>
        <w:t xml:space="preserve">We undertake to review our civil society engagement at the DPP </w:t>
      </w:r>
      <w:r w:rsidR="006E4367">
        <w:rPr>
          <w:lang w:eastAsia="en-AU"/>
        </w:rPr>
        <w:t>mid-cycle review</w:t>
      </w:r>
      <w:r w:rsidR="006E4367" w:rsidRPr="000D2FFE">
        <w:rPr>
          <w:lang w:eastAsia="en-AU"/>
        </w:rPr>
        <w:t xml:space="preserve"> </w:t>
      </w:r>
      <w:r w:rsidRPr="000D2FFE">
        <w:rPr>
          <w:lang w:eastAsia="en-AU"/>
        </w:rPr>
        <w:t>to ensure our support is building the sector, we are progressively localising capacity, and good practice is applied whenever we work with civil society organisations.</w:t>
      </w:r>
    </w:p>
    <w:p w14:paraId="551DAFAF" w14:textId="72E1D596" w:rsidR="002F4955" w:rsidRDefault="009524E0" w:rsidP="00E90562">
      <w:pPr>
        <w:rPr>
          <w:rFonts w:ascii="Calibri Light" w:hAnsi="Calibri Light" w:cs="Calibri Light"/>
          <w:color w:val="313E48"/>
          <w:lang w:eastAsia="en-AU"/>
        </w:rPr>
      </w:pPr>
      <w:r w:rsidRPr="000D2FFE">
        <w:rPr>
          <w:lang w:eastAsia="en-AU"/>
        </w:rPr>
        <w:t xml:space="preserve">Australia will engage local expertise as much as possible to design, deliver and review its development programs. This will include drawing on the invaluable expertise of our locally engaged staff to provide input into strategic discussions and documents and provide advice and guidance on engaging with PNG </w:t>
      </w:r>
      <w:r w:rsidR="006E3425">
        <w:rPr>
          <w:lang w:eastAsia="en-AU"/>
        </w:rPr>
        <w:t>G</w:t>
      </w:r>
      <w:r w:rsidRPr="000D2FFE">
        <w:rPr>
          <w:lang w:eastAsia="en-AU"/>
        </w:rPr>
        <w:t xml:space="preserve">overnment counterparts, civil </w:t>
      </w:r>
      <w:proofErr w:type="gramStart"/>
      <w:r w:rsidRPr="000D2FFE">
        <w:rPr>
          <w:lang w:eastAsia="en-AU"/>
        </w:rPr>
        <w:t>society</w:t>
      </w:r>
      <w:proofErr w:type="gramEnd"/>
      <w:r w:rsidRPr="000D2FFE">
        <w:rPr>
          <w:lang w:eastAsia="en-AU"/>
        </w:rPr>
        <w:t xml:space="preserve"> and the private sector.</w:t>
      </w:r>
    </w:p>
    <w:p w14:paraId="6EE9A4C3" w14:textId="77777777" w:rsidR="002F4955" w:rsidRPr="00CF05FA" w:rsidRDefault="002F4955" w:rsidP="000270CC">
      <w:pPr>
        <w:pStyle w:val="H3-Heading3"/>
      </w:pPr>
      <w:r w:rsidRPr="00E90562">
        <w:t>Consultation</w:t>
      </w:r>
    </w:p>
    <w:p w14:paraId="1462C507" w14:textId="6055A63F" w:rsidR="002F4955" w:rsidRPr="00E31A38" w:rsidRDefault="47EF911B" w:rsidP="00E90562">
      <w:pPr>
        <w:rPr>
          <w:rFonts w:ascii="Calibri Light" w:hAnsi="Calibri Light" w:cs="Calibri Light"/>
          <w:color w:val="313E48"/>
          <w:lang w:eastAsia="en-AU"/>
        </w:rPr>
      </w:pPr>
      <w:r w:rsidRPr="00BE6C84">
        <w:rPr>
          <w:lang w:eastAsia="en-AU"/>
        </w:rPr>
        <w:t>Australia will utilise existing consultation mechanisms, including high</w:t>
      </w:r>
      <w:r w:rsidR="4284B23D" w:rsidRPr="39646263">
        <w:rPr>
          <w:lang w:eastAsia="en-AU"/>
        </w:rPr>
        <w:t>-</w:t>
      </w:r>
      <w:r w:rsidRPr="00BE6C84">
        <w:rPr>
          <w:lang w:eastAsia="en-AU"/>
        </w:rPr>
        <w:t xml:space="preserve">level development forums, sector-specific </w:t>
      </w:r>
      <w:proofErr w:type="gramStart"/>
      <w:r w:rsidRPr="00BE6C84">
        <w:rPr>
          <w:lang w:eastAsia="en-AU"/>
        </w:rPr>
        <w:t>meetings</w:t>
      </w:r>
      <w:proofErr w:type="gramEnd"/>
      <w:r w:rsidRPr="00BE6C84">
        <w:rPr>
          <w:lang w:eastAsia="en-AU"/>
        </w:rPr>
        <w:t xml:space="preserve"> and </w:t>
      </w:r>
      <w:r>
        <w:rPr>
          <w:lang w:eastAsia="en-AU"/>
        </w:rPr>
        <w:t xml:space="preserve">the full range of </w:t>
      </w:r>
      <w:r w:rsidRPr="00BE6C84">
        <w:rPr>
          <w:lang w:eastAsia="en-AU"/>
        </w:rPr>
        <w:t>high</w:t>
      </w:r>
      <w:r>
        <w:rPr>
          <w:lang w:eastAsia="en-AU"/>
        </w:rPr>
        <w:t>-</w:t>
      </w:r>
      <w:r w:rsidRPr="00BE6C84">
        <w:rPr>
          <w:lang w:eastAsia="en-AU"/>
        </w:rPr>
        <w:t>level talks</w:t>
      </w:r>
      <w:r>
        <w:rPr>
          <w:lang w:eastAsia="en-AU"/>
        </w:rPr>
        <w:t xml:space="preserve"> under our bilateral architecture</w:t>
      </w:r>
      <w:r w:rsidRPr="00BE6C84">
        <w:rPr>
          <w:lang w:eastAsia="en-AU"/>
        </w:rPr>
        <w:t xml:space="preserve"> to update </w:t>
      </w:r>
      <w:r>
        <w:rPr>
          <w:lang w:eastAsia="en-AU"/>
        </w:rPr>
        <w:t>and engage</w:t>
      </w:r>
      <w:r w:rsidRPr="00BE6C84">
        <w:rPr>
          <w:lang w:eastAsia="en-AU"/>
        </w:rPr>
        <w:t xml:space="preserve"> PNG on Australia’s progress on the DPP. In</w:t>
      </w:r>
      <w:r>
        <w:rPr>
          <w:lang w:eastAsia="en-AU"/>
        </w:rPr>
        <w:t xml:space="preserve"> </w:t>
      </w:r>
      <w:r w:rsidRPr="00BE6C84">
        <w:rPr>
          <w:lang w:eastAsia="en-AU"/>
        </w:rPr>
        <w:t xml:space="preserve">addition, we will convene an annual stakeholder forum to discuss DPP implementation, share learning and update </w:t>
      </w:r>
      <w:r w:rsidR="627BC598" w:rsidRPr="39646263">
        <w:rPr>
          <w:lang w:eastAsia="en-AU"/>
        </w:rPr>
        <w:t xml:space="preserve">stakeholders </w:t>
      </w:r>
      <w:r w:rsidRPr="00BE6C84">
        <w:rPr>
          <w:lang w:eastAsia="en-AU"/>
        </w:rPr>
        <w:t xml:space="preserve">on progress as a review mechanism for assessing </w:t>
      </w:r>
      <w:r>
        <w:rPr>
          <w:lang w:eastAsia="en-AU"/>
        </w:rPr>
        <w:t xml:space="preserve">the </w:t>
      </w:r>
      <w:r w:rsidRPr="00BE6C84">
        <w:rPr>
          <w:lang w:eastAsia="en-AU"/>
        </w:rPr>
        <w:t>performance of Australia’s overarching development program. Where appropriate, outcomes from the DPP stakeholder forum will be reported through the annual PNG</w:t>
      </w:r>
      <w:r w:rsidR="00882A4D" w:rsidRPr="39646263">
        <w:rPr>
          <w:lang w:eastAsia="en-AU"/>
        </w:rPr>
        <w:t>–</w:t>
      </w:r>
      <w:r w:rsidRPr="00BE6C84">
        <w:rPr>
          <w:lang w:eastAsia="en-AU"/>
        </w:rPr>
        <w:t xml:space="preserve">Australia Senior Officials Meeting and </w:t>
      </w:r>
      <w:r>
        <w:rPr>
          <w:lang w:eastAsia="en-AU"/>
        </w:rPr>
        <w:t>the Australia</w:t>
      </w:r>
      <w:r w:rsidR="3EC738E8" w:rsidRPr="39646263">
        <w:rPr>
          <w:lang w:eastAsia="en-AU"/>
        </w:rPr>
        <w:t>–</w:t>
      </w:r>
      <w:r>
        <w:rPr>
          <w:lang w:eastAsia="en-AU"/>
        </w:rPr>
        <w:t xml:space="preserve">PNG </w:t>
      </w:r>
      <w:r w:rsidRPr="00BE6C84">
        <w:rPr>
          <w:lang w:eastAsia="en-AU"/>
        </w:rPr>
        <w:t>Ministerial Forum.</w:t>
      </w:r>
    </w:p>
    <w:p w14:paraId="2C2D5E82" w14:textId="77777777" w:rsidR="002F4955" w:rsidRPr="00BB5E59" w:rsidRDefault="002F4955" w:rsidP="000270CC">
      <w:pPr>
        <w:pStyle w:val="H3-Heading3"/>
      </w:pPr>
      <w:r w:rsidRPr="00BB5E59">
        <w:lastRenderedPageBreak/>
        <w:t xml:space="preserve">Evaluation and </w:t>
      </w:r>
      <w:r w:rsidRPr="00E90562">
        <w:t>learning</w:t>
      </w:r>
    </w:p>
    <w:p w14:paraId="3FACEBF3" w14:textId="0C1EC2A4" w:rsidR="001F3990" w:rsidRDefault="047F60AE" w:rsidP="000270CC">
      <w:pPr>
        <w:rPr>
          <w:lang w:eastAsia="en-AU"/>
        </w:rPr>
      </w:pPr>
      <w:r w:rsidRPr="39646263">
        <w:rPr>
          <w:lang w:eastAsia="en-AU"/>
        </w:rPr>
        <w:t xml:space="preserve">We will undertake evaluations of key investments, thematic </w:t>
      </w:r>
      <w:proofErr w:type="gramStart"/>
      <w:r w:rsidRPr="39646263">
        <w:rPr>
          <w:lang w:eastAsia="en-AU"/>
        </w:rPr>
        <w:t>areas</w:t>
      </w:r>
      <w:proofErr w:type="gramEnd"/>
      <w:r w:rsidRPr="39646263">
        <w:rPr>
          <w:lang w:eastAsia="en-AU"/>
        </w:rPr>
        <w:t xml:space="preserve"> and priority sectors to promote continuous improvement and ensure our approaches are fit</w:t>
      </w:r>
      <w:r w:rsidR="7ADC6BE1" w:rsidRPr="39646263">
        <w:rPr>
          <w:lang w:eastAsia="en-AU"/>
        </w:rPr>
        <w:t xml:space="preserve"> </w:t>
      </w:r>
      <w:r w:rsidRPr="39646263">
        <w:rPr>
          <w:lang w:eastAsia="en-AU"/>
        </w:rPr>
        <w:t>for</w:t>
      </w:r>
      <w:r w:rsidR="7ADC6BE1" w:rsidRPr="39646263">
        <w:rPr>
          <w:lang w:eastAsia="en-AU"/>
        </w:rPr>
        <w:t xml:space="preserve"> </w:t>
      </w:r>
      <w:r w:rsidRPr="39646263">
        <w:rPr>
          <w:lang w:eastAsia="en-AU"/>
        </w:rPr>
        <w:t xml:space="preserve">purpose to achieve effective outcomes. Over the first </w:t>
      </w:r>
      <w:r w:rsidR="2B943B04" w:rsidRPr="39646263">
        <w:rPr>
          <w:lang w:eastAsia="en-AU"/>
        </w:rPr>
        <w:t>2 </w:t>
      </w:r>
      <w:r w:rsidRPr="39646263">
        <w:rPr>
          <w:lang w:eastAsia="en-AU"/>
        </w:rPr>
        <w:t xml:space="preserve">years of the DPP we will undertake a series of cross-cutting strategic reviews of </w:t>
      </w:r>
      <w:r w:rsidR="2B943B04" w:rsidRPr="39646263">
        <w:rPr>
          <w:lang w:eastAsia="en-AU"/>
        </w:rPr>
        <w:t xml:space="preserve">the </w:t>
      </w:r>
      <w:r w:rsidRPr="39646263">
        <w:rPr>
          <w:lang w:eastAsia="en-AU"/>
        </w:rPr>
        <w:t xml:space="preserve">thematic focus areas of the development program. Evaluations and cross-cutting strategic reviews will support our commitments to learning and accountability and generate the evidence needed to support decision-making, including where we need to adapt our approach and </w:t>
      </w:r>
      <w:r w:rsidR="00F553FD" w:rsidRPr="008E78EB">
        <w:rPr>
          <w:lang w:eastAsia="en-AU"/>
        </w:rPr>
        <w:t xml:space="preserve">identify further opportunities for sharing relevant data with </w:t>
      </w:r>
      <w:r w:rsidRPr="39646263">
        <w:rPr>
          <w:lang w:eastAsia="en-AU"/>
        </w:rPr>
        <w:t xml:space="preserve">PNG stakeholders. </w:t>
      </w:r>
    </w:p>
    <w:p w14:paraId="638F6735" w14:textId="76F7BD51" w:rsidR="002F4955" w:rsidRPr="00E31A38" w:rsidRDefault="047F60AE" w:rsidP="00E90562">
      <w:pPr>
        <w:rPr>
          <w:rFonts w:cs="Calibri Light"/>
          <w:color w:val="313E48"/>
          <w:lang w:eastAsia="en-AU"/>
        </w:rPr>
      </w:pPr>
      <w:r w:rsidRPr="39646263">
        <w:rPr>
          <w:lang w:eastAsia="en-AU"/>
        </w:rPr>
        <w:t>We will publish a minimum of six evaluations each year over the life of the DPP, as outlined in Table 2</w:t>
      </w:r>
      <w:r w:rsidR="0040579C" w:rsidRPr="39646263">
        <w:rPr>
          <w:lang w:eastAsia="en-AU"/>
        </w:rPr>
        <w:t xml:space="preserve">, and leverage these findings to influence the </w:t>
      </w:r>
      <w:r w:rsidR="7FC8DA5F" w:rsidRPr="39646263">
        <w:rPr>
          <w:lang w:eastAsia="en-AU"/>
        </w:rPr>
        <w:t xml:space="preserve">management and </w:t>
      </w:r>
      <w:r w:rsidR="0040579C" w:rsidRPr="39646263">
        <w:rPr>
          <w:lang w:eastAsia="en-AU"/>
        </w:rPr>
        <w:t>design of programs</w:t>
      </w:r>
      <w:r w:rsidR="6D722E6D" w:rsidRPr="39646263">
        <w:rPr>
          <w:lang w:eastAsia="en-AU"/>
        </w:rPr>
        <w:t>, including those</w:t>
      </w:r>
      <w:r w:rsidR="0040579C" w:rsidRPr="39646263">
        <w:rPr>
          <w:lang w:eastAsia="en-AU"/>
        </w:rPr>
        <w:t xml:space="preserve"> beyond our current portfolio </w:t>
      </w:r>
      <w:r w:rsidR="37494EF9" w:rsidRPr="39646263">
        <w:rPr>
          <w:lang w:eastAsia="en-AU"/>
        </w:rPr>
        <w:t>of investments</w:t>
      </w:r>
      <w:r w:rsidR="5BDAB687" w:rsidRPr="39646263">
        <w:rPr>
          <w:lang w:eastAsia="en-AU"/>
        </w:rPr>
        <w:t xml:space="preserve"> </w:t>
      </w:r>
      <w:r w:rsidR="1BED62C1" w:rsidRPr="39646263">
        <w:rPr>
          <w:lang w:eastAsia="en-AU"/>
        </w:rPr>
        <w:t>(see Annex 1)</w:t>
      </w:r>
      <w:r w:rsidRPr="39646263">
        <w:rPr>
          <w:lang w:eastAsia="en-AU"/>
        </w:rPr>
        <w:t>.</w:t>
      </w:r>
      <w:r w:rsidR="0D426DF5" w:rsidRPr="39646263">
        <w:rPr>
          <w:lang w:eastAsia="en-AU"/>
        </w:rPr>
        <w:t xml:space="preserve"> </w:t>
      </w:r>
      <w:r w:rsidR="198A8337" w:rsidRPr="39646263">
        <w:rPr>
          <w:lang w:eastAsia="en-AU"/>
        </w:rPr>
        <w:t>Our approach to evaluation and learning</w:t>
      </w:r>
      <w:r w:rsidR="0D426DF5" w:rsidRPr="39646263">
        <w:rPr>
          <w:lang w:eastAsia="en-AU"/>
        </w:rPr>
        <w:t xml:space="preserve"> will also draw on bilateral </w:t>
      </w:r>
      <w:r w:rsidR="35B58749" w:rsidRPr="39646263">
        <w:rPr>
          <w:lang w:eastAsia="en-AU"/>
        </w:rPr>
        <w:t xml:space="preserve">and stakeholder </w:t>
      </w:r>
      <w:r w:rsidR="0D426DF5" w:rsidRPr="39646263">
        <w:rPr>
          <w:lang w:eastAsia="en-AU"/>
        </w:rPr>
        <w:t>consultations and the priorities outlined in the International</w:t>
      </w:r>
      <w:r w:rsidR="02EE205A" w:rsidRPr="39646263">
        <w:rPr>
          <w:lang w:eastAsia="en-AU"/>
        </w:rPr>
        <w:t xml:space="preserve"> Development Policy.</w:t>
      </w:r>
    </w:p>
    <w:p w14:paraId="0F774F1F" w14:textId="2EE3148E" w:rsidR="002F4955" w:rsidRDefault="002F4955" w:rsidP="00E90562">
      <w:pPr>
        <w:pStyle w:val="Tabletitle"/>
      </w:pPr>
      <w:r>
        <w:t xml:space="preserve">Table 2: Consultation, </w:t>
      </w:r>
      <w:r w:rsidR="00505EEC">
        <w:t>e</w:t>
      </w:r>
      <w:r>
        <w:t xml:space="preserve">valuation and </w:t>
      </w:r>
      <w:r w:rsidR="00505EEC" w:rsidRPr="00BB5E59">
        <w:t>l</w:t>
      </w:r>
      <w:r w:rsidRPr="00BB5E59">
        <w:t>earning</w:t>
      </w:r>
      <w:r>
        <w:t xml:space="preserve"> </w:t>
      </w:r>
      <w:proofErr w:type="gramStart"/>
      <w:r w:rsidR="00505EEC">
        <w:t>p</w:t>
      </w:r>
      <w:r>
        <w:t>lan</w:t>
      </w:r>
      <w:proofErr w:type="gramEnd"/>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sultation, evaluation and learning plan"/>
        <w:tblDescription w:val="The DPP consultation, evaluation and learning plan includes three investment level evaluations, annual stakeholder consultations and a mid-cycle review.&#10;"/>
      </w:tblPr>
      <w:tblGrid>
        <w:gridCol w:w="2274"/>
        <w:gridCol w:w="2640"/>
        <w:gridCol w:w="2640"/>
        <w:gridCol w:w="2640"/>
      </w:tblGrid>
      <w:tr w:rsidR="00D230CD" w:rsidRPr="002C113F" w14:paraId="7A745DDD" w14:textId="77777777" w:rsidTr="00E90562">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1115" w:type="pct"/>
            <w:shd w:val="clear" w:color="auto" w:fill="3A586E" w:themeFill="accent1"/>
          </w:tcPr>
          <w:p w14:paraId="6F231D31" w14:textId="77777777" w:rsidR="002F4955" w:rsidRPr="00443058" w:rsidRDefault="00C22E6E" w:rsidP="00CB3CFC">
            <w:pPr>
              <w:pStyle w:val="TableHeading"/>
            </w:pPr>
            <w:r w:rsidRPr="00443058">
              <w:t>Objective</w:t>
            </w:r>
          </w:p>
        </w:tc>
        <w:tc>
          <w:tcPr>
            <w:tcW w:w="1295" w:type="pct"/>
            <w:shd w:val="clear" w:color="auto" w:fill="3A586E" w:themeFill="accent1"/>
          </w:tcPr>
          <w:p w14:paraId="3123E533" w14:textId="589848F3" w:rsidR="002F4955" w:rsidRPr="00443058" w:rsidRDefault="002F4955" w:rsidP="00CB3CFC">
            <w:pPr>
              <w:pStyle w:val="TableHeading"/>
              <w:cnfStyle w:val="100000000000" w:firstRow="1" w:lastRow="0" w:firstColumn="0" w:lastColumn="0" w:oddVBand="0" w:evenVBand="0" w:oddHBand="0" w:evenHBand="0" w:firstRowFirstColumn="0" w:firstRowLastColumn="0" w:lastRowFirstColumn="0" w:lastRowLastColumn="0"/>
            </w:pPr>
            <w:r w:rsidRPr="00443058">
              <w:t>202</w:t>
            </w:r>
            <w:r w:rsidR="00B53DCB" w:rsidRPr="00443058">
              <w:t>4</w:t>
            </w:r>
            <w:r w:rsidR="00FD1F5D">
              <w:t>–</w:t>
            </w:r>
            <w:r w:rsidR="00B53DCB" w:rsidRPr="00443058">
              <w:t>25</w:t>
            </w:r>
          </w:p>
        </w:tc>
        <w:tc>
          <w:tcPr>
            <w:tcW w:w="1295" w:type="pct"/>
            <w:shd w:val="clear" w:color="auto" w:fill="3A586E" w:themeFill="accent1"/>
          </w:tcPr>
          <w:p w14:paraId="491CADDE" w14:textId="65338969" w:rsidR="002F4955" w:rsidRPr="00443058" w:rsidRDefault="002F4955" w:rsidP="00CB3CFC">
            <w:pPr>
              <w:pStyle w:val="TableHeading"/>
              <w:cnfStyle w:val="100000000000" w:firstRow="1" w:lastRow="0" w:firstColumn="0" w:lastColumn="0" w:oddVBand="0" w:evenVBand="0" w:oddHBand="0" w:evenHBand="0" w:firstRowFirstColumn="0" w:firstRowLastColumn="0" w:lastRowFirstColumn="0" w:lastRowLastColumn="0"/>
            </w:pPr>
            <w:r w:rsidRPr="00443058">
              <w:t>202</w:t>
            </w:r>
            <w:r w:rsidR="00927422" w:rsidRPr="00443058">
              <w:t>5</w:t>
            </w:r>
            <w:r w:rsidR="00FD1F5D">
              <w:t>–</w:t>
            </w:r>
            <w:r w:rsidR="00927422" w:rsidRPr="00443058">
              <w:t>26</w:t>
            </w:r>
          </w:p>
        </w:tc>
        <w:tc>
          <w:tcPr>
            <w:tcW w:w="1295" w:type="pct"/>
            <w:shd w:val="clear" w:color="auto" w:fill="3A586E" w:themeFill="accent1"/>
          </w:tcPr>
          <w:p w14:paraId="6C46FD68" w14:textId="052B7A02" w:rsidR="002F4955" w:rsidRPr="00443058" w:rsidRDefault="002F4955" w:rsidP="00CB3CFC">
            <w:pPr>
              <w:pStyle w:val="TableHeading"/>
              <w:cnfStyle w:val="100000000000" w:firstRow="1" w:lastRow="0" w:firstColumn="0" w:lastColumn="0" w:oddVBand="0" w:evenVBand="0" w:oddHBand="0" w:evenHBand="0" w:firstRowFirstColumn="0" w:firstRowLastColumn="0" w:lastRowFirstColumn="0" w:lastRowLastColumn="0"/>
            </w:pPr>
            <w:r w:rsidRPr="00443058">
              <w:t>202</w:t>
            </w:r>
            <w:r w:rsidR="0034668D" w:rsidRPr="00443058">
              <w:t>6</w:t>
            </w:r>
            <w:r w:rsidR="00FD1F5D">
              <w:t>–</w:t>
            </w:r>
            <w:r w:rsidR="0034668D" w:rsidRPr="00443058">
              <w:t>27</w:t>
            </w:r>
          </w:p>
        </w:tc>
      </w:tr>
      <w:tr w:rsidR="00D230CD" w:rsidRPr="002C113F" w14:paraId="1D1C374E" w14:textId="77777777" w:rsidTr="00E90562">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115" w:type="pct"/>
            <w:shd w:val="clear" w:color="auto" w:fill="D6E8D2" w:themeFill="accent3" w:themeFillTint="33"/>
          </w:tcPr>
          <w:p w14:paraId="51CCD6CA" w14:textId="39A2183A" w:rsidR="00A7402C" w:rsidRPr="00E90562" w:rsidRDefault="00A7402C" w:rsidP="00A7402C">
            <w:pPr>
              <w:pStyle w:val="TableBodyCopy"/>
            </w:pPr>
            <w:r w:rsidRPr="003302EB">
              <w:t>Objective 1</w:t>
            </w:r>
            <w:r w:rsidR="00705EA8" w:rsidRPr="003302EB">
              <w:t>:</w:t>
            </w:r>
          </w:p>
          <w:p w14:paraId="5D41D474" w14:textId="7DDA5827" w:rsidR="00776309" w:rsidRPr="00E90562" w:rsidRDefault="00D60B22" w:rsidP="004A0283">
            <w:pPr>
              <w:pStyle w:val="TableBodyCopy"/>
            </w:pPr>
            <w:r w:rsidRPr="003302EB">
              <w:t>Building a</w:t>
            </w:r>
            <w:r w:rsidR="00776309" w:rsidRPr="003302EB">
              <w:t xml:space="preserve">n </w:t>
            </w:r>
            <w:r w:rsidR="004A0283" w:rsidRPr="003302EB">
              <w:t>e</w:t>
            </w:r>
            <w:r w:rsidR="00776309" w:rsidRPr="003302EB">
              <w:t xml:space="preserve">conomic </w:t>
            </w:r>
            <w:r w:rsidR="004A0283" w:rsidRPr="003302EB">
              <w:t>p</w:t>
            </w:r>
            <w:r w:rsidR="00776309" w:rsidRPr="003302EB">
              <w:t>artnership for prosperity</w:t>
            </w:r>
          </w:p>
        </w:tc>
        <w:tc>
          <w:tcPr>
            <w:tcW w:w="1295" w:type="pct"/>
            <w:shd w:val="clear" w:color="auto" w:fill="D6E8D2" w:themeFill="accent3" w:themeFillTint="33"/>
          </w:tcPr>
          <w:p w14:paraId="22530510" w14:textId="2C82C1AC" w:rsidR="00A7402C" w:rsidRDefault="00A7402C" w:rsidP="004A0283">
            <w:pPr>
              <w:pStyle w:val="TableBodyCopy"/>
              <w:cnfStyle w:val="000000100000" w:firstRow="0" w:lastRow="0" w:firstColumn="0" w:lastColumn="0" w:oddVBand="0" w:evenVBand="0" w:oddHBand="1" w:evenHBand="0" w:firstRowFirstColumn="0" w:firstRowLastColumn="0" w:lastRowFirstColumn="0" w:lastRowLastColumn="0"/>
            </w:pPr>
            <w:r>
              <w:t>Incentive Fund Phases 1</w:t>
            </w:r>
            <w:r w:rsidR="00F57DD4">
              <w:t>–</w:t>
            </w:r>
            <w:r>
              <w:t xml:space="preserve">4 </w:t>
            </w:r>
            <w:r w:rsidR="00F57DD4">
              <w:t>i</w:t>
            </w:r>
            <w:r>
              <w:t xml:space="preserve">mpact </w:t>
            </w:r>
            <w:r w:rsidR="00F57DD4">
              <w:t>e</w:t>
            </w:r>
            <w:r>
              <w:t>valuation</w:t>
            </w:r>
          </w:p>
          <w:p w14:paraId="41805902" w14:textId="53CC4D23" w:rsidR="00A7402C" w:rsidRPr="007E6C68" w:rsidRDefault="00A7402C" w:rsidP="004A0283">
            <w:pPr>
              <w:pStyle w:val="TableBodyCopy"/>
              <w:cnfStyle w:val="000000100000" w:firstRow="0" w:lastRow="0" w:firstColumn="0" w:lastColumn="0" w:oddVBand="0" w:evenVBand="0" w:oddHBand="1" w:evenHBand="0" w:firstRowFirstColumn="0" w:firstRowLastColumn="0" w:lastRowFirstColumn="0" w:lastRowLastColumn="0"/>
            </w:pPr>
            <w:r>
              <w:t>Australia</w:t>
            </w:r>
            <w:r w:rsidR="00A22BB4">
              <w:t>–</w:t>
            </w:r>
            <w:r>
              <w:t xml:space="preserve">PNG Economic Partnership (APEP) </w:t>
            </w:r>
            <w:r w:rsidR="00F57DD4">
              <w:t>m</w:t>
            </w:r>
            <w:r w:rsidRPr="00C754FE">
              <w:t>id-</w:t>
            </w:r>
            <w:r w:rsidR="001844D9">
              <w:t>term</w:t>
            </w:r>
            <w:r w:rsidRPr="00C754FE">
              <w:t xml:space="preserve"> </w:t>
            </w:r>
            <w:r w:rsidR="00F57DD4">
              <w:t>r</w:t>
            </w:r>
            <w:r w:rsidRPr="00C754FE">
              <w:t>eview</w:t>
            </w:r>
          </w:p>
        </w:tc>
        <w:tc>
          <w:tcPr>
            <w:tcW w:w="1295" w:type="pct"/>
            <w:shd w:val="clear" w:color="auto" w:fill="D6E8D2" w:themeFill="accent3" w:themeFillTint="33"/>
          </w:tcPr>
          <w:p w14:paraId="73E366A8" w14:textId="196EB2AC" w:rsidR="00A7402C" w:rsidRPr="007E6C68" w:rsidRDefault="00A7402C" w:rsidP="004A0283">
            <w:pPr>
              <w:pStyle w:val="TableBodyCopy"/>
              <w:cnfStyle w:val="000000100000" w:firstRow="0" w:lastRow="0" w:firstColumn="0" w:lastColumn="0" w:oddVBand="0" w:evenVBand="0" w:oddHBand="1" w:evenHBand="0" w:firstRowFirstColumn="0" w:firstRowLastColumn="0" w:lastRowFirstColumn="0" w:lastRowLastColumn="0"/>
            </w:pPr>
            <w:r w:rsidRPr="00C754FE">
              <w:t xml:space="preserve">Renewable Energy Investments (ESIP) </w:t>
            </w:r>
            <w:r w:rsidR="00F57DD4">
              <w:t>m</w:t>
            </w:r>
            <w:r w:rsidRPr="00C754FE">
              <w:t>id-</w:t>
            </w:r>
            <w:r w:rsidR="001844D9">
              <w:t>term</w:t>
            </w:r>
            <w:r w:rsidRPr="00C754FE">
              <w:t xml:space="preserve"> </w:t>
            </w:r>
            <w:r w:rsidR="00F57DD4">
              <w:t>r</w:t>
            </w:r>
            <w:r w:rsidRPr="00C754FE">
              <w:t>eview</w:t>
            </w:r>
          </w:p>
        </w:tc>
        <w:tc>
          <w:tcPr>
            <w:tcW w:w="1295" w:type="pct"/>
            <w:shd w:val="clear" w:color="auto" w:fill="D6E8D2" w:themeFill="accent3" w:themeFillTint="33"/>
          </w:tcPr>
          <w:p w14:paraId="17276B14" w14:textId="59F35FFA" w:rsidR="00A7402C" w:rsidRDefault="00A7402C" w:rsidP="004A0283">
            <w:pPr>
              <w:pStyle w:val="TableBodyCopy"/>
              <w:cnfStyle w:val="000000100000" w:firstRow="0" w:lastRow="0" w:firstColumn="0" w:lastColumn="0" w:oddVBand="0" w:evenVBand="0" w:oddHBand="1" w:evenHBand="0" w:firstRowFirstColumn="0" w:firstRowLastColumn="0" w:lastRowFirstColumn="0" w:lastRowLastColumn="0"/>
            </w:pPr>
            <w:r w:rsidRPr="0026209F">
              <w:t xml:space="preserve">Incentive Fund </w:t>
            </w:r>
            <w:r w:rsidR="00E661F4" w:rsidRPr="00882A4D">
              <w:t>V</w:t>
            </w:r>
            <w:r w:rsidRPr="0026209F">
              <w:t xml:space="preserve"> </w:t>
            </w:r>
            <w:r w:rsidR="00F57DD4">
              <w:t>m</w:t>
            </w:r>
            <w:r w:rsidRPr="0026209F">
              <w:t>id-</w:t>
            </w:r>
            <w:r w:rsidR="001844D9">
              <w:t>term</w:t>
            </w:r>
            <w:r w:rsidRPr="0026209F">
              <w:t xml:space="preserve"> </w:t>
            </w:r>
            <w:r w:rsidR="00F57DD4">
              <w:t>r</w:t>
            </w:r>
            <w:r w:rsidRPr="0026209F">
              <w:t>eview</w:t>
            </w:r>
          </w:p>
          <w:p w14:paraId="75E63F6D" w14:textId="77777777" w:rsidR="00A7402C" w:rsidRPr="007E6C68" w:rsidRDefault="00A7402C" w:rsidP="004A0283">
            <w:pPr>
              <w:pStyle w:val="TableBodyCopy"/>
              <w:cnfStyle w:val="000000100000" w:firstRow="0" w:lastRow="0" w:firstColumn="0" w:lastColumn="0" w:oddVBand="0" w:evenVBand="0" w:oddHBand="1" w:evenHBand="0" w:firstRowFirstColumn="0" w:firstRowLastColumn="0" w:lastRowFirstColumn="0" w:lastRowLastColumn="0"/>
            </w:pPr>
          </w:p>
        </w:tc>
      </w:tr>
      <w:tr w:rsidR="00D230CD" w:rsidRPr="002C113F" w14:paraId="7B036427" w14:textId="77777777" w:rsidTr="00E90562">
        <w:trPr>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FBEED2" w:themeFill="accent4" w:themeFillTint="33"/>
          </w:tcPr>
          <w:p w14:paraId="5E8264CE" w14:textId="2750A324" w:rsidR="00475771" w:rsidRPr="003302EB" w:rsidRDefault="00475771" w:rsidP="00475771">
            <w:pPr>
              <w:pStyle w:val="TableBodyCopy"/>
            </w:pPr>
            <w:r w:rsidRPr="003302EB">
              <w:t>Objective 2</w:t>
            </w:r>
            <w:r w:rsidR="00705EA8" w:rsidRPr="003302EB">
              <w:t>:</w:t>
            </w:r>
          </w:p>
          <w:p w14:paraId="4B6218E3" w14:textId="43487047" w:rsidR="00475771" w:rsidRPr="00E90562" w:rsidRDefault="008E6E8B" w:rsidP="00475771">
            <w:pPr>
              <w:pStyle w:val="TableBodyCopy"/>
            </w:pPr>
            <w:r w:rsidRPr="003302EB">
              <w:t xml:space="preserve">Promoting </w:t>
            </w:r>
            <w:r w:rsidR="004A0283" w:rsidRPr="003302EB">
              <w:t>i</w:t>
            </w:r>
            <w:r w:rsidRPr="003302EB">
              <w:t xml:space="preserve">mproved </w:t>
            </w:r>
            <w:r w:rsidR="004A0283" w:rsidRPr="003302EB">
              <w:t>l</w:t>
            </w:r>
            <w:r w:rsidRPr="003302EB">
              <w:t xml:space="preserve">aw, </w:t>
            </w:r>
            <w:proofErr w:type="gramStart"/>
            <w:r w:rsidR="004A0283" w:rsidRPr="003302EB">
              <w:t>o</w:t>
            </w:r>
            <w:r w:rsidRPr="003302EB">
              <w:t>rder</w:t>
            </w:r>
            <w:proofErr w:type="gramEnd"/>
            <w:r w:rsidRPr="003302EB">
              <w:t xml:space="preserve"> and </w:t>
            </w:r>
            <w:r w:rsidR="004A0283" w:rsidRPr="003302EB">
              <w:t>g</w:t>
            </w:r>
            <w:r w:rsidRPr="003302EB">
              <w:t>overnance</w:t>
            </w:r>
          </w:p>
        </w:tc>
        <w:tc>
          <w:tcPr>
            <w:tcW w:w="1295" w:type="pct"/>
            <w:shd w:val="clear" w:color="auto" w:fill="FBEED2" w:themeFill="accent4" w:themeFillTint="33"/>
          </w:tcPr>
          <w:p w14:paraId="0D61A571" w14:textId="717067C6" w:rsidR="00475771" w:rsidRPr="007E6C68" w:rsidRDefault="00475771" w:rsidP="004A0283">
            <w:pPr>
              <w:pStyle w:val="TableBodyCopy"/>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6209F">
              <w:t>B</w:t>
            </w:r>
            <w:r w:rsidR="003B0C8A">
              <w:t>CEP</w:t>
            </w:r>
            <w:r w:rsidRPr="0026209F">
              <w:t xml:space="preserve"> </w:t>
            </w:r>
            <w:r w:rsidR="006E12A0">
              <w:t>mid-term</w:t>
            </w:r>
            <w:r w:rsidRPr="0026209F">
              <w:t xml:space="preserve"> </w:t>
            </w:r>
            <w:r w:rsidR="00F57DD4">
              <w:t>r</w:t>
            </w:r>
            <w:r w:rsidRPr="0026209F">
              <w:t>eview</w:t>
            </w:r>
          </w:p>
        </w:tc>
        <w:tc>
          <w:tcPr>
            <w:tcW w:w="1295" w:type="pct"/>
            <w:shd w:val="clear" w:color="auto" w:fill="FBEED2" w:themeFill="accent4" w:themeFillTint="33"/>
          </w:tcPr>
          <w:p w14:paraId="7614A5E2" w14:textId="7707C265" w:rsidR="00475771" w:rsidRPr="007E6C68" w:rsidRDefault="00BB4BBC" w:rsidP="004A0283">
            <w:pPr>
              <w:pStyle w:val="TableBodyCopy"/>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 xml:space="preserve">No </w:t>
            </w:r>
            <w:r w:rsidR="007D7438">
              <w:rPr>
                <w:rFonts w:asciiTheme="minorHAnsi" w:hAnsiTheme="minorHAnsi"/>
                <w:szCs w:val="20"/>
              </w:rPr>
              <w:t xml:space="preserve">formal </w:t>
            </w:r>
            <w:r>
              <w:rPr>
                <w:rFonts w:asciiTheme="minorHAnsi" w:hAnsiTheme="minorHAnsi"/>
                <w:szCs w:val="20"/>
              </w:rPr>
              <w:t xml:space="preserve">reviews </w:t>
            </w:r>
            <w:r w:rsidR="003A1498">
              <w:rPr>
                <w:rFonts w:asciiTheme="minorHAnsi" w:hAnsiTheme="minorHAnsi"/>
                <w:szCs w:val="20"/>
              </w:rPr>
              <w:t xml:space="preserve">currently </w:t>
            </w:r>
            <w:r>
              <w:rPr>
                <w:rFonts w:asciiTheme="minorHAnsi" w:hAnsiTheme="minorHAnsi"/>
                <w:szCs w:val="20"/>
              </w:rPr>
              <w:t>planned</w:t>
            </w:r>
          </w:p>
        </w:tc>
        <w:tc>
          <w:tcPr>
            <w:tcW w:w="1295" w:type="pct"/>
            <w:shd w:val="clear" w:color="auto" w:fill="FBEED2" w:themeFill="accent4" w:themeFillTint="33"/>
          </w:tcPr>
          <w:p w14:paraId="6EB79919" w14:textId="6E768A2B" w:rsidR="00475771" w:rsidRDefault="008800ED" w:rsidP="004A0283">
            <w:pPr>
              <w:pStyle w:val="TableBodyCopy"/>
              <w:cnfStyle w:val="000000000000" w:firstRow="0" w:lastRow="0" w:firstColumn="0" w:lastColumn="0" w:oddVBand="0" w:evenVBand="0" w:oddHBand="0" w:evenHBand="0" w:firstRowFirstColumn="0" w:firstRowLastColumn="0" w:lastRowFirstColumn="0" w:lastRowLastColumn="0"/>
            </w:pPr>
            <w:r>
              <w:t>PNG</w:t>
            </w:r>
            <w:r w:rsidR="00F57DD4">
              <w:t>–</w:t>
            </w:r>
            <w:r w:rsidR="00475771" w:rsidRPr="006D5DDD">
              <w:t>Australian Policing Partnership Program</w:t>
            </w:r>
            <w:r w:rsidR="00475771">
              <w:t xml:space="preserve"> </w:t>
            </w:r>
            <w:r w:rsidR="00475771" w:rsidDel="009F28E0">
              <w:t xml:space="preserve">(AFP) </w:t>
            </w:r>
            <w:r w:rsidR="007B2F50">
              <w:t>e</w:t>
            </w:r>
            <w:r w:rsidR="174FB35F">
              <w:t>nd</w:t>
            </w:r>
            <w:r w:rsidR="00F57DD4">
              <w:t>-</w:t>
            </w:r>
            <w:r w:rsidR="00475771">
              <w:t>of</w:t>
            </w:r>
            <w:r w:rsidR="00F57DD4">
              <w:t>-p</w:t>
            </w:r>
            <w:r w:rsidR="00475771">
              <w:t xml:space="preserve">rogram </w:t>
            </w:r>
            <w:r w:rsidR="00F57DD4">
              <w:t>e</w:t>
            </w:r>
            <w:r w:rsidR="00475771">
              <w:t>valuation</w:t>
            </w:r>
          </w:p>
          <w:p w14:paraId="112CB408" w14:textId="3BDFEE07" w:rsidR="00475771" w:rsidRPr="007E6C68" w:rsidRDefault="00475771" w:rsidP="004A0283">
            <w:pPr>
              <w:pStyle w:val="TableBodyCopy"/>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6209F">
              <w:t>Australia</w:t>
            </w:r>
            <w:r w:rsidR="00300700">
              <w:t>–</w:t>
            </w:r>
            <w:r w:rsidRPr="0026209F">
              <w:t>PNG Law and Justice P</w:t>
            </w:r>
            <w:r w:rsidR="006F7399">
              <w:t>artnership</w:t>
            </w:r>
            <w:r w:rsidRPr="0026209F">
              <w:t xml:space="preserve"> </w:t>
            </w:r>
            <w:r w:rsidR="00E74721">
              <w:t>m</w:t>
            </w:r>
            <w:r w:rsidRPr="0026209F">
              <w:t>id-</w:t>
            </w:r>
            <w:r w:rsidR="006E12A0">
              <w:t>term</w:t>
            </w:r>
            <w:r w:rsidRPr="0026209F">
              <w:t xml:space="preserve"> </w:t>
            </w:r>
            <w:r w:rsidR="00E74721">
              <w:t>r</w:t>
            </w:r>
            <w:r w:rsidRPr="0026209F">
              <w:t>eview</w:t>
            </w:r>
          </w:p>
        </w:tc>
      </w:tr>
      <w:tr w:rsidR="00D230CD" w:rsidRPr="002C113F" w14:paraId="662FA377" w14:textId="77777777" w:rsidTr="00E90562">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F0DBD4" w:themeFill="accent5" w:themeFillTint="33"/>
          </w:tcPr>
          <w:p w14:paraId="4C2636C9" w14:textId="56E0115A" w:rsidR="007C7761" w:rsidRPr="003302EB" w:rsidRDefault="007C7761" w:rsidP="007C7761">
            <w:pPr>
              <w:pStyle w:val="TableBodyCopy"/>
            </w:pPr>
            <w:r w:rsidRPr="003302EB">
              <w:t>Objective 3</w:t>
            </w:r>
            <w:r w:rsidR="00705EA8" w:rsidRPr="003302EB">
              <w:t>:</w:t>
            </w:r>
          </w:p>
          <w:p w14:paraId="7110985B" w14:textId="52FE627B" w:rsidR="007C7761" w:rsidRPr="00E90562" w:rsidRDefault="004A0283" w:rsidP="007C7761">
            <w:pPr>
              <w:pStyle w:val="TableBodyCopy"/>
            </w:pPr>
            <w:r w:rsidRPr="003302EB">
              <w:t xml:space="preserve">Investing in people and </w:t>
            </w:r>
            <w:r w:rsidR="001E06AC">
              <w:t xml:space="preserve">building </w:t>
            </w:r>
            <w:r w:rsidRPr="003302EB">
              <w:t>resilient communities</w:t>
            </w:r>
          </w:p>
        </w:tc>
        <w:tc>
          <w:tcPr>
            <w:tcW w:w="1295" w:type="pct"/>
            <w:shd w:val="clear" w:color="auto" w:fill="F0DBD4" w:themeFill="accent5" w:themeFillTint="33"/>
          </w:tcPr>
          <w:p w14:paraId="72557292" w14:textId="33BE1843"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 xml:space="preserve">Trilateral Malaria Program </w:t>
            </w:r>
            <w:r w:rsidR="00E74721">
              <w:t>e</w:t>
            </w:r>
            <w:r>
              <w:t>valuation</w:t>
            </w:r>
          </w:p>
          <w:p w14:paraId="53193091" w14:textId="6F4C0EFD"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PNG</w:t>
            </w:r>
            <w:r w:rsidR="00300700">
              <w:t>–</w:t>
            </w:r>
            <w:r>
              <w:t xml:space="preserve">Australia Transition to Health </w:t>
            </w:r>
            <w:r w:rsidR="006E12A0">
              <w:t>mid-term</w:t>
            </w:r>
            <w:r>
              <w:t xml:space="preserve"> </w:t>
            </w:r>
            <w:r w:rsidR="00E74721">
              <w:t>r</w:t>
            </w:r>
            <w:r>
              <w:t>eview</w:t>
            </w:r>
          </w:p>
          <w:p w14:paraId="08690950" w14:textId="60568720"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Australia</w:t>
            </w:r>
            <w:r w:rsidR="00300700">
              <w:t>–</w:t>
            </w:r>
            <w:r>
              <w:t xml:space="preserve">PNG Subnational Program modality </w:t>
            </w:r>
            <w:r w:rsidR="00774B9C">
              <w:t>e</w:t>
            </w:r>
            <w:r>
              <w:t>valuation</w:t>
            </w:r>
          </w:p>
          <w:p w14:paraId="40970559" w14:textId="728AC298"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 xml:space="preserve">Bougainville Partnership </w:t>
            </w:r>
            <w:r w:rsidR="00774B9C">
              <w:t>e</w:t>
            </w:r>
            <w:r>
              <w:t>valuation</w:t>
            </w:r>
          </w:p>
          <w:p w14:paraId="24B1C502" w14:textId="730BC7FD" w:rsidR="007C7761" w:rsidRPr="005F4F2D"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ANGAU Hospital Redevelopment</w:t>
            </w:r>
            <w:r w:rsidR="00774B9C">
              <w:t xml:space="preserve"> e</w:t>
            </w:r>
            <w:r>
              <w:t>valuation</w:t>
            </w:r>
          </w:p>
        </w:tc>
        <w:tc>
          <w:tcPr>
            <w:tcW w:w="1295" w:type="pct"/>
            <w:shd w:val="clear" w:color="auto" w:fill="F0DBD4" w:themeFill="accent5" w:themeFillTint="33"/>
          </w:tcPr>
          <w:p w14:paraId="752ECD38" w14:textId="19C86BFE"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rsidRPr="00D05439">
              <w:t xml:space="preserve">PNG </w:t>
            </w:r>
            <w:r w:rsidR="18CBB2F3" w:rsidRPr="00D05439">
              <w:t>Partnerships</w:t>
            </w:r>
            <w:r w:rsidRPr="00D05439" w:rsidDel="008866B4">
              <w:t xml:space="preserve"> for Improving Education (PIE)</w:t>
            </w:r>
            <w:r w:rsidRPr="00D05439">
              <w:t xml:space="preserve"> </w:t>
            </w:r>
            <w:r w:rsidR="00D05439" w:rsidRPr="00D05439">
              <w:t>mid</w:t>
            </w:r>
            <w:r w:rsidR="004F04D3">
              <w:t>-</w:t>
            </w:r>
            <w:r w:rsidR="006E12A0">
              <w:t>term</w:t>
            </w:r>
            <w:r w:rsidR="00D05439" w:rsidRPr="00D05439">
              <w:t xml:space="preserve"> </w:t>
            </w:r>
            <w:proofErr w:type="gramStart"/>
            <w:r w:rsidR="00D05439" w:rsidRPr="00D05439">
              <w:t>review</w:t>
            </w:r>
            <w:proofErr w:type="gramEnd"/>
          </w:p>
          <w:p w14:paraId="1F83C306" w14:textId="0566862A"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 xml:space="preserve">PNG Women Lead </w:t>
            </w:r>
            <w:r w:rsidR="003D28AE">
              <w:t>m</w:t>
            </w:r>
            <w:r>
              <w:t>id-</w:t>
            </w:r>
            <w:r w:rsidR="00C3360A">
              <w:t>term</w:t>
            </w:r>
            <w:r>
              <w:t xml:space="preserve"> </w:t>
            </w:r>
            <w:proofErr w:type="gramStart"/>
            <w:r w:rsidR="003D28AE">
              <w:t>r</w:t>
            </w:r>
            <w:r>
              <w:t>eview</w:t>
            </w:r>
            <w:proofErr w:type="gramEnd"/>
          </w:p>
          <w:p w14:paraId="52DFB192" w14:textId="32AC10B8" w:rsidR="007C7761" w:rsidRPr="007E6C68" w:rsidRDefault="007C7761" w:rsidP="004A0283">
            <w:pPr>
              <w:pStyle w:val="TableBodyCopy"/>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t xml:space="preserve">Disaster Risk Management portfolio </w:t>
            </w:r>
            <w:r w:rsidR="003D28AE">
              <w:t>r</w:t>
            </w:r>
            <w:r>
              <w:t xml:space="preserve">eview </w:t>
            </w:r>
          </w:p>
        </w:tc>
        <w:tc>
          <w:tcPr>
            <w:tcW w:w="1295" w:type="pct"/>
            <w:shd w:val="clear" w:color="auto" w:fill="F0DBD4" w:themeFill="accent5" w:themeFillTint="33"/>
          </w:tcPr>
          <w:p w14:paraId="01F97173" w14:textId="15F39DF5"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 xml:space="preserve">Climate FIRST </w:t>
            </w:r>
            <w:r w:rsidR="003D28AE">
              <w:t>m</w:t>
            </w:r>
            <w:r>
              <w:t>id-</w:t>
            </w:r>
            <w:r w:rsidR="00C3360A">
              <w:t>term</w:t>
            </w:r>
            <w:r>
              <w:t xml:space="preserve"> </w:t>
            </w:r>
            <w:r w:rsidR="003D28AE">
              <w:t>r</w:t>
            </w:r>
            <w:r>
              <w:t>eview</w:t>
            </w:r>
          </w:p>
          <w:p w14:paraId="598201A6" w14:textId="78BA4824" w:rsidR="007C7761" w:rsidRDefault="007C7761" w:rsidP="004A0283">
            <w:pPr>
              <w:pStyle w:val="TableBodyCopy"/>
              <w:cnfStyle w:val="000000100000" w:firstRow="0" w:lastRow="0" w:firstColumn="0" w:lastColumn="0" w:oddVBand="0" w:evenVBand="0" w:oddHBand="1" w:evenHBand="0" w:firstRowFirstColumn="0" w:firstRowLastColumn="0" w:lastRowFirstColumn="0" w:lastRowLastColumn="0"/>
            </w:pPr>
            <w:r>
              <w:t>Australia</w:t>
            </w:r>
            <w:r w:rsidR="009A5172">
              <w:t>–</w:t>
            </w:r>
            <w:r>
              <w:t xml:space="preserve">PNG Subnational Program </w:t>
            </w:r>
            <w:r w:rsidR="00465F86">
              <w:t>e</w:t>
            </w:r>
            <w:r>
              <w:t>valuation (focus on Western and Kokoda Partnerships)</w:t>
            </w:r>
          </w:p>
          <w:p w14:paraId="6AAC11B1" w14:textId="6EF1F7AF" w:rsidR="007C7761" w:rsidRPr="007E6C68" w:rsidRDefault="000E453D" w:rsidP="004A0283">
            <w:pPr>
              <w:pStyle w:val="TableBodyCopy"/>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t xml:space="preserve">PNG </w:t>
            </w:r>
            <w:r w:rsidR="005D3090">
              <w:t>One-UN Fund</w:t>
            </w:r>
            <w:r>
              <w:t xml:space="preserve"> mid-</w:t>
            </w:r>
            <w:r w:rsidR="00C3360A">
              <w:t>term</w:t>
            </w:r>
            <w:r>
              <w:t xml:space="preserve"> review</w:t>
            </w:r>
          </w:p>
        </w:tc>
      </w:tr>
      <w:tr w:rsidR="00D230CD" w:rsidRPr="002C113F" w14:paraId="6D7FBFF4" w14:textId="77777777" w:rsidTr="00E90562">
        <w:trPr>
          <w:trHeight w:val="614"/>
        </w:trPr>
        <w:tc>
          <w:tcPr>
            <w:cnfStyle w:val="001000000000" w:firstRow="0" w:lastRow="0" w:firstColumn="1" w:lastColumn="0" w:oddVBand="0" w:evenVBand="0" w:oddHBand="0" w:evenHBand="0" w:firstRowFirstColumn="0" w:firstRowLastColumn="0" w:lastRowFirstColumn="0" w:lastRowLastColumn="0"/>
            <w:tcW w:w="1115" w:type="pct"/>
            <w:shd w:val="clear" w:color="auto" w:fill="D9D9D9"/>
          </w:tcPr>
          <w:p w14:paraId="5FA87651" w14:textId="53BC4804" w:rsidR="004A0283" w:rsidRPr="00E90562" w:rsidRDefault="0017317D" w:rsidP="0017317D">
            <w:pPr>
              <w:pStyle w:val="TableBodyCopy"/>
            </w:pPr>
            <w:r w:rsidRPr="003302EB">
              <w:t>Objective 4</w:t>
            </w:r>
            <w:r w:rsidR="00705EA8" w:rsidRPr="003302EB">
              <w:t>:</w:t>
            </w:r>
          </w:p>
          <w:p w14:paraId="2351B7BB" w14:textId="4CA3272D" w:rsidR="0017317D" w:rsidRPr="003302EB" w:rsidRDefault="0017317D" w:rsidP="0017317D">
            <w:pPr>
              <w:pStyle w:val="TableBodyCopy"/>
            </w:pPr>
            <w:r w:rsidRPr="003302EB">
              <w:t xml:space="preserve">Building </w:t>
            </w:r>
            <w:r w:rsidR="004A0283" w:rsidRPr="003302EB">
              <w:t>c</w:t>
            </w:r>
            <w:r w:rsidRPr="003302EB">
              <w:t xml:space="preserve">lose </w:t>
            </w:r>
            <w:r w:rsidR="004A0283" w:rsidRPr="003302EB">
              <w:t>f</w:t>
            </w:r>
            <w:r w:rsidRPr="003302EB">
              <w:t xml:space="preserve">riendships and </w:t>
            </w:r>
            <w:r w:rsidR="004A0283" w:rsidRPr="003302EB">
              <w:t>e</w:t>
            </w:r>
            <w:r w:rsidRPr="003302EB">
              <w:t xml:space="preserve">nduring </w:t>
            </w:r>
            <w:r w:rsidR="004A0283" w:rsidRPr="003302EB">
              <w:t>t</w:t>
            </w:r>
            <w:r w:rsidRPr="003302EB">
              <w:t>ies</w:t>
            </w:r>
          </w:p>
        </w:tc>
        <w:tc>
          <w:tcPr>
            <w:tcW w:w="1295" w:type="pct"/>
            <w:shd w:val="clear" w:color="auto" w:fill="D9D9D9"/>
          </w:tcPr>
          <w:p w14:paraId="11023CA8" w14:textId="609FEF11" w:rsidR="0017317D" w:rsidRDefault="0017317D" w:rsidP="004A0283">
            <w:pPr>
              <w:pStyle w:val="TableBodyCopy"/>
              <w:cnfStyle w:val="000000000000" w:firstRow="0" w:lastRow="0" w:firstColumn="0" w:lastColumn="0" w:oddVBand="0" w:evenVBand="0" w:oddHBand="0" w:evenHBand="0" w:firstRowFirstColumn="0" w:firstRowLastColumn="0" w:lastRowFirstColumn="0" w:lastRowLastColumn="0"/>
            </w:pPr>
            <w:r w:rsidRPr="0026209F" w:rsidDel="006D0C83">
              <w:t>Australia</w:t>
            </w:r>
            <w:r w:rsidR="00B40D55">
              <w:t>–</w:t>
            </w:r>
            <w:r w:rsidRPr="0026209F">
              <w:t>PNG Institutional Partnership</w:t>
            </w:r>
            <w:r w:rsidR="006D0C83">
              <w:t>s</w:t>
            </w:r>
            <w:r w:rsidRPr="0026209F">
              <w:t xml:space="preserve"> Program (PIPP) </w:t>
            </w:r>
            <w:r w:rsidDel="00CC0D4F">
              <w:br/>
            </w:r>
            <w:r w:rsidR="00CC0D4F">
              <w:t>m</w:t>
            </w:r>
            <w:r w:rsidRPr="0026209F">
              <w:t>id-</w:t>
            </w:r>
            <w:r w:rsidR="00C3360A">
              <w:t>term</w:t>
            </w:r>
            <w:r w:rsidRPr="0026209F">
              <w:t xml:space="preserve"> </w:t>
            </w:r>
            <w:r w:rsidR="00CC0D4F">
              <w:t>r</w:t>
            </w:r>
            <w:r w:rsidRPr="0026209F">
              <w:t>eview</w:t>
            </w:r>
          </w:p>
        </w:tc>
        <w:tc>
          <w:tcPr>
            <w:tcW w:w="1295" w:type="pct"/>
            <w:shd w:val="clear" w:color="auto" w:fill="D9D9D9"/>
          </w:tcPr>
          <w:p w14:paraId="1DDDA398" w14:textId="1FA84C41" w:rsidR="0017317D" w:rsidRPr="005F324A" w:rsidRDefault="00BB4BBC" w:rsidP="004A0283">
            <w:pPr>
              <w:pStyle w:val="TableBodyCopy"/>
              <w:cnfStyle w:val="000000000000" w:firstRow="0" w:lastRow="0" w:firstColumn="0" w:lastColumn="0" w:oddVBand="0" w:evenVBand="0" w:oddHBand="0" w:evenHBand="0" w:firstRowFirstColumn="0" w:firstRowLastColumn="0" w:lastRowFirstColumn="0" w:lastRowLastColumn="0"/>
            </w:pPr>
            <w:r>
              <w:rPr>
                <w:rFonts w:asciiTheme="minorHAnsi" w:hAnsiTheme="minorHAnsi"/>
                <w:szCs w:val="20"/>
              </w:rPr>
              <w:t>No</w:t>
            </w:r>
            <w:r w:rsidR="007D7438">
              <w:rPr>
                <w:rFonts w:asciiTheme="minorHAnsi" w:hAnsiTheme="minorHAnsi"/>
                <w:szCs w:val="20"/>
              </w:rPr>
              <w:t xml:space="preserve"> formal</w:t>
            </w:r>
            <w:r>
              <w:rPr>
                <w:rFonts w:asciiTheme="minorHAnsi" w:hAnsiTheme="minorHAnsi"/>
                <w:szCs w:val="20"/>
              </w:rPr>
              <w:t xml:space="preserve"> reviews </w:t>
            </w:r>
            <w:r w:rsidR="003A1498">
              <w:rPr>
                <w:rFonts w:asciiTheme="minorHAnsi" w:hAnsiTheme="minorHAnsi"/>
                <w:szCs w:val="20"/>
              </w:rPr>
              <w:t xml:space="preserve">currently </w:t>
            </w:r>
            <w:r>
              <w:rPr>
                <w:rFonts w:asciiTheme="minorHAnsi" w:hAnsiTheme="minorHAnsi"/>
                <w:szCs w:val="20"/>
              </w:rPr>
              <w:t>planned</w:t>
            </w:r>
          </w:p>
        </w:tc>
        <w:tc>
          <w:tcPr>
            <w:tcW w:w="1295" w:type="pct"/>
            <w:shd w:val="clear" w:color="auto" w:fill="D9D9D9"/>
          </w:tcPr>
          <w:p w14:paraId="5AD9B849" w14:textId="67B433FF" w:rsidR="0017317D" w:rsidRDefault="0017317D" w:rsidP="004A0283">
            <w:pPr>
              <w:pStyle w:val="TableBodyCopy"/>
              <w:cnfStyle w:val="000000000000" w:firstRow="0" w:lastRow="0" w:firstColumn="0" w:lastColumn="0" w:oddVBand="0" w:evenVBand="0" w:oddHBand="0" w:evenHBand="0" w:firstRowFirstColumn="0" w:firstRowLastColumn="0" w:lastRowFirstColumn="0" w:lastRowLastColumn="0"/>
            </w:pPr>
            <w:r w:rsidRPr="0026209F">
              <w:t xml:space="preserve">Australia Awards in PNG </w:t>
            </w:r>
            <w:r w:rsidR="004A0283">
              <w:t>m</w:t>
            </w:r>
            <w:r w:rsidRPr="0026209F">
              <w:t>id</w:t>
            </w:r>
            <w:r w:rsidR="00AA7669">
              <w:t>-term</w:t>
            </w:r>
            <w:r w:rsidRPr="0026209F">
              <w:t xml:space="preserve"> </w:t>
            </w:r>
            <w:r w:rsidR="004A0283">
              <w:t>r</w:t>
            </w:r>
            <w:r w:rsidRPr="0026209F">
              <w:t>eview</w:t>
            </w:r>
          </w:p>
        </w:tc>
      </w:tr>
      <w:tr w:rsidR="00D230CD" w:rsidRPr="002C113F" w14:paraId="3C89F174" w14:textId="77777777" w:rsidTr="00D230CD">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115" w:type="pct"/>
          </w:tcPr>
          <w:p w14:paraId="4C9F0936" w14:textId="7466413B" w:rsidR="00B46400" w:rsidRPr="003302EB" w:rsidRDefault="00C85347" w:rsidP="00B46400">
            <w:pPr>
              <w:pStyle w:val="TableBodyCopy"/>
            </w:pPr>
            <w:r w:rsidRPr="003302EB" w:rsidDel="00C85347">
              <w:t>Whole</w:t>
            </w:r>
            <w:r w:rsidR="00882A4D">
              <w:t>-</w:t>
            </w:r>
            <w:r w:rsidRPr="003302EB" w:rsidDel="00C85347">
              <w:t>of</w:t>
            </w:r>
            <w:r w:rsidR="00882A4D">
              <w:t>-p</w:t>
            </w:r>
            <w:r w:rsidRPr="003302EB" w:rsidDel="00C85347">
              <w:t xml:space="preserve">rogram </w:t>
            </w:r>
            <w:r w:rsidR="00F553FD">
              <w:t xml:space="preserve">and cross-cutting reviews, </w:t>
            </w:r>
            <w:proofErr w:type="gramStart"/>
            <w:r w:rsidR="00882A4D">
              <w:t>a</w:t>
            </w:r>
            <w:r w:rsidRPr="003302EB" w:rsidDel="00C85347">
              <w:t>nalysis</w:t>
            </w:r>
            <w:proofErr w:type="gramEnd"/>
            <w:r w:rsidRPr="003302EB" w:rsidDel="00C85347">
              <w:t xml:space="preserve"> and </w:t>
            </w:r>
            <w:r w:rsidR="00882A4D">
              <w:t>c</w:t>
            </w:r>
            <w:r w:rsidRPr="003302EB" w:rsidDel="00C85347">
              <w:t>onsultation mechanisms</w:t>
            </w:r>
          </w:p>
        </w:tc>
        <w:tc>
          <w:tcPr>
            <w:tcW w:w="1295" w:type="pct"/>
          </w:tcPr>
          <w:p w14:paraId="3734081F" w14:textId="77777777"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Senior Officials Meeting</w:t>
            </w:r>
          </w:p>
          <w:p w14:paraId="0C313590" w14:textId="30D50CD5" w:rsidR="00B46400" w:rsidRPr="007E6C68" w:rsidRDefault="00B46400" w:rsidP="00092665">
            <w:pPr>
              <w:pStyle w:val="TableBodyCopy"/>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t xml:space="preserve">Annual </w:t>
            </w:r>
            <w:r w:rsidR="00E86CAD">
              <w:t>s</w:t>
            </w:r>
            <w:r>
              <w:t xml:space="preserve">takeholder </w:t>
            </w:r>
            <w:r w:rsidR="00E86CAD">
              <w:t>f</w:t>
            </w:r>
            <w:r>
              <w:t>orum</w:t>
            </w:r>
          </w:p>
        </w:tc>
        <w:tc>
          <w:tcPr>
            <w:tcW w:w="1295" w:type="pct"/>
          </w:tcPr>
          <w:p w14:paraId="369310A2" w14:textId="785A269C"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Senior Officials Meeting</w:t>
            </w:r>
          </w:p>
          <w:p w14:paraId="42F1F44A" w14:textId="0887F00A"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 xml:space="preserve">Annual </w:t>
            </w:r>
            <w:r w:rsidR="00E86CAD">
              <w:t>s</w:t>
            </w:r>
            <w:r>
              <w:t xml:space="preserve">takeholder </w:t>
            </w:r>
            <w:r w:rsidR="00E86CAD">
              <w:t>f</w:t>
            </w:r>
            <w:r>
              <w:t>orum</w:t>
            </w:r>
          </w:p>
          <w:p w14:paraId="573581C4" w14:textId="4ACA5747"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 xml:space="preserve">Approaches to </w:t>
            </w:r>
            <w:r w:rsidR="00E86CAD">
              <w:t>w</w:t>
            </w:r>
            <w:r>
              <w:t xml:space="preserve">orking with </w:t>
            </w:r>
            <w:r>
              <w:br/>
            </w:r>
            <w:r w:rsidR="00E86CAD">
              <w:t>c</w:t>
            </w:r>
            <w:r>
              <w:t xml:space="preserve">ivil </w:t>
            </w:r>
            <w:r w:rsidR="00E86CAD">
              <w:t>s</w:t>
            </w:r>
            <w:r>
              <w:t xml:space="preserve">ociety </w:t>
            </w:r>
            <w:proofErr w:type="gramStart"/>
            <w:r w:rsidR="00F57DD4">
              <w:t>r</w:t>
            </w:r>
            <w:r>
              <w:t>eview</w:t>
            </w:r>
            <w:proofErr w:type="gramEnd"/>
          </w:p>
          <w:p w14:paraId="56E079BA" w14:textId="7132A918" w:rsidR="00B46400" w:rsidRPr="007E6C68" w:rsidRDefault="00B46400" w:rsidP="004A0283">
            <w:pPr>
              <w:pStyle w:val="TableBodyCopy"/>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t>Pla</w:t>
            </w:r>
            <w:r w:rsidR="006D4BE4">
              <w:t>c</w:t>
            </w:r>
            <w:r>
              <w:t xml:space="preserve">e-based approaches </w:t>
            </w:r>
            <w:r w:rsidR="003C0F24">
              <w:t>r</w:t>
            </w:r>
            <w:r>
              <w:t>eview</w:t>
            </w:r>
          </w:p>
        </w:tc>
        <w:tc>
          <w:tcPr>
            <w:tcW w:w="1295" w:type="pct"/>
          </w:tcPr>
          <w:p w14:paraId="20945074" w14:textId="3F8DE6D8"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Senior Officials Meeting</w:t>
            </w:r>
          </w:p>
          <w:p w14:paraId="74DF40D0" w14:textId="524D7CA6" w:rsidR="00B46400" w:rsidRDefault="00B46400" w:rsidP="004A0283">
            <w:pPr>
              <w:pStyle w:val="TableBodyCopy"/>
              <w:cnfStyle w:val="000000100000" w:firstRow="0" w:lastRow="0" w:firstColumn="0" w:lastColumn="0" w:oddVBand="0" w:evenVBand="0" w:oddHBand="1" w:evenHBand="0" w:firstRowFirstColumn="0" w:firstRowLastColumn="0" w:lastRowFirstColumn="0" w:lastRowLastColumn="0"/>
            </w:pPr>
            <w:r>
              <w:t xml:space="preserve">Annual </w:t>
            </w:r>
            <w:r w:rsidR="00E86CAD">
              <w:t>s</w:t>
            </w:r>
            <w:r>
              <w:t xml:space="preserve">takeholder </w:t>
            </w:r>
            <w:r w:rsidR="00E86CAD">
              <w:t>f</w:t>
            </w:r>
            <w:r>
              <w:t>orum</w:t>
            </w:r>
          </w:p>
          <w:p w14:paraId="7CAAB90C" w14:textId="57AF19FC" w:rsidR="00B46400" w:rsidRPr="00C3360A" w:rsidRDefault="00E0306B" w:rsidP="004148B5">
            <w:pPr>
              <w:pStyle w:val="TableBodyCopy"/>
              <w:cnfStyle w:val="000000100000" w:firstRow="0" w:lastRow="0" w:firstColumn="0" w:lastColumn="0" w:oddVBand="0" w:evenVBand="0" w:oddHBand="1" w:evenHBand="0" w:firstRowFirstColumn="0" w:firstRowLastColumn="0" w:lastRowFirstColumn="0" w:lastRowLastColumn="0"/>
            </w:pPr>
            <w:r>
              <w:t xml:space="preserve">PNG </w:t>
            </w:r>
            <w:r w:rsidR="00F57DD4">
              <w:t>DPP m</w:t>
            </w:r>
            <w:r w:rsidR="00B46400">
              <w:t>id-</w:t>
            </w:r>
            <w:r w:rsidR="000E5231">
              <w:t>cycle</w:t>
            </w:r>
            <w:r w:rsidR="00B46400">
              <w:t xml:space="preserve"> </w:t>
            </w:r>
            <w:r w:rsidR="00F57DD4">
              <w:t>r</w:t>
            </w:r>
            <w:r w:rsidR="00B46400">
              <w:t>eview</w:t>
            </w:r>
          </w:p>
        </w:tc>
      </w:tr>
    </w:tbl>
    <w:p w14:paraId="7C8BA4EC" w14:textId="4940A5E3" w:rsidR="00C65616" w:rsidRPr="00F54F79" w:rsidRDefault="00C65616" w:rsidP="00F54F79">
      <w:pPr>
        <w:spacing w:after="0" w:line="240" w:lineRule="auto"/>
        <w:textAlignment w:val="baseline"/>
        <w:rPr>
          <w:rFonts w:ascii="Calibri Light" w:hAnsi="Calibri Light" w:cs="Calibri Light"/>
          <w:color w:val="313E48" w:themeColor="text2"/>
          <w:lang w:eastAsia="en-AU"/>
        </w:rPr>
        <w:sectPr w:rsidR="00C65616" w:rsidRPr="00F54F79" w:rsidSect="00C7379F">
          <w:headerReference w:type="first" r:id="rId14"/>
          <w:footerReference w:type="first" r:id="rId15"/>
          <w:endnotePr>
            <w:numFmt w:val="decimal"/>
          </w:endnotePr>
          <w:type w:val="continuous"/>
          <w:pgSz w:w="11906" w:h="16838" w:code="9"/>
          <w:pgMar w:top="1418" w:right="851" w:bottom="426" w:left="851" w:header="340" w:footer="531" w:gutter="0"/>
          <w:pgNumType w:start="1"/>
          <w:cols w:space="708"/>
          <w:titlePg/>
          <w:docGrid w:linePitch="360"/>
        </w:sectPr>
      </w:pPr>
    </w:p>
    <w:p w14:paraId="3861AFF8" w14:textId="5028CDBB" w:rsidR="00E61132" w:rsidRPr="00E90562" w:rsidRDefault="00E61132" w:rsidP="00E90562">
      <w:pPr>
        <w:pStyle w:val="H3-Heading3"/>
      </w:pPr>
      <w:r w:rsidRPr="65913CE0">
        <w:lastRenderedPageBreak/>
        <w:t xml:space="preserve">Performance and </w:t>
      </w:r>
      <w:r w:rsidR="00C0226C">
        <w:t>r</w:t>
      </w:r>
      <w:r w:rsidRPr="65913CE0">
        <w:t>esults</w:t>
      </w:r>
    </w:p>
    <w:p w14:paraId="4AB6BB15" w14:textId="649853B7" w:rsidR="00C65EFE" w:rsidRPr="00F54F79" w:rsidRDefault="00C65EFE" w:rsidP="00E90562">
      <w:pPr>
        <w:rPr>
          <w:rFonts w:ascii="Calibri Light" w:hAnsi="Calibri Light"/>
          <w:lang w:eastAsia="en-AU"/>
        </w:rPr>
      </w:pPr>
      <w:r w:rsidRPr="4314E796">
        <w:rPr>
          <w:lang w:eastAsia="en-AU"/>
        </w:rPr>
        <w:t xml:space="preserve">The Performance Assessment Framework (PAF) at Table 3 provides a selection of indicators and expected results for the first </w:t>
      </w:r>
      <w:r w:rsidR="00D7638B">
        <w:rPr>
          <w:lang w:eastAsia="en-AU"/>
        </w:rPr>
        <w:t>3 </w:t>
      </w:r>
      <w:r w:rsidRPr="4314E796">
        <w:rPr>
          <w:lang w:eastAsia="en-AU"/>
        </w:rPr>
        <w:t>years of the DPP. The PAF will be updated periodically including at the mid</w:t>
      </w:r>
      <w:r w:rsidR="00697100">
        <w:rPr>
          <w:lang w:eastAsia="en-AU"/>
        </w:rPr>
        <w:t>-</w:t>
      </w:r>
      <w:r w:rsidRPr="4314E796">
        <w:rPr>
          <w:lang w:eastAsia="en-AU"/>
        </w:rPr>
        <w:t>cycle review point at which time indicators and results for the second half of the DPP will be identified.</w:t>
      </w:r>
    </w:p>
    <w:p w14:paraId="1442F66F" w14:textId="015EDB55" w:rsidR="001724B1" w:rsidRPr="002719A7" w:rsidRDefault="001724B1" w:rsidP="00E90562">
      <w:pPr>
        <w:pStyle w:val="Tabletitle"/>
        <w:rPr>
          <w:rFonts w:ascii="Calibri Light" w:hAnsi="Calibri Light" w:cs="Calibri Light"/>
          <w:sz w:val="38"/>
          <w:szCs w:val="38"/>
          <w:lang w:val="en-US"/>
        </w:rPr>
      </w:pPr>
      <w:r w:rsidRPr="2456706A">
        <w:t xml:space="preserve">Table 3: Performance </w:t>
      </w:r>
      <w:r>
        <w:t xml:space="preserve">Assessment </w:t>
      </w:r>
      <w:r w:rsidRPr="00720C8B">
        <w:t>Framework</w:t>
      </w:r>
    </w:p>
    <w:p w14:paraId="6578AB58" w14:textId="3ACABB92" w:rsidR="000175A1" w:rsidRPr="009267B7" w:rsidRDefault="000175A1" w:rsidP="00E90562">
      <w:pPr>
        <w:keepNext/>
        <w:widowControl w:val="0"/>
        <w:rPr>
          <w:i/>
        </w:rPr>
      </w:pPr>
      <w:r w:rsidRPr="009267B7">
        <w:rPr>
          <w:b/>
        </w:rPr>
        <w:t>Objective 1:</w:t>
      </w:r>
      <w:r w:rsidR="00DD6E81" w:rsidRPr="009267B7">
        <w:rPr>
          <w:b/>
        </w:rPr>
        <w:t xml:space="preserve"> </w:t>
      </w:r>
      <w:r w:rsidR="003D17F5" w:rsidRPr="009267B7">
        <w:rPr>
          <w:b/>
        </w:rPr>
        <w:t xml:space="preserve">Building </w:t>
      </w:r>
      <w:r w:rsidR="00206226" w:rsidRPr="009267B7">
        <w:rPr>
          <w:b/>
        </w:rPr>
        <w:t>a</w:t>
      </w:r>
      <w:r w:rsidR="00DD6E81" w:rsidRPr="009267B7">
        <w:rPr>
          <w:b/>
        </w:rPr>
        <w:t xml:space="preserve">n </w:t>
      </w:r>
      <w:r w:rsidR="00CB0CFD" w:rsidRPr="009267B7">
        <w:rPr>
          <w:b/>
        </w:rPr>
        <w:t>e</w:t>
      </w:r>
      <w:r w:rsidR="00DD6E81" w:rsidRPr="009267B7">
        <w:rPr>
          <w:b/>
        </w:rPr>
        <w:t xml:space="preserve">conomic </w:t>
      </w:r>
      <w:r w:rsidR="00CB0CFD" w:rsidRPr="009267B7">
        <w:rPr>
          <w:b/>
        </w:rPr>
        <w:t>p</w:t>
      </w:r>
      <w:r w:rsidR="00DD6E81" w:rsidRPr="009267B7">
        <w:rPr>
          <w:b/>
        </w:rPr>
        <w:t xml:space="preserve">artnership for </w:t>
      </w:r>
      <w:proofErr w:type="gramStart"/>
      <w:r w:rsidR="00CB0CFD" w:rsidRPr="009267B7">
        <w:rPr>
          <w:b/>
        </w:rPr>
        <w:t>p</w:t>
      </w:r>
      <w:r w:rsidR="00DD6E81" w:rsidRPr="009267B7">
        <w:rPr>
          <w:b/>
        </w:rPr>
        <w:t>rosperity</w:t>
      </w:r>
      <w:proofErr w:type="gramEnd"/>
    </w:p>
    <w:tbl>
      <w:tblPr>
        <w:tblStyle w:val="DFATPaddock"/>
        <w:tblW w:w="5000" w:type="pct"/>
        <w:tblLayout w:type="fixed"/>
        <w:tblLook w:val="04A0" w:firstRow="1" w:lastRow="0" w:firstColumn="1" w:lastColumn="0" w:noHBand="0" w:noVBand="1"/>
        <w:tblCaption w:val="Performance assessment framework for objective 1"/>
        <w:tblDescription w:val="Expected results for the first three years of the DPP and against the Sustainable Development Goals&#10;"/>
      </w:tblPr>
      <w:tblGrid>
        <w:gridCol w:w="2427"/>
        <w:gridCol w:w="2427"/>
        <w:gridCol w:w="2427"/>
        <w:gridCol w:w="2427"/>
        <w:gridCol w:w="2426"/>
        <w:gridCol w:w="2426"/>
      </w:tblGrid>
      <w:tr w:rsidR="00C85EB6" w14:paraId="1BA5C930" w14:textId="77777777" w:rsidTr="00D210BD">
        <w:trPr>
          <w:cnfStyle w:val="100000000000" w:firstRow="1" w:lastRow="0" w:firstColumn="0" w:lastColumn="0" w:oddVBand="0" w:evenVBand="0" w:oddHBand="0" w:evenHBand="0" w:firstRowFirstColumn="0" w:firstRowLastColumn="0" w:lastRowFirstColumn="0" w:lastRowLastColumn="0"/>
          <w:cantSplit/>
          <w:trHeight w:val="787"/>
        </w:trPr>
        <w:tc>
          <w:tcPr>
            <w:tcW w:w="833" w:type="pct"/>
            <w:hideMark/>
          </w:tcPr>
          <w:p w14:paraId="0B8EB464" w14:textId="0E8A9474" w:rsidR="00C85EB6" w:rsidRPr="009E2962" w:rsidRDefault="00C85EB6" w:rsidP="00E90562">
            <w:pPr>
              <w:pStyle w:val="TableHeading"/>
            </w:pPr>
            <w:r w:rsidRPr="00E90562">
              <w:rPr>
                <w:b w:val="0"/>
                <w:bCs w:val="0"/>
              </w:rPr>
              <w:t>Outcome</w:t>
            </w:r>
          </w:p>
          <w:p w14:paraId="61522DFA" w14:textId="27559FBA" w:rsidR="00C85EB6" w:rsidRPr="00E90562" w:rsidRDefault="00C85EB6" w:rsidP="00E90562">
            <w:pPr>
              <w:pStyle w:val="TableHeading"/>
              <w:rPr>
                <w:b w:val="0"/>
                <w:bCs w:val="0"/>
              </w:rPr>
            </w:pPr>
          </w:p>
        </w:tc>
        <w:tc>
          <w:tcPr>
            <w:tcW w:w="833" w:type="pct"/>
          </w:tcPr>
          <w:p w14:paraId="38B7D3EA" w14:textId="7CB34A2D" w:rsidR="00C85EB6" w:rsidRPr="00D72510" w:rsidRDefault="00C85EB6" w:rsidP="004B1D12">
            <w:pPr>
              <w:pStyle w:val="TableHeading"/>
              <w:rPr>
                <w:b w:val="0"/>
                <w:bCs w:val="0"/>
              </w:rPr>
            </w:pPr>
            <w:r>
              <w:rPr>
                <w:b w:val="0"/>
                <w:bCs w:val="0"/>
              </w:rPr>
              <w:t>Indicator</w:t>
            </w:r>
          </w:p>
        </w:tc>
        <w:tc>
          <w:tcPr>
            <w:tcW w:w="833" w:type="pct"/>
            <w:hideMark/>
          </w:tcPr>
          <w:p w14:paraId="28BAB5F3" w14:textId="3D9E9DF5" w:rsidR="00C85EB6" w:rsidRPr="00E90562" w:rsidRDefault="00C85EB6" w:rsidP="004B1D12">
            <w:pPr>
              <w:pStyle w:val="TableHeading"/>
              <w:rPr>
                <w:b w:val="0"/>
                <w:bCs w:val="0"/>
              </w:rPr>
            </w:pPr>
            <w:r w:rsidRPr="00E90562">
              <w:rPr>
                <w:b w:val="0"/>
                <w:bCs w:val="0"/>
              </w:rPr>
              <w:t>Expected results</w:t>
            </w:r>
            <w:r w:rsidRPr="00E90562">
              <w:rPr>
                <w:b w:val="0"/>
                <w:bCs w:val="0"/>
              </w:rPr>
              <w:br/>
              <w:t>2024–25</w:t>
            </w:r>
          </w:p>
        </w:tc>
        <w:tc>
          <w:tcPr>
            <w:tcW w:w="833" w:type="pct"/>
            <w:hideMark/>
          </w:tcPr>
          <w:p w14:paraId="1DE2F4DC" w14:textId="72B3AB29" w:rsidR="00C85EB6" w:rsidRPr="00E90562" w:rsidRDefault="00C85EB6" w:rsidP="004B1D12">
            <w:pPr>
              <w:pStyle w:val="TableHeading"/>
              <w:rPr>
                <w:b w:val="0"/>
                <w:bCs w:val="0"/>
              </w:rPr>
            </w:pPr>
            <w:r w:rsidRPr="00E90562">
              <w:rPr>
                <w:b w:val="0"/>
                <w:bCs w:val="0"/>
              </w:rPr>
              <w:t>Expected results</w:t>
            </w:r>
            <w:r w:rsidRPr="00E90562">
              <w:rPr>
                <w:b w:val="0"/>
                <w:bCs w:val="0"/>
              </w:rPr>
              <w:br/>
              <w:t>2025–26</w:t>
            </w:r>
          </w:p>
        </w:tc>
        <w:tc>
          <w:tcPr>
            <w:tcW w:w="833" w:type="pct"/>
            <w:hideMark/>
          </w:tcPr>
          <w:p w14:paraId="26D85DA3" w14:textId="0F5AE149" w:rsidR="00C85EB6" w:rsidRPr="00E90562" w:rsidRDefault="00C85EB6" w:rsidP="004B1D12">
            <w:pPr>
              <w:pStyle w:val="TableHeading"/>
              <w:rPr>
                <w:b w:val="0"/>
                <w:bCs w:val="0"/>
              </w:rPr>
            </w:pPr>
            <w:r w:rsidRPr="00E90562">
              <w:rPr>
                <w:b w:val="0"/>
                <w:bCs w:val="0"/>
              </w:rPr>
              <w:t>Expected results</w:t>
            </w:r>
            <w:r w:rsidRPr="00E90562">
              <w:rPr>
                <w:b w:val="0"/>
                <w:bCs w:val="0"/>
              </w:rPr>
              <w:br/>
              <w:t>2026–27</w:t>
            </w:r>
          </w:p>
        </w:tc>
        <w:tc>
          <w:tcPr>
            <w:tcW w:w="833" w:type="pct"/>
            <w:hideMark/>
          </w:tcPr>
          <w:p w14:paraId="558CF527" w14:textId="6132D56A" w:rsidR="00C85EB6" w:rsidRPr="00D30B77" w:rsidRDefault="00C85EB6" w:rsidP="004B1D12">
            <w:pPr>
              <w:pStyle w:val="TableHeading"/>
              <w:rPr>
                <w:b w:val="0"/>
                <w:bCs w:val="0"/>
              </w:rPr>
            </w:pPr>
            <w:r w:rsidRPr="00D30B77">
              <w:rPr>
                <w:b w:val="0"/>
                <w:bCs w:val="0"/>
              </w:rPr>
              <w:t>Sustainable Development Goals (SDGs)</w:t>
            </w:r>
          </w:p>
        </w:tc>
      </w:tr>
      <w:tr w:rsidR="005B6EC4" w14:paraId="687B5128" w14:textId="77777777" w:rsidTr="00D210BD">
        <w:trPr>
          <w:cantSplit/>
          <w:trHeight w:val="561"/>
        </w:trPr>
        <w:tc>
          <w:tcPr>
            <w:tcW w:w="833" w:type="pct"/>
            <w:shd w:val="clear" w:color="auto" w:fill="D6E8D2"/>
            <w:hideMark/>
          </w:tcPr>
          <w:p w14:paraId="11270BEB" w14:textId="0CAAF43F" w:rsidR="00C85EB6" w:rsidRDefault="00C85EB6" w:rsidP="00387C9A">
            <w:pPr>
              <w:pStyle w:val="TableBodyCopy"/>
              <w:rPr>
                <w:lang w:val="en-ID" w:eastAsia="en-AU"/>
              </w:rPr>
            </w:pPr>
            <w:r>
              <w:rPr>
                <w:b/>
                <w:bCs/>
                <w:lang w:val="en-ID" w:eastAsia="en-AU"/>
              </w:rPr>
              <w:t>Outcome 1.1</w:t>
            </w:r>
          </w:p>
          <w:p w14:paraId="4223FF1E" w14:textId="427E6F65" w:rsidR="00C85EB6" w:rsidRPr="00EB1176" w:rsidRDefault="00C85EB6" w:rsidP="00387C9A">
            <w:pPr>
              <w:pStyle w:val="TableBodyCopy"/>
            </w:pPr>
            <w:r>
              <w:rPr>
                <w:lang w:val="en-ID" w:eastAsia="en-AU"/>
              </w:rPr>
              <w:t xml:space="preserve">Economic stability: Supporting improved macroeconomic management, public financial management and </w:t>
            </w:r>
            <w:r w:rsidR="00F26C4D">
              <w:rPr>
                <w:lang w:val="en-ID" w:eastAsia="en-AU"/>
              </w:rPr>
              <w:t xml:space="preserve">broader </w:t>
            </w:r>
            <w:r>
              <w:rPr>
                <w:lang w:val="en-ID" w:eastAsia="en-AU"/>
              </w:rPr>
              <w:t>economic reform</w:t>
            </w:r>
          </w:p>
        </w:tc>
        <w:tc>
          <w:tcPr>
            <w:tcW w:w="833" w:type="pct"/>
            <w:shd w:val="clear" w:color="auto" w:fill="D6E8D2"/>
          </w:tcPr>
          <w:p w14:paraId="2278CBD8" w14:textId="5DF13C3B" w:rsidR="00C85EB6" w:rsidRDefault="00C85EB6" w:rsidP="00387C9A">
            <w:pPr>
              <w:pStyle w:val="TableBodyCopy"/>
              <w:rPr>
                <w:lang w:eastAsia="en-AU"/>
              </w:rPr>
            </w:pPr>
            <w:r>
              <w:rPr>
                <w:lang w:eastAsia="en-AU"/>
              </w:rPr>
              <w:t xml:space="preserve">1.1.1 </w:t>
            </w:r>
            <w:r>
              <w:rPr>
                <w:lang w:val="en-ID" w:eastAsia="en-AU"/>
              </w:rPr>
              <w:t>Economic and public financial management reform advanced through policy and technical advice</w:t>
            </w:r>
          </w:p>
        </w:tc>
        <w:tc>
          <w:tcPr>
            <w:tcW w:w="833" w:type="pct"/>
            <w:shd w:val="clear" w:color="auto" w:fill="D6E8D2"/>
            <w:hideMark/>
          </w:tcPr>
          <w:p w14:paraId="245440BD" w14:textId="11C59B07" w:rsidR="00C85EB6" w:rsidRDefault="00C85EB6" w:rsidP="00387C9A">
            <w:pPr>
              <w:pStyle w:val="TableBodyCopy"/>
              <w:rPr>
                <w:lang w:eastAsia="en-AU"/>
              </w:rPr>
            </w:pPr>
            <w:r>
              <w:rPr>
                <w:lang w:eastAsia="en-AU"/>
              </w:rPr>
              <w:t xml:space="preserve">Through the provision of technical assistance, supported progress to drive national reforms in key economic departments in relation to capacity building in government procurement processes, debt management and </w:t>
            </w:r>
            <w:proofErr w:type="gramStart"/>
            <w:r>
              <w:rPr>
                <w:lang w:eastAsia="en-AU"/>
              </w:rPr>
              <w:t>PFM</w:t>
            </w:r>
            <w:proofErr w:type="gramEnd"/>
          </w:p>
          <w:p w14:paraId="79FF0314" w14:textId="67044C53" w:rsidR="00C85EB6" w:rsidRDefault="00C85EB6" w:rsidP="00387C9A">
            <w:pPr>
              <w:pStyle w:val="TableBodyCopy"/>
            </w:pPr>
            <w:r>
              <w:rPr>
                <w:lang w:eastAsia="en-AU"/>
              </w:rPr>
              <w:t>Percentage of IMF criteria on track</w:t>
            </w:r>
          </w:p>
        </w:tc>
        <w:tc>
          <w:tcPr>
            <w:tcW w:w="833" w:type="pct"/>
            <w:shd w:val="clear" w:color="auto" w:fill="D6E8D2"/>
            <w:hideMark/>
          </w:tcPr>
          <w:p w14:paraId="3680E223" w14:textId="2AF0F1FB" w:rsidR="00C85EB6" w:rsidRDefault="00C85EB6" w:rsidP="00387C9A">
            <w:pPr>
              <w:pStyle w:val="TableBodyCopy"/>
              <w:rPr>
                <w:lang w:eastAsia="en-AU"/>
              </w:rPr>
            </w:pPr>
            <w:r>
              <w:rPr>
                <w:rFonts w:cstheme="majorBidi"/>
                <w:lang w:eastAsia="en-AU"/>
              </w:rPr>
              <w:t>Improved policy settings in debt and budget management, transparency and accountability of public expenditure, and revenue mobilisation</w:t>
            </w:r>
          </w:p>
          <w:p w14:paraId="472606A8" w14:textId="689C4A14" w:rsidR="00C85EB6" w:rsidRDefault="00C85EB6" w:rsidP="00387C9A">
            <w:pPr>
              <w:pStyle w:val="TableBodyCopy"/>
            </w:pPr>
            <w:r>
              <w:rPr>
                <w:rFonts w:cstheme="majorBidi"/>
                <w:lang w:eastAsia="en-AU"/>
              </w:rPr>
              <w:t>Percentage of IMF criteria on track</w:t>
            </w:r>
          </w:p>
        </w:tc>
        <w:tc>
          <w:tcPr>
            <w:tcW w:w="833" w:type="pct"/>
            <w:shd w:val="clear" w:color="auto" w:fill="D6E8D2"/>
            <w:hideMark/>
          </w:tcPr>
          <w:p w14:paraId="4B222521" w14:textId="6D7246F7" w:rsidR="00C85EB6" w:rsidRDefault="00C85EB6" w:rsidP="00387C9A">
            <w:pPr>
              <w:pStyle w:val="TableBodyCopy"/>
              <w:rPr>
                <w:lang w:eastAsia="en-AU"/>
              </w:rPr>
            </w:pPr>
            <w:r>
              <w:rPr>
                <w:rFonts w:cstheme="majorBidi"/>
                <w:lang w:eastAsia="en-AU"/>
              </w:rPr>
              <w:t>Improved policy settings in debt and budget management, transparency and accountability of public expenditure, and revenue mobilisation</w:t>
            </w:r>
          </w:p>
          <w:p w14:paraId="18DA468E" w14:textId="637ADBF6" w:rsidR="00C85EB6" w:rsidRDefault="00C85EB6" w:rsidP="00387C9A">
            <w:pPr>
              <w:pStyle w:val="TableBodyCopy"/>
            </w:pPr>
            <w:r>
              <w:rPr>
                <w:rFonts w:cstheme="majorBidi"/>
                <w:lang w:eastAsia="en-AU"/>
              </w:rPr>
              <w:t>Percentage of IMF criteria on track</w:t>
            </w:r>
          </w:p>
        </w:tc>
        <w:tc>
          <w:tcPr>
            <w:tcW w:w="833" w:type="pct"/>
            <w:shd w:val="clear" w:color="auto" w:fill="D6E8D2"/>
          </w:tcPr>
          <w:p w14:paraId="0208D1AF" w14:textId="107492C1" w:rsidR="00C85EB6" w:rsidRPr="00BA4BF9" w:rsidRDefault="00C85EB6" w:rsidP="00387C9A">
            <w:pPr>
              <w:pStyle w:val="TableBodyCopy"/>
              <w:rPr>
                <w:lang w:eastAsia="en-AU"/>
              </w:rPr>
            </w:pPr>
            <w:r w:rsidRPr="00BA4BF9">
              <w:rPr>
                <w:lang w:eastAsia="en-AU"/>
              </w:rPr>
              <w:t>SDG1</w:t>
            </w:r>
            <w:r>
              <w:rPr>
                <w:lang w:eastAsia="en-AU"/>
              </w:rPr>
              <w:t>:</w:t>
            </w:r>
            <w:r w:rsidRPr="00BA4BF9">
              <w:rPr>
                <w:lang w:eastAsia="en-AU"/>
              </w:rPr>
              <w:t xml:space="preserve"> No </w:t>
            </w:r>
            <w:r>
              <w:rPr>
                <w:lang w:eastAsia="en-AU"/>
              </w:rPr>
              <w:t>p</w:t>
            </w:r>
            <w:r w:rsidRPr="00BA4BF9">
              <w:rPr>
                <w:lang w:eastAsia="en-AU"/>
              </w:rPr>
              <w:t>overty</w:t>
            </w:r>
          </w:p>
          <w:p w14:paraId="2760D974" w14:textId="5CB9E2DE" w:rsidR="00C85EB6" w:rsidRPr="00BA4BF9" w:rsidRDefault="00C85EB6" w:rsidP="00387C9A">
            <w:pPr>
              <w:pStyle w:val="TableBodyCopy"/>
              <w:rPr>
                <w:lang w:eastAsia="en-AU"/>
              </w:rPr>
            </w:pPr>
            <w:r w:rsidRPr="00BA4BF9">
              <w:rPr>
                <w:lang w:val="en-US" w:eastAsia="en-AU"/>
              </w:rPr>
              <w:t>SDG8</w:t>
            </w:r>
            <w:r>
              <w:rPr>
                <w:lang w:val="en-US" w:eastAsia="en-AU"/>
              </w:rPr>
              <w:t>:</w:t>
            </w:r>
            <w:r w:rsidRPr="00BA4BF9">
              <w:rPr>
                <w:lang w:val="en-US" w:eastAsia="en-AU"/>
              </w:rPr>
              <w:t xml:space="preserve"> Decent </w:t>
            </w:r>
            <w:r>
              <w:rPr>
                <w:lang w:val="en-US" w:eastAsia="en-AU"/>
              </w:rPr>
              <w:t>w</w:t>
            </w:r>
            <w:r w:rsidRPr="00BA4BF9">
              <w:rPr>
                <w:lang w:val="en-US" w:eastAsia="en-AU"/>
              </w:rPr>
              <w:t xml:space="preserve">ork and </w:t>
            </w:r>
            <w:r>
              <w:rPr>
                <w:lang w:val="en-US" w:eastAsia="en-AU"/>
              </w:rPr>
              <w:t>e</w:t>
            </w:r>
            <w:r w:rsidRPr="00BA4BF9">
              <w:rPr>
                <w:lang w:val="en-US" w:eastAsia="en-AU"/>
              </w:rPr>
              <w:t xml:space="preserve">conomic </w:t>
            </w:r>
            <w:r>
              <w:rPr>
                <w:lang w:val="en-US" w:eastAsia="en-AU"/>
              </w:rPr>
              <w:t>g</w:t>
            </w:r>
            <w:r w:rsidRPr="00BA4BF9">
              <w:rPr>
                <w:lang w:val="en-US" w:eastAsia="en-AU"/>
              </w:rPr>
              <w:t>rowth</w:t>
            </w:r>
          </w:p>
          <w:p w14:paraId="4982F76E" w14:textId="0228B5BE" w:rsidR="00C85EB6" w:rsidRPr="00BA4BF9" w:rsidRDefault="00C85EB6" w:rsidP="00387C9A">
            <w:pPr>
              <w:pStyle w:val="TableBodyCopy"/>
              <w:rPr>
                <w:lang w:eastAsia="en-AU"/>
              </w:rPr>
            </w:pPr>
            <w:r w:rsidRPr="00BA4BF9">
              <w:rPr>
                <w:lang w:val="en-ID" w:eastAsia="en-AU"/>
              </w:rPr>
              <w:t>SDG9</w:t>
            </w:r>
            <w:r>
              <w:rPr>
                <w:lang w:val="en-ID" w:eastAsia="en-AU"/>
              </w:rPr>
              <w:t>:</w:t>
            </w:r>
            <w:r w:rsidRPr="00BA4BF9">
              <w:rPr>
                <w:lang w:val="en-ID" w:eastAsia="en-AU"/>
              </w:rPr>
              <w:t xml:space="preserve"> Industry, </w:t>
            </w:r>
            <w:proofErr w:type="gramStart"/>
            <w:r>
              <w:rPr>
                <w:lang w:val="en-ID" w:eastAsia="en-AU"/>
              </w:rPr>
              <w:t>i</w:t>
            </w:r>
            <w:r w:rsidRPr="00BA4BF9">
              <w:rPr>
                <w:lang w:val="en-ID" w:eastAsia="en-AU"/>
              </w:rPr>
              <w:t>nnovation</w:t>
            </w:r>
            <w:proofErr w:type="gramEnd"/>
            <w:r w:rsidRPr="00BA4BF9">
              <w:rPr>
                <w:lang w:val="en-ID" w:eastAsia="en-AU"/>
              </w:rPr>
              <w:t xml:space="preserve"> and </w:t>
            </w:r>
            <w:r>
              <w:rPr>
                <w:lang w:val="en-ID" w:eastAsia="en-AU"/>
              </w:rPr>
              <w:t>i</w:t>
            </w:r>
            <w:r w:rsidRPr="00BA4BF9">
              <w:rPr>
                <w:lang w:val="en-ID" w:eastAsia="en-AU"/>
              </w:rPr>
              <w:t>nfrastructure</w:t>
            </w:r>
          </w:p>
          <w:p w14:paraId="405B21F5" w14:textId="388F218F" w:rsidR="00C85EB6" w:rsidRPr="00BA4BF9" w:rsidRDefault="00C85EB6" w:rsidP="00387C9A">
            <w:pPr>
              <w:pStyle w:val="TableBodyCopy"/>
              <w:rPr>
                <w:lang w:eastAsia="en-AU"/>
              </w:rPr>
            </w:pPr>
            <w:r w:rsidRPr="00BA4BF9">
              <w:rPr>
                <w:lang w:val="en-ID" w:eastAsia="en-AU"/>
              </w:rPr>
              <w:t>SDG10</w:t>
            </w:r>
            <w:r>
              <w:rPr>
                <w:lang w:val="en-ID" w:eastAsia="en-AU"/>
              </w:rPr>
              <w:t>:</w:t>
            </w:r>
            <w:r w:rsidRPr="00BA4BF9">
              <w:rPr>
                <w:lang w:val="en-ID" w:eastAsia="en-AU"/>
              </w:rPr>
              <w:t xml:space="preserve"> Reduced </w:t>
            </w:r>
            <w:r>
              <w:rPr>
                <w:lang w:val="en-ID" w:eastAsia="en-AU"/>
              </w:rPr>
              <w:t>i</w:t>
            </w:r>
            <w:r w:rsidRPr="00BA4BF9">
              <w:rPr>
                <w:lang w:val="en-ID" w:eastAsia="en-AU"/>
              </w:rPr>
              <w:t>nequality</w:t>
            </w:r>
          </w:p>
          <w:p w14:paraId="08D1822B" w14:textId="6C77C736" w:rsidR="00C85EB6" w:rsidRDefault="00C85EB6" w:rsidP="00387C9A">
            <w:pPr>
              <w:pStyle w:val="TableBodyCopy"/>
            </w:pPr>
            <w:r w:rsidRPr="00BA4BF9">
              <w:rPr>
                <w:lang w:eastAsia="en-AU"/>
              </w:rPr>
              <w:t>SDG17</w:t>
            </w:r>
            <w:r>
              <w:rPr>
                <w:lang w:eastAsia="en-AU"/>
              </w:rPr>
              <w:t>:</w:t>
            </w:r>
            <w:r w:rsidRPr="00BA4BF9">
              <w:rPr>
                <w:lang w:eastAsia="en-AU"/>
              </w:rPr>
              <w:t xml:space="preserve"> Partnerships for the </w:t>
            </w:r>
            <w:r>
              <w:rPr>
                <w:lang w:eastAsia="en-AU"/>
              </w:rPr>
              <w:t>g</w:t>
            </w:r>
            <w:r w:rsidRPr="00BA4BF9">
              <w:rPr>
                <w:lang w:eastAsia="en-AU"/>
              </w:rPr>
              <w:t>oals</w:t>
            </w:r>
          </w:p>
        </w:tc>
      </w:tr>
      <w:tr w:rsidR="00C85EB6" w14:paraId="47E92839" w14:textId="77777777" w:rsidTr="00D210BD">
        <w:trPr>
          <w:cantSplit/>
          <w:trHeight w:val="561"/>
        </w:trPr>
        <w:tc>
          <w:tcPr>
            <w:tcW w:w="833" w:type="pct"/>
            <w:shd w:val="clear" w:color="auto" w:fill="D6E8D2"/>
          </w:tcPr>
          <w:p w14:paraId="55F904BF" w14:textId="6CF9556C" w:rsidR="00C85EB6" w:rsidRDefault="005B32C5" w:rsidP="00C85EB6">
            <w:pPr>
              <w:pStyle w:val="TableBodyCopy"/>
            </w:pPr>
            <w:r>
              <w:rPr>
                <w:b/>
                <w:bCs/>
              </w:rPr>
              <w:t>Outcome 1.2</w:t>
            </w:r>
          </w:p>
          <w:p w14:paraId="40277CB3" w14:textId="4AF972F1" w:rsidR="005B32C5" w:rsidRPr="00E90562" w:rsidRDefault="005B32C5" w:rsidP="00C85EB6">
            <w:pPr>
              <w:pStyle w:val="TableBodyCopy"/>
              <w:rPr>
                <w:lang w:val="en-ID" w:eastAsia="en-AU"/>
              </w:rPr>
            </w:pPr>
            <w:r>
              <w:rPr>
                <w:lang w:val="en-ID"/>
              </w:rPr>
              <w:t xml:space="preserve">Infrastructure for growth: Investing in high-quality resilient </w:t>
            </w:r>
            <w:r w:rsidR="00165E75">
              <w:rPr>
                <w:lang w:val="en-ID"/>
              </w:rPr>
              <w:t xml:space="preserve">and accessible </w:t>
            </w:r>
            <w:r>
              <w:rPr>
                <w:lang w:val="en-ID"/>
              </w:rPr>
              <w:t>infrastructure to drive economic growth</w:t>
            </w:r>
          </w:p>
        </w:tc>
        <w:tc>
          <w:tcPr>
            <w:tcW w:w="833" w:type="pct"/>
            <w:shd w:val="clear" w:color="auto" w:fill="D6E8D2"/>
          </w:tcPr>
          <w:p w14:paraId="45E7BC50" w14:textId="6C08254B" w:rsidR="00C85EB6" w:rsidRDefault="009B67C9" w:rsidP="00C85EB6">
            <w:pPr>
              <w:pStyle w:val="TableBodyCopy"/>
              <w:rPr>
                <w:lang w:eastAsia="en-AU"/>
              </w:rPr>
            </w:pPr>
            <w:r w:rsidRPr="009B67C9">
              <w:rPr>
                <w:lang w:eastAsia="en-AU"/>
              </w:rPr>
              <w:t xml:space="preserve">1.2.1 Number of infrastructure projects supported that meet Pacific Quality Infrastructure Principles, G20 Principles for Quality Infrastructure </w:t>
            </w:r>
            <w:proofErr w:type="gramStart"/>
            <w:r w:rsidRPr="009B67C9">
              <w:rPr>
                <w:lang w:eastAsia="en-AU"/>
              </w:rPr>
              <w:t>Investments</w:t>
            </w:r>
            <w:proofErr w:type="gramEnd"/>
            <w:r w:rsidRPr="009B67C9">
              <w:rPr>
                <w:lang w:eastAsia="en-AU"/>
              </w:rPr>
              <w:t xml:space="preserve"> or similar internationally agreed standards</w:t>
            </w:r>
          </w:p>
        </w:tc>
        <w:tc>
          <w:tcPr>
            <w:tcW w:w="833" w:type="pct"/>
            <w:shd w:val="clear" w:color="auto" w:fill="D6E8D2"/>
          </w:tcPr>
          <w:p w14:paraId="6630285F" w14:textId="1FA31457" w:rsidR="00C85EB6" w:rsidRDefault="00C85EB6" w:rsidP="00C85EB6">
            <w:pPr>
              <w:pStyle w:val="TableBodyCopy"/>
              <w:rPr>
                <w:lang w:eastAsia="en-AU"/>
              </w:rPr>
            </w:pPr>
            <w:r w:rsidRPr="004960F7">
              <w:t>All Australian</w:t>
            </w:r>
            <w:r>
              <w:t>-</w:t>
            </w:r>
            <w:r w:rsidRPr="004960F7">
              <w:t>supported infrastructure</w:t>
            </w:r>
            <w:r w:rsidR="005368F0">
              <w:t xml:space="preserve"> </w:t>
            </w:r>
            <w:r w:rsidRPr="00E90562">
              <w:t>meets Pacific Quality Infrastructure Principles, G20 Principles for Quality Infrastructure Investments, or similar internationally agreed standards</w:t>
            </w:r>
          </w:p>
        </w:tc>
        <w:tc>
          <w:tcPr>
            <w:tcW w:w="833" w:type="pct"/>
            <w:shd w:val="clear" w:color="auto" w:fill="D6E8D2"/>
          </w:tcPr>
          <w:p w14:paraId="6089A026" w14:textId="20935958" w:rsidR="00C85EB6" w:rsidRDefault="00C85EB6" w:rsidP="00C85EB6">
            <w:pPr>
              <w:pStyle w:val="TableBodyCopy"/>
              <w:rPr>
                <w:rFonts w:cstheme="majorBidi"/>
                <w:lang w:eastAsia="en-AU"/>
              </w:rPr>
            </w:pPr>
            <w:r w:rsidRPr="004960F7">
              <w:t>All Australian</w:t>
            </w:r>
            <w:r>
              <w:t>-</w:t>
            </w:r>
            <w:r w:rsidRPr="004960F7">
              <w:t>supported infrastructure</w:t>
            </w:r>
            <w:r w:rsidRPr="00E90562">
              <w:t xml:space="preserve"> meets Pacific Quality Infrastructure Principles, G20 Principles for Quality Infrastructure Investments, or similar internationally agreed standards</w:t>
            </w:r>
          </w:p>
        </w:tc>
        <w:tc>
          <w:tcPr>
            <w:tcW w:w="833" w:type="pct"/>
            <w:shd w:val="clear" w:color="auto" w:fill="D6E8D2"/>
          </w:tcPr>
          <w:p w14:paraId="1AD1B144" w14:textId="0EBFBD8A" w:rsidR="00C85EB6" w:rsidRDefault="00C85EB6" w:rsidP="00C85EB6">
            <w:pPr>
              <w:pStyle w:val="TableBodyCopy"/>
              <w:rPr>
                <w:rFonts w:cstheme="majorBidi"/>
                <w:lang w:eastAsia="en-AU"/>
              </w:rPr>
            </w:pPr>
            <w:r w:rsidRPr="004960F7">
              <w:t>All Australian</w:t>
            </w:r>
            <w:r>
              <w:t>-</w:t>
            </w:r>
            <w:r w:rsidRPr="004960F7">
              <w:t xml:space="preserve">supported </w:t>
            </w:r>
            <w:r w:rsidRPr="00320F3F">
              <w:t xml:space="preserve">infrastructure </w:t>
            </w:r>
            <w:r w:rsidRPr="00E90562">
              <w:t>meets Pacific Quality Infrastructure Principles, G20 Principles for Quality Infrastructure Investments, or similar internationally agreed standards</w:t>
            </w:r>
          </w:p>
        </w:tc>
        <w:tc>
          <w:tcPr>
            <w:tcW w:w="833" w:type="pct"/>
            <w:shd w:val="clear" w:color="auto" w:fill="D6E8D2"/>
          </w:tcPr>
          <w:p w14:paraId="798A40E9" w14:textId="7CCF1B12" w:rsidR="00C85EB6" w:rsidRDefault="00C85EB6" w:rsidP="00C85EB6">
            <w:pPr>
              <w:pStyle w:val="TableBodyCopy"/>
              <w:rPr>
                <w:rStyle w:val="CommentReference"/>
                <w:rFonts w:asciiTheme="majorHAnsi" w:hAnsiTheme="majorHAnsi" w:cs="Times New Roman"/>
              </w:rPr>
            </w:pPr>
            <w:r w:rsidRPr="00BA4BF9">
              <w:rPr>
                <w:lang w:eastAsia="en-AU"/>
              </w:rPr>
              <w:t>SDG1</w:t>
            </w:r>
            <w:r>
              <w:rPr>
                <w:lang w:eastAsia="en-AU"/>
              </w:rPr>
              <w:t xml:space="preserve">, </w:t>
            </w:r>
            <w:r w:rsidRPr="00BA4BF9">
              <w:rPr>
                <w:lang w:val="en-US" w:eastAsia="en-AU"/>
              </w:rPr>
              <w:t>SDG8</w:t>
            </w:r>
            <w:r>
              <w:rPr>
                <w:lang w:val="en-US" w:eastAsia="en-AU"/>
              </w:rPr>
              <w:t xml:space="preserve">, </w:t>
            </w:r>
            <w:r w:rsidRPr="00BA4BF9">
              <w:rPr>
                <w:lang w:val="en-ID" w:eastAsia="en-AU"/>
              </w:rPr>
              <w:t>SDG9</w:t>
            </w:r>
            <w:r>
              <w:rPr>
                <w:lang w:val="en-ID" w:eastAsia="en-AU"/>
              </w:rPr>
              <w:t xml:space="preserve">, </w:t>
            </w:r>
            <w:r w:rsidRPr="00BA4BF9">
              <w:rPr>
                <w:lang w:val="en-ID" w:eastAsia="en-AU"/>
              </w:rPr>
              <w:t>SDG10</w:t>
            </w:r>
            <w:r>
              <w:rPr>
                <w:lang w:val="en-ID" w:eastAsia="en-AU"/>
              </w:rPr>
              <w:t xml:space="preserve">, </w:t>
            </w:r>
            <w:r w:rsidRPr="00BA4BF9">
              <w:rPr>
                <w:lang w:eastAsia="en-AU"/>
              </w:rPr>
              <w:t>SDG17</w:t>
            </w:r>
          </w:p>
        </w:tc>
      </w:tr>
      <w:tr w:rsidR="00C85EB6" w14:paraId="5EEA4892" w14:textId="77777777" w:rsidTr="00D210BD">
        <w:trPr>
          <w:cantSplit/>
          <w:trHeight w:val="561"/>
        </w:trPr>
        <w:tc>
          <w:tcPr>
            <w:tcW w:w="833" w:type="pct"/>
            <w:shd w:val="clear" w:color="auto" w:fill="D6E8D2"/>
          </w:tcPr>
          <w:p w14:paraId="0186B8D6" w14:textId="0F042843" w:rsidR="00C85EB6" w:rsidRDefault="00C85EB6" w:rsidP="00C85EB6">
            <w:pPr>
              <w:pStyle w:val="TableBodyCopy"/>
              <w:rPr>
                <w:b/>
                <w:bCs/>
                <w:lang w:val="en-ID" w:eastAsia="en-AU"/>
              </w:rPr>
            </w:pPr>
            <w:r>
              <w:rPr>
                <w:b/>
                <w:bCs/>
              </w:rPr>
              <w:lastRenderedPageBreak/>
              <w:t>Outcome 1.2</w:t>
            </w:r>
          </w:p>
        </w:tc>
        <w:tc>
          <w:tcPr>
            <w:tcW w:w="833" w:type="pct"/>
            <w:shd w:val="clear" w:color="auto" w:fill="D6E8D2"/>
          </w:tcPr>
          <w:p w14:paraId="286DAA68" w14:textId="4FD11C64" w:rsidR="00C85EB6" w:rsidRDefault="00C85EB6" w:rsidP="00C85EB6">
            <w:pPr>
              <w:pStyle w:val="TableBodyCopy"/>
              <w:rPr>
                <w:lang w:eastAsia="en-AU"/>
              </w:rPr>
            </w:pPr>
            <w:r>
              <w:t xml:space="preserve">1.2.2 </w:t>
            </w:r>
            <w:r w:rsidRPr="00686555">
              <w:t>Improved transport and energy infrastructure</w:t>
            </w:r>
          </w:p>
        </w:tc>
        <w:tc>
          <w:tcPr>
            <w:tcW w:w="833" w:type="pct"/>
            <w:shd w:val="clear" w:color="auto" w:fill="D6E8D2"/>
          </w:tcPr>
          <w:p w14:paraId="7932552D" w14:textId="45E72D3B" w:rsidR="00C85EB6" w:rsidRPr="00455271" w:rsidRDefault="00C85EB6" w:rsidP="00C85EB6">
            <w:pPr>
              <w:pStyle w:val="TableBodyCopy"/>
            </w:pPr>
            <w:r w:rsidRPr="00455271">
              <w:t>1</w:t>
            </w:r>
            <w:r w:rsidR="001F3990">
              <w:t>,</w:t>
            </w:r>
            <w:r w:rsidRPr="00455271">
              <w:t>800</w:t>
            </w:r>
            <w:r>
              <w:t> </w:t>
            </w:r>
            <w:r w:rsidRPr="00455271">
              <w:t xml:space="preserve">km of PNG’s priority roads </w:t>
            </w:r>
            <w:proofErr w:type="gramStart"/>
            <w:r w:rsidRPr="00455271">
              <w:t>maintained</w:t>
            </w:r>
            <w:proofErr w:type="gramEnd"/>
          </w:p>
          <w:p w14:paraId="5BA8CDCB" w14:textId="2CDFC3EE" w:rsidR="00C85EB6" w:rsidRPr="00455271" w:rsidRDefault="00C85EB6" w:rsidP="00C85EB6">
            <w:pPr>
              <w:pStyle w:val="TableBodyCopy"/>
            </w:pPr>
            <w:r w:rsidRPr="00455271">
              <w:t>5</w:t>
            </w:r>
            <w:r w:rsidR="00395DB5">
              <w:t>,</w:t>
            </w:r>
            <w:r w:rsidRPr="00455271">
              <w:t xml:space="preserve">000 additional households with improved </w:t>
            </w:r>
            <w:proofErr w:type="spellStart"/>
            <w:r w:rsidRPr="00455271">
              <w:t>access</w:t>
            </w:r>
            <w:hyperlink w:anchor="T3na" w:history="1">
              <w:r w:rsidRPr="00E90562">
                <w:rPr>
                  <w:rStyle w:val="Hyperlink"/>
                  <w:vertAlign w:val="superscript"/>
                </w:rPr>
                <w:t>a</w:t>
              </w:r>
              <w:proofErr w:type="spellEnd"/>
            </w:hyperlink>
            <w:r w:rsidRPr="00455271">
              <w:t xml:space="preserve"> to electricity</w:t>
            </w:r>
          </w:p>
          <w:p w14:paraId="75EBBF7B" w14:textId="1F6C5AC7" w:rsidR="00C85EB6" w:rsidRPr="00455271" w:rsidRDefault="00C85EB6" w:rsidP="00C85EB6">
            <w:pPr>
              <w:pStyle w:val="TableBodyCopy"/>
            </w:pPr>
            <w:r w:rsidRPr="00455271">
              <w:t xml:space="preserve">Temporary Lae market operational and construction begun on new Lae </w:t>
            </w:r>
            <w:r w:rsidRPr="00455271" w:rsidDel="00D608F3">
              <w:t>Market</w:t>
            </w:r>
          </w:p>
          <w:p w14:paraId="42D8E57C" w14:textId="5FFFFAAF" w:rsidR="00C85EB6" w:rsidRPr="00455271" w:rsidRDefault="00C85EB6" w:rsidP="00C85EB6">
            <w:pPr>
              <w:pStyle w:val="TableBodyCopy"/>
            </w:pPr>
            <w:r w:rsidRPr="00455271">
              <w:t xml:space="preserve">Construction of six ports </w:t>
            </w:r>
            <w:proofErr w:type="gramStart"/>
            <w:r w:rsidRPr="00455271">
              <w:t>commenced</w:t>
            </w:r>
            <w:proofErr w:type="gramEnd"/>
          </w:p>
          <w:p w14:paraId="122F2842" w14:textId="284332F2" w:rsidR="00C85EB6" w:rsidRDefault="00C85EB6" w:rsidP="00C85EB6">
            <w:pPr>
              <w:pStyle w:val="TableBodyCopy"/>
              <w:rPr>
                <w:lang w:eastAsia="en-AU"/>
              </w:rPr>
            </w:pPr>
            <w:r w:rsidRPr="00455271">
              <w:t>Delivery of five pilot boats to support port operations</w:t>
            </w:r>
          </w:p>
        </w:tc>
        <w:tc>
          <w:tcPr>
            <w:tcW w:w="833" w:type="pct"/>
            <w:shd w:val="clear" w:color="auto" w:fill="D6E8D2"/>
          </w:tcPr>
          <w:p w14:paraId="222FBB0C" w14:textId="72BA4927" w:rsidR="00C85EB6" w:rsidRPr="00455271" w:rsidRDefault="00C85EB6" w:rsidP="00C85EB6">
            <w:pPr>
              <w:pStyle w:val="TableBodyCopy"/>
            </w:pPr>
            <w:r w:rsidRPr="00455271">
              <w:t>1</w:t>
            </w:r>
            <w:r w:rsidR="001F3990">
              <w:t>,</w:t>
            </w:r>
            <w:r w:rsidRPr="00455271">
              <w:t>800</w:t>
            </w:r>
            <w:r>
              <w:t> </w:t>
            </w:r>
            <w:r w:rsidRPr="00455271">
              <w:t xml:space="preserve">km of PNG’s priority roads </w:t>
            </w:r>
            <w:proofErr w:type="gramStart"/>
            <w:r w:rsidRPr="00455271">
              <w:t>maintained</w:t>
            </w:r>
            <w:proofErr w:type="gramEnd"/>
          </w:p>
          <w:p w14:paraId="334091F9" w14:textId="3717363E" w:rsidR="00C85EB6" w:rsidRPr="00455271" w:rsidRDefault="00C85EB6" w:rsidP="00C85EB6">
            <w:pPr>
              <w:pStyle w:val="TableBodyCopy"/>
            </w:pPr>
            <w:r w:rsidRPr="00455271">
              <w:t>5</w:t>
            </w:r>
            <w:r w:rsidR="00395DB5">
              <w:t>,</w:t>
            </w:r>
            <w:r w:rsidRPr="00455271">
              <w:t>000 additional households with improved access to electricity</w:t>
            </w:r>
          </w:p>
          <w:p w14:paraId="01D723A1" w14:textId="4AE63D2E" w:rsidR="00C85EB6" w:rsidRPr="00455271" w:rsidRDefault="00C85EB6" w:rsidP="00C85EB6">
            <w:pPr>
              <w:pStyle w:val="TableBodyCopy"/>
            </w:pPr>
            <w:r w:rsidRPr="00455271">
              <w:t xml:space="preserve">Construction of Lae </w:t>
            </w:r>
            <w:r>
              <w:t>Market</w:t>
            </w:r>
            <w:r w:rsidRPr="00455271">
              <w:t xml:space="preserve"> on track</w:t>
            </w:r>
          </w:p>
          <w:p w14:paraId="36282E1A" w14:textId="7C43CC2A" w:rsidR="00C85EB6" w:rsidRDefault="00C85EB6" w:rsidP="00C85EB6">
            <w:pPr>
              <w:pStyle w:val="TableBodyCopy"/>
              <w:rPr>
                <w:rFonts w:cstheme="majorBidi"/>
                <w:lang w:eastAsia="en-AU"/>
              </w:rPr>
            </w:pPr>
            <w:r w:rsidRPr="00455271">
              <w:t>Construction of six ports on track</w:t>
            </w:r>
          </w:p>
        </w:tc>
        <w:tc>
          <w:tcPr>
            <w:tcW w:w="833" w:type="pct"/>
            <w:shd w:val="clear" w:color="auto" w:fill="D6E8D2"/>
          </w:tcPr>
          <w:p w14:paraId="36A1C142" w14:textId="377A3310" w:rsidR="00C85EB6" w:rsidRPr="00455271" w:rsidRDefault="00C85EB6" w:rsidP="00C85EB6">
            <w:pPr>
              <w:pStyle w:val="TableBodyCopy"/>
            </w:pPr>
            <w:r w:rsidRPr="00455271">
              <w:t>1</w:t>
            </w:r>
            <w:r w:rsidR="001F3990">
              <w:t>,</w:t>
            </w:r>
            <w:r w:rsidRPr="00455271">
              <w:t>800</w:t>
            </w:r>
            <w:r>
              <w:t> </w:t>
            </w:r>
            <w:r w:rsidRPr="00455271">
              <w:t xml:space="preserve">km of PNG’s priority roads </w:t>
            </w:r>
            <w:proofErr w:type="gramStart"/>
            <w:r w:rsidRPr="00455271">
              <w:t>maintained</w:t>
            </w:r>
            <w:proofErr w:type="gramEnd"/>
          </w:p>
          <w:p w14:paraId="1FE0CDC9" w14:textId="37DCF3F5" w:rsidR="00C85EB6" w:rsidRPr="00455271" w:rsidRDefault="00C85EB6" w:rsidP="00C85EB6">
            <w:pPr>
              <w:pStyle w:val="TableBodyCopy"/>
            </w:pPr>
            <w:r w:rsidRPr="00455271">
              <w:t>5</w:t>
            </w:r>
            <w:r w:rsidR="00395DB5">
              <w:t>,</w:t>
            </w:r>
            <w:r w:rsidRPr="00455271">
              <w:t>000 additional households with improved access to electricity</w:t>
            </w:r>
          </w:p>
          <w:p w14:paraId="472713A3" w14:textId="17369F43" w:rsidR="00C85EB6" w:rsidRPr="00455271" w:rsidRDefault="00C85EB6" w:rsidP="00C85EB6">
            <w:pPr>
              <w:pStyle w:val="TableBodyCopy"/>
            </w:pPr>
            <w:r w:rsidRPr="00455271">
              <w:t xml:space="preserve">Lae </w:t>
            </w:r>
            <w:r w:rsidRPr="00455271" w:rsidDel="00D608F3">
              <w:t xml:space="preserve">Market </w:t>
            </w:r>
            <w:r w:rsidRPr="00455271">
              <w:t xml:space="preserve">completed and </w:t>
            </w:r>
            <w:proofErr w:type="gramStart"/>
            <w:r w:rsidRPr="00455271">
              <w:t>opened</w:t>
            </w:r>
            <w:proofErr w:type="gramEnd"/>
          </w:p>
          <w:p w14:paraId="3E7D6D88" w14:textId="442419E8" w:rsidR="00C85EB6" w:rsidRDefault="00C85EB6" w:rsidP="00C85EB6">
            <w:pPr>
              <w:pStyle w:val="TableBodyCopy"/>
              <w:rPr>
                <w:rFonts w:cstheme="majorBidi"/>
                <w:lang w:eastAsia="en-AU"/>
              </w:rPr>
            </w:pPr>
            <w:r w:rsidRPr="00455271">
              <w:t xml:space="preserve">Construction of four ports completed: construction of two ports on track </w:t>
            </w:r>
          </w:p>
        </w:tc>
        <w:tc>
          <w:tcPr>
            <w:tcW w:w="833" w:type="pct"/>
            <w:shd w:val="clear" w:color="auto" w:fill="D6E8D2"/>
          </w:tcPr>
          <w:p w14:paraId="6CDFC089" w14:textId="7926B123" w:rsidR="00C85EB6" w:rsidRDefault="00C85EB6" w:rsidP="00C85EB6">
            <w:pPr>
              <w:pStyle w:val="TableBodyCopy"/>
              <w:rPr>
                <w:rStyle w:val="CommentReference"/>
                <w:rFonts w:asciiTheme="majorHAnsi" w:hAnsiTheme="majorHAnsi" w:cs="Times New Roman"/>
              </w:rPr>
            </w:pPr>
            <w:r w:rsidRPr="00BA4BF9">
              <w:rPr>
                <w:lang w:eastAsia="en-AU"/>
              </w:rPr>
              <w:t>SDG1</w:t>
            </w:r>
            <w:r>
              <w:rPr>
                <w:lang w:eastAsia="en-AU"/>
              </w:rPr>
              <w:t xml:space="preserve">, </w:t>
            </w:r>
            <w:r w:rsidRPr="00BA4BF9">
              <w:rPr>
                <w:lang w:val="en-US" w:eastAsia="en-AU"/>
              </w:rPr>
              <w:t>SDG8</w:t>
            </w:r>
            <w:r>
              <w:rPr>
                <w:lang w:val="en-US" w:eastAsia="en-AU"/>
              </w:rPr>
              <w:t xml:space="preserve">, </w:t>
            </w:r>
            <w:r w:rsidRPr="00BA4BF9">
              <w:rPr>
                <w:lang w:val="en-ID" w:eastAsia="en-AU"/>
              </w:rPr>
              <w:t>SDG9</w:t>
            </w:r>
            <w:r>
              <w:rPr>
                <w:lang w:val="en-ID" w:eastAsia="en-AU"/>
              </w:rPr>
              <w:t xml:space="preserve">, </w:t>
            </w:r>
            <w:r w:rsidRPr="00BA4BF9">
              <w:rPr>
                <w:lang w:val="en-ID" w:eastAsia="en-AU"/>
              </w:rPr>
              <w:t>SDG10</w:t>
            </w:r>
            <w:r>
              <w:rPr>
                <w:lang w:val="en-ID" w:eastAsia="en-AU"/>
              </w:rPr>
              <w:t xml:space="preserve">, </w:t>
            </w:r>
            <w:r w:rsidRPr="00BA4BF9">
              <w:rPr>
                <w:lang w:eastAsia="en-AU"/>
              </w:rPr>
              <w:t>SDG17</w:t>
            </w:r>
          </w:p>
        </w:tc>
      </w:tr>
      <w:tr w:rsidR="00B87138" w14:paraId="490FF5AA" w14:textId="77777777" w:rsidTr="00D210BD">
        <w:trPr>
          <w:cantSplit/>
          <w:trHeight w:val="561"/>
        </w:trPr>
        <w:tc>
          <w:tcPr>
            <w:tcW w:w="833" w:type="pct"/>
            <w:shd w:val="clear" w:color="auto" w:fill="D6E8D2"/>
          </w:tcPr>
          <w:p w14:paraId="75BBA11F" w14:textId="5C9B556D" w:rsidR="00B87138" w:rsidRDefault="00B87138" w:rsidP="00B87138">
            <w:pPr>
              <w:pStyle w:val="TableBodyCopy"/>
              <w:rPr>
                <w:b/>
                <w:bCs/>
                <w:lang w:val="en-ID" w:eastAsia="en-AU"/>
              </w:rPr>
            </w:pPr>
            <w:r>
              <w:rPr>
                <w:b/>
                <w:bCs/>
              </w:rPr>
              <w:t>Outcome 1.2</w:t>
            </w:r>
          </w:p>
        </w:tc>
        <w:tc>
          <w:tcPr>
            <w:tcW w:w="833" w:type="pct"/>
            <w:shd w:val="clear" w:color="auto" w:fill="D6E8D2"/>
          </w:tcPr>
          <w:p w14:paraId="3A212191" w14:textId="4B977DF1" w:rsidR="00B87138" w:rsidRDefault="00B87138" w:rsidP="00B87138">
            <w:pPr>
              <w:pStyle w:val="TableBodyCopy"/>
              <w:rPr>
                <w:lang w:eastAsia="en-AU"/>
              </w:rPr>
            </w:pPr>
            <w:r>
              <w:t xml:space="preserve">1.2.3 </w:t>
            </w:r>
            <w:r w:rsidRPr="00981520">
              <w:t>Improved policies and regulations in the infrastructure sector</w:t>
            </w:r>
          </w:p>
        </w:tc>
        <w:tc>
          <w:tcPr>
            <w:tcW w:w="833" w:type="pct"/>
            <w:shd w:val="clear" w:color="auto" w:fill="D6E8D2"/>
          </w:tcPr>
          <w:p w14:paraId="3407AEC5" w14:textId="2D97B0D3" w:rsidR="00AE077B" w:rsidRPr="00AE077B" w:rsidRDefault="00AE077B" w:rsidP="00AE077B">
            <w:pPr>
              <w:pStyle w:val="TableBodyCopy"/>
              <w:rPr>
                <w:lang w:eastAsia="en-AU"/>
              </w:rPr>
            </w:pPr>
            <w:r w:rsidRPr="00AE077B">
              <w:rPr>
                <w:lang w:eastAsia="en-AU"/>
              </w:rPr>
              <w:t>Supporting progress towards tariff reform in the power sector</w:t>
            </w:r>
          </w:p>
          <w:p w14:paraId="1C5A79F9" w14:textId="7D393F7D" w:rsidR="00AE077B" w:rsidRPr="00AE077B" w:rsidRDefault="00AE077B" w:rsidP="00AE077B">
            <w:pPr>
              <w:pStyle w:val="TableBodyCopy"/>
              <w:rPr>
                <w:lang w:eastAsia="en-AU"/>
              </w:rPr>
            </w:pPr>
            <w:r w:rsidRPr="00AE077B">
              <w:rPr>
                <w:lang w:eastAsia="en-AU"/>
              </w:rPr>
              <w:t>Supporting work on the 15-year infrastructure master plan in partnership with the ADB</w:t>
            </w:r>
          </w:p>
          <w:p w14:paraId="24118288" w14:textId="5605F749" w:rsidR="00B87138" w:rsidRDefault="00AE077B" w:rsidP="00AE077B">
            <w:pPr>
              <w:pStyle w:val="TableBodyCopy"/>
              <w:rPr>
                <w:lang w:eastAsia="en-AU"/>
              </w:rPr>
            </w:pPr>
            <w:r w:rsidRPr="00AE077B">
              <w:rPr>
                <w:lang w:eastAsia="en-AU"/>
              </w:rPr>
              <w:t xml:space="preserve">Supporting </w:t>
            </w:r>
            <w:proofErr w:type="spellStart"/>
            <w:r w:rsidRPr="00AE077B">
              <w:rPr>
                <w:lang w:eastAsia="en-AU"/>
              </w:rPr>
              <w:t>GoPNG</w:t>
            </w:r>
            <w:proofErr w:type="spellEnd"/>
            <w:r w:rsidRPr="00AE077B">
              <w:rPr>
                <w:lang w:eastAsia="en-AU"/>
              </w:rPr>
              <w:t xml:space="preserve"> to make progress towards implementation of wholesale competition reform in telecommunications</w:t>
            </w:r>
          </w:p>
        </w:tc>
        <w:tc>
          <w:tcPr>
            <w:tcW w:w="833" w:type="pct"/>
            <w:shd w:val="clear" w:color="auto" w:fill="D6E8D2"/>
          </w:tcPr>
          <w:p w14:paraId="2CF2AB03" w14:textId="77777777" w:rsidR="00DD6472" w:rsidRPr="00AE077B" w:rsidRDefault="00DD6472" w:rsidP="00DD6472">
            <w:pPr>
              <w:pStyle w:val="TableBodyCopy"/>
              <w:rPr>
                <w:lang w:eastAsia="en-AU"/>
              </w:rPr>
            </w:pPr>
            <w:r w:rsidRPr="00AE077B">
              <w:rPr>
                <w:lang w:eastAsia="en-AU"/>
              </w:rPr>
              <w:t>Supporting progress towards tariff reform in the power sector</w:t>
            </w:r>
          </w:p>
          <w:p w14:paraId="749765B5" w14:textId="77777777" w:rsidR="00DD6472" w:rsidRPr="00AE077B" w:rsidRDefault="00DD6472" w:rsidP="00DD6472">
            <w:pPr>
              <w:pStyle w:val="TableBodyCopy"/>
              <w:rPr>
                <w:lang w:eastAsia="en-AU"/>
              </w:rPr>
            </w:pPr>
            <w:r w:rsidRPr="00AE077B">
              <w:rPr>
                <w:lang w:eastAsia="en-AU"/>
              </w:rPr>
              <w:t>Supporting work on the 15-year infrastructure master plan in partnership with the ADB</w:t>
            </w:r>
          </w:p>
          <w:p w14:paraId="4EC9607D" w14:textId="6F25C5DD" w:rsidR="00B87138" w:rsidRDefault="00DD6472" w:rsidP="00DD6472">
            <w:pPr>
              <w:pStyle w:val="TableBodyCopy"/>
              <w:rPr>
                <w:rFonts w:cstheme="majorBidi"/>
                <w:lang w:eastAsia="en-AU"/>
              </w:rPr>
            </w:pPr>
            <w:r w:rsidRPr="00AE077B">
              <w:rPr>
                <w:lang w:eastAsia="en-AU"/>
              </w:rPr>
              <w:t xml:space="preserve">Supporting </w:t>
            </w:r>
            <w:proofErr w:type="spellStart"/>
            <w:r w:rsidRPr="00AE077B">
              <w:rPr>
                <w:lang w:eastAsia="en-AU"/>
              </w:rPr>
              <w:t>GoPNG</w:t>
            </w:r>
            <w:proofErr w:type="spellEnd"/>
            <w:r w:rsidRPr="00AE077B">
              <w:rPr>
                <w:lang w:eastAsia="en-AU"/>
              </w:rPr>
              <w:t xml:space="preserve"> to make progress towards implementation of wholesale competition reform in telecommunications</w:t>
            </w:r>
          </w:p>
        </w:tc>
        <w:tc>
          <w:tcPr>
            <w:tcW w:w="833" w:type="pct"/>
            <w:shd w:val="clear" w:color="auto" w:fill="D6E8D2"/>
          </w:tcPr>
          <w:p w14:paraId="732C8CFA" w14:textId="77777777" w:rsidR="00DD6472" w:rsidRPr="00AE077B" w:rsidRDefault="00DD6472" w:rsidP="00DD6472">
            <w:pPr>
              <w:pStyle w:val="TableBodyCopy"/>
              <w:rPr>
                <w:lang w:eastAsia="en-AU"/>
              </w:rPr>
            </w:pPr>
            <w:r w:rsidRPr="00AE077B">
              <w:rPr>
                <w:lang w:eastAsia="en-AU"/>
              </w:rPr>
              <w:t>Supporting progress towards tariff reform in the power sector</w:t>
            </w:r>
          </w:p>
          <w:p w14:paraId="0F29575F" w14:textId="77777777" w:rsidR="00DD6472" w:rsidRPr="00AE077B" w:rsidRDefault="00DD6472" w:rsidP="00DD6472">
            <w:pPr>
              <w:pStyle w:val="TableBodyCopy"/>
              <w:rPr>
                <w:lang w:eastAsia="en-AU"/>
              </w:rPr>
            </w:pPr>
            <w:r w:rsidRPr="00AE077B">
              <w:rPr>
                <w:lang w:eastAsia="en-AU"/>
              </w:rPr>
              <w:t>Supporting work on the 15-year infrastructure master plan in partnership with the ADB</w:t>
            </w:r>
          </w:p>
          <w:p w14:paraId="1E878762" w14:textId="4009976D" w:rsidR="00B87138" w:rsidRDefault="00DD6472" w:rsidP="00DD6472">
            <w:pPr>
              <w:pStyle w:val="TableBodyCopy"/>
              <w:rPr>
                <w:rFonts w:cstheme="majorBidi"/>
                <w:lang w:eastAsia="en-AU"/>
              </w:rPr>
            </w:pPr>
            <w:r w:rsidRPr="00AE077B">
              <w:rPr>
                <w:lang w:eastAsia="en-AU"/>
              </w:rPr>
              <w:t xml:space="preserve">Supporting </w:t>
            </w:r>
            <w:proofErr w:type="spellStart"/>
            <w:r w:rsidRPr="00AE077B">
              <w:rPr>
                <w:lang w:eastAsia="en-AU"/>
              </w:rPr>
              <w:t>GoPNG</w:t>
            </w:r>
            <w:proofErr w:type="spellEnd"/>
            <w:r w:rsidRPr="00AE077B">
              <w:rPr>
                <w:lang w:eastAsia="en-AU"/>
              </w:rPr>
              <w:t xml:space="preserve"> to make progress towards implementation of wholesale competition reform in telecommunications</w:t>
            </w:r>
          </w:p>
        </w:tc>
        <w:tc>
          <w:tcPr>
            <w:tcW w:w="833" w:type="pct"/>
            <w:shd w:val="clear" w:color="auto" w:fill="D6E8D2"/>
          </w:tcPr>
          <w:p w14:paraId="50618AA0" w14:textId="760F3000" w:rsidR="00B87138" w:rsidRDefault="00B87138" w:rsidP="00B87138">
            <w:pPr>
              <w:pStyle w:val="TableBodyCopy"/>
              <w:rPr>
                <w:rStyle w:val="CommentReference"/>
                <w:rFonts w:asciiTheme="majorHAnsi" w:hAnsiTheme="majorHAnsi" w:cs="Times New Roman"/>
              </w:rPr>
            </w:pPr>
            <w:r w:rsidRPr="00BA4BF9">
              <w:rPr>
                <w:lang w:eastAsia="en-AU"/>
              </w:rPr>
              <w:t>SDG1</w:t>
            </w:r>
            <w:r>
              <w:rPr>
                <w:lang w:eastAsia="en-AU"/>
              </w:rPr>
              <w:t xml:space="preserve">, </w:t>
            </w:r>
            <w:r w:rsidRPr="00BA4BF9">
              <w:rPr>
                <w:lang w:val="en-US" w:eastAsia="en-AU"/>
              </w:rPr>
              <w:t>SDG8</w:t>
            </w:r>
            <w:r>
              <w:rPr>
                <w:lang w:val="en-US" w:eastAsia="en-AU"/>
              </w:rPr>
              <w:t xml:space="preserve">, </w:t>
            </w:r>
            <w:r w:rsidRPr="00BA4BF9">
              <w:rPr>
                <w:lang w:val="en-ID" w:eastAsia="en-AU"/>
              </w:rPr>
              <w:t>SDG9</w:t>
            </w:r>
            <w:r>
              <w:rPr>
                <w:lang w:val="en-ID" w:eastAsia="en-AU"/>
              </w:rPr>
              <w:t xml:space="preserve">, </w:t>
            </w:r>
            <w:r w:rsidRPr="00BA4BF9">
              <w:rPr>
                <w:lang w:val="en-ID" w:eastAsia="en-AU"/>
              </w:rPr>
              <w:t>SDG10</w:t>
            </w:r>
            <w:r>
              <w:rPr>
                <w:lang w:val="en-ID" w:eastAsia="en-AU"/>
              </w:rPr>
              <w:t xml:space="preserve">, </w:t>
            </w:r>
            <w:r w:rsidRPr="00BA4BF9">
              <w:rPr>
                <w:lang w:eastAsia="en-AU"/>
              </w:rPr>
              <w:t>SDG17</w:t>
            </w:r>
          </w:p>
        </w:tc>
      </w:tr>
      <w:tr w:rsidR="00B87138" w14:paraId="47FE8A11" w14:textId="77777777" w:rsidTr="00D210BD">
        <w:trPr>
          <w:cantSplit/>
          <w:trHeight w:val="561"/>
        </w:trPr>
        <w:tc>
          <w:tcPr>
            <w:tcW w:w="833" w:type="pct"/>
            <w:shd w:val="clear" w:color="auto" w:fill="D6E8D2"/>
          </w:tcPr>
          <w:p w14:paraId="0D78DDB3" w14:textId="77777777" w:rsidR="00B87138" w:rsidRDefault="00B87138" w:rsidP="00B87138">
            <w:pPr>
              <w:pStyle w:val="TableBodyCopy"/>
              <w:ind w:right="-251"/>
            </w:pPr>
            <w:r>
              <w:rPr>
                <w:b/>
                <w:bCs/>
              </w:rPr>
              <w:lastRenderedPageBreak/>
              <w:t>Outcome 1.3</w:t>
            </w:r>
          </w:p>
          <w:p w14:paraId="70DDD01A" w14:textId="4DB234AD" w:rsidR="00B87138" w:rsidRPr="00F32D49" w:rsidRDefault="00B87138" w:rsidP="00E90562">
            <w:pPr>
              <w:pStyle w:val="TableBodyCopy"/>
              <w:ind w:right="-103"/>
            </w:pPr>
            <w:r w:rsidRPr="00E90562">
              <w:rPr>
                <w:rFonts w:cstheme="minorHAnsi"/>
              </w:rPr>
              <w:t xml:space="preserve">Shared and equitable benefits of growth: Increasing and diversifying trade, agriculture and supply chains to expand livelihood </w:t>
            </w:r>
            <w:proofErr w:type="gramStart"/>
            <w:r w:rsidRPr="00E90562">
              <w:rPr>
                <w:rFonts w:cstheme="minorHAnsi"/>
              </w:rPr>
              <w:t>opportunities</w:t>
            </w:r>
            <w:proofErr w:type="gramEnd"/>
            <w:r w:rsidRPr="00E90562">
              <w:rPr>
                <w:rFonts w:cstheme="minorHAnsi"/>
              </w:rPr>
              <w:t xml:space="preserve"> </w:t>
            </w:r>
          </w:p>
          <w:p w14:paraId="2077AE2F" w14:textId="2B591A58" w:rsidR="00B87138" w:rsidRDefault="00B87138" w:rsidP="00B87138">
            <w:pPr>
              <w:pStyle w:val="TableBodyCopy"/>
              <w:rPr>
                <w:b/>
                <w:bCs/>
                <w:lang w:val="en-ID" w:eastAsia="en-AU"/>
              </w:rPr>
            </w:pPr>
          </w:p>
        </w:tc>
        <w:tc>
          <w:tcPr>
            <w:tcW w:w="833" w:type="pct"/>
            <w:shd w:val="clear" w:color="auto" w:fill="D6E8D2"/>
          </w:tcPr>
          <w:p w14:paraId="2A61FF57" w14:textId="5FB4D944" w:rsidR="00B87138" w:rsidRDefault="00B87138" w:rsidP="00B87138">
            <w:pPr>
              <w:pStyle w:val="TableBodyCopy"/>
              <w:rPr>
                <w:lang w:eastAsia="en-AU"/>
              </w:rPr>
            </w:pPr>
            <w:r>
              <w:t xml:space="preserve">1.3.1 </w:t>
            </w:r>
            <w:r w:rsidR="00780C42" w:rsidRPr="00780C42">
              <w:rPr>
                <w:lang w:val="en-ID"/>
              </w:rPr>
              <w:t>Market actors in key economic sectors supported to expand market access and/or improve supply chain resilience</w:t>
            </w:r>
          </w:p>
        </w:tc>
        <w:tc>
          <w:tcPr>
            <w:tcW w:w="833" w:type="pct"/>
            <w:shd w:val="clear" w:color="auto" w:fill="D6E8D2"/>
          </w:tcPr>
          <w:p w14:paraId="6E446467" w14:textId="77777777" w:rsidR="00514319" w:rsidRPr="00455271" w:rsidRDefault="00514319" w:rsidP="00514319">
            <w:pPr>
              <w:pStyle w:val="TableBodyCopy"/>
            </w:pPr>
            <w:r w:rsidRPr="00455271">
              <w:t xml:space="preserve">Joint feasibility study to explore options for new trade arrangements </w:t>
            </w:r>
            <w:proofErr w:type="gramStart"/>
            <w:r w:rsidRPr="00455271">
              <w:t>undertaken</w:t>
            </w:r>
            <w:proofErr w:type="gramEnd"/>
          </w:p>
          <w:p w14:paraId="50CCA460" w14:textId="77777777" w:rsidR="00514319" w:rsidRPr="00455271" w:rsidRDefault="00514319" w:rsidP="00514319">
            <w:pPr>
              <w:pStyle w:val="TableBodyCopy"/>
            </w:pPr>
            <w:r w:rsidRPr="00455271">
              <w:t xml:space="preserve">Grants provided to farmer cooperatives to increase cocoa production in </w:t>
            </w:r>
            <w:proofErr w:type="gramStart"/>
            <w:r w:rsidRPr="00455271">
              <w:t>Bougainville</w:t>
            </w:r>
            <w:proofErr w:type="gramEnd"/>
          </w:p>
          <w:p w14:paraId="0C8D8446" w14:textId="585DD82D" w:rsidR="00B87138" w:rsidRDefault="00514319" w:rsidP="00514319">
            <w:pPr>
              <w:pStyle w:val="TableBodyCopy"/>
              <w:rPr>
                <w:lang w:eastAsia="en-AU"/>
              </w:rPr>
            </w:pPr>
            <w:r w:rsidRPr="00455271">
              <w:t>The Australia</w:t>
            </w:r>
            <w:r>
              <w:t>–</w:t>
            </w:r>
            <w:r w:rsidRPr="00455271">
              <w:t>PNG Economic Partnership’s Revolving Fund supports 10</w:t>
            </w:r>
            <w:r>
              <w:t> small to medium-sized enterprises</w:t>
            </w:r>
            <w:r w:rsidRPr="00455271">
              <w:t xml:space="preserve"> to access affordable credit to allow for export of high volumes of agricultural commodities</w:t>
            </w:r>
          </w:p>
        </w:tc>
        <w:tc>
          <w:tcPr>
            <w:tcW w:w="833" w:type="pct"/>
            <w:shd w:val="clear" w:color="auto" w:fill="D6E8D2"/>
          </w:tcPr>
          <w:p w14:paraId="11D4B009" w14:textId="77777777" w:rsidR="00473341" w:rsidRPr="00455271" w:rsidRDefault="00473341" w:rsidP="00473341">
            <w:pPr>
              <w:pStyle w:val="TableBodyCopy"/>
            </w:pPr>
            <w:r w:rsidRPr="00455271">
              <w:t xml:space="preserve">Outcomes of joint feasibility study commence </w:t>
            </w:r>
            <w:proofErr w:type="gramStart"/>
            <w:r w:rsidRPr="00455271">
              <w:t>implementation</w:t>
            </w:r>
            <w:proofErr w:type="gramEnd"/>
          </w:p>
          <w:p w14:paraId="2C1838D7" w14:textId="5D81895C" w:rsidR="00B87138" w:rsidRDefault="00473341" w:rsidP="00473341">
            <w:pPr>
              <w:pStyle w:val="TableBodyCopy"/>
              <w:rPr>
                <w:rFonts w:cstheme="majorBidi"/>
                <w:lang w:eastAsia="en-AU"/>
              </w:rPr>
            </w:pPr>
            <w:r w:rsidRPr="00455271">
              <w:t>PNG biosecurity officers have improved capability to detect prawn diseases to inform available export opportunities</w:t>
            </w:r>
            <w:r>
              <w:t xml:space="preserve"> </w:t>
            </w:r>
          </w:p>
        </w:tc>
        <w:tc>
          <w:tcPr>
            <w:tcW w:w="833" w:type="pct"/>
            <w:shd w:val="clear" w:color="auto" w:fill="D6E8D2"/>
          </w:tcPr>
          <w:p w14:paraId="3849478E" w14:textId="7563C6AD" w:rsidR="00B87138" w:rsidRDefault="00473341" w:rsidP="00B87138">
            <w:pPr>
              <w:pStyle w:val="TableBodyCopy"/>
              <w:rPr>
                <w:rFonts w:cstheme="majorBidi"/>
                <w:lang w:eastAsia="en-AU"/>
              </w:rPr>
            </w:pPr>
            <w:r w:rsidRPr="00455271">
              <w:t>Outcomes of joint feasibility study implementation on track</w:t>
            </w:r>
            <w:r>
              <w:t xml:space="preserve"> </w:t>
            </w:r>
          </w:p>
        </w:tc>
        <w:tc>
          <w:tcPr>
            <w:tcW w:w="833" w:type="pct"/>
            <w:shd w:val="clear" w:color="auto" w:fill="D6E8D2"/>
          </w:tcPr>
          <w:p w14:paraId="6E4AD5F2" w14:textId="6F707BFF" w:rsidR="00B87138" w:rsidRDefault="00B87138" w:rsidP="00B87138">
            <w:pPr>
              <w:pStyle w:val="TableBodyCopy"/>
              <w:rPr>
                <w:rStyle w:val="CommentReference"/>
                <w:rFonts w:asciiTheme="majorHAnsi" w:hAnsiTheme="majorHAnsi" w:cs="Times New Roman"/>
              </w:rPr>
            </w:pPr>
            <w:r w:rsidRPr="00BA4BF9">
              <w:rPr>
                <w:lang w:eastAsia="en-AU"/>
              </w:rPr>
              <w:t>SDG1</w:t>
            </w:r>
            <w:r>
              <w:rPr>
                <w:lang w:eastAsia="en-AU"/>
              </w:rPr>
              <w:t xml:space="preserve">, </w:t>
            </w:r>
            <w:r w:rsidRPr="00BA4BF9">
              <w:rPr>
                <w:lang w:val="en-US" w:eastAsia="en-AU"/>
              </w:rPr>
              <w:t>SDG8</w:t>
            </w:r>
            <w:r>
              <w:rPr>
                <w:lang w:val="en-US" w:eastAsia="en-AU"/>
              </w:rPr>
              <w:t xml:space="preserve">, </w:t>
            </w:r>
            <w:r w:rsidRPr="00BA4BF9">
              <w:rPr>
                <w:lang w:val="en-ID" w:eastAsia="en-AU"/>
              </w:rPr>
              <w:t>SDG9</w:t>
            </w:r>
            <w:r>
              <w:rPr>
                <w:lang w:val="en-ID" w:eastAsia="en-AU"/>
              </w:rPr>
              <w:t xml:space="preserve">, </w:t>
            </w:r>
            <w:r w:rsidRPr="00BA4BF9">
              <w:rPr>
                <w:lang w:val="en-ID" w:eastAsia="en-AU"/>
              </w:rPr>
              <w:t>SDG10</w:t>
            </w:r>
            <w:r>
              <w:rPr>
                <w:lang w:val="en-ID" w:eastAsia="en-AU"/>
              </w:rPr>
              <w:t xml:space="preserve">, </w:t>
            </w:r>
            <w:r w:rsidRPr="00BA4BF9">
              <w:rPr>
                <w:lang w:eastAsia="en-AU"/>
              </w:rPr>
              <w:t>SDG17</w:t>
            </w:r>
          </w:p>
        </w:tc>
      </w:tr>
    </w:tbl>
    <w:p w14:paraId="6637F650" w14:textId="77777777" w:rsidR="006E2F53" w:rsidRDefault="006E2F53" w:rsidP="002169EF">
      <w:pPr>
        <w:widowControl w:val="0"/>
        <w:spacing w:before="120" w:after="120" w:line="240" w:lineRule="auto"/>
        <w:rPr>
          <w:i/>
          <w:iCs/>
          <w:lang w:eastAsia="en-AU"/>
        </w:rPr>
        <w:sectPr w:rsidR="006E2F53" w:rsidSect="00E90562">
          <w:headerReference w:type="default" r:id="rId16"/>
          <w:footerReference w:type="default" r:id="rId17"/>
          <w:headerReference w:type="first" r:id="rId18"/>
          <w:footerReference w:type="first" r:id="rId19"/>
          <w:endnotePr>
            <w:numFmt w:val="decimal"/>
          </w:endnotePr>
          <w:pgSz w:w="16838" w:h="11906" w:orient="landscape" w:code="9"/>
          <w:pgMar w:top="1134" w:right="1276" w:bottom="851" w:left="992" w:header="340" w:footer="414" w:gutter="0"/>
          <w:cols w:space="708"/>
          <w:docGrid w:linePitch="360"/>
        </w:sectPr>
      </w:pPr>
    </w:p>
    <w:p w14:paraId="78E672D9" w14:textId="39208769" w:rsidR="008F5854" w:rsidRPr="00BD22E2" w:rsidRDefault="008F5854" w:rsidP="00EA0805">
      <w:pPr>
        <w:ind w:left="-426"/>
        <w:sectPr w:rsidR="008F5854" w:rsidRPr="00BD22E2" w:rsidSect="00366D6D">
          <w:endnotePr>
            <w:numFmt w:val="decimal"/>
          </w:endnotePr>
          <w:type w:val="continuous"/>
          <w:pgSz w:w="16838" w:h="11906" w:orient="landscape" w:code="9"/>
          <w:pgMar w:top="1134" w:right="1276" w:bottom="851" w:left="993" w:header="340" w:footer="414" w:gutter="0"/>
          <w:cols w:space="708"/>
          <w:titlePg/>
          <w:docGrid w:linePitch="360"/>
        </w:sectPr>
      </w:pPr>
      <w:bookmarkStart w:id="5" w:name="_Hlk130205496"/>
    </w:p>
    <w:bookmarkEnd w:id="5"/>
    <w:p w14:paraId="57A312B5" w14:textId="23C8E3CB" w:rsidR="009A37A5" w:rsidRPr="009267B7" w:rsidRDefault="009A37A5" w:rsidP="009267B7">
      <w:pPr>
        <w:rPr>
          <w:b/>
          <w:i/>
          <w:lang w:eastAsia="en-AU"/>
        </w:rPr>
      </w:pPr>
      <w:r w:rsidRPr="009267B7">
        <w:rPr>
          <w:b/>
        </w:rPr>
        <w:lastRenderedPageBreak/>
        <w:t xml:space="preserve">Objective </w:t>
      </w:r>
      <w:r w:rsidR="006564C7" w:rsidRPr="009267B7">
        <w:rPr>
          <w:b/>
        </w:rPr>
        <w:t>2</w:t>
      </w:r>
      <w:r w:rsidRPr="009267B7">
        <w:rPr>
          <w:b/>
        </w:rPr>
        <w:t>:</w:t>
      </w:r>
      <w:r w:rsidR="00CB0CFD" w:rsidRPr="009267B7">
        <w:rPr>
          <w:rFonts w:eastAsia="Times New Roman" w:cs="Calibri Light"/>
          <w:b/>
          <w:color w:val="000000" w:themeColor="text1"/>
          <w:sz w:val="18"/>
          <w:szCs w:val="18"/>
          <w:lang w:val="en-ID" w:eastAsia="en-AU"/>
        </w:rPr>
        <w:t xml:space="preserve"> </w:t>
      </w:r>
      <w:r w:rsidR="00CB0CFD" w:rsidRPr="009267B7">
        <w:rPr>
          <w:b/>
        </w:rPr>
        <w:t xml:space="preserve">Promoting </w:t>
      </w:r>
      <w:r w:rsidR="0007335A" w:rsidRPr="009267B7">
        <w:rPr>
          <w:b/>
        </w:rPr>
        <w:t>improved law, order and</w:t>
      </w:r>
      <w:r w:rsidR="00CB0CFD" w:rsidRPr="009267B7">
        <w:rPr>
          <w:b/>
        </w:rPr>
        <w:t xml:space="preserve"> </w:t>
      </w:r>
      <w:proofErr w:type="gramStart"/>
      <w:r w:rsidR="00CB0CFD" w:rsidRPr="009267B7">
        <w:rPr>
          <w:b/>
        </w:rPr>
        <w:t>governance</w:t>
      </w:r>
      <w:proofErr w:type="gramEnd"/>
    </w:p>
    <w:tbl>
      <w:tblPr>
        <w:tblStyle w:val="DFATWattle"/>
        <w:tblW w:w="5000" w:type="pct"/>
        <w:tblLook w:val="04A0" w:firstRow="1" w:lastRow="0" w:firstColumn="1" w:lastColumn="0" w:noHBand="0" w:noVBand="1"/>
        <w:tblCaption w:val="Performance assessment framework for objective 2"/>
        <w:tblDescription w:val="Expected results for the first three years of the DPP and against the Sustainable Development Goals&#10;"/>
      </w:tblPr>
      <w:tblGrid>
        <w:gridCol w:w="2383"/>
        <w:gridCol w:w="2383"/>
        <w:gridCol w:w="2504"/>
        <w:gridCol w:w="2383"/>
        <w:gridCol w:w="2382"/>
        <w:gridCol w:w="2382"/>
      </w:tblGrid>
      <w:tr w:rsidR="002B6D0B" w14:paraId="42A03C9A" w14:textId="77777777" w:rsidTr="00E90562">
        <w:trPr>
          <w:cnfStyle w:val="100000000000" w:firstRow="1" w:lastRow="0" w:firstColumn="0" w:lastColumn="0" w:oddVBand="0" w:evenVBand="0" w:oddHBand="0" w:evenHBand="0" w:firstRowFirstColumn="0" w:firstRowLastColumn="0" w:lastRowFirstColumn="0" w:lastRowLastColumn="0"/>
          <w:cantSplit/>
          <w:trHeight w:val="787"/>
        </w:trPr>
        <w:tc>
          <w:tcPr>
            <w:tcW w:w="826" w:type="pct"/>
            <w:hideMark/>
          </w:tcPr>
          <w:p w14:paraId="2611914F" w14:textId="1897A4AE" w:rsidR="002B6D0B" w:rsidRPr="00F834A2" w:rsidRDefault="002B6D0B" w:rsidP="00E90562">
            <w:pPr>
              <w:pStyle w:val="TableHeading"/>
            </w:pPr>
            <w:r w:rsidRPr="00E90562" w:rsidDel="008E7816">
              <w:rPr>
                <w:b w:val="0"/>
                <w:bCs w:val="0"/>
              </w:rPr>
              <w:t>Outcome</w:t>
            </w:r>
          </w:p>
        </w:tc>
        <w:tc>
          <w:tcPr>
            <w:tcW w:w="826" w:type="pct"/>
          </w:tcPr>
          <w:p w14:paraId="1CF69BE5" w14:textId="0C1D1D70" w:rsidR="002B6D0B" w:rsidRPr="000B04E1" w:rsidRDefault="002B6D0B" w:rsidP="00CB3CFC">
            <w:pPr>
              <w:pStyle w:val="TableHeading"/>
              <w:rPr>
                <w:b w:val="0"/>
                <w:bCs w:val="0"/>
              </w:rPr>
            </w:pPr>
            <w:r>
              <w:rPr>
                <w:b w:val="0"/>
                <w:bCs w:val="0"/>
              </w:rPr>
              <w:t>Indicator</w:t>
            </w:r>
          </w:p>
        </w:tc>
        <w:tc>
          <w:tcPr>
            <w:tcW w:w="868" w:type="pct"/>
            <w:hideMark/>
          </w:tcPr>
          <w:p w14:paraId="0B00383A" w14:textId="5D42AFE1" w:rsidR="002B6D0B" w:rsidRPr="000B04E1" w:rsidRDefault="002B6D0B" w:rsidP="00CB3CFC">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2024</w:t>
            </w:r>
            <w:r>
              <w:rPr>
                <w:b w:val="0"/>
                <w:bCs w:val="0"/>
              </w:rPr>
              <w:t>–</w:t>
            </w:r>
            <w:r w:rsidRPr="000B04E1">
              <w:rPr>
                <w:b w:val="0"/>
                <w:bCs w:val="0"/>
              </w:rPr>
              <w:t>25</w:t>
            </w:r>
          </w:p>
        </w:tc>
        <w:tc>
          <w:tcPr>
            <w:tcW w:w="826" w:type="pct"/>
            <w:hideMark/>
          </w:tcPr>
          <w:p w14:paraId="2279C936" w14:textId="6A3ED224" w:rsidR="002B6D0B" w:rsidRPr="000B04E1" w:rsidRDefault="002B6D0B" w:rsidP="00CB3CFC">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2025</w:t>
            </w:r>
            <w:r>
              <w:rPr>
                <w:b w:val="0"/>
                <w:bCs w:val="0"/>
              </w:rPr>
              <w:t>–</w:t>
            </w:r>
            <w:r w:rsidRPr="000B04E1">
              <w:rPr>
                <w:b w:val="0"/>
                <w:bCs w:val="0"/>
              </w:rPr>
              <w:t>26</w:t>
            </w:r>
          </w:p>
        </w:tc>
        <w:tc>
          <w:tcPr>
            <w:tcW w:w="826" w:type="pct"/>
            <w:hideMark/>
          </w:tcPr>
          <w:p w14:paraId="3528E2AD" w14:textId="25A2B485" w:rsidR="002B6D0B" w:rsidRPr="000B04E1" w:rsidRDefault="002B6D0B" w:rsidP="00CB3CFC">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2026</w:t>
            </w:r>
            <w:r>
              <w:rPr>
                <w:b w:val="0"/>
                <w:bCs w:val="0"/>
              </w:rPr>
              <w:t>–</w:t>
            </w:r>
            <w:r w:rsidRPr="000B04E1">
              <w:rPr>
                <w:b w:val="0"/>
                <w:bCs w:val="0"/>
              </w:rPr>
              <w:t>27</w:t>
            </w:r>
          </w:p>
        </w:tc>
        <w:tc>
          <w:tcPr>
            <w:tcW w:w="826" w:type="pct"/>
            <w:hideMark/>
          </w:tcPr>
          <w:p w14:paraId="7C8CDA50" w14:textId="27470592" w:rsidR="002B6D0B" w:rsidRPr="000B04E1" w:rsidRDefault="002B6D0B" w:rsidP="00CB3CFC">
            <w:pPr>
              <w:pStyle w:val="TableHeading"/>
              <w:rPr>
                <w:b w:val="0"/>
                <w:bCs w:val="0"/>
              </w:rPr>
            </w:pPr>
            <w:r w:rsidRPr="000B04E1">
              <w:rPr>
                <w:b w:val="0"/>
                <w:bCs w:val="0"/>
              </w:rPr>
              <w:t>S</w:t>
            </w:r>
            <w:r>
              <w:rPr>
                <w:b w:val="0"/>
                <w:bCs w:val="0"/>
              </w:rPr>
              <w:t xml:space="preserve">ustainable </w:t>
            </w:r>
            <w:r w:rsidRPr="000B04E1">
              <w:rPr>
                <w:b w:val="0"/>
                <w:bCs w:val="0"/>
              </w:rPr>
              <w:t>D</w:t>
            </w:r>
            <w:r>
              <w:rPr>
                <w:b w:val="0"/>
                <w:bCs w:val="0"/>
              </w:rPr>
              <w:t xml:space="preserve">evelopment </w:t>
            </w:r>
            <w:r w:rsidRPr="000B04E1">
              <w:rPr>
                <w:b w:val="0"/>
                <w:bCs w:val="0"/>
              </w:rPr>
              <w:t>Goals</w:t>
            </w:r>
            <w:r>
              <w:rPr>
                <w:b w:val="0"/>
                <w:bCs w:val="0"/>
              </w:rPr>
              <w:t xml:space="preserve"> (SDGs)</w:t>
            </w:r>
          </w:p>
        </w:tc>
      </w:tr>
      <w:tr w:rsidR="002B6D0B" w14:paraId="6F06C449" w14:textId="77777777" w:rsidTr="00E90562">
        <w:trPr>
          <w:cantSplit/>
          <w:trHeight w:val="594"/>
        </w:trPr>
        <w:tc>
          <w:tcPr>
            <w:tcW w:w="826" w:type="pct"/>
            <w:hideMark/>
          </w:tcPr>
          <w:p w14:paraId="308B2142" w14:textId="6F5C2154" w:rsidR="00ED277F" w:rsidRPr="0023546E" w:rsidRDefault="002B6D0B" w:rsidP="0023546E">
            <w:pPr>
              <w:pStyle w:val="TableBodyCopy"/>
            </w:pPr>
            <w:r w:rsidRPr="0023546E">
              <w:rPr>
                <w:b/>
              </w:rPr>
              <w:t xml:space="preserve">Outcome </w:t>
            </w:r>
            <w:r w:rsidRPr="003931D1" w:rsidDel="008E7816">
              <w:rPr>
                <w:b/>
                <w:bCs/>
              </w:rPr>
              <w:t>2.1</w:t>
            </w:r>
          </w:p>
          <w:p w14:paraId="6A132E6C" w14:textId="4246352E" w:rsidR="002B6D0B" w:rsidRPr="00E90562" w:rsidRDefault="002B6D0B" w:rsidP="0023546E">
            <w:pPr>
              <w:pStyle w:val="TableBodyCopy"/>
              <w:rPr>
                <w:rFonts w:asciiTheme="majorHAnsi" w:hAnsiTheme="majorHAnsi" w:cstheme="minorHAnsi"/>
                <w:b/>
                <w:bCs/>
                <w:color w:val="FFFFFF" w:themeColor="background1"/>
              </w:rPr>
            </w:pPr>
            <w:r w:rsidRPr="003931D1">
              <w:rPr>
                <w:rFonts w:cstheme="minorHAnsi"/>
              </w:rPr>
              <w:t>Peace and stability: Supporting PNG to maintain security</w:t>
            </w:r>
            <w:r w:rsidR="00F26C4D">
              <w:rPr>
                <w:rFonts w:cstheme="minorHAnsi"/>
              </w:rPr>
              <w:t xml:space="preserve"> and</w:t>
            </w:r>
            <w:r w:rsidRPr="003931D1">
              <w:rPr>
                <w:rFonts w:cstheme="minorHAnsi"/>
              </w:rPr>
              <w:t xml:space="preserve"> stability</w:t>
            </w:r>
            <w:r w:rsidR="00F26C4D">
              <w:rPr>
                <w:rFonts w:cstheme="minorHAnsi"/>
              </w:rPr>
              <w:t>,</w:t>
            </w:r>
            <w:r w:rsidR="00415D22" w:rsidRPr="003931D1">
              <w:rPr>
                <w:rFonts w:cstheme="minorHAnsi"/>
              </w:rPr>
              <w:t xml:space="preserve"> </w:t>
            </w:r>
            <w:r w:rsidRPr="003931D1">
              <w:rPr>
                <w:rFonts w:cstheme="minorHAnsi"/>
              </w:rPr>
              <w:t>advance the rule of law</w:t>
            </w:r>
            <w:r w:rsidR="00415D22">
              <w:rPr>
                <w:rFonts w:cstheme="minorHAnsi"/>
              </w:rPr>
              <w:t xml:space="preserve"> </w:t>
            </w:r>
            <w:r w:rsidR="00F26C4D">
              <w:rPr>
                <w:rFonts w:cstheme="minorHAnsi"/>
              </w:rPr>
              <w:t xml:space="preserve">and strengthen </w:t>
            </w:r>
            <w:proofErr w:type="gramStart"/>
            <w:r w:rsidR="00F26C4D">
              <w:rPr>
                <w:rFonts w:cstheme="minorHAnsi"/>
              </w:rPr>
              <w:t>policing</w:t>
            </w:r>
            <w:proofErr w:type="gramEnd"/>
          </w:p>
          <w:p w14:paraId="1841BE6F" w14:textId="6B2F3DA7" w:rsidR="002B6D0B" w:rsidRPr="00EB1176" w:rsidRDefault="002B6D0B" w:rsidP="005220EB">
            <w:pPr>
              <w:pStyle w:val="TableBodyCopy"/>
            </w:pPr>
          </w:p>
        </w:tc>
        <w:tc>
          <w:tcPr>
            <w:tcW w:w="826" w:type="pct"/>
          </w:tcPr>
          <w:p w14:paraId="0C2C7B9A" w14:textId="3F2CB8FE" w:rsidR="002B6D0B" w:rsidRDefault="002B6D0B" w:rsidP="00490045">
            <w:pPr>
              <w:pStyle w:val="TableBodyCopy"/>
              <w:rPr>
                <w:rFonts w:asciiTheme="majorHAnsi" w:hAnsiTheme="majorHAnsi" w:cstheme="majorBidi"/>
                <w:lang w:eastAsia="en-AU"/>
              </w:rPr>
            </w:pPr>
            <w:r>
              <w:rPr>
                <w:rFonts w:asciiTheme="majorHAnsi" w:hAnsiTheme="majorHAnsi" w:cstheme="majorBidi"/>
                <w:lang w:eastAsia="en-AU"/>
              </w:rPr>
              <w:t xml:space="preserve">2.1.1 </w:t>
            </w:r>
            <w:r>
              <w:rPr>
                <w:lang w:eastAsia="en-AU"/>
              </w:rPr>
              <w:t>Improved rule of law through support to Royal Papua New Guinea Constabulary and broader l</w:t>
            </w:r>
            <w:r w:rsidRPr="008A27B9">
              <w:rPr>
                <w:lang w:eastAsia="en-AU"/>
              </w:rPr>
              <w:t>aw and justice sector</w:t>
            </w:r>
            <w:r>
              <w:rPr>
                <w:lang w:eastAsia="en-AU"/>
              </w:rPr>
              <w:t xml:space="preserve"> policy advice and training</w:t>
            </w:r>
          </w:p>
        </w:tc>
        <w:tc>
          <w:tcPr>
            <w:tcW w:w="868" w:type="pct"/>
            <w:hideMark/>
          </w:tcPr>
          <w:p w14:paraId="58555FFB" w14:textId="734CDD42" w:rsidR="002B6D0B" w:rsidRPr="00FA2316" w:rsidRDefault="002B6D0B" w:rsidP="00490045">
            <w:pPr>
              <w:pStyle w:val="TableBodyCopy"/>
              <w:rPr>
                <w:rFonts w:asciiTheme="majorHAnsi" w:hAnsiTheme="majorHAnsi" w:cstheme="majorBidi"/>
                <w:lang w:eastAsia="en-AU"/>
              </w:rPr>
            </w:pPr>
            <w:r>
              <w:rPr>
                <w:rFonts w:asciiTheme="majorHAnsi" w:hAnsiTheme="majorHAnsi" w:cstheme="majorBidi"/>
                <w:lang w:eastAsia="en-AU"/>
              </w:rPr>
              <w:t>P</w:t>
            </w:r>
            <w:r w:rsidRPr="0AAC0571">
              <w:rPr>
                <w:rFonts w:asciiTheme="majorHAnsi" w:hAnsiTheme="majorHAnsi" w:cstheme="majorBidi"/>
                <w:lang w:eastAsia="en-AU"/>
              </w:rPr>
              <w:t xml:space="preserve">olice </w:t>
            </w:r>
            <w:r>
              <w:rPr>
                <w:rFonts w:asciiTheme="majorHAnsi" w:hAnsiTheme="majorHAnsi" w:cstheme="majorBidi"/>
                <w:lang w:eastAsia="en-AU"/>
              </w:rPr>
              <w:t>infrastructure</w:t>
            </w:r>
            <w:r w:rsidRPr="0AAC0571">
              <w:rPr>
                <w:rFonts w:asciiTheme="majorHAnsi" w:hAnsiTheme="majorHAnsi" w:cstheme="majorBidi"/>
                <w:lang w:eastAsia="en-AU"/>
              </w:rPr>
              <w:t xml:space="preserve"> and housing in target locations</w:t>
            </w:r>
            <w:r>
              <w:rPr>
                <w:rFonts w:asciiTheme="majorHAnsi" w:hAnsiTheme="majorHAnsi" w:cstheme="majorBidi"/>
                <w:lang w:eastAsia="en-AU"/>
              </w:rPr>
              <w:t xml:space="preserve"> </w:t>
            </w:r>
            <w:proofErr w:type="gramStart"/>
            <w:r>
              <w:rPr>
                <w:rFonts w:asciiTheme="majorHAnsi" w:hAnsiTheme="majorHAnsi" w:cstheme="majorBidi"/>
                <w:lang w:eastAsia="en-AU"/>
              </w:rPr>
              <w:t>commenced</w:t>
            </w:r>
            <w:proofErr w:type="gramEnd"/>
          </w:p>
          <w:p w14:paraId="5E5008A2" w14:textId="66D11846" w:rsidR="002B6D0B" w:rsidRDefault="002B6D0B" w:rsidP="00490045">
            <w:pPr>
              <w:pStyle w:val="TableBodyCopy"/>
              <w:rPr>
                <w:rFonts w:asciiTheme="majorHAnsi" w:hAnsiTheme="majorHAnsi" w:cstheme="majorBidi"/>
                <w:lang w:eastAsia="en-AU"/>
              </w:rPr>
            </w:pPr>
            <w:r>
              <w:rPr>
                <w:rFonts w:asciiTheme="majorHAnsi" w:hAnsiTheme="majorHAnsi" w:cstheme="majorBidi"/>
                <w:lang w:eastAsia="en-AU"/>
              </w:rPr>
              <w:t>Commencement of two highway Police Posts in Bougainville</w:t>
            </w:r>
          </w:p>
          <w:p w14:paraId="24392D24" w14:textId="0D829D94" w:rsidR="002B6D0B" w:rsidRDefault="002B6D0B" w:rsidP="00490045">
            <w:pPr>
              <w:pStyle w:val="TableBodyCopy"/>
              <w:rPr>
                <w:rFonts w:asciiTheme="majorHAnsi" w:hAnsiTheme="majorHAnsi" w:cstheme="majorBidi"/>
                <w:lang w:eastAsia="en-AU"/>
              </w:rPr>
            </w:pPr>
            <w:r>
              <w:rPr>
                <w:rFonts w:asciiTheme="majorHAnsi" w:hAnsiTheme="majorHAnsi" w:cstheme="majorBidi"/>
                <w:lang w:eastAsia="en-AU"/>
              </w:rPr>
              <w:t>Planning for r</w:t>
            </w:r>
            <w:r w:rsidRPr="37B31167">
              <w:rPr>
                <w:rFonts w:asciiTheme="majorHAnsi" w:hAnsiTheme="majorHAnsi" w:cstheme="majorBidi"/>
                <w:lang w:eastAsia="en-AU"/>
              </w:rPr>
              <w:t xml:space="preserve">ecruit and </w:t>
            </w:r>
            <w:r>
              <w:rPr>
                <w:rFonts w:asciiTheme="majorHAnsi" w:hAnsiTheme="majorHAnsi" w:cstheme="majorBidi"/>
                <w:lang w:eastAsia="en-AU"/>
              </w:rPr>
              <w:t>i</w:t>
            </w:r>
            <w:r w:rsidRPr="37B31167">
              <w:rPr>
                <w:rFonts w:asciiTheme="majorHAnsi" w:hAnsiTheme="majorHAnsi" w:cstheme="majorBidi"/>
                <w:lang w:eastAsia="en-AU"/>
              </w:rPr>
              <w:t xml:space="preserve">nvestigations </w:t>
            </w:r>
            <w:r>
              <w:rPr>
                <w:rFonts w:asciiTheme="majorHAnsi" w:hAnsiTheme="majorHAnsi" w:cstheme="majorBidi"/>
                <w:lang w:eastAsia="en-AU"/>
              </w:rPr>
              <w:t>t</w:t>
            </w:r>
            <w:r w:rsidRPr="37B31167">
              <w:rPr>
                <w:rFonts w:asciiTheme="majorHAnsi" w:hAnsiTheme="majorHAnsi" w:cstheme="majorBidi"/>
                <w:lang w:eastAsia="en-AU"/>
              </w:rPr>
              <w:t xml:space="preserve">raining </w:t>
            </w:r>
            <w:r>
              <w:rPr>
                <w:rFonts w:asciiTheme="majorHAnsi" w:hAnsiTheme="majorHAnsi" w:cstheme="majorBidi"/>
                <w:lang w:eastAsia="en-AU"/>
              </w:rPr>
              <w:t>c</w:t>
            </w:r>
            <w:r w:rsidRPr="37B31167">
              <w:rPr>
                <w:rFonts w:asciiTheme="majorHAnsi" w:hAnsiTheme="majorHAnsi" w:cstheme="majorBidi"/>
                <w:lang w:eastAsia="en-AU"/>
              </w:rPr>
              <w:t>entre</w:t>
            </w:r>
          </w:p>
          <w:p w14:paraId="2D335DAD" w14:textId="480E2C40" w:rsidR="002B6D0B" w:rsidRDefault="002B6D0B" w:rsidP="00490045">
            <w:pPr>
              <w:pStyle w:val="TableBodyCopy"/>
            </w:pPr>
            <w:r>
              <w:rPr>
                <w:rFonts w:asciiTheme="majorHAnsi" w:hAnsiTheme="majorHAnsi" w:cstheme="majorBidi"/>
                <w:lang w:eastAsia="en-AU"/>
              </w:rPr>
              <w:t>Examples of village courts established and operational</w:t>
            </w:r>
          </w:p>
        </w:tc>
        <w:tc>
          <w:tcPr>
            <w:tcW w:w="826" w:type="pct"/>
            <w:hideMark/>
          </w:tcPr>
          <w:p w14:paraId="04FBCB52" w14:textId="04793232" w:rsidR="002B6D0B" w:rsidRDefault="002B6D0B" w:rsidP="00490045">
            <w:pPr>
              <w:pStyle w:val="TableBodyCopy"/>
              <w:rPr>
                <w:rFonts w:asciiTheme="majorHAnsi" w:hAnsiTheme="majorHAnsi" w:cstheme="majorBidi"/>
                <w:lang w:eastAsia="en-AU"/>
              </w:rPr>
            </w:pPr>
            <w:r>
              <w:rPr>
                <w:rFonts w:asciiTheme="majorHAnsi" w:hAnsiTheme="majorHAnsi" w:cstheme="majorBidi"/>
                <w:lang w:eastAsia="en-AU"/>
              </w:rPr>
              <w:t>P</w:t>
            </w:r>
            <w:r w:rsidRPr="0AAC0571">
              <w:rPr>
                <w:rFonts w:asciiTheme="majorHAnsi" w:hAnsiTheme="majorHAnsi" w:cstheme="majorBidi"/>
                <w:lang w:eastAsia="en-AU"/>
              </w:rPr>
              <w:t xml:space="preserve">olice </w:t>
            </w:r>
            <w:r>
              <w:rPr>
                <w:rFonts w:asciiTheme="majorHAnsi" w:hAnsiTheme="majorHAnsi" w:cstheme="majorBidi"/>
                <w:lang w:eastAsia="en-AU"/>
              </w:rPr>
              <w:t>infrastructure</w:t>
            </w:r>
            <w:r w:rsidRPr="0AAC0571">
              <w:rPr>
                <w:rFonts w:asciiTheme="majorHAnsi" w:hAnsiTheme="majorHAnsi" w:cstheme="majorBidi"/>
                <w:lang w:eastAsia="en-AU"/>
              </w:rPr>
              <w:t xml:space="preserve"> and housing in target </w:t>
            </w:r>
            <w:r>
              <w:rPr>
                <w:rFonts w:asciiTheme="majorHAnsi" w:hAnsiTheme="majorHAnsi" w:cstheme="majorBidi"/>
                <w:lang w:eastAsia="en-AU"/>
              </w:rPr>
              <w:t xml:space="preserve">locations </w:t>
            </w:r>
            <w:r w:rsidRPr="33256516">
              <w:rPr>
                <w:rFonts w:asciiTheme="majorHAnsi" w:hAnsiTheme="majorHAnsi" w:cstheme="majorBidi"/>
                <w:lang w:eastAsia="en-AU"/>
              </w:rPr>
              <w:t>on track</w:t>
            </w:r>
          </w:p>
          <w:p w14:paraId="4AB3B0F3" w14:textId="07856773" w:rsidR="002B6D0B" w:rsidRDefault="002B6D0B" w:rsidP="00490045">
            <w:pPr>
              <w:pStyle w:val="TableBodyCopy"/>
              <w:rPr>
                <w:rFonts w:asciiTheme="majorHAnsi" w:hAnsiTheme="majorHAnsi" w:cstheme="majorBidi"/>
                <w:lang w:eastAsia="en-AU"/>
              </w:rPr>
            </w:pPr>
            <w:r>
              <w:rPr>
                <w:rFonts w:asciiTheme="majorHAnsi" w:hAnsiTheme="majorHAnsi" w:cstheme="majorBidi"/>
                <w:lang w:eastAsia="en-AU"/>
              </w:rPr>
              <w:t>Completion of two highway police posts in Bougainville</w:t>
            </w:r>
          </w:p>
          <w:p w14:paraId="269D75EA" w14:textId="676D4C3C" w:rsidR="002B6D0B" w:rsidRDefault="002B6D0B" w:rsidP="00490045">
            <w:pPr>
              <w:pStyle w:val="TableBodyCopy"/>
            </w:pPr>
            <w:r>
              <w:rPr>
                <w:rFonts w:asciiTheme="majorHAnsi" w:hAnsiTheme="majorHAnsi" w:cstheme="majorBidi"/>
                <w:lang w:eastAsia="en-AU"/>
              </w:rPr>
              <w:t>Examples of village courts established and operational</w:t>
            </w:r>
          </w:p>
        </w:tc>
        <w:tc>
          <w:tcPr>
            <w:tcW w:w="826" w:type="pct"/>
            <w:hideMark/>
          </w:tcPr>
          <w:p w14:paraId="3892EDBC" w14:textId="4C0790C8" w:rsidR="002B6D0B" w:rsidRDefault="002B6D0B" w:rsidP="00490045">
            <w:pPr>
              <w:pStyle w:val="TableBodyCopy"/>
              <w:rPr>
                <w:rFonts w:asciiTheme="majorHAnsi" w:hAnsiTheme="majorHAnsi" w:cstheme="majorBidi"/>
                <w:lang w:eastAsia="en-AU"/>
              </w:rPr>
            </w:pPr>
            <w:r w:rsidRPr="33256516">
              <w:rPr>
                <w:rFonts w:asciiTheme="majorHAnsi" w:hAnsiTheme="majorHAnsi" w:cstheme="majorBidi"/>
                <w:lang w:eastAsia="en-AU"/>
              </w:rPr>
              <w:t>Police infrastructure and housing in target locations on track</w:t>
            </w:r>
          </w:p>
          <w:p w14:paraId="01C1511A" w14:textId="7EAE8216" w:rsidR="002B6D0B" w:rsidRDefault="002B6D0B" w:rsidP="00490045">
            <w:pPr>
              <w:pStyle w:val="TableBodyCopy"/>
            </w:pPr>
            <w:r>
              <w:rPr>
                <w:rFonts w:asciiTheme="majorHAnsi" w:hAnsiTheme="majorHAnsi" w:cstheme="majorBidi"/>
                <w:lang w:eastAsia="en-AU"/>
              </w:rPr>
              <w:t>Examples of village courts established and operational</w:t>
            </w:r>
          </w:p>
        </w:tc>
        <w:tc>
          <w:tcPr>
            <w:tcW w:w="826" w:type="pct"/>
          </w:tcPr>
          <w:p w14:paraId="4A76E947" w14:textId="5085269F" w:rsidR="002B6D0B" w:rsidRPr="008A27B9" w:rsidRDefault="002B6D0B" w:rsidP="00490045">
            <w:pPr>
              <w:pStyle w:val="TableBodyCopy"/>
              <w:rPr>
                <w:lang w:eastAsia="en-AU"/>
              </w:rPr>
            </w:pPr>
            <w:r w:rsidRPr="008A27B9">
              <w:rPr>
                <w:lang w:eastAsia="en-AU"/>
              </w:rPr>
              <w:t>SDG5</w:t>
            </w:r>
            <w:r>
              <w:rPr>
                <w:lang w:eastAsia="en-AU"/>
              </w:rPr>
              <w:t>:</w:t>
            </w:r>
            <w:r w:rsidRPr="008A27B9">
              <w:rPr>
                <w:lang w:eastAsia="en-AU"/>
              </w:rPr>
              <w:t xml:space="preserve"> Gender </w:t>
            </w:r>
            <w:r>
              <w:rPr>
                <w:lang w:eastAsia="en-AU"/>
              </w:rPr>
              <w:t>e</w:t>
            </w:r>
            <w:r w:rsidRPr="008A27B9">
              <w:rPr>
                <w:lang w:eastAsia="en-AU"/>
              </w:rPr>
              <w:t>quality</w:t>
            </w:r>
          </w:p>
          <w:p w14:paraId="4EE0264E" w14:textId="3D5E12CF" w:rsidR="002B6D0B" w:rsidRPr="008A27B9" w:rsidRDefault="002B6D0B" w:rsidP="00490045">
            <w:pPr>
              <w:pStyle w:val="TableBodyCopy"/>
              <w:rPr>
                <w:rFonts w:ascii="Segoe UI" w:hAnsi="Segoe UI" w:cs="Segoe UI"/>
                <w:lang w:eastAsia="en-AU"/>
              </w:rPr>
            </w:pPr>
            <w:r w:rsidRPr="008A27B9">
              <w:rPr>
                <w:lang w:eastAsia="en-AU"/>
              </w:rPr>
              <w:t>SDG10</w:t>
            </w:r>
            <w:r>
              <w:rPr>
                <w:lang w:eastAsia="en-AU"/>
              </w:rPr>
              <w:t>:</w:t>
            </w:r>
            <w:r w:rsidRPr="008A27B9">
              <w:rPr>
                <w:lang w:eastAsia="en-AU"/>
              </w:rPr>
              <w:t xml:space="preserve"> Reduced </w:t>
            </w:r>
            <w:r>
              <w:rPr>
                <w:lang w:eastAsia="en-AU"/>
              </w:rPr>
              <w:t>i</w:t>
            </w:r>
            <w:r w:rsidRPr="008A27B9">
              <w:rPr>
                <w:lang w:eastAsia="en-AU"/>
              </w:rPr>
              <w:t>nequality</w:t>
            </w:r>
          </w:p>
          <w:p w14:paraId="082A4C31" w14:textId="00583C4D" w:rsidR="002B6D0B" w:rsidRPr="008A27B9" w:rsidRDefault="002B6D0B" w:rsidP="00490045">
            <w:pPr>
              <w:pStyle w:val="TableBodyCopy"/>
              <w:rPr>
                <w:rFonts w:ascii="Segoe UI" w:hAnsi="Segoe UI" w:cs="Segoe UI"/>
                <w:lang w:eastAsia="en-AU"/>
              </w:rPr>
            </w:pPr>
            <w:r w:rsidRPr="008A27B9">
              <w:rPr>
                <w:lang w:eastAsia="en-AU"/>
              </w:rPr>
              <w:t>SDG16</w:t>
            </w:r>
            <w:r>
              <w:rPr>
                <w:lang w:eastAsia="en-AU"/>
              </w:rPr>
              <w:t>:</w:t>
            </w:r>
            <w:r w:rsidRPr="008A27B9">
              <w:rPr>
                <w:lang w:eastAsia="en-AU"/>
              </w:rPr>
              <w:t xml:space="preserve"> Peace, </w:t>
            </w:r>
            <w:r>
              <w:rPr>
                <w:lang w:eastAsia="en-AU"/>
              </w:rPr>
              <w:t>j</w:t>
            </w:r>
            <w:r w:rsidRPr="008A27B9">
              <w:rPr>
                <w:lang w:eastAsia="en-AU"/>
              </w:rPr>
              <w:t xml:space="preserve">ustice, and </w:t>
            </w:r>
            <w:r>
              <w:rPr>
                <w:lang w:eastAsia="en-AU"/>
              </w:rPr>
              <w:t>s</w:t>
            </w:r>
            <w:r w:rsidRPr="008A27B9">
              <w:rPr>
                <w:lang w:eastAsia="en-AU"/>
              </w:rPr>
              <w:t xml:space="preserve">trong </w:t>
            </w:r>
            <w:r>
              <w:rPr>
                <w:lang w:eastAsia="en-AU"/>
              </w:rPr>
              <w:t>i</w:t>
            </w:r>
            <w:r w:rsidRPr="008A27B9">
              <w:rPr>
                <w:lang w:eastAsia="en-AU"/>
              </w:rPr>
              <w:t>nstitutions</w:t>
            </w:r>
          </w:p>
          <w:p w14:paraId="705103AC" w14:textId="31CEBBC9" w:rsidR="002B6D0B" w:rsidRDefault="002B6D0B" w:rsidP="00490045">
            <w:pPr>
              <w:pStyle w:val="TableBodyCopy"/>
            </w:pPr>
            <w:r w:rsidRPr="008A27B9">
              <w:rPr>
                <w:lang w:eastAsia="en-AU"/>
              </w:rPr>
              <w:t>SDG17</w:t>
            </w:r>
            <w:r>
              <w:rPr>
                <w:lang w:eastAsia="en-AU"/>
              </w:rPr>
              <w:t>:</w:t>
            </w:r>
            <w:r w:rsidRPr="008A27B9">
              <w:rPr>
                <w:lang w:eastAsia="en-AU"/>
              </w:rPr>
              <w:t xml:space="preserve"> Partnerships for the </w:t>
            </w:r>
            <w:r>
              <w:rPr>
                <w:lang w:eastAsia="en-AU"/>
              </w:rPr>
              <w:t>g</w:t>
            </w:r>
            <w:r w:rsidRPr="008A27B9">
              <w:rPr>
                <w:lang w:eastAsia="en-AU"/>
              </w:rPr>
              <w:t>oals</w:t>
            </w:r>
          </w:p>
        </w:tc>
      </w:tr>
      <w:tr w:rsidR="002B6D0B" w14:paraId="2C88E0D4" w14:textId="77777777" w:rsidTr="00E90562">
        <w:trPr>
          <w:cantSplit/>
          <w:trHeight w:val="494"/>
        </w:trPr>
        <w:tc>
          <w:tcPr>
            <w:tcW w:w="826" w:type="pct"/>
            <w:hideMark/>
          </w:tcPr>
          <w:p w14:paraId="4A0A6F75" w14:textId="77777777" w:rsidR="00ED277F" w:rsidRDefault="00ED277F" w:rsidP="002A283D">
            <w:pPr>
              <w:pStyle w:val="TableBodyCopy"/>
            </w:pPr>
            <w:r w:rsidRPr="002A283D">
              <w:rPr>
                <w:b/>
              </w:rPr>
              <w:t xml:space="preserve">Outcome </w:t>
            </w:r>
            <w:r w:rsidRPr="002A283D" w:rsidDel="008E7816">
              <w:rPr>
                <w:b/>
              </w:rPr>
              <w:t>2.1</w:t>
            </w:r>
          </w:p>
          <w:p w14:paraId="71A51D87" w14:textId="69EE6B4D" w:rsidR="002B6D0B" w:rsidRDefault="002B6D0B" w:rsidP="00490045">
            <w:pPr>
              <w:pStyle w:val="TableBodyCopy"/>
            </w:pPr>
          </w:p>
        </w:tc>
        <w:tc>
          <w:tcPr>
            <w:tcW w:w="826" w:type="pct"/>
          </w:tcPr>
          <w:p w14:paraId="087C5C82" w14:textId="6A433380" w:rsidR="002B6D0B" w:rsidRDefault="00ED277F" w:rsidP="00490045">
            <w:pPr>
              <w:pStyle w:val="TableBodyCopy"/>
              <w:rPr>
                <w:rFonts w:cs="Segoe UI"/>
                <w:lang w:eastAsia="en-AU"/>
              </w:rPr>
            </w:pPr>
            <w:r>
              <w:rPr>
                <w:rFonts w:cs="Segoe UI"/>
                <w:lang w:eastAsia="en-AU"/>
              </w:rPr>
              <w:t xml:space="preserve">2.1.2 </w:t>
            </w:r>
            <w:r w:rsidRPr="00F96538">
              <w:rPr>
                <w:lang w:val="en-ID" w:eastAsia="en-AU"/>
              </w:rPr>
              <w:t xml:space="preserve">Improved access to </w:t>
            </w:r>
            <w:r>
              <w:rPr>
                <w:lang w:val="en-ID" w:eastAsia="en-AU"/>
              </w:rPr>
              <w:t xml:space="preserve">justice including </w:t>
            </w:r>
            <w:r w:rsidRPr="00F96538">
              <w:rPr>
                <w:lang w:val="en-ID" w:eastAsia="en-AU"/>
              </w:rPr>
              <w:t xml:space="preserve">coordinated </w:t>
            </w:r>
            <w:r>
              <w:rPr>
                <w:lang w:val="en-ID" w:eastAsia="en-AU"/>
              </w:rPr>
              <w:t xml:space="preserve">gender-based violence </w:t>
            </w:r>
            <w:r w:rsidRPr="00F96538">
              <w:rPr>
                <w:lang w:val="en-ID" w:eastAsia="en-AU"/>
              </w:rPr>
              <w:t>case management for women, including women with disabilities</w:t>
            </w:r>
          </w:p>
        </w:tc>
        <w:tc>
          <w:tcPr>
            <w:tcW w:w="868" w:type="pct"/>
            <w:hideMark/>
          </w:tcPr>
          <w:p w14:paraId="7C2CF49B" w14:textId="1FCB4764" w:rsidR="002B6D0B" w:rsidRPr="00F96538" w:rsidRDefault="002B6D0B" w:rsidP="00490045">
            <w:pPr>
              <w:pStyle w:val="TableBodyCopy"/>
              <w:rPr>
                <w:rFonts w:cs="Segoe UI"/>
                <w:lang w:eastAsia="en-AU"/>
              </w:rPr>
            </w:pPr>
            <w:r>
              <w:rPr>
                <w:rFonts w:cs="Segoe UI"/>
                <w:lang w:eastAsia="en-AU"/>
              </w:rPr>
              <w:t>I</w:t>
            </w:r>
            <w:r w:rsidRPr="33256516">
              <w:rPr>
                <w:rFonts w:cs="Segoe UI"/>
                <w:lang w:eastAsia="en-AU"/>
              </w:rPr>
              <w:t xml:space="preserve">mproved access to </w:t>
            </w:r>
            <w:r>
              <w:rPr>
                <w:rFonts w:cs="Segoe UI"/>
                <w:lang w:eastAsia="en-AU"/>
              </w:rPr>
              <w:t xml:space="preserve">gender-based violence </w:t>
            </w:r>
            <w:r w:rsidRPr="33256516">
              <w:rPr>
                <w:rFonts w:cs="Segoe UI"/>
                <w:lang w:eastAsia="en-AU"/>
              </w:rPr>
              <w:t>case management</w:t>
            </w:r>
          </w:p>
          <w:p w14:paraId="10165ECA" w14:textId="6603A9A4" w:rsidR="002B6D0B" w:rsidRPr="00F96538" w:rsidRDefault="002B6D0B" w:rsidP="00490045">
            <w:pPr>
              <w:pStyle w:val="TableBodyCopy"/>
              <w:rPr>
                <w:rFonts w:cs="Segoe UI"/>
                <w:lang w:eastAsia="en-AU"/>
              </w:rPr>
            </w:pPr>
            <w:r w:rsidRPr="00F96538">
              <w:rPr>
                <w:rFonts w:cs="Segoe UI"/>
                <w:lang w:eastAsia="en-AU"/>
              </w:rPr>
              <w:t xml:space="preserve">Examples of male voices and role models advocating for </w:t>
            </w:r>
            <w:r>
              <w:rPr>
                <w:rFonts w:cs="Segoe UI"/>
                <w:lang w:eastAsia="en-AU"/>
              </w:rPr>
              <w:t>an end to gender-based violence</w:t>
            </w:r>
          </w:p>
          <w:p w14:paraId="666AAB5E" w14:textId="3E7F8617" w:rsidR="002B6D0B" w:rsidRDefault="002B6D0B" w:rsidP="00490045">
            <w:pPr>
              <w:pStyle w:val="TableBodyCopy"/>
            </w:pPr>
            <w:r w:rsidRPr="1B598A3B">
              <w:rPr>
                <w:rFonts w:asciiTheme="majorHAnsi" w:hAnsiTheme="majorHAnsi" w:cstheme="majorBidi"/>
                <w:lang w:val="en-GB" w:eastAsia="en-AU"/>
              </w:rPr>
              <w:t xml:space="preserve">Improved access to justice, including for marginalised groups </w:t>
            </w:r>
            <w:r>
              <w:rPr>
                <w:rFonts w:asciiTheme="majorHAnsi" w:hAnsiTheme="majorHAnsi" w:cstheme="majorBidi"/>
                <w:lang w:val="en-GB" w:eastAsia="en-AU"/>
              </w:rPr>
              <w:t>(</w:t>
            </w:r>
            <w:r w:rsidRPr="1B598A3B">
              <w:rPr>
                <w:rFonts w:asciiTheme="majorHAnsi" w:hAnsiTheme="majorHAnsi" w:cstheme="majorBidi"/>
                <w:lang w:val="en-GB" w:eastAsia="en-AU"/>
              </w:rPr>
              <w:t xml:space="preserve">materials developed in </w:t>
            </w:r>
            <w:r>
              <w:rPr>
                <w:rFonts w:asciiTheme="majorHAnsi" w:hAnsiTheme="majorHAnsi" w:cstheme="majorBidi"/>
                <w:lang w:val="en-GB" w:eastAsia="en-AU"/>
              </w:rPr>
              <w:t>B</w:t>
            </w:r>
            <w:r w:rsidRPr="1B598A3B">
              <w:rPr>
                <w:rFonts w:asciiTheme="majorHAnsi" w:hAnsiTheme="majorHAnsi" w:cstheme="majorBidi"/>
                <w:lang w:val="en-GB" w:eastAsia="en-AU"/>
              </w:rPr>
              <w:t>raille</w:t>
            </w:r>
            <w:r>
              <w:rPr>
                <w:rFonts w:asciiTheme="majorHAnsi" w:hAnsiTheme="majorHAnsi" w:cstheme="majorBidi"/>
                <w:lang w:val="en-GB" w:eastAsia="en-AU"/>
              </w:rPr>
              <w:t>,</w:t>
            </w:r>
            <w:r w:rsidRPr="1B598A3B">
              <w:rPr>
                <w:rFonts w:asciiTheme="majorHAnsi" w:hAnsiTheme="majorHAnsi" w:cstheme="majorBidi"/>
                <w:lang w:val="en-GB" w:eastAsia="en-AU"/>
              </w:rPr>
              <w:t xml:space="preserve"> for example on justice services, and case studies or sensitisation training and strengthened coordination between agencies and </w:t>
            </w:r>
            <w:r>
              <w:rPr>
                <w:rFonts w:asciiTheme="majorHAnsi" w:hAnsiTheme="majorHAnsi" w:cstheme="majorBidi"/>
                <w:lang w:val="en-GB" w:eastAsia="en-AU"/>
              </w:rPr>
              <w:t>civil society organisation</w:t>
            </w:r>
            <w:r w:rsidRPr="1B598A3B">
              <w:rPr>
                <w:rFonts w:asciiTheme="majorHAnsi" w:hAnsiTheme="majorHAnsi" w:cstheme="majorBidi"/>
                <w:lang w:val="en-GB" w:eastAsia="en-AU"/>
              </w:rPr>
              <w:t>s</w:t>
            </w:r>
            <w:r>
              <w:rPr>
                <w:rFonts w:asciiTheme="majorHAnsi" w:hAnsiTheme="majorHAnsi" w:cstheme="majorBidi"/>
                <w:lang w:val="en-GB" w:eastAsia="en-AU"/>
              </w:rPr>
              <w:t>)</w:t>
            </w:r>
          </w:p>
        </w:tc>
        <w:tc>
          <w:tcPr>
            <w:tcW w:w="826" w:type="pct"/>
            <w:hideMark/>
          </w:tcPr>
          <w:p w14:paraId="12262B6A" w14:textId="7189AA75" w:rsidR="002B6D0B" w:rsidRDefault="002B6D0B" w:rsidP="00490045">
            <w:pPr>
              <w:pStyle w:val="TableBodyCopy"/>
              <w:rPr>
                <w:rFonts w:cs="Segoe UI"/>
                <w:lang w:eastAsia="en-AU"/>
              </w:rPr>
            </w:pPr>
            <w:r>
              <w:rPr>
                <w:rFonts w:cs="Segoe UI"/>
                <w:lang w:eastAsia="en-AU"/>
              </w:rPr>
              <w:t>I</w:t>
            </w:r>
            <w:r w:rsidRPr="00F96538">
              <w:rPr>
                <w:rFonts w:cs="Segoe UI"/>
                <w:lang w:eastAsia="en-AU"/>
              </w:rPr>
              <w:t xml:space="preserve">mproved access to </w:t>
            </w:r>
            <w:r>
              <w:rPr>
                <w:rFonts w:cs="Segoe UI"/>
                <w:lang w:eastAsia="en-AU"/>
              </w:rPr>
              <w:t>gender-based violence</w:t>
            </w:r>
            <w:r w:rsidRPr="00F96538" w:rsidDel="009A767D">
              <w:rPr>
                <w:rFonts w:cs="Segoe UI"/>
                <w:lang w:eastAsia="en-AU"/>
              </w:rPr>
              <w:t xml:space="preserve"> </w:t>
            </w:r>
            <w:r w:rsidRPr="00F96538">
              <w:rPr>
                <w:rFonts w:cs="Segoe UI"/>
                <w:lang w:eastAsia="en-AU"/>
              </w:rPr>
              <w:t>case management</w:t>
            </w:r>
          </w:p>
          <w:p w14:paraId="253D2192" w14:textId="7F5DE868" w:rsidR="002B6D0B" w:rsidRDefault="002B6D0B" w:rsidP="00490045">
            <w:pPr>
              <w:pStyle w:val="TableBodyCopy"/>
            </w:pPr>
            <w:r w:rsidRPr="1B598A3B">
              <w:rPr>
                <w:rFonts w:asciiTheme="majorHAnsi" w:hAnsiTheme="majorHAnsi" w:cstheme="majorBidi"/>
                <w:lang w:val="en-GB" w:eastAsia="en-AU"/>
              </w:rPr>
              <w:t xml:space="preserve">Improved access to justice, including for marginalised groups </w:t>
            </w:r>
            <w:r>
              <w:rPr>
                <w:rFonts w:asciiTheme="majorHAnsi" w:hAnsiTheme="majorHAnsi" w:cstheme="majorBidi"/>
                <w:lang w:val="en-GB" w:eastAsia="en-AU"/>
              </w:rPr>
              <w:t>(</w:t>
            </w:r>
            <w:r w:rsidRPr="29592501">
              <w:rPr>
                <w:rFonts w:asciiTheme="majorHAnsi" w:hAnsiTheme="majorHAnsi" w:cstheme="majorBidi"/>
                <w:lang w:val="en-GB" w:eastAsia="en-AU"/>
              </w:rPr>
              <w:t xml:space="preserve">case studies or sensitisation training and strengthened coordination between agencies and </w:t>
            </w:r>
            <w:r>
              <w:rPr>
                <w:rFonts w:asciiTheme="majorHAnsi" w:hAnsiTheme="majorHAnsi" w:cstheme="majorBidi"/>
                <w:lang w:val="en-GB" w:eastAsia="en-AU"/>
              </w:rPr>
              <w:t>civil society organisation</w:t>
            </w:r>
            <w:r w:rsidRPr="29592501">
              <w:rPr>
                <w:rFonts w:asciiTheme="majorHAnsi" w:hAnsiTheme="majorHAnsi" w:cstheme="majorBidi"/>
                <w:lang w:val="en-GB" w:eastAsia="en-AU"/>
              </w:rPr>
              <w:t>s</w:t>
            </w:r>
            <w:r>
              <w:rPr>
                <w:rFonts w:asciiTheme="majorHAnsi" w:hAnsiTheme="majorHAnsi" w:cstheme="majorBidi"/>
                <w:lang w:val="en-GB" w:eastAsia="en-AU"/>
              </w:rPr>
              <w:t>)</w:t>
            </w:r>
          </w:p>
        </w:tc>
        <w:tc>
          <w:tcPr>
            <w:tcW w:w="826" w:type="pct"/>
            <w:hideMark/>
          </w:tcPr>
          <w:p w14:paraId="6CED05BE" w14:textId="7549E9C9" w:rsidR="002B6D0B" w:rsidRPr="00F96538" w:rsidRDefault="002B6D0B" w:rsidP="00490045">
            <w:pPr>
              <w:pStyle w:val="TableBodyCopy"/>
              <w:rPr>
                <w:rFonts w:cs="Segoe UI"/>
                <w:lang w:eastAsia="en-AU"/>
              </w:rPr>
            </w:pPr>
            <w:r>
              <w:rPr>
                <w:rFonts w:cs="Segoe UI"/>
                <w:lang w:eastAsia="en-AU"/>
              </w:rPr>
              <w:t>I</w:t>
            </w:r>
            <w:r w:rsidRPr="00F96538">
              <w:rPr>
                <w:rFonts w:cs="Segoe UI"/>
                <w:lang w:eastAsia="en-AU"/>
              </w:rPr>
              <w:t xml:space="preserve">mproved access to </w:t>
            </w:r>
            <w:r>
              <w:rPr>
                <w:rFonts w:cs="Segoe UI"/>
                <w:lang w:eastAsia="en-AU"/>
              </w:rPr>
              <w:t>gender-based violence</w:t>
            </w:r>
            <w:r w:rsidRPr="00F96538" w:rsidDel="009A767D">
              <w:rPr>
                <w:rFonts w:cs="Segoe UI"/>
                <w:lang w:eastAsia="en-AU"/>
              </w:rPr>
              <w:t xml:space="preserve"> </w:t>
            </w:r>
            <w:r w:rsidRPr="00F96538">
              <w:rPr>
                <w:rFonts w:cs="Segoe UI"/>
                <w:lang w:eastAsia="en-AU"/>
              </w:rPr>
              <w:t>case management</w:t>
            </w:r>
          </w:p>
          <w:p w14:paraId="353DB183" w14:textId="2AAF4C5A" w:rsidR="002B6D0B" w:rsidRDefault="002B6D0B" w:rsidP="00490045">
            <w:pPr>
              <w:pStyle w:val="TableBodyCopy"/>
            </w:pPr>
            <w:r w:rsidRPr="29592501">
              <w:rPr>
                <w:rFonts w:asciiTheme="majorHAnsi" w:hAnsiTheme="majorHAnsi" w:cstheme="majorBidi"/>
                <w:lang w:val="en-GB" w:eastAsia="en-AU"/>
              </w:rPr>
              <w:t>Increased access to justice, including for marginalised groups</w:t>
            </w:r>
            <w:r>
              <w:rPr>
                <w:rFonts w:asciiTheme="majorHAnsi" w:hAnsiTheme="majorHAnsi" w:cstheme="majorBidi"/>
                <w:lang w:val="en-GB" w:eastAsia="en-AU"/>
              </w:rPr>
              <w:t xml:space="preserve"> (</w:t>
            </w:r>
            <w:r w:rsidRPr="29592501">
              <w:rPr>
                <w:rFonts w:asciiTheme="majorHAnsi" w:hAnsiTheme="majorHAnsi" w:cstheme="majorBidi"/>
                <w:lang w:val="en-GB" w:eastAsia="en-AU"/>
              </w:rPr>
              <w:t xml:space="preserve">case studies or sensitisation training and strengthened coordination between agencies and </w:t>
            </w:r>
            <w:r>
              <w:rPr>
                <w:rFonts w:asciiTheme="majorHAnsi" w:hAnsiTheme="majorHAnsi" w:cstheme="majorBidi"/>
                <w:lang w:val="en-GB" w:eastAsia="en-AU"/>
              </w:rPr>
              <w:t>civil society organisations)</w:t>
            </w:r>
          </w:p>
        </w:tc>
        <w:tc>
          <w:tcPr>
            <w:tcW w:w="826" w:type="pct"/>
          </w:tcPr>
          <w:p w14:paraId="1ACFAF68" w14:textId="6FBE7C5F" w:rsidR="002B6D0B" w:rsidRDefault="002B6D0B" w:rsidP="00243D92">
            <w:pPr>
              <w:pStyle w:val="TableBodyCopy"/>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496A91DE" w14:textId="77777777" w:rsidTr="00E90562">
        <w:trPr>
          <w:cantSplit/>
          <w:trHeight w:val="494"/>
        </w:trPr>
        <w:tc>
          <w:tcPr>
            <w:tcW w:w="826" w:type="pct"/>
          </w:tcPr>
          <w:p w14:paraId="469C7366" w14:textId="77777777" w:rsidR="00EF49A3" w:rsidRPr="00400C3C" w:rsidRDefault="00EF49A3" w:rsidP="00EF49A3">
            <w:pPr>
              <w:pStyle w:val="TableBodyCopy"/>
              <w:rPr>
                <w:lang w:eastAsia="en-AU"/>
              </w:rPr>
            </w:pPr>
            <w:r w:rsidRPr="00400C3C">
              <w:rPr>
                <w:b/>
                <w:bCs/>
                <w:lang w:eastAsia="en-AU"/>
              </w:rPr>
              <w:lastRenderedPageBreak/>
              <w:t>Outcome 2.2</w:t>
            </w:r>
          </w:p>
          <w:p w14:paraId="7B03F5CE" w14:textId="5C0AD507" w:rsidR="00EF49A3" w:rsidRDefault="00EF49A3" w:rsidP="00EF49A3">
            <w:pPr>
              <w:pStyle w:val="TableBodyCopy"/>
              <w:rPr>
                <w:lang w:eastAsia="en-AU"/>
              </w:rPr>
            </w:pPr>
            <w:r w:rsidRPr="00E90562">
              <w:rPr>
                <w:rFonts w:cstheme="minorHAnsi"/>
              </w:rPr>
              <w:t>Accountability: </w:t>
            </w:r>
            <w:r w:rsidR="00415D22">
              <w:rPr>
                <w:rFonts w:cstheme="minorHAnsi"/>
              </w:rPr>
              <w:t xml:space="preserve">Supporting </w:t>
            </w:r>
            <w:r w:rsidRPr="00E90562">
              <w:rPr>
                <w:rFonts w:cstheme="minorHAnsi"/>
              </w:rPr>
              <w:t xml:space="preserve">PNG Government institutions </w:t>
            </w:r>
            <w:r w:rsidR="000E2C1E">
              <w:rPr>
                <w:rFonts w:cstheme="minorHAnsi"/>
              </w:rPr>
              <w:t>to be</w:t>
            </w:r>
            <w:r w:rsidRPr="00E90562">
              <w:rPr>
                <w:rFonts w:cstheme="minorHAnsi"/>
              </w:rPr>
              <w:t xml:space="preserve"> accountable to their citizens and uphold human rights</w:t>
            </w:r>
          </w:p>
          <w:p w14:paraId="57EE0733" w14:textId="77777777" w:rsidR="00EF49A3" w:rsidRPr="006E31E7" w:rsidRDefault="00EF49A3" w:rsidP="00EF49A3">
            <w:pPr>
              <w:pStyle w:val="TableHeading"/>
              <w:rPr>
                <w:color w:val="auto"/>
              </w:rPr>
            </w:pPr>
          </w:p>
        </w:tc>
        <w:tc>
          <w:tcPr>
            <w:tcW w:w="826" w:type="pct"/>
          </w:tcPr>
          <w:p w14:paraId="61972709" w14:textId="5C23652F" w:rsidR="00EF49A3" w:rsidRDefault="00EF49A3" w:rsidP="00EF49A3">
            <w:pPr>
              <w:pStyle w:val="TableBodyCopy"/>
              <w:rPr>
                <w:rFonts w:cs="Segoe UI"/>
                <w:lang w:eastAsia="en-AU"/>
              </w:rPr>
            </w:pPr>
            <w:r>
              <w:rPr>
                <w:lang w:eastAsia="en-AU"/>
              </w:rPr>
              <w:t>2.2.1 O</w:t>
            </w:r>
            <w:r w:rsidRPr="00503255">
              <w:rPr>
                <w:lang w:eastAsia="en-AU"/>
              </w:rPr>
              <w:t>rganisations supported to strengthen accountability and/or inclusion, including examples of assistance provided and significant policy change achieved</w:t>
            </w:r>
          </w:p>
        </w:tc>
        <w:tc>
          <w:tcPr>
            <w:tcW w:w="868" w:type="pct"/>
          </w:tcPr>
          <w:p w14:paraId="54ED9337" w14:textId="00AA55B9" w:rsidR="00EF49A3" w:rsidRDefault="00EF49A3" w:rsidP="00EF49A3">
            <w:pPr>
              <w:pStyle w:val="TableBodyCopy"/>
              <w:rPr>
                <w:rFonts w:cstheme="majorBidi"/>
                <w:lang w:eastAsia="en-AU"/>
              </w:rPr>
            </w:pPr>
            <w:r w:rsidRPr="142142A2">
              <w:rPr>
                <w:rFonts w:cstheme="majorBidi"/>
                <w:lang w:eastAsia="en-AU"/>
              </w:rPr>
              <w:t>Continue</w:t>
            </w:r>
            <w:r>
              <w:rPr>
                <w:rFonts w:cstheme="majorBidi"/>
                <w:lang w:eastAsia="en-AU"/>
              </w:rPr>
              <w:t>d</w:t>
            </w:r>
            <w:r w:rsidRPr="142142A2">
              <w:rPr>
                <w:rFonts w:cstheme="majorBidi"/>
                <w:lang w:eastAsia="en-AU"/>
              </w:rPr>
              <w:t xml:space="preserve"> support</w:t>
            </w:r>
            <w:r>
              <w:rPr>
                <w:rFonts w:cstheme="majorBidi"/>
                <w:lang w:eastAsia="en-AU"/>
              </w:rPr>
              <w:t xml:space="preserve"> for</w:t>
            </w:r>
            <w:r w:rsidRPr="142142A2">
              <w:rPr>
                <w:rFonts w:cstheme="majorBidi"/>
                <w:lang w:eastAsia="en-AU"/>
              </w:rPr>
              <w:t xml:space="preserve"> </w:t>
            </w:r>
            <w:proofErr w:type="spellStart"/>
            <w:r w:rsidRPr="142142A2">
              <w:rPr>
                <w:rFonts w:cstheme="majorBidi"/>
                <w:lang w:eastAsia="en-AU"/>
              </w:rPr>
              <w:t>GoPNG</w:t>
            </w:r>
            <w:proofErr w:type="spellEnd"/>
            <w:r w:rsidRPr="142142A2">
              <w:rPr>
                <w:rFonts w:cstheme="majorBidi"/>
                <w:lang w:eastAsia="en-AU"/>
              </w:rPr>
              <w:t xml:space="preserve"> (10</w:t>
            </w:r>
            <w:r>
              <w:rPr>
                <w:rFonts w:cstheme="majorBidi"/>
                <w:lang w:eastAsia="en-AU"/>
              </w:rPr>
              <w:t> </w:t>
            </w:r>
            <w:r w:rsidRPr="142142A2">
              <w:rPr>
                <w:rFonts w:cstheme="majorBidi"/>
                <w:lang w:eastAsia="en-AU"/>
              </w:rPr>
              <w:t>national and 5</w:t>
            </w:r>
            <w:r>
              <w:rPr>
                <w:rFonts w:cstheme="majorBidi"/>
                <w:lang w:eastAsia="en-AU"/>
              </w:rPr>
              <w:t> </w:t>
            </w:r>
            <w:r w:rsidRPr="142142A2">
              <w:rPr>
                <w:rFonts w:cstheme="majorBidi"/>
                <w:lang w:eastAsia="en-AU"/>
              </w:rPr>
              <w:t xml:space="preserve">subnational entities) to increase accountability and transparency in government systems, policy reform and </w:t>
            </w:r>
            <w:proofErr w:type="gramStart"/>
            <w:r w:rsidRPr="142142A2">
              <w:rPr>
                <w:rFonts w:cstheme="majorBidi"/>
                <w:lang w:eastAsia="en-AU"/>
              </w:rPr>
              <w:t>implementation</w:t>
            </w:r>
            <w:proofErr w:type="gramEnd"/>
          </w:p>
          <w:p w14:paraId="7EC1799B" w14:textId="07DABECA" w:rsidR="00EF49A3" w:rsidRDefault="00EF49A3" w:rsidP="00EF49A3">
            <w:pPr>
              <w:pStyle w:val="TableBodyCopy"/>
              <w:rPr>
                <w:rFonts w:cs="Segoe UI"/>
                <w:lang w:eastAsia="en-AU"/>
              </w:rPr>
            </w:pPr>
            <w:r w:rsidRPr="1B598A3B">
              <w:rPr>
                <w:rFonts w:cstheme="majorBidi"/>
                <w:lang w:eastAsia="en-AU"/>
              </w:rPr>
              <w:t xml:space="preserve">Relevant departments supported to increase awareness of </w:t>
            </w:r>
            <w:r>
              <w:rPr>
                <w:rFonts w:cstheme="majorBidi"/>
                <w:lang w:eastAsia="en-AU"/>
              </w:rPr>
              <w:t xml:space="preserve">civil society organisations </w:t>
            </w:r>
            <w:r w:rsidRPr="1B598A3B">
              <w:rPr>
                <w:rFonts w:cstheme="majorBidi"/>
                <w:lang w:eastAsia="en-AU"/>
              </w:rPr>
              <w:t>of national budgetary processes</w:t>
            </w:r>
          </w:p>
        </w:tc>
        <w:tc>
          <w:tcPr>
            <w:tcW w:w="826" w:type="pct"/>
          </w:tcPr>
          <w:p w14:paraId="5F631A61" w14:textId="7F76E5C8" w:rsidR="00EF49A3" w:rsidRDefault="00EF49A3" w:rsidP="00EF49A3">
            <w:pPr>
              <w:pStyle w:val="TableBodyCopy"/>
              <w:rPr>
                <w:rFonts w:cs="Segoe UI"/>
                <w:lang w:eastAsia="en-AU"/>
              </w:rPr>
            </w:pPr>
            <w:r w:rsidRPr="142142A2">
              <w:rPr>
                <w:rFonts w:cstheme="majorBidi"/>
                <w:lang w:eastAsia="en-AU"/>
              </w:rPr>
              <w:t>Continue</w:t>
            </w:r>
            <w:r>
              <w:rPr>
                <w:rFonts w:cstheme="majorBidi"/>
                <w:lang w:eastAsia="en-AU"/>
              </w:rPr>
              <w:t>d</w:t>
            </w:r>
            <w:r w:rsidRPr="142142A2">
              <w:rPr>
                <w:rFonts w:cstheme="majorBidi"/>
                <w:lang w:eastAsia="en-AU"/>
              </w:rPr>
              <w:t xml:space="preserve"> support</w:t>
            </w:r>
            <w:r>
              <w:rPr>
                <w:rFonts w:cstheme="majorBidi"/>
                <w:lang w:eastAsia="en-AU"/>
              </w:rPr>
              <w:t xml:space="preserve"> for</w:t>
            </w:r>
            <w:r w:rsidRPr="142142A2">
              <w:rPr>
                <w:rFonts w:cstheme="majorBidi"/>
                <w:lang w:eastAsia="en-AU"/>
              </w:rPr>
              <w:t xml:space="preserve"> </w:t>
            </w:r>
            <w:proofErr w:type="spellStart"/>
            <w:r w:rsidRPr="142142A2">
              <w:rPr>
                <w:rFonts w:cstheme="majorBidi"/>
                <w:lang w:eastAsia="en-AU"/>
              </w:rPr>
              <w:t>GoPNG</w:t>
            </w:r>
            <w:proofErr w:type="spellEnd"/>
            <w:r w:rsidRPr="142142A2">
              <w:rPr>
                <w:rFonts w:cstheme="majorBidi"/>
                <w:lang w:eastAsia="en-AU"/>
              </w:rPr>
              <w:t xml:space="preserve"> (10</w:t>
            </w:r>
            <w:r>
              <w:rPr>
                <w:rFonts w:cstheme="majorBidi"/>
                <w:lang w:eastAsia="en-AU"/>
              </w:rPr>
              <w:t> </w:t>
            </w:r>
            <w:r w:rsidRPr="142142A2">
              <w:rPr>
                <w:rFonts w:cstheme="majorBidi"/>
                <w:lang w:eastAsia="en-AU"/>
              </w:rPr>
              <w:t>national and 5</w:t>
            </w:r>
            <w:r>
              <w:rPr>
                <w:rFonts w:cstheme="majorBidi"/>
                <w:lang w:eastAsia="en-AU"/>
              </w:rPr>
              <w:t> </w:t>
            </w:r>
            <w:r w:rsidRPr="142142A2">
              <w:rPr>
                <w:rFonts w:cstheme="majorBidi"/>
                <w:lang w:eastAsia="en-AU"/>
              </w:rPr>
              <w:t>subnational entities) to increase accountability and transparency in government systems, policy reform and implementation</w:t>
            </w:r>
          </w:p>
        </w:tc>
        <w:tc>
          <w:tcPr>
            <w:tcW w:w="826" w:type="pct"/>
          </w:tcPr>
          <w:p w14:paraId="77F7EACE" w14:textId="0182171F" w:rsidR="00EF49A3" w:rsidRDefault="00EF49A3" w:rsidP="00EF49A3">
            <w:pPr>
              <w:pStyle w:val="TableBodyCopy"/>
              <w:rPr>
                <w:rFonts w:cs="Segoe UI"/>
                <w:lang w:eastAsia="en-AU"/>
              </w:rPr>
            </w:pPr>
            <w:r w:rsidRPr="142142A2">
              <w:rPr>
                <w:rFonts w:cstheme="majorBidi"/>
                <w:lang w:eastAsia="en-AU"/>
              </w:rPr>
              <w:t>Continue</w:t>
            </w:r>
            <w:r>
              <w:rPr>
                <w:rFonts w:cstheme="majorBidi"/>
                <w:lang w:eastAsia="en-AU"/>
              </w:rPr>
              <w:t>d</w:t>
            </w:r>
            <w:r w:rsidRPr="142142A2">
              <w:rPr>
                <w:rFonts w:cstheme="majorBidi"/>
                <w:lang w:eastAsia="en-AU"/>
              </w:rPr>
              <w:t xml:space="preserve"> support</w:t>
            </w:r>
            <w:r>
              <w:rPr>
                <w:rFonts w:cstheme="majorBidi"/>
                <w:lang w:eastAsia="en-AU"/>
              </w:rPr>
              <w:t xml:space="preserve"> for</w:t>
            </w:r>
            <w:r w:rsidRPr="142142A2">
              <w:rPr>
                <w:rFonts w:cstheme="majorBidi"/>
                <w:lang w:eastAsia="en-AU"/>
              </w:rPr>
              <w:t xml:space="preserve"> </w:t>
            </w:r>
            <w:proofErr w:type="spellStart"/>
            <w:r w:rsidRPr="142142A2">
              <w:rPr>
                <w:rFonts w:cstheme="majorBidi"/>
                <w:lang w:eastAsia="en-AU"/>
              </w:rPr>
              <w:t>GoPNG</w:t>
            </w:r>
            <w:proofErr w:type="spellEnd"/>
            <w:r w:rsidRPr="142142A2">
              <w:rPr>
                <w:rFonts w:cstheme="majorBidi"/>
                <w:lang w:eastAsia="en-AU"/>
              </w:rPr>
              <w:t xml:space="preserve"> (10</w:t>
            </w:r>
            <w:r>
              <w:rPr>
                <w:rFonts w:cstheme="majorBidi"/>
                <w:lang w:eastAsia="en-AU"/>
              </w:rPr>
              <w:t> </w:t>
            </w:r>
            <w:r w:rsidRPr="142142A2">
              <w:rPr>
                <w:rFonts w:cstheme="majorBidi"/>
                <w:lang w:eastAsia="en-AU"/>
              </w:rPr>
              <w:t>national and 5</w:t>
            </w:r>
            <w:r>
              <w:rPr>
                <w:rFonts w:cstheme="majorBidi"/>
                <w:lang w:eastAsia="en-AU"/>
              </w:rPr>
              <w:t> </w:t>
            </w:r>
            <w:r w:rsidRPr="142142A2">
              <w:rPr>
                <w:rFonts w:cstheme="majorBidi"/>
                <w:lang w:eastAsia="en-AU"/>
              </w:rPr>
              <w:t>subnational entities) to increase accountability and transparency in government policies and systems</w:t>
            </w:r>
          </w:p>
        </w:tc>
        <w:tc>
          <w:tcPr>
            <w:tcW w:w="826" w:type="pct"/>
          </w:tcPr>
          <w:p w14:paraId="7CF7CC6E" w14:textId="26C8B6D2"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6814E31B" w14:textId="77777777" w:rsidTr="00E90562">
        <w:trPr>
          <w:cantSplit/>
          <w:trHeight w:val="494"/>
        </w:trPr>
        <w:tc>
          <w:tcPr>
            <w:tcW w:w="826" w:type="pct"/>
          </w:tcPr>
          <w:p w14:paraId="284DA2A5" w14:textId="03925412" w:rsidR="00EF49A3" w:rsidRPr="002A283D" w:rsidRDefault="00EF49A3" w:rsidP="002A283D">
            <w:pPr>
              <w:pStyle w:val="TableBodyCopy"/>
              <w:rPr>
                <w:b/>
              </w:rPr>
            </w:pPr>
            <w:r w:rsidRPr="002A283D">
              <w:rPr>
                <w:b/>
                <w:lang w:eastAsia="en-AU"/>
              </w:rPr>
              <w:t>Outcome 2.2</w:t>
            </w:r>
          </w:p>
        </w:tc>
        <w:tc>
          <w:tcPr>
            <w:tcW w:w="826" w:type="pct"/>
          </w:tcPr>
          <w:p w14:paraId="45656504" w14:textId="781ECCBF" w:rsidR="00EF49A3" w:rsidRDefault="00EF49A3" w:rsidP="00EF49A3">
            <w:pPr>
              <w:pStyle w:val="TableBodyCopy"/>
              <w:rPr>
                <w:rFonts w:cs="Segoe UI"/>
                <w:lang w:eastAsia="en-AU"/>
              </w:rPr>
            </w:pPr>
            <w:r>
              <w:rPr>
                <w:lang w:eastAsia="en-AU"/>
              </w:rPr>
              <w:t xml:space="preserve">2.2.2 </w:t>
            </w:r>
            <w:r w:rsidRPr="33256516">
              <w:rPr>
                <w:lang w:eastAsia="en-AU"/>
              </w:rPr>
              <w:t>Integrity institutions supported to help combat corruption</w:t>
            </w:r>
          </w:p>
        </w:tc>
        <w:tc>
          <w:tcPr>
            <w:tcW w:w="868" w:type="pct"/>
          </w:tcPr>
          <w:p w14:paraId="5DE11275" w14:textId="38D162B9" w:rsidR="00EF49A3" w:rsidRDefault="00EF49A3" w:rsidP="00EF49A3">
            <w:pPr>
              <w:pStyle w:val="TableBodyCopy"/>
              <w:rPr>
                <w:rFonts w:cs="Segoe UI"/>
                <w:lang w:eastAsia="en-AU"/>
              </w:rPr>
            </w:pPr>
            <w:r w:rsidRPr="33256516">
              <w:rPr>
                <w:lang w:eastAsia="en-AU"/>
              </w:rPr>
              <w:t xml:space="preserve">Partnership with </w:t>
            </w:r>
            <w:r>
              <w:rPr>
                <w:lang w:eastAsia="en-AU"/>
              </w:rPr>
              <w:t xml:space="preserve">United Nations Office on Drugs and Crime </w:t>
            </w:r>
            <w:r w:rsidRPr="33256516">
              <w:rPr>
                <w:lang w:eastAsia="en-AU"/>
              </w:rPr>
              <w:t xml:space="preserve">established to support </w:t>
            </w:r>
            <w:r>
              <w:rPr>
                <w:lang w:eastAsia="en-AU"/>
              </w:rPr>
              <w:t xml:space="preserve">PNG </w:t>
            </w:r>
            <w:r w:rsidRPr="33256516">
              <w:rPr>
                <w:lang w:eastAsia="en-AU"/>
              </w:rPr>
              <w:t>ICAC activities</w:t>
            </w:r>
          </w:p>
        </w:tc>
        <w:tc>
          <w:tcPr>
            <w:tcW w:w="826" w:type="pct"/>
          </w:tcPr>
          <w:p w14:paraId="1E8E01B3" w14:textId="15AD7958" w:rsidR="00EF49A3" w:rsidRDefault="00EF49A3" w:rsidP="00EF49A3">
            <w:pPr>
              <w:pStyle w:val="TableBodyCopy"/>
              <w:rPr>
                <w:rFonts w:cs="Segoe UI"/>
                <w:lang w:eastAsia="en-AU"/>
              </w:rPr>
            </w:pPr>
            <w:r w:rsidRPr="33256516">
              <w:rPr>
                <w:lang w:eastAsia="en-AU"/>
              </w:rPr>
              <w:t xml:space="preserve">Progress against </w:t>
            </w:r>
            <w:r>
              <w:rPr>
                <w:lang w:eastAsia="en-AU"/>
              </w:rPr>
              <w:t xml:space="preserve">PNG </w:t>
            </w:r>
            <w:r w:rsidRPr="33256516">
              <w:rPr>
                <w:lang w:eastAsia="en-AU"/>
              </w:rPr>
              <w:t>ICAC workplan</w:t>
            </w:r>
          </w:p>
        </w:tc>
        <w:tc>
          <w:tcPr>
            <w:tcW w:w="826" w:type="pct"/>
          </w:tcPr>
          <w:p w14:paraId="48E3F8C8" w14:textId="3BEA68B4" w:rsidR="00EF49A3" w:rsidRDefault="00EF49A3" w:rsidP="00EF49A3">
            <w:pPr>
              <w:pStyle w:val="TableBodyCopy"/>
              <w:rPr>
                <w:rFonts w:cs="Segoe UI"/>
                <w:lang w:eastAsia="en-AU"/>
              </w:rPr>
            </w:pPr>
            <w:r w:rsidRPr="33256516">
              <w:rPr>
                <w:lang w:eastAsia="en-AU"/>
              </w:rPr>
              <w:t xml:space="preserve">Progress against </w:t>
            </w:r>
            <w:r>
              <w:rPr>
                <w:lang w:eastAsia="en-AU"/>
              </w:rPr>
              <w:t xml:space="preserve">PNG </w:t>
            </w:r>
            <w:r w:rsidRPr="33256516">
              <w:rPr>
                <w:lang w:eastAsia="en-AU"/>
              </w:rPr>
              <w:t>ICAC workplan</w:t>
            </w:r>
          </w:p>
        </w:tc>
        <w:tc>
          <w:tcPr>
            <w:tcW w:w="826" w:type="pct"/>
          </w:tcPr>
          <w:p w14:paraId="6CCBF8CE" w14:textId="4163B599"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6D79093E" w14:textId="77777777" w:rsidTr="00E90562">
        <w:trPr>
          <w:cantSplit/>
          <w:trHeight w:val="494"/>
        </w:trPr>
        <w:tc>
          <w:tcPr>
            <w:tcW w:w="826" w:type="pct"/>
          </w:tcPr>
          <w:p w14:paraId="7AFBFD39" w14:textId="0FAFEA0F" w:rsidR="00EF49A3" w:rsidRPr="002A283D" w:rsidRDefault="00EF49A3" w:rsidP="002A283D">
            <w:pPr>
              <w:pStyle w:val="TableBodyCopy"/>
              <w:rPr>
                <w:b/>
              </w:rPr>
            </w:pPr>
            <w:r w:rsidRPr="002A283D">
              <w:rPr>
                <w:b/>
                <w:lang w:eastAsia="en-AU"/>
              </w:rPr>
              <w:t>Outcome 2.2</w:t>
            </w:r>
          </w:p>
        </w:tc>
        <w:tc>
          <w:tcPr>
            <w:tcW w:w="826" w:type="pct"/>
          </w:tcPr>
          <w:p w14:paraId="302E7F86" w14:textId="43F55B66" w:rsidR="00EF49A3" w:rsidRDefault="00EF49A3" w:rsidP="00EF49A3">
            <w:pPr>
              <w:pStyle w:val="TableBodyCopy"/>
              <w:rPr>
                <w:rFonts w:cs="Segoe UI"/>
                <w:lang w:eastAsia="en-AU"/>
              </w:rPr>
            </w:pPr>
            <w:r>
              <w:rPr>
                <w:lang w:eastAsia="en-AU"/>
              </w:rPr>
              <w:t xml:space="preserve">2.2.3 </w:t>
            </w:r>
            <w:r w:rsidRPr="00503255">
              <w:rPr>
                <w:rFonts w:cstheme="majorHAnsi"/>
                <w:lang w:eastAsia="en-AU"/>
              </w:rPr>
              <w:t>Electoral reform supported, including for administration, planning and delivery of elections</w:t>
            </w:r>
          </w:p>
        </w:tc>
        <w:tc>
          <w:tcPr>
            <w:tcW w:w="868" w:type="pct"/>
          </w:tcPr>
          <w:p w14:paraId="02DF0F6D" w14:textId="02D9E430" w:rsidR="00EF49A3" w:rsidRDefault="00EF49A3" w:rsidP="00EF49A3">
            <w:pPr>
              <w:pStyle w:val="TableBodyCopy"/>
              <w:rPr>
                <w:rFonts w:cs="Segoe UI"/>
                <w:lang w:eastAsia="en-AU"/>
              </w:rPr>
            </w:pPr>
            <w:r>
              <w:rPr>
                <w:lang w:eastAsia="en-AU"/>
              </w:rPr>
              <w:t xml:space="preserve">To be confirmed (TBC) </w:t>
            </w:r>
            <w:r w:rsidRPr="33F23481">
              <w:rPr>
                <w:lang w:eastAsia="en-AU"/>
              </w:rPr>
              <w:t>following design of next phase of parliamentary support program</w:t>
            </w:r>
          </w:p>
        </w:tc>
        <w:tc>
          <w:tcPr>
            <w:tcW w:w="826" w:type="pct"/>
          </w:tcPr>
          <w:p w14:paraId="425F709C" w14:textId="1CB22EC9" w:rsidR="00EF49A3" w:rsidRDefault="00EF49A3" w:rsidP="00EF49A3">
            <w:pPr>
              <w:pStyle w:val="TableBodyCopy"/>
              <w:rPr>
                <w:rFonts w:cs="Segoe UI"/>
                <w:lang w:eastAsia="en-AU"/>
              </w:rPr>
            </w:pPr>
            <w:r>
              <w:rPr>
                <w:rFonts w:cstheme="majorHAnsi"/>
                <w:lang w:eastAsia="en-AU"/>
              </w:rPr>
              <w:t>TBC following design of next phase of parliamentary support program</w:t>
            </w:r>
            <w:r w:rsidRPr="00503255">
              <w:rPr>
                <w:rFonts w:cstheme="majorHAnsi"/>
                <w:lang w:eastAsia="en-AU"/>
              </w:rPr>
              <w:t> </w:t>
            </w:r>
          </w:p>
        </w:tc>
        <w:tc>
          <w:tcPr>
            <w:tcW w:w="826" w:type="pct"/>
          </w:tcPr>
          <w:p w14:paraId="05A8D51B" w14:textId="3EC6D2FE" w:rsidR="00EF49A3" w:rsidRPr="00503255" w:rsidRDefault="00EF49A3" w:rsidP="00EF49A3">
            <w:pPr>
              <w:pStyle w:val="TableBodyCopy"/>
              <w:rPr>
                <w:rFonts w:cstheme="majorHAnsi"/>
                <w:lang w:eastAsia="en-AU"/>
              </w:rPr>
            </w:pPr>
            <w:r>
              <w:rPr>
                <w:rFonts w:cstheme="majorHAnsi"/>
                <w:lang w:eastAsia="en-AU"/>
              </w:rPr>
              <w:t xml:space="preserve">TBC following design of next phase of parliamentary support </w:t>
            </w:r>
            <w:proofErr w:type="gramStart"/>
            <w:r>
              <w:rPr>
                <w:rFonts w:cstheme="majorHAnsi"/>
                <w:lang w:eastAsia="en-AU"/>
              </w:rPr>
              <w:t>program</w:t>
            </w:r>
            <w:proofErr w:type="gramEnd"/>
          </w:p>
          <w:p w14:paraId="626FEA5D" w14:textId="7DAA65D8" w:rsidR="00EF49A3" w:rsidRDefault="00EF49A3" w:rsidP="00EF49A3">
            <w:pPr>
              <w:pStyle w:val="TableBodyCopy"/>
              <w:rPr>
                <w:rFonts w:cs="Segoe UI"/>
                <w:lang w:eastAsia="en-AU"/>
              </w:rPr>
            </w:pPr>
            <w:r w:rsidRPr="33F23481">
              <w:rPr>
                <w:lang w:eastAsia="en-AU"/>
              </w:rPr>
              <w:t xml:space="preserve">PNG </w:t>
            </w:r>
            <w:r>
              <w:rPr>
                <w:lang w:eastAsia="en-AU"/>
              </w:rPr>
              <w:t>G</w:t>
            </w:r>
            <w:r w:rsidRPr="33F23481">
              <w:rPr>
                <w:lang w:eastAsia="en-AU"/>
              </w:rPr>
              <w:t xml:space="preserve">overnment agencies better prepared to deliver </w:t>
            </w:r>
            <w:r>
              <w:rPr>
                <w:lang w:eastAsia="en-AU"/>
              </w:rPr>
              <w:t>n</w:t>
            </w:r>
            <w:r w:rsidRPr="33F23481">
              <w:rPr>
                <w:lang w:eastAsia="en-AU"/>
              </w:rPr>
              <w:t xml:space="preserve">ational </w:t>
            </w:r>
            <w:r>
              <w:rPr>
                <w:lang w:eastAsia="en-AU"/>
              </w:rPr>
              <w:t>g</w:t>
            </w:r>
            <w:r w:rsidRPr="33F23481">
              <w:rPr>
                <w:lang w:eastAsia="en-AU"/>
              </w:rPr>
              <w:t xml:space="preserve">eneral </w:t>
            </w:r>
            <w:r>
              <w:rPr>
                <w:lang w:eastAsia="en-AU"/>
              </w:rPr>
              <w:t>e</w:t>
            </w:r>
            <w:r w:rsidRPr="33F23481">
              <w:rPr>
                <w:lang w:eastAsia="en-AU"/>
              </w:rPr>
              <w:t xml:space="preserve">lections than they were in 2022 </w:t>
            </w:r>
          </w:p>
        </w:tc>
        <w:tc>
          <w:tcPr>
            <w:tcW w:w="826" w:type="pct"/>
          </w:tcPr>
          <w:p w14:paraId="7A7ECC85" w14:textId="60151A43"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47C9DE86" w14:textId="77777777" w:rsidTr="00E90562">
        <w:trPr>
          <w:cantSplit/>
          <w:trHeight w:val="494"/>
        </w:trPr>
        <w:tc>
          <w:tcPr>
            <w:tcW w:w="826" w:type="pct"/>
          </w:tcPr>
          <w:p w14:paraId="27AB85A7" w14:textId="77777777" w:rsidR="00EF49A3" w:rsidRDefault="00EF49A3" w:rsidP="00EF49A3">
            <w:pPr>
              <w:pStyle w:val="TableBodyCopy"/>
              <w:rPr>
                <w:b/>
                <w:bCs/>
                <w:lang w:eastAsia="en-AU"/>
              </w:rPr>
            </w:pPr>
            <w:r>
              <w:rPr>
                <w:b/>
                <w:bCs/>
                <w:lang w:eastAsia="en-AU"/>
              </w:rPr>
              <w:lastRenderedPageBreak/>
              <w:t>Outcome 2.3</w:t>
            </w:r>
          </w:p>
          <w:p w14:paraId="7A33237E" w14:textId="77777777" w:rsidR="00EF49A3" w:rsidRPr="00E539BE" w:rsidRDefault="00EF49A3" w:rsidP="00EF49A3">
            <w:pPr>
              <w:pStyle w:val="TableBodyCopy"/>
              <w:rPr>
                <w:lang w:eastAsia="en-AU"/>
              </w:rPr>
            </w:pPr>
            <w:r w:rsidRPr="00E90562">
              <w:t xml:space="preserve">Institutional effectiveness: National, subnational and community institutions are more effective, responsive and </w:t>
            </w:r>
            <w:proofErr w:type="gramStart"/>
            <w:r w:rsidRPr="00E90562">
              <w:t>transparent</w:t>
            </w:r>
            <w:proofErr w:type="gramEnd"/>
          </w:p>
          <w:p w14:paraId="16E59216" w14:textId="77777777" w:rsidR="00EF49A3" w:rsidRDefault="00EF49A3" w:rsidP="00EF49A3">
            <w:pPr>
              <w:pStyle w:val="TableBodyCopy"/>
              <w:rPr>
                <w:lang w:eastAsia="en-AU"/>
              </w:rPr>
            </w:pPr>
          </w:p>
          <w:p w14:paraId="18D54CB6" w14:textId="2E245570" w:rsidR="00EF49A3" w:rsidRPr="006E31E7" w:rsidRDefault="00EF49A3" w:rsidP="00EF49A3">
            <w:pPr>
              <w:pStyle w:val="TableHeading"/>
              <w:rPr>
                <w:color w:val="auto"/>
              </w:rPr>
            </w:pPr>
          </w:p>
        </w:tc>
        <w:tc>
          <w:tcPr>
            <w:tcW w:w="826" w:type="pct"/>
          </w:tcPr>
          <w:p w14:paraId="49EC90F2" w14:textId="35141FB9" w:rsidR="00EF49A3" w:rsidRDefault="00EF49A3" w:rsidP="00EF49A3">
            <w:pPr>
              <w:pStyle w:val="TableBodyCopy"/>
              <w:rPr>
                <w:rFonts w:cs="Segoe UI"/>
                <w:lang w:eastAsia="en-AU"/>
              </w:rPr>
            </w:pPr>
            <w:r>
              <w:rPr>
                <w:lang w:eastAsia="en-AU"/>
              </w:rPr>
              <w:t>2.3.1</w:t>
            </w:r>
            <w:r w:rsidRPr="5E119A8C">
              <w:rPr>
                <w:lang w:eastAsia="en-AU"/>
              </w:rPr>
              <w:t xml:space="preserve"> Reform</w:t>
            </w:r>
            <w:r w:rsidRPr="008A27B9">
              <w:rPr>
                <w:lang w:eastAsia="en-AU"/>
              </w:rPr>
              <w:t xml:space="preserve"> processes advanced with Australia’s support, including legislation</w:t>
            </w:r>
          </w:p>
        </w:tc>
        <w:tc>
          <w:tcPr>
            <w:tcW w:w="868" w:type="pct"/>
          </w:tcPr>
          <w:p w14:paraId="6011C170" w14:textId="42EE676E" w:rsidR="00EF49A3" w:rsidRDefault="00A80C03" w:rsidP="00EF49A3">
            <w:pPr>
              <w:pStyle w:val="TableBodyCopy"/>
              <w:rPr>
                <w:lang w:eastAsia="en-AU"/>
              </w:rPr>
            </w:pPr>
            <w:r>
              <w:rPr>
                <w:lang w:eastAsia="en-AU"/>
              </w:rPr>
              <w:t>Three</w:t>
            </w:r>
            <w:r w:rsidR="00EF49A3" w:rsidRPr="008A27B9">
              <w:rPr>
                <w:lang w:eastAsia="en-AU"/>
              </w:rPr>
              <w:t xml:space="preserve"> examples of reform, including </w:t>
            </w:r>
            <w:r w:rsidR="00EF49A3">
              <w:rPr>
                <w:lang w:eastAsia="en-AU"/>
              </w:rPr>
              <w:t>at the national and subnational levels</w:t>
            </w:r>
          </w:p>
          <w:p w14:paraId="2436DF99" w14:textId="77777777" w:rsidR="00EF49A3" w:rsidRDefault="00EF49A3" w:rsidP="00EF49A3">
            <w:pPr>
              <w:pStyle w:val="TableBodyCopy"/>
              <w:rPr>
                <w:lang w:eastAsia="en-AU"/>
              </w:rPr>
            </w:pPr>
            <w:r w:rsidRPr="1B598A3B">
              <w:rPr>
                <w:lang w:eastAsia="en-AU"/>
              </w:rPr>
              <w:t xml:space="preserve">Internal Revenue Commission </w:t>
            </w:r>
            <w:r>
              <w:rPr>
                <w:lang w:eastAsia="en-AU"/>
              </w:rPr>
              <w:t>s</w:t>
            </w:r>
            <w:r w:rsidRPr="1B598A3B">
              <w:rPr>
                <w:lang w:eastAsia="en-AU"/>
              </w:rPr>
              <w:t xml:space="preserve">upported to enhance internal efficiency and </w:t>
            </w:r>
            <w:proofErr w:type="gramStart"/>
            <w:r w:rsidRPr="1B598A3B">
              <w:rPr>
                <w:lang w:eastAsia="en-AU"/>
              </w:rPr>
              <w:t>effectiveness</w:t>
            </w:r>
            <w:proofErr w:type="gramEnd"/>
          </w:p>
          <w:p w14:paraId="138181E9" w14:textId="682CB85C" w:rsidR="00EF49A3" w:rsidRDefault="00EF49A3" w:rsidP="00EF49A3">
            <w:pPr>
              <w:pStyle w:val="TableBodyCopy"/>
              <w:rPr>
                <w:rFonts w:cs="Segoe UI"/>
                <w:lang w:eastAsia="en-AU"/>
              </w:rPr>
            </w:pPr>
            <w:r w:rsidRPr="229EEEE8">
              <w:rPr>
                <w:lang w:eastAsia="en-AU"/>
              </w:rPr>
              <w:t>Progress on delivery of the National Agriculture Sector Plan through provision of technical assistance, including to su</w:t>
            </w:r>
            <w:r w:rsidRPr="00A80C03">
              <w:rPr>
                <w:lang w:eastAsia="en-AU"/>
              </w:rPr>
              <w:t xml:space="preserve">pport </w:t>
            </w:r>
            <w:r w:rsidRPr="00E90562">
              <w:rPr>
                <w:lang w:eastAsia="en-AU"/>
              </w:rPr>
              <w:t xml:space="preserve">the Department of Agriculture and Livestock’s </w:t>
            </w:r>
            <w:r w:rsidRPr="00A80C03">
              <w:rPr>
                <w:lang w:eastAsia="en-AU"/>
              </w:rPr>
              <w:t>r</w:t>
            </w:r>
            <w:r w:rsidRPr="229EEEE8">
              <w:rPr>
                <w:lang w:eastAsia="en-AU"/>
              </w:rPr>
              <w:t>estructure to align with strategic priorities</w:t>
            </w:r>
          </w:p>
        </w:tc>
        <w:tc>
          <w:tcPr>
            <w:tcW w:w="826" w:type="pct"/>
          </w:tcPr>
          <w:p w14:paraId="186C44F2" w14:textId="4F02B436" w:rsidR="00EF49A3" w:rsidRDefault="00A80C03" w:rsidP="00EF49A3">
            <w:pPr>
              <w:pStyle w:val="TableBodyCopy"/>
              <w:rPr>
                <w:lang w:eastAsia="en-AU"/>
              </w:rPr>
            </w:pPr>
            <w:r>
              <w:rPr>
                <w:lang w:eastAsia="en-AU"/>
              </w:rPr>
              <w:t>Three</w:t>
            </w:r>
            <w:r w:rsidR="00EF49A3" w:rsidRPr="008A27B9">
              <w:rPr>
                <w:lang w:eastAsia="en-AU"/>
              </w:rPr>
              <w:t xml:space="preserve"> examples of reform, including </w:t>
            </w:r>
            <w:r w:rsidR="00EF49A3">
              <w:rPr>
                <w:lang w:eastAsia="en-AU"/>
              </w:rPr>
              <w:t>at the national and subnational levels</w:t>
            </w:r>
          </w:p>
          <w:p w14:paraId="6A6193FF" w14:textId="0C9DAE8A" w:rsidR="00EF49A3" w:rsidRDefault="00EF49A3" w:rsidP="00EF49A3">
            <w:pPr>
              <w:pStyle w:val="TableBodyCopy"/>
              <w:rPr>
                <w:rFonts w:cs="Segoe UI"/>
                <w:lang w:eastAsia="en-AU"/>
              </w:rPr>
            </w:pPr>
            <w:r w:rsidRPr="00DE0391">
              <w:rPr>
                <w:lang w:eastAsia="en-AU"/>
              </w:rPr>
              <w:t>Supported a key economic department to enhance internal efficiency and effectiveness</w:t>
            </w:r>
          </w:p>
        </w:tc>
        <w:tc>
          <w:tcPr>
            <w:tcW w:w="826" w:type="pct"/>
          </w:tcPr>
          <w:p w14:paraId="183DA792" w14:textId="35C85FDF" w:rsidR="00EF49A3" w:rsidRDefault="00A80C03" w:rsidP="00EF49A3">
            <w:pPr>
              <w:pStyle w:val="TableBodyCopy"/>
              <w:rPr>
                <w:lang w:eastAsia="en-AU"/>
              </w:rPr>
            </w:pPr>
            <w:r>
              <w:rPr>
                <w:lang w:eastAsia="en-AU"/>
              </w:rPr>
              <w:t>Three</w:t>
            </w:r>
            <w:r w:rsidR="00EF49A3" w:rsidRPr="008A27B9">
              <w:rPr>
                <w:lang w:eastAsia="en-AU"/>
              </w:rPr>
              <w:t xml:space="preserve"> examples of reform, including </w:t>
            </w:r>
            <w:r w:rsidR="00EF49A3">
              <w:rPr>
                <w:lang w:eastAsia="en-AU"/>
              </w:rPr>
              <w:t>at the national and subnational levels</w:t>
            </w:r>
          </w:p>
          <w:p w14:paraId="3C777AFF" w14:textId="105251CD" w:rsidR="00EF49A3" w:rsidRDefault="00EF49A3" w:rsidP="00EF49A3">
            <w:pPr>
              <w:pStyle w:val="TableBodyCopy"/>
              <w:rPr>
                <w:rFonts w:cs="Segoe UI"/>
                <w:lang w:eastAsia="en-AU"/>
              </w:rPr>
            </w:pPr>
            <w:r w:rsidRPr="00DE0391">
              <w:rPr>
                <w:lang w:eastAsia="en-AU"/>
              </w:rPr>
              <w:t>Supported a key economic department to enhance internal efficiency and effectiveness</w:t>
            </w:r>
          </w:p>
        </w:tc>
        <w:tc>
          <w:tcPr>
            <w:tcW w:w="826" w:type="pct"/>
          </w:tcPr>
          <w:p w14:paraId="4EB66EEA" w14:textId="4118DD12"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55BD545E" w14:textId="77777777" w:rsidTr="00E90562">
        <w:trPr>
          <w:cantSplit/>
          <w:trHeight w:val="494"/>
        </w:trPr>
        <w:tc>
          <w:tcPr>
            <w:tcW w:w="826" w:type="pct"/>
          </w:tcPr>
          <w:p w14:paraId="7CB2860D" w14:textId="670DEF1C" w:rsidR="00EF49A3" w:rsidRPr="002A283D" w:rsidRDefault="00EF49A3" w:rsidP="002A283D">
            <w:pPr>
              <w:pStyle w:val="TableBodyCopy"/>
              <w:rPr>
                <w:b/>
              </w:rPr>
            </w:pPr>
            <w:r w:rsidRPr="002A283D">
              <w:rPr>
                <w:b/>
                <w:lang w:eastAsia="en-AU"/>
              </w:rPr>
              <w:t>Outcome 2.3</w:t>
            </w:r>
          </w:p>
        </w:tc>
        <w:tc>
          <w:tcPr>
            <w:tcW w:w="826" w:type="pct"/>
          </w:tcPr>
          <w:p w14:paraId="67CD9070" w14:textId="6E7F8B5C" w:rsidR="00EF49A3" w:rsidRDefault="00EF49A3" w:rsidP="00EF49A3">
            <w:pPr>
              <w:pStyle w:val="TableBodyCopy"/>
              <w:rPr>
                <w:rFonts w:cs="Segoe UI"/>
                <w:lang w:eastAsia="en-AU"/>
              </w:rPr>
            </w:pPr>
            <w:r>
              <w:rPr>
                <w:lang w:eastAsia="en-AU"/>
              </w:rPr>
              <w:t>2.3.2</w:t>
            </w:r>
            <w:r w:rsidRPr="2E5C7F88">
              <w:rPr>
                <w:lang w:eastAsia="en-AU"/>
              </w:rPr>
              <w:t xml:space="preserve"> Civil </w:t>
            </w:r>
            <w:r>
              <w:rPr>
                <w:lang w:eastAsia="en-AU"/>
              </w:rPr>
              <w:t>s</w:t>
            </w:r>
            <w:r w:rsidRPr="2E5C7F88">
              <w:rPr>
                <w:lang w:eastAsia="en-AU"/>
              </w:rPr>
              <w:t xml:space="preserve">ociety </w:t>
            </w:r>
            <w:r>
              <w:rPr>
                <w:lang w:eastAsia="en-AU"/>
              </w:rPr>
              <w:t>o</w:t>
            </w:r>
            <w:r w:rsidRPr="2E5C7F88">
              <w:rPr>
                <w:lang w:eastAsia="en-AU"/>
              </w:rPr>
              <w:t>rganisations supported to strengthen accountability and/or inclusion</w:t>
            </w:r>
          </w:p>
        </w:tc>
        <w:tc>
          <w:tcPr>
            <w:tcW w:w="868" w:type="pct"/>
          </w:tcPr>
          <w:p w14:paraId="542B124C" w14:textId="1C9AEF0C" w:rsidR="00EF49A3" w:rsidRDefault="00A80C03" w:rsidP="00EF49A3">
            <w:pPr>
              <w:pStyle w:val="TableBodyCopy"/>
              <w:rPr>
                <w:rFonts w:cs="Segoe UI"/>
                <w:lang w:eastAsia="en-AU"/>
              </w:rPr>
            </w:pPr>
            <w:r>
              <w:rPr>
                <w:lang w:eastAsia="en-AU"/>
              </w:rPr>
              <w:t>Three</w:t>
            </w:r>
            <w:r w:rsidR="00EF49A3" w:rsidRPr="2E5C7F88">
              <w:rPr>
                <w:lang w:eastAsia="en-AU"/>
              </w:rPr>
              <w:t xml:space="preserve"> examples </w:t>
            </w:r>
            <w:r w:rsidR="00EF49A3" w:rsidRPr="24B1EADE">
              <w:rPr>
                <w:lang w:eastAsia="en-AU"/>
              </w:rPr>
              <w:t>of</w:t>
            </w:r>
            <w:r w:rsidR="00EF49A3" w:rsidRPr="2E5C7F88">
              <w:rPr>
                <w:lang w:eastAsia="en-AU"/>
              </w:rPr>
              <w:t xml:space="preserve"> support to civil society organisations </w:t>
            </w:r>
            <w:r w:rsidR="00EF49A3" w:rsidRPr="26988FA1">
              <w:rPr>
                <w:lang w:eastAsia="en-AU"/>
              </w:rPr>
              <w:t>(</w:t>
            </w:r>
            <w:r w:rsidR="00EF49A3">
              <w:rPr>
                <w:lang w:eastAsia="en-AU"/>
              </w:rPr>
              <w:t>for example,</w:t>
            </w:r>
            <w:r w:rsidR="00EF49A3" w:rsidRPr="26988FA1">
              <w:rPr>
                <w:lang w:eastAsia="en-AU"/>
              </w:rPr>
              <w:t xml:space="preserve"> </w:t>
            </w:r>
            <w:r w:rsidR="00EF49A3">
              <w:rPr>
                <w:lang w:eastAsia="en-AU"/>
              </w:rPr>
              <w:t>c</w:t>
            </w:r>
            <w:r w:rsidR="00EF49A3" w:rsidRPr="26988FA1">
              <w:rPr>
                <w:lang w:eastAsia="en-AU"/>
              </w:rPr>
              <w:t xml:space="preserve">hurches, </w:t>
            </w:r>
            <w:r w:rsidR="00EF49A3">
              <w:rPr>
                <w:lang w:eastAsia="en-AU"/>
              </w:rPr>
              <w:t>international NGOs</w:t>
            </w:r>
            <w:r w:rsidR="00EF49A3" w:rsidRPr="26988FA1">
              <w:rPr>
                <w:lang w:eastAsia="en-AU"/>
              </w:rPr>
              <w:t xml:space="preserve"> not</w:t>
            </w:r>
            <w:r w:rsidR="00EF49A3">
              <w:rPr>
                <w:lang w:eastAsia="en-AU"/>
              </w:rPr>
              <w:t>-</w:t>
            </w:r>
            <w:r w:rsidR="00EF49A3" w:rsidRPr="26988FA1">
              <w:rPr>
                <w:lang w:eastAsia="en-AU"/>
              </w:rPr>
              <w:t>for</w:t>
            </w:r>
            <w:r w:rsidR="00EF49A3">
              <w:rPr>
                <w:lang w:eastAsia="en-AU"/>
              </w:rPr>
              <w:t>-</w:t>
            </w:r>
            <w:r w:rsidR="00EF49A3" w:rsidRPr="26988FA1">
              <w:rPr>
                <w:lang w:eastAsia="en-AU"/>
              </w:rPr>
              <w:t>profit</w:t>
            </w:r>
            <w:r w:rsidR="00EF49A3">
              <w:rPr>
                <w:lang w:eastAsia="en-AU"/>
              </w:rPr>
              <w:t xml:space="preserve"> organisations</w:t>
            </w:r>
            <w:r w:rsidR="00EF49A3" w:rsidRPr="26988FA1">
              <w:rPr>
                <w:lang w:eastAsia="en-AU"/>
              </w:rPr>
              <w:t xml:space="preserve">, research institutes, media) </w:t>
            </w:r>
            <w:r w:rsidR="00EF49A3">
              <w:t>i</w:t>
            </w:r>
            <w:r w:rsidR="00EF49A3" w:rsidRPr="0036683A">
              <w:rPr>
                <w:lang w:eastAsia="en-AU"/>
              </w:rPr>
              <w:t xml:space="preserve">ntegrating </w:t>
            </w:r>
            <w:r w:rsidR="00EF49A3">
              <w:rPr>
                <w:lang w:eastAsia="en-AU"/>
              </w:rPr>
              <w:t xml:space="preserve">policies and </w:t>
            </w:r>
            <w:r w:rsidR="00EF49A3" w:rsidRPr="0036683A">
              <w:rPr>
                <w:lang w:eastAsia="en-AU"/>
              </w:rPr>
              <w:t xml:space="preserve">measures to promote GEDSI through their work </w:t>
            </w:r>
            <w:r w:rsidR="00EF49A3" w:rsidRPr="2E5C7F88">
              <w:rPr>
                <w:lang w:eastAsia="en-AU"/>
              </w:rPr>
              <w:t>to strengthen accountability and/or inclusion</w:t>
            </w:r>
          </w:p>
        </w:tc>
        <w:tc>
          <w:tcPr>
            <w:tcW w:w="826" w:type="pct"/>
          </w:tcPr>
          <w:p w14:paraId="1369BFE2" w14:textId="7ED16C15" w:rsidR="00EF49A3" w:rsidRDefault="00A80C03" w:rsidP="00EF49A3">
            <w:pPr>
              <w:pStyle w:val="TableBodyCopy"/>
              <w:rPr>
                <w:rFonts w:cs="Segoe UI"/>
                <w:lang w:eastAsia="en-AU"/>
              </w:rPr>
            </w:pPr>
            <w:r>
              <w:rPr>
                <w:lang w:eastAsia="en-AU"/>
              </w:rPr>
              <w:t>Three</w:t>
            </w:r>
            <w:r w:rsidR="00EF49A3" w:rsidRPr="2E5C7F88">
              <w:rPr>
                <w:lang w:eastAsia="en-AU"/>
              </w:rPr>
              <w:t xml:space="preserve"> examples of support to civil society organisations </w:t>
            </w:r>
            <w:r w:rsidR="00EF49A3" w:rsidRPr="26988FA1">
              <w:rPr>
                <w:lang w:eastAsia="en-AU"/>
              </w:rPr>
              <w:t>(</w:t>
            </w:r>
            <w:r w:rsidR="00EF49A3">
              <w:rPr>
                <w:lang w:eastAsia="en-AU"/>
              </w:rPr>
              <w:t>for example,</w:t>
            </w:r>
            <w:r w:rsidR="00EF49A3" w:rsidRPr="26988FA1">
              <w:rPr>
                <w:lang w:eastAsia="en-AU"/>
              </w:rPr>
              <w:t xml:space="preserve"> </w:t>
            </w:r>
            <w:r w:rsidR="00EF49A3">
              <w:rPr>
                <w:lang w:eastAsia="en-AU"/>
              </w:rPr>
              <w:t>c</w:t>
            </w:r>
            <w:r w:rsidR="00EF49A3" w:rsidRPr="26988FA1">
              <w:rPr>
                <w:lang w:eastAsia="en-AU"/>
              </w:rPr>
              <w:t xml:space="preserve">hurches, </w:t>
            </w:r>
            <w:r w:rsidR="00EF49A3">
              <w:rPr>
                <w:lang w:eastAsia="en-AU"/>
              </w:rPr>
              <w:t>international non-governmental organisations</w:t>
            </w:r>
            <w:r w:rsidR="00EF49A3" w:rsidRPr="26988FA1">
              <w:rPr>
                <w:lang w:eastAsia="en-AU"/>
              </w:rPr>
              <w:t>, not</w:t>
            </w:r>
            <w:r w:rsidR="00EF49A3">
              <w:rPr>
                <w:lang w:eastAsia="en-AU"/>
              </w:rPr>
              <w:t>-</w:t>
            </w:r>
            <w:r w:rsidR="00EF49A3" w:rsidRPr="26988FA1">
              <w:rPr>
                <w:lang w:eastAsia="en-AU"/>
              </w:rPr>
              <w:t>for</w:t>
            </w:r>
            <w:r w:rsidR="00EF49A3">
              <w:rPr>
                <w:lang w:eastAsia="en-AU"/>
              </w:rPr>
              <w:t>-</w:t>
            </w:r>
            <w:r w:rsidR="00EF49A3" w:rsidRPr="26988FA1">
              <w:rPr>
                <w:lang w:eastAsia="en-AU"/>
              </w:rPr>
              <w:t>profit</w:t>
            </w:r>
            <w:r w:rsidR="00EF49A3">
              <w:rPr>
                <w:lang w:eastAsia="en-AU"/>
              </w:rPr>
              <w:t xml:space="preserve"> organisations</w:t>
            </w:r>
            <w:r w:rsidR="00EF49A3" w:rsidRPr="26988FA1">
              <w:rPr>
                <w:lang w:eastAsia="en-AU"/>
              </w:rPr>
              <w:t xml:space="preserve">, research institutes, media) </w:t>
            </w:r>
            <w:r w:rsidR="00EF49A3">
              <w:t>i</w:t>
            </w:r>
            <w:r w:rsidR="00EF49A3" w:rsidRPr="000A1002">
              <w:rPr>
                <w:lang w:eastAsia="en-AU"/>
              </w:rPr>
              <w:t xml:space="preserve">ntegrating </w:t>
            </w:r>
            <w:r w:rsidR="00EF49A3">
              <w:rPr>
                <w:lang w:eastAsia="en-AU"/>
              </w:rPr>
              <w:t xml:space="preserve">policies and </w:t>
            </w:r>
            <w:r w:rsidR="00EF49A3" w:rsidRPr="000A1002">
              <w:rPr>
                <w:lang w:eastAsia="en-AU"/>
              </w:rPr>
              <w:t>measures to promote GEDSI through their work</w:t>
            </w:r>
            <w:r w:rsidR="00EF49A3">
              <w:rPr>
                <w:lang w:eastAsia="en-AU"/>
              </w:rPr>
              <w:t xml:space="preserve"> </w:t>
            </w:r>
            <w:r w:rsidR="00EF49A3" w:rsidRPr="2E5C7F88">
              <w:rPr>
                <w:lang w:eastAsia="en-AU"/>
              </w:rPr>
              <w:t>to strengthen accountability and/or inclusion</w:t>
            </w:r>
          </w:p>
        </w:tc>
        <w:tc>
          <w:tcPr>
            <w:tcW w:w="826" w:type="pct"/>
          </w:tcPr>
          <w:p w14:paraId="5AF30583" w14:textId="7D1BFA76" w:rsidR="00EF49A3" w:rsidRDefault="00EF49A3" w:rsidP="00EF49A3">
            <w:pPr>
              <w:pStyle w:val="TableBodyCopy"/>
              <w:rPr>
                <w:rFonts w:cs="Segoe UI"/>
                <w:lang w:eastAsia="en-AU"/>
              </w:rPr>
            </w:pPr>
            <w:r w:rsidRPr="05ABCB85">
              <w:rPr>
                <w:rFonts w:cs="Segoe UI"/>
                <w:lang w:eastAsia="en-AU"/>
              </w:rPr>
              <w:t>To be determined</w:t>
            </w:r>
            <w:r>
              <w:rPr>
                <w:rFonts w:cs="Segoe UI"/>
                <w:lang w:eastAsia="en-AU"/>
              </w:rPr>
              <w:t xml:space="preserve"> (TBD)</w:t>
            </w:r>
            <w:r>
              <w:t xml:space="preserve"> </w:t>
            </w:r>
            <w:r w:rsidRPr="00B22818">
              <w:rPr>
                <w:rFonts w:cs="Segoe UI"/>
                <w:lang w:eastAsia="en-AU"/>
              </w:rPr>
              <w:t>based on next phase of programming</w:t>
            </w:r>
          </w:p>
        </w:tc>
        <w:tc>
          <w:tcPr>
            <w:tcW w:w="826" w:type="pct"/>
          </w:tcPr>
          <w:p w14:paraId="38274636" w14:textId="35646B0B"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r w:rsidR="00EF49A3" w14:paraId="205AB9A5" w14:textId="77777777" w:rsidTr="00E90562">
        <w:trPr>
          <w:cantSplit/>
          <w:trHeight w:val="494"/>
        </w:trPr>
        <w:tc>
          <w:tcPr>
            <w:tcW w:w="826" w:type="pct"/>
          </w:tcPr>
          <w:p w14:paraId="1DC7B03E" w14:textId="22E21C70" w:rsidR="00EF49A3" w:rsidRPr="002A283D" w:rsidRDefault="00EF49A3" w:rsidP="002A283D">
            <w:pPr>
              <w:pStyle w:val="TableBodyCopy"/>
              <w:rPr>
                <w:b/>
              </w:rPr>
            </w:pPr>
            <w:r w:rsidRPr="002A283D">
              <w:rPr>
                <w:b/>
                <w:lang w:eastAsia="en-AU"/>
              </w:rPr>
              <w:lastRenderedPageBreak/>
              <w:t>Outcome 2.3</w:t>
            </w:r>
          </w:p>
        </w:tc>
        <w:tc>
          <w:tcPr>
            <w:tcW w:w="826" w:type="pct"/>
          </w:tcPr>
          <w:p w14:paraId="10C0ED8E" w14:textId="0F47B830" w:rsidR="00EF49A3" w:rsidRDefault="00EF49A3" w:rsidP="00EF49A3">
            <w:pPr>
              <w:pStyle w:val="TableBodyCopy"/>
              <w:rPr>
                <w:rFonts w:cs="Segoe UI"/>
                <w:lang w:eastAsia="en-AU"/>
              </w:rPr>
            </w:pPr>
            <w:r>
              <w:rPr>
                <w:lang w:eastAsia="en-AU"/>
              </w:rPr>
              <w:t xml:space="preserve">2.3.3 </w:t>
            </w:r>
            <w:r w:rsidRPr="5E119A8C">
              <w:rPr>
                <w:lang w:eastAsia="en-AU"/>
              </w:rPr>
              <w:t>Community</w:t>
            </w:r>
            <w:r w:rsidRPr="713EE1E7">
              <w:rPr>
                <w:lang w:eastAsia="en-AU"/>
              </w:rPr>
              <w:t>-level</w:t>
            </w:r>
            <w:r w:rsidRPr="5E119A8C">
              <w:rPr>
                <w:lang w:eastAsia="en-AU"/>
              </w:rPr>
              <w:t xml:space="preserve"> governance</w:t>
            </w:r>
            <w:r>
              <w:rPr>
                <w:lang w:eastAsia="en-AU"/>
              </w:rPr>
              <w:t xml:space="preserve"> </w:t>
            </w:r>
            <w:r w:rsidR="00CC0C9B">
              <w:rPr>
                <w:lang w:eastAsia="en-AU"/>
              </w:rPr>
              <w:t>m</w:t>
            </w:r>
            <w:r w:rsidR="00507009">
              <w:rPr>
                <w:lang w:eastAsia="en-AU"/>
              </w:rPr>
              <w:t>echanisms</w:t>
            </w:r>
            <w:r w:rsidRPr="5E119A8C">
              <w:rPr>
                <w:lang w:eastAsia="en-AU"/>
              </w:rPr>
              <w:t xml:space="preserve"> strengthened</w:t>
            </w:r>
          </w:p>
        </w:tc>
        <w:tc>
          <w:tcPr>
            <w:tcW w:w="868" w:type="pct"/>
          </w:tcPr>
          <w:p w14:paraId="54660872" w14:textId="4D71B605" w:rsidR="00EF49A3" w:rsidRDefault="00A80C03" w:rsidP="00EF49A3">
            <w:pPr>
              <w:pStyle w:val="TableBodyCopy"/>
              <w:rPr>
                <w:rFonts w:cs="Segoe UI"/>
                <w:lang w:eastAsia="en-AU"/>
              </w:rPr>
            </w:pPr>
            <w:r>
              <w:rPr>
                <w:lang w:eastAsia="en-AU"/>
              </w:rPr>
              <w:t>Two</w:t>
            </w:r>
            <w:r w:rsidR="00EF49A3">
              <w:rPr>
                <w:lang w:eastAsia="en-AU"/>
              </w:rPr>
              <w:t xml:space="preserve"> examples of</w:t>
            </w:r>
            <w:r w:rsidR="00EF49A3" w:rsidRPr="20EBE1F5">
              <w:rPr>
                <w:lang w:eastAsia="en-AU"/>
              </w:rPr>
              <w:t xml:space="preserve"> community-</w:t>
            </w:r>
            <w:r w:rsidR="00EF49A3" w:rsidRPr="1F0B1B13">
              <w:rPr>
                <w:lang w:eastAsia="en-AU"/>
              </w:rPr>
              <w:t>level</w:t>
            </w:r>
            <w:r w:rsidR="00EF49A3">
              <w:rPr>
                <w:lang w:eastAsia="en-AU"/>
              </w:rPr>
              <w:t xml:space="preserve"> </w:t>
            </w:r>
            <w:r w:rsidR="00EF49A3" w:rsidRPr="06876D4A">
              <w:rPr>
                <w:lang w:eastAsia="en-AU"/>
              </w:rPr>
              <w:t xml:space="preserve">organisations developing and implementing interventions for </w:t>
            </w:r>
            <w:r w:rsidR="00EF49A3" w:rsidRPr="008DEE08">
              <w:rPr>
                <w:lang w:eastAsia="en-AU"/>
              </w:rPr>
              <w:t>constructive engagement between government and communit</w:t>
            </w:r>
            <w:r w:rsidR="00EF49A3" w:rsidRPr="23177BD0">
              <w:rPr>
                <w:lang w:eastAsia="en-AU"/>
              </w:rPr>
              <w:t>ies</w:t>
            </w:r>
            <w:r w:rsidR="00EF49A3" w:rsidRPr="008DEE08">
              <w:rPr>
                <w:lang w:eastAsia="en-AU"/>
              </w:rPr>
              <w:t xml:space="preserve"> </w:t>
            </w:r>
            <w:r w:rsidR="00EF49A3" w:rsidRPr="4A857ADD">
              <w:rPr>
                <w:lang w:eastAsia="en-AU"/>
              </w:rPr>
              <w:t>to improve the delivery of essential</w:t>
            </w:r>
            <w:r w:rsidR="00EF49A3" w:rsidRPr="1F0B1B13">
              <w:rPr>
                <w:lang w:eastAsia="en-AU"/>
              </w:rPr>
              <w:t xml:space="preserve"> services</w:t>
            </w:r>
            <w:r w:rsidR="00EF49A3" w:rsidRPr="0722E3BB">
              <w:rPr>
                <w:lang w:eastAsia="en-AU"/>
              </w:rPr>
              <w:t xml:space="preserve"> and</w:t>
            </w:r>
            <w:r w:rsidR="00EF49A3" w:rsidRPr="7207EE06">
              <w:rPr>
                <w:lang w:eastAsia="en-AU"/>
              </w:rPr>
              <w:t>/or</w:t>
            </w:r>
            <w:r w:rsidR="00EF49A3" w:rsidRPr="0722E3BB">
              <w:rPr>
                <w:lang w:eastAsia="en-AU"/>
              </w:rPr>
              <w:t xml:space="preserve"> infrastructure</w:t>
            </w:r>
          </w:p>
        </w:tc>
        <w:tc>
          <w:tcPr>
            <w:tcW w:w="826" w:type="pct"/>
          </w:tcPr>
          <w:p w14:paraId="695EEF87" w14:textId="1E60BA94" w:rsidR="00EF49A3" w:rsidRDefault="00A80C03" w:rsidP="00EF49A3">
            <w:pPr>
              <w:pStyle w:val="TableBodyCopy"/>
              <w:rPr>
                <w:rFonts w:cs="Segoe UI"/>
                <w:lang w:eastAsia="en-AU"/>
              </w:rPr>
            </w:pPr>
            <w:r>
              <w:rPr>
                <w:lang w:eastAsia="en-AU"/>
              </w:rPr>
              <w:t>Two</w:t>
            </w:r>
            <w:r w:rsidR="00EF49A3">
              <w:rPr>
                <w:lang w:eastAsia="en-AU"/>
              </w:rPr>
              <w:t xml:space="preserve"> examples of </w:t>
            </w:r>
            <w:r w:rsidR="00EF49A3" w:rsidRPr="713EE1E7">
              <w:rPr>
                <w:lang w:eastAsia="en-AU"/>
              </w:rPr>
              <w:t xml:space="preserve">community-level organisations </w:t>
            </w:r>
            <w:r w:rsidR="00EF49A3" w:rsidRPr="06876D4A">
              <w:rPr>
                <w:lang w:eastAsia="en-AU"/>
              </w:rPr>
              <w:t xml:space="preserve">developing and implementing interventions for </w:t>
            </w:r>
            <w:r w:rsidR="00EF49A3" w:rsidRPr="008DEE08">
              <w:rPr>
                <w:lang w:eastAsia="en-AU"/>
              </w:rPr>
              <w:t xml:space="preserve">constructive engagement between government and </w:t>
            </w:r>
            <w:r w:rsidR="00EF49A3" w:rsidRPr="23177BD0">
              <w:rPr>
                <w:lang w:eastAsia="en-AU"/>
              </w:rPr>
              <w:t>communities</w:t>
            </w:r>
            <w:r w:rsidR="00EF49A3" w:rsidRPr="008DEE08">
              <w:rPr>
                <w:lang w:eastAsia="en-AU"/>
              </w:rPr>
              <w:t xml:space="preserve"> </w:t>
            </w:r>
            <w:r w:rsidR="00EF49A3" w:rsidRPr="713EE1E7">
              <w:rPr>
                <w:lang w:eastAsia="en-AU"/>
              </w:rPr>
              <w:t>to improve delivery of</w:t>
            </w:r>
            <w:r w:rsidR="00EF49A3" w:rsidRPr="02AB8B5D">
              <w:rPr>
                <w:lang w:eastAsia="en-AU"/>
              </w:rPr>
              <w:t xml:space="preserve"> essential services</w:t>
            </w:r>
            <w:r w:rsidR="00EF49A3" w:rsidRPr="0722E3BB">
              <w:rPr>
                <w:lang w:eastAsia="en-AU"/>
              </w:rPr>
              <w:t xml:space="preserve"> and</w:t>
            </w:r>
            <w:r w:rsidR="00EF49A3" w:rsidRPr="7207EE06">
              <w:rPr>
                <w:lang w:eastAsia="en-AU"/>
              </w:rPr>
              <w:t>/or</w:t>
            </w:r>
            <w:r w:rsidR="00EF49A3" w:rsidRPr="0722E3BB">
              <w:rPr>
                <w:lang w:eastAsia="en-AU"/>
              </w:rPr>
              <w:t xml:space="preserve"> infrastructure</w:t>
            </w:r>
          </w:p>
        </w:tc>
        <w:tc>
          <w:tcPr>
            <w:tcW w:w="826" w:type="pct"/>
          </w:tcPr>
          <w:p w14:paraId="7A180061" w14:textId="49AA472C" w:rsidR="00EF49A3" w:rsidRDefault="00EF49A3" w:rsidP="00EF49A3">
            <w:pPr>
              <w:pStyle w:val="TableBodyCopy"/>
              <w:rPr>
                <w:rFonts w:cs="Segoe UI"/>
                <w:lang w:eastAsia="en-AU"/>
              </w:rPr>
            </w:pPr>
            <w:r>
              <w:rPr>
                <w:lang w:eastAsia="en-AU"/>
              </w:rPr>
              <w:t>TBD</w:t>
            </w:r>
            <w:r>
              <w:t xml:space="preserve"> </w:t>
            </w:r>
            <w:r w:rsidRPr="00B22818">
              <w:rPr>
                <w:lang w:eastAsia="en-AU"/>
              </w:rPr>
              <w:t>based on next phase of programming</w:t>
            </w:r>
          </w:p>
        </w:tc>
        <w:tc>
          <w:tcPr>
            <w:tcW w:w="826" w:type="pct"/>
          </w:tcPr>
          <w:p w14:paraId="05D3907D" w14:textId="24794B83" w:rsidR="00EF49A3" w:rsidRPr="008A27B9" w:rsidRDefault="00EF49A3" w:rsidP="00EF49A3">
            <w:pPr>
              <w:pStyle w:val="TableBodyCopy"/>
              <w:rPr>
                <w:lang w:eastAsia="en-AU"/>
              </w:rPr>
            </w:pPr>
            <w:r w:rsidRPr="008A27B9">
              <w:rPr>
                <w:lang w:eastAsia="en-AU"/>
              </w:rPr>
              <w:t>SDG5</w:t>
            </w:r>
            <w:r>
              <w:rPr>
                <w:lang w:eastAsia="en-AU"/>
              </w:rPr>
              <w:t xml:space="preserve">, </w:t>
            </w:r>
            <w:r w:rsidRPr="008A27B9">
              <w:rPr>
                <w:lang w:eastAsia="en-AU"/>
              </w:rPr>
              <w:t>SDG10</w:t>
            </w:r>
            <w:r>
              <w:rPr>
                <w:lang w:eastAsia="en-AU"/>
              </w:rPr>
              <w:t xml:space="preserve">, </w:t>
            </w:r>
            <w:r w:rsidRPr="008A27B9">
              <w:rPr>
                <w:lang w:eastAsia="en-AU"/>
              </w:rPr>
              <w:t>SDG16</w:t>
            </w:r>
            <w:r>
              <w:rPr>
                <w:lang w:eastAsia="en-AU"/>
              </w:rPr>
              <w:t xml:space="preserve">, </w:t>
            </w:r>
            <w:r w:rsidRPr="008A27B9">
              <w:rPr>
                <w:lang w:eastAsia="en-AU"/>
              </w:rPr>
              <w:t>SDG17</w:t>
            </w:r>
          </w:p>
        </w:tc>
      </w:tr>
    </w:tbl>
    <w:p w14:paraId="7F0DB94F" w14:textId="16C1B0A1" w:rsidR="001F3990" w:rsidRDefault="001F3990" w:rsidP="009267B7">
      <w:pPr>
        <w:rPr>
          <w:b/>
        </w:rPr>
      </w:pPr>
    </w:p>
    <w:p w14:paraId="0A88F8C0" w14:textId="77777777" w:rsidR="001F3990" w:rsidRDefault="001F3990">
      <w:pPr>
        <w:spacing w:before="0" w:after="0" w:line="240" w:lineRule="auto"/>
        <w:rPr>
          <w:b/>
        </w:rPr>
      </w:pPr>
      <w:r>
        <w:rPr>
          <w:b/>
        </w:rPr>
        <w:br w:type="page"/>
      </w:r>
    </w:p>
    <w:p w14:paraId="3DEB7206" w14:textId="457D489C" w:rsidR="009148F3" w:rsidRPr="009267B7" w:rsidRDefault="009148F3" w:rsidP="009267B7">
      <w:pPr>
        <w:rPr>
          <w:b/>
          <w:i/>
        </w:rPr>
      </w:pPr>
      <w:r w:rsidRPr="009267B7">
        <w:rPr>
          <w:b/>
        </w:rPr>
        <w:lastRenderedPageBreak/>
        <w:t>Objective 3:</w:t>
      </w:r>
      <w:r w:rsidR="00D12E90" w:rsidRPr="009267B7">
        <w:rPr>
          <w:b/>
        </w:rPr>
        <w:t xml:space="preserve"> Investing in </w:t>
      </w:r>
      <w:r w:rsidR="003D6456" w:rsidRPr="009267B7">
        <w:rPr>
          <w:b/>
        </w:rPr>
        <w:t>p</w:t>
      </w:r>
      <w:r w:rsidR="00D12E90" w:rsidRPr="009267B7">
        <w:rPr>
          <w:b/>
        </w:rPr>
        <w:t xml:space="preserve">eople and </w:t>
      </w:r>
      <w:r w:rsidR="001E06AC" w:rsidRPr="009267B7">
        <w:rPr>
          <w:b/>
        </w:rPr>
        <w:t xml:space="preserve">building </w:t>
      </w:r>
      <w:r w:rsidR="003D6456" w:rsidRPr="009267B7">
        <w:rPr>
          <w:b/>
        </w:rPr>
        <w:t>r</w:t>
      </w:r>
      <w:r w:rsidR="00D12E90" w:rsidRPr="009267B7">
        <w:rPr>
          <w:b/>
        </w:rPr>
        <w:t xml:space="preserve">esilient </w:t>
      </w:r>
      <w:proofErr w:type="gramStart"/>
      <w:r w:rsidR="003D6456" w:rsidRPr="009267B7">
        <w:rPr>
          <w:b/>
        </w:rPr>
        <w:t>c</w:t>
      </w:r>
      <w:r w:rsidR="00D12E90" w:rsidRPr="009267B7">
        <w:rPr>
          <w:b/>
        </w:rPr>
        <w:t>ommunities</w:t>
      </w:r>
      <w:proofErr w:type="gramEnd"/>
    </w:p>
    <w:tbl>
      <w:tblPr>
        <w:tblStyle w:val="DFATOchre"/>
        <w:tblW w:w="5000" w:type="pct"/>
        <w:tblLook w:val="04A0" w:firstRow="1" w:lastRow="0" w:firstColumn="1" w:lastColumn="0" w:noHBand="0" w:noVBand="1"/>
        <w:tblCaption w:val="Performance assessment framework for objective 3"/>
        <w:tblDescription w:val="Expected results for the first three years of the DPP and against the Sustainable Development Goals&#10;&#10;"/>
      </w:tblPr>
      <w:tblGrid>
        <w:gridCol w:w="2394"/>
        <w:gridCol w:w="2394"/>
        <w:gridCol w:w="2394"/>
        <w:gridCol w:w="2449"/>
        <w:gridCol w:w="2393"/>
        <w:gridCol w:w="2393"/>
      </w:tblGrid>
      <w:tr w:rsidR="00B12F4B" w14:paraId="3750257E" w14:textId="77777777" w:rsidTr="00E90562">
        <w:trPr>
          <w:cnfStyle w:val="100000000000" w:firstRow="1" w:lastRow="0" w:firstColumn="0" w:lastColumn="0" w:oddVBand="0" w:evenVBand="0" w:oddHBand="0" w:evenHBand="0" w:firstRowFirstColumn="0" w:firstRowLastColumn="0" w:lastRowFirstColumn="0" w:lastRowLastColumn="0"/>
          <w:cantSplit/>
          <w:trHeight w:val="787"/>
        </w:trPr>
        <w:tc>
          <w:tcPr>
            <w:tcW w:w="830" w:type="pct"/>
            <w:hideMark/>
          </w:tcPr>
          <w:p w14:paraId="0C823543" w14:textId="37706F27" w:rsidR="00B12F4B" w:rsidRPr="00945AE5" w:rsidRDefault="00B12F4B" w:rsidP="00E90562">
            <w:pPr>
              <w:pStyle w:val="TableHeading"/>
            </w:pPr>
            <w:r w:rsidRPr="00E90562">
              <w:rPr>
                <w:b w:val="0"/>
                <w:bCs w:val="0"/>
              </w:rPr>
              <w:t>Outcome</w:t>
            </w:r>
          </w:p>
        </w:tc>
        <w:tc>
          <w:tcPr>
            <w:tcW w:w="830" w:type="pct"/>
          </w:tcPr>
          <w:p w14:paraId="701BC890" w14:textId="7A997743" w:rsidR="00B12F4B" w:rsidRPr="000B04E1" w:rsidRDefault="00B12F4B" w:rsidP="00C65616">
            <w:pPr>
              <w:pStyle w:val="TableHeading"/>
              <w:rPr>
                <w:b w:val="0"/>
                <w:bCs w:val="0"/>
              </w:rPr>
            </w:pPr>
            <w:r>
              <w:rPr>
                <w:b w:val="0"/>
                <w:bCs w:val="0"/>
              </w:rPr>
              <w:t>Indicator</w:t>
            </w:r>
          </w:p>
        </w:tc>
        <w:tc>
          <w:tcPr>
            <w:tcW w:w="830" w:type="pct"/>
            <w:hideMark/>
          </w:tcPr>
          <w:p w14:paraId="7A420016" w14:textId="12AEA1B1" w:rsidR="00B12F4B" w:rsidRPr="000B04E1" w:rsidRDefault="00B12F4B" w:rsidP="00C65616">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2024</w:t>
            </w:r>
            <w:r>
              <w:rPr>
                <w:b w:val="0"/>
                <w:bCs w:val="0"/>
              </w:rPr>
              <w:t>–</w:t>
            </w:r>
            <w:r w:rsidRPr="000B04E1">
              <w:rPr>
                <w:b w:val="0"/>
                <w:bCs w:val="0"/>
              </w:rPr>
              <w:t>25</w:t>
            </w:r>
          </w:p>
        </w:tc>
        <w:tc>
          <w:tcPr>
            <w:tcW w:w="849" w:type="pct"/>
            <w:hideMark/>
          </w:tcPr>
          <w:p w14:paraId="510A4766" w14:textId="054F1A23" w:rsidR="00B12F4B" w:rsidRPr="000B04E1" w:rsidRDefault="00B12F4B" w:rsidP="00C65616">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2025</w:t>
            </w:r>
            <w:r>
              <w:rPr>
                <w:b w:val="0"/>
                <w:bCs w:val="0"/>
              </w:rPr>
              <w:t>–</w:t>
            </w:r>
            <w:r w:rsidRPr="000B04E1">
              <w:rPr>
                <w:b w:val="0"/>
                <w:bCs w:val="0"/>
              </w:rPr>
              <w:t>26</w:t>
            </w:r>
          </w:p>
        </w:tc>
        <w:tc>
          <w:tcPr>
            <w:tcW w:w="830" w:type="pct"/>
            <w:hideMark/>
          </w:tcPr>
          <w:p w14:paraId="1261F431" w14:textId="1142C3F1" w:rsidR="00B12F4B" w:rsidRPr="000B04E1" w:rsidRDefault="00B12F4B" w:rsidP="00C65616">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2026</w:t>
            </w:r>
            <w:r>
              <w:rPr>
                <w:b w:val="0"/>
                <w:bCs w:val="0"/>
              </w:rPr>
              <w:t>–</w:t>
            </w:r>
            <w:r w:rsidRPr="000B04E1">
              <w:rPr>
                <w:b w:val="0"/>
                <w:bCs w:val="0"/>
              </w:rPr>
              <w:t>27</w:t>
            </w:r>
          </w:p>
        </w:tc>
        <w:tc>
          <w:tcPr>
            <w:tcW w:w="830" w:type="pct"/>
            <w:hideMark/>
          </w:tcPr>
          <w:p w14:paraId="52E1B100" w14:textId="18E53D0B" w:rsidR="00B12F4B" w:rsidRPr="000B04E1" w:rsidRDefault="00B12F4B" w:rsidP="00C65616">
            <w:pPr>
              <w:pStyle w:val="TableHeading"/>
              <w:rPr>
                <w:b w:val="0"/>
                <w:bCs w:val="0"/>
              </w:rPr>
            </w:pPr>
            <w:r w:rsidRPr="000B04E1">
              <w:rPr>
                <w:b w:val="0"/>
                <w:bCs w:val="0"/>
              </w:rPr>
              <w:t>S</w:t>
            </w:r>
            <w:r>
              <w:rPr>
                <w:b w:val="0"/>
                <w:bCs w:val="0"/>
              </w:rPr>
              <w:t xml:space="preserve">ustainable </w:t>
            </w:r>
            <w:r w:rsidRPr="000B04E1">
              <w:rPr>
                <w:b w:val="0"/>
                <w:bCs w:val="0"/>
              </w:rPr>
              <w:t>D</w:t>
            </w:r>
            <w:r>
              <w:rPr>
                <w:b w:val="0"/>
                <w:bCs w:val="0"/>
              </w:rPr>
              <w:t xml:space="preserve">evelopment </w:t>
            </w:r>
            <w:r w:rsidRPr="000B04E1">
              <w:rPr>
                <w:b w:val="0"/>
                <w:bCs w:val="0"/>
              </w:rPr>
              <w:t>Goals</w:t>
            </w:r>
            <w:r>
              <w:rPr>
                <w:b w:val="0"/>
                <w:bCs w:val="0"/>
              </w:rPr>
              <w:t xml:space="preserve"> (SDGs)</w:t>
            </w:r>
          </w:p>
        </w:tc>
      </w:tr>
      <w:tr w:rsidR="00B12F4B" w14:paraId="0C730077" w14:textId="77777777" w:rsidTr="00E90562">
        <w:trPr>
          <w:trHeight w:val="544"/>
        </w:trPr>
        <w:tc>
          <w:tcPr>
            <w:tcW w:w="830" w:type="pct"/>
            <w:hideMark/>
          </w:tcPr>
          <w:p w14:paraId="4C805529" w14:textId="3E913FD7" w:rsidR="00B12F4B" w:rsidRPr="00A55259" w:rsidRDefault="00B12F4B" w:rsidP="229EEEE8">
            <w:pPr>
              <w:pStyle w:val="TableBodyCopy"/>
              <w:rPr>
                <w:lang w:eastAsia="en-AU"/>
              </w:rPr>
            </w:pPr>
            <w:r>
              <w:rPr>
                <w:b/>
                <w:bCs/>
                <w:lang w:eastAsia="en-AU"/>
              </w:rPr>
              <w:t>Outcome 3.1</w:t>
            </w:r>
          </w:p>
          <w:p w14:paraId="2D76E8CD" w14:textId="7F47A504" w:rsidR="00B12F4B" w:rsidRPr="006208C3" w:rsidRDefault="00B12F4B" w:rsidP="229EEEE8">
            <w:pPr>
              <w:pStyle w:val="TableBodyCopy"/>
              <w:rPr>
                <w:lang w:eastAsia="en-AU"/>
              </w:rPr>
            </w:pPr>
            <w:r w:rsidRPr="00E90562">
              <w:rPr>
                <w:rFonts w:cstheme="minorHAnsi"/>
              </w:rPr>
              <w:t xml:space="preserve">Service delivery: PNG systems delivering greater skills development and more sustainable access to and use of essential services </w:t>
            </w:r>
            <w:r w:rsidR="00821387">
              <w:rPr>
                <w:rFonts w:cstheme="minorHAnsi"/>
              </w:rPr>
              <w:t>that</w:t>
            </w:r>
            <w:r w:rsidRPr="00E90562">
              <w:rPr>
                <w:rFonts w:cstheme="minorHAnsi"/>
              </w:rPr>
              <w:t xml:space="preserve"> are responsive to people’s </w:t>
            </w:r>
            <w:proofErr w:type="gramStart"/>
            <w:r w:rsidRPr="00E90562">
              <w:rPr>
                <w:rFonts w:cstheme="minorHAnsi"/>
              </w:rPr>
              <w:t>needs</w:t>
            </w:r>
            <w:proofErr w:type="gramEnd"/>
          </w:p>
          <w:p w14:paraId="7DDC58E9" w14:textId="77777777" w:rsidR="00B12F4B" w:rsidRDefault="00B12F4B" w:rsidP="229EEEE8">
            <w:pPr>
              <w:pStyle w:val="TableBodyCopy"/>
              <w:rPr>
                <w:lang w:eastAsia="en-AU"/>
              </w:rPr>
            </w:pPr>
          </w:p>
          <w:p w14:paraId="18BB1A1C" w14:textId="2036E114" w:rsidR="00B12F4B" w:rsidRPr="00EB1176" w:rsidRDefault="00B12F4B" w:rsidP="229EEEE8">
            <w:pPr>
              <w:pStyle w:val="TableBodyCopy"/>
              <w:rPr>
                <w:lang w:eastAsia="en-AU"/>
              </w:rPr>
            </w:pPr>
          </w:p>
        </w:tc>
        <w:tc>
          <w:tcPr>
            <w:tcW w:w="830" w:type="pct"/>
          </w:tcPr>
          <w:p w14:paraId="5DF9761F" w14:textId="5EEFDF95" w:rsidR="00B12F4B" w:rsidRPr="229EEEE8" w:rsidRDefault="00B12F4B" w:rsidP="00181277">
            <w:pPr>
              <w:pStyle w:val="TableBodyCopy"/>
              <w:rPr>
                <w:rFonts w:cs="Segoe UI"/>
                <w:lang w:eastAsia="en-AU"/>
              </w:rPr>
            </w:pPr>
            <w:r>
              <w:rPr>
                <w:rFonts w:cs="Segoe UI"/>
                <w:lang w:eastAsia="en-AU"/>
              </w:rPr>
              <w:t xml:space="preserve">3.1.1 </w:t>
            </w:r>
            <w:r w:rsidRPr="229EEEE8">
              <w:rPr>
                <w:lang w:eastAsia="en-AU"/>
              </w:rPr>
              <w:t>Improve</w:t>
            </w:r>
            <w:r w:rsidR="00764F3F">
              <w:rPr>
                <w:lang w:eastAsia="en-AU"/>
              </w:rPr>
              <w:t>d</w:t>
            </w:r>
            <w:r w:rsidRPr="229EEEE8">
              <w:rPr>
                <w:lang w:eastAsia="en-AU"/>
              </w:rPr>
              <w:t xml:space="preserve"> health system capacity to provide quality, accessible health services</w:t>
            </w:r>
          </w:p>
        </w:tc>
        <w:tc>
          <w:tcPr>
            <w:tcW w:w="830" w:type="pct"/>
            <w:hideMark/>
          </w:tcPr>
          <w:p w14:paraId="25D5AAF7" w14:textId="75879AA5" w:rsidR="00B12F4B" w:rsidRPr="00F96538" w:rsidRDefault="00B12F4B" w:rsidP="00181277">
            <w:pPr>
              <w:pStyle w:val="TableBodyCopy"/>
              <w:rPr>
                <w:rFonts w:cs="Segoe UI"/>
                <w:lang w:eastAsia="en-AU"/>
              </w:rPr>
            </w:pPr>
            <w:r w:rsidRPr="229EEEE8">
              <w:rPr>
                <w:rFonts w:cs="Segoe UI"/>
                <w:lang w:eastAsia="en-AU"/>
              </w:rPr>
              <w:t>Improved health systems capacity with increased access, including to family planning services and immunisation coverage of children aged under 1 </w:t>
            </w:r>
            <w:proofErr w:type="gramStart"/>
            <w:r w:rsidRPr="229EEEE8">
              <w:rPr>
                <w:rFonts w:cs="Segoe UI"/>
                <w:lang w:eastAsia="en-AU"/>
              </w:rPr>
              <w:t>year</w:t>
            </w:r>
            <w:proofErr w:type="gramEnd"/>
          </w:p>
          <w:p w14:paraId="2705B2C1" w14:textId="644E5D83" w:rsidR="00B12F4B" w:rsidRPr="00F96538" w:rsidRDefault="00B12F4B" w:rsidP="00181277">
            <w:pPr>
              <w:pStyle w:val="TableBodyCopy"/>
              <w:rPr>
                <w:rFonts w:cs="Segoe UI"/>
                <w:lang w:eastAsia="en-AU"/>
              </w:rPr>
            </w:pPr>
            <w:r w:rsidRPr="130A47C4">
              <w:rPr>
                <w:rFonts w:cs="Segoe UI"/>
                <w:lang w:eastAsia="en-AU"/>
              </w:rPr>
              <w:t>Increased number of patients in Western Province who have successfully completed a 6</w:t>
            </w:r>
            <w:r>
              <w:rPr>
                <w:rFonts w:cs="Segoe UI"/>
                <w:lang w:eastAsia="en-AU"/>
              </w:rPr>
              <w:t>-</w:t>
            </w:r>
            <w:r w:rsidRPr="130A47C4">
              <w:rPr>
                <w:rFonts w:cs="Segoe UI"/>
                <w:lang w:eastAsia="en-AU"/>
              </w:rPr>
              <w:t xml:space="preserve"> or 24-month treatment regime for </w:t>
            </w:r>
            <w:proofErr w:type="gramStart"/>
            <w:r w:rsidRPr="130A47C4">
              <w:rPr>
                <w:rFonts w:cs="Segoe UI"/>
                <w:lang w:eastAsia="en-AU"/>
              </w:rPr>
              <w:t>tuberculosis</w:t>
            </w:r>
            <w:proofErr w:type="gramEnd"/>
          </w:p>
          <w:p w14:paraId="52893CBA" w14:textId="7A91D73F" w:rsidR="00B12F4B" w:rsidRPr="00F96538" w:rsidRDefault="00B12F4B" w:rsidP="00181277">
            <w:pPr>
              <w:pStyle w:val="TableBodyCopy"/>
              <w:rPr>
                <w:rFonts w:cs="Segoe UI"/>
                <w:lang w:eastAsia="en-AU"/>
              </w:rPr>
            </w:pPr>
            <w:r w:rsidRPr="130A47C4">
              <w:rPr>
                <w:rFonts w:cs="Segoe UI"/>
                <w:lang w:eastAsia="en-AU"/>
              </w:rPr>
              <w:t xml:space="preserve">Daru Hospital staff housing civil works </w:t>
            </w:r>
            <w:proofErr w:type="gramStart"/>
            <w:r w:rsidRPr="130A47C4">
              <w:rPr>
                <w:rFonts w:cs="Segoe UI"/>
                <w:lang w:eastAsia="en-AU"/>
              </w:rPr>
              <w:t>completed</w:t>
            </w:r>
            <w:proofErr w:type="gramEnd"/>
          </w:p>
          <w:p w14:paraId="684CF499" w14:textId="58BCDD75" w:rsidR="00B12F4B" w:rsidRPr="00F96538" w:rsidRDefault="00B12F4B" w:rsidP="00181277">
            <w:pPr>
              <w:pStyle w:val="TableBodyCopy"/>
              <w:rPr>
                <w:rFonts w:cs="Segoe UI"/>
                <w:lang w:eastAsia="en-AU"/>
              </w:rPr>
            </w:pPr>
            <w:r w:rsidRPr="130A47C4">
              <w:rPr>
                <w:rFonts w:cs="Segoe UI"/>
                <w:lang w:eastAsia="en-AU"/>
              </w:rPr>
              <w:t>Redevelopment of ANGAU outpatient clinics on track</w:t>
            </w:r>
          </w:p>
          <w:p w14:paraId="6B507EC0" w14:textId="25CDF81F" w:rsidR="00B12F4B" w:rsidRPr="00F96538" w:rsidRDefault="00B12F4B" w:rsidP="00181277">
            <w:pPr>
              <w:pStyle w:val="TableBodyCopy"/>
              <w:rPr>
                <w:rFonts w:cs="Segoe UI"/>
                <w:lang w:eastAsia="en-AU"/>
              </w:rPr>
            </w:pPr>
            <w:r w:rsidRPr="130A47C4">
              <w:rPr>
                <w:rFonts w:cs="Segoe UI"/>
                <w:lang w:eastAsia="en-AU"/>
              </w:rPr>
              <w:t xml:space="preserve">Civil works for </w:t>
            </w:r>
            <w:r w:rsidR="00A80C03">
              <w:rPr>
                <w:rFonts w:cs="Segoe UI"/>
                <w:lang w:eastAsia="en-AU"/>
              </w:rPr>
              <w:t>two</w:t>
            </w:r>
            <w:r>
              <w:rPr>
                <w:rFonts w:cs="Segoe UI"/>
                <w:lang w:eastAsia="en-AU"/>
              </w:rPr>
              <w:t xml:space="preserve"> </w:t>
            </w:r>
            <w:r w:rsidRPr="130A47C4">
              <w:rPr>
                <w:rFonts w:cs="Segoe UI"/>
                <w:lang w:eastAsia="en-AU"/>
              </w:rPr>
              <w:t>health facilities in</w:t>
            </w:r>
            <w:r>
              <w:rPr>
                <w:rFonts w:cs="Segoe UI"/>
                <w:lang w:eastAsia="en-AU"/>
              </w:rPr>
              <w:t xml:space="preserve"> the Autonomous Region of Bougainville (</w:t>
            </w:r>
            <w:proofErr w:type="spellStart"/>
            <w:r w:rsidRPr="130A47C4">
              <w:rPr>
                <w:rFonts w:cs="Segoe UI"/>
                <w:lang w:eastAsia="en-AU"/>
              </w:rPr>
              <w:t>ARoB</w:t>
            </w:r>
            <w:proofErr w:type="spellEnd"/>
            <w:r>
              <w:rPr>
                <w:rFonts w:cs="Segoe UI"/>
                <w:lang w:eastAsia="en-AU"/>
              </w:rPr>
              <w:t>)</w:t>
            </w:r>
            <w:r w:rsidRPr="130A47C4">
              <w:rPr>
                <w:rFonts w:cs="Segoe UI"/>
                <w:lang w:eastAsia="en-AU"/>
              </w:rPr>
              <w:t xml:space="preserve"> under</w:t>
            </w:r>
            <w:r w:rsidR="00A866E2">
              <w:rPr>
                <w:rFonts w:cs="Segoe UI"/>
                <w:lang w:eastAsia="en-AU"/>
              </w:rPr>
              <w:t xml:space="preserve"> </w:t>
            </w:r>
            <w:r w:rsidRPr="130A47C4">
              <w:rPr>
                <w:rFonts w:cs="Segoe UI"/>
                <w:lang w:eastAsia="en-AU"/>
              </w:rPr>
              <w:t>way</w:t>
            </w:r>
          </w:p>
          <w:p w14:paraId="5CE554A6" w14:textId="64F8DEE6" w:rsidR="00B12F4B" w:rsidRDefault="00B12F4B" w:rsidP="00181277">
            <w:pPr>
              <w:pStyle w:val="TableBodyCopy"/>
            </w:pPr>
            <w:r w:rsidRPr="130A47C4">
              <w:rPr>
                <w:rFonts w:cs="Segoe UI"/>
                <w:lang w:eastAsia="en-AU"/>
              </w:rPr>
              <w:t xml:space="preserve">Assessment of all </w:t>
            </w:r>
            <w:r>
              <w:rPr>
                <w:rFonts w:cs="Segoe UI"/>
                <w:lang w:eastAsia="en-AU"/>
              </w:rPr>
              <w:t>L</w:t>
            </w:r>
            <w:r w:rsidRPr="130A47C4">
              <w:rPr>
                <w:rFonts w:cs="Segoe UI"/>
                <w:lang w:eastAsia="en-AU"/>
              </w:rPr>
              <w:t xml:space="preserve">evel 4 and 5 and identified </w:t>
            </w:r>
            <w:r>
              <w:rPr>
                <w:rFonts w:cs="Segoe UI"/>
                <w:lang w:eastAsia="en-AU"/>
              </w:rPr>
              <w:t>L</w:t>
            </w:r>
            <w:r w:rsidRPr="130A47C4">
              <w:rPr>
                <w:rFonts w:cs="Segoe UI"/>
                <w:lang w:eastAsia="en-AU"/>
              </w:rPr>
              <w:t xml:space="preserve">evel 3 health </w:t>
            </w:r>
            <w:proofErr w:type="spellStart"/>
            <w:r w:rsidRPr="130A47C4">
              <w:rPr>
                <w:rFonts w:cs="Segoe UI"/>
                <w:lang w:eastAsia="en-AU"/>
              </w:rPr>
              <w:t>facilities</w:t>
            </w:r>
            <w:hyperlink w:anchor="T3nb" w:history="1">
              <w:r w:rsidRPr="00E90562">
                <w:rPr>
                  <w:rStyle w:val="Hyperlink"/>
                  <w:vertAlign w:val="superscript"/>
                </w:rPr>
                <w:t>b</w:t>
              </w:r>
              <w:proofErr w:type="spellEnd"/>
            </w:hyperlink>
            <w:r w:rsidRPr="130A47C4">
              <w:rPr>
                <w:rFonts w:cs="Segoe UI"/>
                <w:lang w:eastAsia="en-AU"/>
              </w:rPr>
              <w:t xml:space="preserve"> across PNG</w:t>
            </w:r>
            <w:r w:rsidR="007D2EAA">
              <w:rPr>
                <w:rFonts w:cs="Segoe UI"/>
                <w:lang w:eastAsia="en-AU"/>
              </w:rPr>
              <w:t xml:space="preserve"> </w:t>
            </w:r>
            <w:r w:rsidR="007D2EAA">
              <w:rPr>
                <w:lang w:eastAsia="en-AU"/>
              </w:rPr>
              <w:t xml:space="preserve">– </w:t>
            </w:r>
            <w:r w:rsidRPr="130A47C4">
              <w:rPr>
                <w:rFonts w:cs="Segoe UI"/>
                <w:lang w:eastAsia="en-AU"/>
              </w:rPr>
              <w:t xml:space="preserve">focused on the condition of the infrastructure (including climate change vulnerabilities), the status of human resources and the coverage of services </w:t>
            </w:r>
            <w:r w:rsidRPr="130A47C4">
              <w:rPr>
                <w:rFonts w:cs="Segoe UI"/>
                <w:lang w:eastAsia="en-AU"/>
              </w:rPr>
              <w:lastRenderedPageBreak/>
              <w:t>each facility provides</w:t>
            </w:r>
            <w:r w:rsidR="007D2EAA">
              <w:rPr>
                <w:rFonts w:cs="Segoe UI"/>
                <w:lang w:eastAsia="en-AU"/>
              </w:rPr>
              <w:t xml:space="preserve"> </w:t>
            </w:r>
            <w:r w:rsidR="007D2EAA">
              <w:rPr>
                <w:lang w:eastAsia="en-AU"/>
              </w:rPr>
              <w:t xml:space="preserve">– </w:t>
            </w:r>
            <w:r w:rsidRPr="130A47C4">
              <w:rPr>
                <w:rFonts w:cs="Segoe UI"/>
                <w:lang w:eastAsia="en-AU"/>
              </w:rPr>
              <w:t>has commenced</w:t>
            </w:r>
          </w:p>
        </w:tc>
        <w:tc>
          <w:tcPr>
            <w:tcW w:w="849" w:type="pct"/>
            <w:hideMark/>
          </w:tcPr>
          <w:p w14:paraId="67FAEDA4" w14:textId="2BC61401" w:rsidR="00B12F4B" w:rsidRPr="00F96538" w:rsidRDefault="00B12F4B" w:rsidP="00181277">
            <w:pPr>
              <w:pStyle w:val="TableBodyCopy"/>
              <w:rPr>
                <w:rFonts w:cs="Segoe UI"/>
                <w:lang w:eastAsia="en-AU"/>
              </w:rPr>
            </w:pPr>
            <w:r w:rsidRPr="229EEEE8">
              <w:rPr>
                <w:rFonts w:cs="Segoe UI"/>
                <w:lang w:eastAsia="en-AU"/>
              </w:rPr>
              <w:lastRenderedPageBreak/>
              <w:t>Improved health systems capacity with increased access, including to family planning services and immunisation coverage of children aged under 1 </w:t>
            </w:r>
            <w:proofErr w:type="gramStart"/>
            <w:r w:rsidRPr="229EEEE8">
              <w:rPr>
                <w:rFonts w:cs="Segoe UI"/>
                <w:lang w:eastAsia="en-AU"/>
              </w:rPr>
              <w:t>year</w:t>
            </w:r>
            <w:proofErr w:type="gramEnd"/>
          </w:p>
          <w:p w14:paraId="406D0B30" w14:textId="4E2DC801" w:rsidR="00B12F4B" w:rsidRPr="00F96538" w:rsidRDefault="00B12F4B" w:rsidP="00181277">
            <w:pPr>
              <w:pStyle w:val="TableBodyCopy"/>
              <w:rPr>
                <w:rFonts w:cs="Segoe UI"/>
                <w:lang w:eastAsia="en-AU"/>
              </w:rPr>
            </w:pPr>
            <w:r w:rsidRPr="130A47C4">
              <w:rPr>
                <w:rFonts w:cs="Segoe UI"/>
                <w:lang w:eastAsia="en-AU"/>
              </w:rPr>
              <w:t>Increased number of patients in Western Province who have successfully completed a 6</w:t>
            </w:r>
            <w:r>
              <w:rPr>
                <w:rFonts w:cs="Segoe UI"/>
                <w:lang w:eastAsia="en-AU"/>
              </w:rPr>
              <w:t>-</w:t>
            </w:r>
            <w:r w:rsidRPr="130A47C4">
              <w:rPr>
                <w:rFonts w:cs="Segoe UI"/>
                <w:lang w:eastAsia="en-AU"/>
              </w:rPr>
              <w:t xml:space="preserve"> or 24-month treatment regime for </w:t>
            </w:r>
            <w:proofErr w:type="gramStart"/>
            <w:r w:rsidRPr="130A47C4">
              <w:rPr>
                <w:rFonts w:cs="Segoe UI"/>
                <w:lang w:eastAsia="en-AU"/>
              </w:rPr>
              <w:t>tuberculosis</w:t>
            </w:r>
            <w:proofErr w:type="gramEnd"/>
          </w:p>
          <w:p w14:paraId="347691B8" w14:textId="5D195093" w:rsidR="00B12F4B" w:rsidRPr="00F96538" w:rsidRDefault="00B12F4B" w:rsidP="00181277">
            <w:pPr>
              <w:pStyle w:val="TableBodyCopy"/>
              <w:rPr>
                <w:rFonts w:cs="Segoe UI"/>
                <w:lang w:eastAsia="en-AU"/>
              </w:rPr>
            </w:pPr>
            <w:r w:rsidRPr="130A47C4">
              <w:rPr>
                <w:rFonts w:cs="Segoe UI"/>
                <w:lang w:eastAsia="en-AU"/>
              </w:rPr>
              <w:t>Daru Hospital staff housing construction on track</w:t>
            </w:r>
          </w:p>
          <w:p w14:paraId="60D54DD3" w14:textId="10DE03C9" w:rsidR="00B12F4B" w:rsidRPr="00F96538" w:rsidRDefault="00B12F4B" w:rsidP="00181277">
            <w:pPr>
              <w:pStyle w:val="TableBodyCopy"/>
              <w:rPr>
                <w:rFonts w:cs="Segoe UI"/>
                <w:lang w:eastAsia="en-AU"/>
              </w:rPr>
            </w:pPr>
            <w:r w:rsidRPr="130A47C4">
              <w:rPr>
                <w:rFonts w:cs="Segoe UI"/>
                <w:lang w:eastAsia="en-AU"/>
              </w:rPr>
              <w:t>Redevelopment of ANGAU outpatient clinics on track</w:t>
            </w:r>
          </w:p>
          <w:p w14:paraId="09F38EBB" w14:textId="52E23B9C" w:rsidR="00B12F4B" w:rsidRPr="00F96538" w:rsidRDefault="00B12F4B" w:rsidP="00181277">
            <w:pPr>
              <w:pStyle w:val="TableBodyCopy"/>
              <w:rPr>
                <w:rFonts w:cs="Segoe UI"/>
                <w:lang w:eastAsia="en-AU"/>
              </w:rPr>
            </w:pPr>
            <w:r w:rsidRPr="229EEEE8">
              <w:rPr>
                <w:rFonts w:cs="Segoe UI"/>
                <w:lang w:eastAsia="en-AU"/>
              </w:rPr>
              <w:t xml:space="preserve">Construction for </w:t>
            </w:r>
            <w:r w:rsidR="00A80C03">
              <w:rPr>
                <w:rFonts w:cs="Segoe UI"/>
                <w:lang w:eastAsia="en-AU"/>
              </w:rPr>
              <w:t>two</w:t>
            </w:r>
            <w:r w:rsidRPr="229EEEE8">
              <w:rPr>
                <w:rFonts w:cs="Segoe UI"/>
                <w:lang w:eastAsia="en-AU"/>
              </w:rPr>
              <w:t xml:space="preserve"> health facilities in </w:t>
            </w:r>
            <w:proofErr w:type="spellStart"/>
            <w:r w:rsidRPr="229EEEE8">
              <w:rPr>
                <w:rFonts w:cs="Segoe UI"/>
                <w:lang w:eastAsia="en-AU"/>
              </w:rPr>
              <w:t>A</w:t>
            </w:r>
            <w:r w:rsidR="00E6222E">
              <w:rPr>
                <w:rFonts w:cs="Segoe UI"/>
                <w:lang w:eastAsia="en-AU"/>
              </w:rPr>
              <w:t>R</w:t>
            </w:r>
            <w:r w:rsidRPr="229EEEE8">
              <w:rPr>
                <w:rFonts w:cs="Segoe UI"/>
                <w:lang w:eastAsia="en-AU"/>
              </w:rPr>
              <w:t>oB</w:t>
            </w:r>
            <w:proofErr w:type="spellEnd"/>
            <w:r w:rsidRPr="229EEEE8">
              <w:rPr>
                <w:rFonts w:cs="Segoe UI"/>
                <w:lang w:eastAsia="en-AU"/>
              </w:rPr>
              <w:t xml:space="preserve"> under</w:t>
            </w:r>
            <w:r w:rsidR="00A866E2">
              <w:rPr>
                <w:rFonts w:cs="Segoe UI"/>
                <w:lang w:eastAsia="en-AU"/>
              </w:rPr>
              <w:t xml:space="preserve"> </w:t>
            </w:r>
            <w:r w:rsidRPr="229EEEE8">
              <w:rPr>
                <w:rFonts w:cs="Segoe UI"/>
                <w:lang w:eastAsia="en-AU"/>
              </w:rPr>
              <w:t>way</w:t>
            </w:r>
          </w:p>
          <w:p w14:paraId="64ED5226" w14:textId="1D0F2684" w:rsidR="00B12F4B" w:rsidRDefault="00B12F4B" w:rsidP="00181277">
            <w:pPr>
              <w:pStyle w:val="TableBodyCopy"/>
            </w:pPr>
            <w:r w:rsidRPr="130A47C4">
              <w:rPr>
                <w:rFonts w:cs="Segoe UI"/>
                <w:lang w:eastAsia="en-AU"/>
              </w:rPr>
              <w:t xml:space="preserve">Assessment of all </w:t>
            </w:r>
            <w:r>
              <w:rPr>
                <w:rFonts w:cs="Segoe UI"/>
                <w:lang w:eastAsia="en-AU"/>
              </w:rPr>
              <w:t>L</w:t>
            </w:r>
            <w:r w:rsidRPr="130A47C4">
              <w:rPr>
                <w:rFonts w:cs="Segoe UI"/>
                <w:lang w:eastAsia="en-AU"/>
              </w:rPr>
              <w:t xml:space="preserve">evel 4 and 5 and identified </w:t>
            </w:r>
            <w:r>
              <w:rPr>
                <w:rFonts w:cs="Segoe UI"/>
                <w:lang w:eastAsia="en-AU"/>
              </w:rPr>
              <w:t>L</w:t>
            </w:r>
            <w:r w:rsidRPr="130A47C4">
              <w:rPr>
                <w:rFonts w:cs="Segoe UI"/>
                <w:lang w:eastAsia="en-AU"/>
              </w:rPr>
              <w:t>evel 3 health facilities across PNG</w:t>
            </w:r>
            <w:r w:rsidR="007D2EAA">
              <w:rPr>
                <w:rFonts w:cs="Segoe UI"/>
                <w:lang w:eastAsia="en-AU"/>
              </w:rPr>
              <w:t xml:space="preserve"> </w:t>
            </w:r>
            <w:r w:rsidR="007D2EAA">
              <w:rPr>
                <w:lang w:eastAsia="en-AU"/>
              </w:rPr>
              <w:t>–</w:t>
            </w:r>
            <w:r w:rsidRPr="130A47C4" w:rsidDel="00A662A1">
              <w:rPr>
                <w:rFonts w:cs="Segoe UI"/>
                <w:lang w:eastAsia="en-AU"/>
              </w:rPr>
              <w:t xml:space="preserve"> </w:t>
            </w:r>
            <w:r w:rsidRPr="130A47C4">
              <w:rPr>
                <w:rFonts w:cs="Segoe UI"/>
                <w:lang w:eastAsia="en-AU"/>
              </w:rPr>
              <w:t>focused on the condition of the infrastructure (including climate change vulnerabilities), the status of human resources and the coverage of services each facility provides</w:t>
            </w:r>
            <w:r w:rsidR="007D2EAA">
              <w:rPr>
                <w:rFonts w:cs="Segoe UI"/>
                <w:lang w:eastAsia="en-AU"/>
              </w:rPr>
              <w:t xml:space="preserve"> </w:t>
            </w:r>
            <w:r w:rsidR="007D2EAA">
              <w:rPr>
                <w:lang w:eastAsia="en-AU"/>
              </w:rPr>
              <w:t xml:space="preserve">– </w:t>
            </w:r>
            <w:r w:rsidRPr="130A47C4">
              <w:rPr>
                <w:rFonts w:cs="Segoe UI"/>
                <w:lang w:eastAsia="en-AU"/>
              </w:rPr>
              <w:t>is on track</w:t>
            </w:r>
          </w:p>
        </w:tc>
        <w:tc>
          <w:tcPr>
            <w:tcW w:w="830" w:type="pct"/>
            <w:hideMark/>
          </w:tcPr>
          <w:p w14:paraId="6D3B5401" w14:textId="26ED1B48" w:rsidR="00B12F4B" w:rsidRPr="00F96538" w:rsidRDefault="00B12F4B" w:rsidP="00181277">
            <w:pPr>
              <w:pStyle w:val="TableBodyCopy"/>
              <w:rPr>
                <w:rFonts w:cs="Segoe UI"/>
                <w:lang w:eastAsia="en-AU"/>
              </w:rPr>
            </w:pPr>
            <w:r w:rsidRPr="229EEEE8">
              <w:rPr>
                <w:rFonts w:cs="Segoe UI"/>
                <w:lang w:eastAsia="en-AU"/>
              </w:rPr>
              <w:t>Improved health systems capacity with increased access. including to family planning services and immunisation coverage of children aged under 1 </w:t>
            </w:r>
            <w:proofErr w:type="gramStart"/>
            <w:r w:rsidRPr="229EEEE8">
              <w:rPr>
                <w:rFonts w:cs="Segoe UI"/>
                <w:lang w:eastAsia="en-AU"/>
              </w:rPr>
              <w:t>year</w:t>
            </w:r>
            <w:proofErr w:type="gramEnd"/>
          </w:p>
          <w:p w14:paraId="1F852A15" w14:textId="162993CD" w:rsidR="00B12F4B" w:rsidRPr="00F96538" w:rsidRDefault="00B12F4B" w:rsidP="00181277">
            <w:pPr>
              <w:pStyle w:val="TableBodyCopy"/>
              <w:rPr>
                <w:rFonts w:cs="Segoe UI"/>
                <w:lang w:eastAsia="en-AU"/>
              </w:rPr>
            </w:pPr>
            <w:r w:rsidRPr="130A47C4">
              <w:rPr>
                <w:rFonts w:cs="Segoe UI"/>
                <w:lang w:eastAsia="en-AU"/>
              </w:rPr>
              <w:t>Increased number of patients in Western Province who have successfully completed a 6</w:t>
            </w:r>
            <w:r>
              <w:rPr>
                <w:rFonts w:cs="Segoe UI"/>
                <w:lang w:eastAsia="en-AU"/>
              </w:rPr>
              <w:t>-</w:t>
            </w:r>
            <w:r w:rsidRPr="130A47C4">
              <w:rPr>
                <w:rFonts w:cs="Segoe UI"/>
                <w:lang w:eastAsia="en-AU"/>
              </w:rPr>
              <w:t xml:space="preserve"> or 24-month treatment regime for </w:t>
            </w:r>
            <w:proofErr w:type="gramStart"/>
            <w:r w:rsidRPr="130A47C4">
              <w:rPr>
                <w:rFonts w:cs="Segoe UI"/>
                <w:lang w:eastAsia="en-AU"/>
              </w:rPr>
              <w:t>tuberculosis</w:t>
            </w:r>
            <w:proofErr w:type="gramEnd"/>
          </w:p>
          <w:p w14:paraId="32252F20" w14:textId="2DBC2AC2" w:rsidR="00B12F4B" w:rsidRPr="00F96538" w:rsidRDefault="00B12F4B" w:rsidP="00181277">
            <w:pPr>
              <w:pStyle w:val="TableBodyCopy"/>
              <w:rPr>
                <w:rFonts w:cs="Segoe UI"/>
                <w:lang w:eastAsia="en-AU"/>
              </w:rPr>
            </w:pPr>
            <w:r w:rsidRPr="130A47C4">
              <w:rPr>
                <w:rFonts w:cs="Segoe UI"/>
                <w:lang w:eastAsia="en-AU"/>
              </w:rPr>
              <w:t xml:space="preserve">Daru Hospital staff housing construction </w:t>
            </w:r>
            <w:proofErr w:type="gramStart"/>
            <w:r w:rsidRPr="130A47C4">
              <w:rPr>
                <w:rFonts w:cs="Segoe UI"/>
                <w:lang w:eastAsia="en-AU"/>
              </w:rPr>
              <w:t>completed</w:t>
            </w:r>
            <w:proofErr w:type="gramEnd"/>
          </w:p>
          <w:p w14:paraId="578DA941" w14:textId="5B5A13C3" w:rsidR="00B12F4B" w:rsidRPr="00F96538" w:rsidRDefault="00B12F4B" w:rsidP="00181277">
            <w:pPr>
              <w:pStyle w:val="TableBodyCopy"/>
              <w:rPr>
                <w:rFonts w:cs="Segoe UI"/>
                <w:lang w:eastAsia="en-AU"/>
              </w:rPr>
            </w:pPr>
            <w:r w:rsidRPr="130A47C4">
              <w:rPr>
                <w:rFonts w:cs="Segoe UI"/>
                <w:lang w:eastAsia="en-AU"/>
              </w:rPr>
              <w:t xml:space="preserve">Redevelopment of ANGAU outpatient clinics </w:t>
            </w:r>
            <w:proofErr w:type="gramStart"/>
            <w:r w:rsidRPr="130A47C4">
              <w:rPr>
                <w:rFonts w:cs="Segoe UI"/>
                <w:lang w:eastAsia="en-AU"/>
              </w:rPr>
              <w:t>completed</w:t>
            </w:r>
            <w:proofErr w:type="gramEnd"/>
          </w:p>
          <w:p w14:paraId="373D4581" w14:textId="2EA68660" w:rsidR="00B12F4B" w:rsidRPr="00F96538" w:rsidRDefault="00B12F4B" w:rsidP="00181277">
            <w:pPr>
              <w:pStyle w:val="TableBodyCopy"/>
              <w:rPr>
                <w:rFonts w:cs="Segoe UI"/>
                <w:lang w:eastAsia="en-AU"/>
              </w:rPr>
            </w:pPr>
            <w:r w:rsidRPr="130A47C4">
              <w:rPr>
                <w:rFonts w:cs="Segoe UI"/>
                <w:lang w:eastAsia="en-AU"/>
              </w:rPr>
              <w:t xml:space="preserve">Construction for </w:t>
            </w:r>
            <w:r w:rsidR="00A80C03">
              <w:rPr>
                <w:rFonts w:cs="Segoe UI"/>
                <w:lang w:eastAsia="en-AU"/>
              </w:rPr>
              <w:t>two</w:t>
            </w:r>
            <w:r>
              <w:rPr>
                <w:rFonts w:cs="Segoe UI"/>
                <w:lang w:eastAsia="en-AU"/>
              </w:rPr>
              <w:t xml:space="preserve"> </w:t>
            </w:r>
            <w:r w:rsidRPr="130A47C4">
              <w:rPr>
                <w:rFonts w:cs="Segoe UI"/>
                <w:lang w:eastAsia="en-AU"/>
              </w:rPr>
              <w:t xml:space="preserve">health facilities in </w:t>
            </w:r>
            <w:proofErr w:type="spellStart"/>
            <w:r w:rsidRPr="130A47C4">
              <w:rPr>
                <w:rFonts w:cs="Segoe UI"/>
                <w:lang w:eastAsia="en-AU"/>
              </w:rPr>
              <w:t>A</w:t>
            </w:r>
            <w:r w:rsidR="00E6222E">
              <w:rPr>
                <w:rFonts w:cs="Segoe UI"/>
                <w:lang w:eastAsia="en-AU"/>
              </w:rPr>
              <w:t>R</w:t>
            </w:r>
            <w:r w:rsidRPr="130A47C4">
              <w:rPr>
                <w:rFonts w:cs="Segoe UI"/>
                <w:lang w:eastAsia="en-AU"/>
              </w:rPr>
              <w:t>oB</w:t>
            </w:r>
            <w:proofErr w:type="spellEnd"/>
            <w:r w:rsidRPr="130A47C4">
              <w:rPr>
                <w:rFonts w:cs="Segoe UI"/>
                <w:lang w:eastAsia="en-AU"/>
              </w:rPr>
              <w:t xml:space="preserve"> on track</w:t>
            </w:r>
          </w:p>
          <w:p w14:paraId="7F756094" w14:textId="259FE338" w:rsidR="00B12F4B" w:rsidRDefault="00B12F4B" w:rsidP="00181277">
            <w:pPr>
              <w:pStyle w:val="TableBodyCopy"/>
            </w:pPr>
            <w:r w:rsidRPr="1B598A3B">
              <w:rPr>
                <w:rFonts w:cs="Segoe UI"/>
                <w:lang w:eastAsia="en-AU"/>
              </w:rPr>
              <w:t xml:space="preserve">Assessment of all </w:t>
            </w:r>
            <w:r>
              <w:rPr>
                <w:rFonts w:cs="Segoe UI"/>
                <w:lang w:eastAsia="en-AU"/>
              </w:rPr>
              <w:t>L</w:t>
            </w:r>
            <w:r w:rsidRPr="1B598A3B">
              <w:rPr>
                <w:rFonts w:cs="Segoe UI"/>
                <w:lang w:eastAsia="en-AU"/>
              </w:rPr>
              <w:t xml:space="preserve">evel 4 and 5 and identified </w:t>
            </w:r>
            <w:r>
              <w:rPr>
                <w:rFonts w:cs="Segoe UI"/>
                <w:lang w:eastAsia="en-AU"/>
              </w:rPr>
              <w:t>L</w:t>
            </w:r>
            <w:r w:rsidRPr="1B598A3B">
              <w:rPr>
                <w:rFonts w:cs="Segoe UI"/>
                <w:lang w:eastAsia="en-AU"/>
              </w:rPr>
              <w:t>evel 3 health facilities across PNG</w:t>
            </w:r>
            <w:r w:rsidR="007D2EAA">
              <w:rPr>
                <w:rFonts w:cs="Segoe UI"/>
                <w:lang w:eastAsia="en-AU"/>
              </w:rPr>
              <w:t xml:space="preserve"> </w:t>
            </w:r>
            <w:r w:rsidR="007D2EAA">
              <w:rPr>
                <w:lang w:eastAsia="en-AU"/>
              </w:rPr>
              <w:t xml:space="preserve">– </w:t>
            </w:r>
            <w:r w:rsidRPr="1B598A3B">
              <w:rPr>
                <w:rFonts w:cs="Segoe UI"/>
                <w:lang w:eastAsia="en-AU"/>
              </w:rPr>
              <w:t xml:space="preserve">focused on the condition of the infrastructure (including climate change vulnerabilities), the status of human resources and the coverage of services </w:t>
            </w:r>
            <w:r w:rsidRPr="1B598A3B">
              <w:rPr>
                <w:rFonts w:cs="Segoe UI"/>
                <w:lang w:eastAsia="en-AU"/>
              </w:rPr>
              <w:lastRenderedPageBreak/>
              <w:t>each facility provides</w:t>
            </w:r>
            <w:r w:rsidR="007D2EAA">
              <w:rPr>
                <w:rFonts w:cs="Segoe UI"/>
                <w:lang w:eastAsia="en-AU"/>
              </w:rPr>
              <w:t xml:space="preserve"> </w:t>
            </w:r>
            <w:r w:rsidR="007D2EAA">
              <w:rPr>
                <w:lang w:eastAsia="en-AU"/>
              </w:rPr>
              <w:t xml:space="preserve">– </w:t>
            </w:r>
            <w:r w:rsidRPr="1B598A3B">
              <w:rPr>
                <w:rFonts w:cs="Segoe UI"/>
                <w:lang w:eastAsia="en-AU"/>
              </w:rPr>
              <w:t>is complete</w:t>
            </w:r>
          </w:p>
        </w:tc>
        <w:tc>
          <w:tcPr>
            <w:tcW w:w="830" w:type="pct"/>
          </w:tcPr>
          <w:p w14:paraId="0A5EE4F3" w14:textId="0BC697A6" w:rsidR="00B12F4B" w:rsidRPr="00F96538" w:rsidRDefault="00B12F4B" w:rsidP="00181277">
            <w:pPr>
              <w:pStyle w:val="TableBodyCopy"/>
              <w:rPr>
                <w:rFonts w:ascii="Segoe UI" w:hAnsi="Segoe UI" w:cs="Segoe UI"/>
                <w:lang w:eastAsia="en-AU"/>
              </w:rPr>
            </w:pPr>
            <w:r w:rsidRPr="00F96538">
              <w:rPr>
                <w:lang w:eastAsia="en-AU"/>
              </w:rPr>
              <w:lastRenderedPageBreak/>
              <w:t>SDG2</w:t>
            </w:r>
            <w:r>
              <w:rPr>
                <w:lang w:eastAsia="en-AU"/>
              </w:rPr>
              <w:t>:</w:t>
            </w:r>
            <w:r w:rsidRPr="00F96538">
              <w:rPr>
                <w:lang w:eastAsia="en-AU"/>
              </w:rPr>
              <w:t xml:space="preserve"> Zero </w:t>
            </w:r>
            <w:r>
              <w:rPr>
                <w:lang w:eastAsia="en-AU"/>
              </w:rPr>
              <w:t>h</w:t>
            </w:r>
            <w:r w:rsidRPr="00F96538">
              <w:rPr>
                <w:lang w:eastAsia="en-AU"/>
              </w:rPr>
              <w:t>unger</w:t>
            </w:r>
          </w:p>
          <w:p w14:paraId="7581FCEA" w14:textId="358E5079" w:rsidR="00B12F4B" w:rsidRPr="00F96538" w:rsidRDefault="00B12F4B" w:rsidP="00181277">
            <w:pPr>
              <w:pStyle w:val="TableBodyCopy"/>
              <w:rPr>
                <w:rFonts w:ascii="Segoe UI" w:hAnsi="Segoe UI" w:cs="Segoe UI"/>
                <w:lang w:eastAsia="en-AU"/>
              </w:rPr>
            </w:pPr>
            <w:r w:rsidRPr="00F96538">
              <w:rPr>
                <w:lang w:eastAsia="en-AU"/>
              </w:rPr>
              <w:t>SDG3</w:t>
            </w:r>
            <w:r>
              <w:rPr>
                <w:lang w:eastAsia="en-AU"/>
              </w:rPr>
              <w:t>:</w:t>
            </w:r>
            <w:r w:rsidRPr="00F96538">
              <w:rPr>
                <w:lang w:eastAsia="en-AU"/>
              </w:rPr>
              <w:t xml:space="preserve"> Good </w:t>
            </w:r>
            <w:r>
              <w:rPr>
                <w:lang w:eastAsia="en-AU"/>
              </w:rPr>
              <w:t>h</w:t>
            </w:r>
            <w:r w:rsidRPr="00F96538">
              <w:rPr>
                <w:lang w:eastAsia="en-AU"/>
              </w:rPr>
              <w:t xml:space="preserve">ealth and </w:t>
            </w:r>
            <w:r>
              <w:rPr>
                <w:lang w:eastAsia="en-AU"/>
              </w:rPr>
              <w:t>w</w:t>
            </w:r>
            <w:r w:rsidRPr="00F96538">
              <w:rPr>
                <w:lang w:eastAsia="en-AU"/>
              </w:rPr>
              <w:t>ellbeing</w:t>
            </w:r>
          </w:p>
          <w:p w14:paraId="16D09785" w14:textId="101E8270" w:rsidR="00B12F4B" w:rsidRPr="00F96538" w:rsidRDefault="00B12F4B" w:rsidP="00181277">
            <w:pPr>
              <w:pStyle w:val="TableBodyCopy"/>
              <w:rPr>
                <w:rFonts w:ascii="Segoe UI" w:hAnsi="Segoe UI" w:cs="Segoe UI"/>
                <w:lang w:eastAsia="en-AU"/>
              </w:rPr>
            </w:pPr>
            <w:r w:rsidRPr="00F96538">
              <w:rPr>
                <w:lang w:eastAsia="en-AU"/>
              </w:rPr>
              <w:t>SDG4</w:t>
            </w:r>
            <w:r>
              <w:rPr>
                <w:lang w:eastAsia="en-AU"/>
              </w:rPr>
              <w:t>:</w:t>
            </w:r>
            <w:r w:rsidRPr="00F96538">
              <w:rPr>
                <w:lang w:eastAsia="en-AU"/>
              </w:rPr>
              <w:t xml:space="preserve"> Quality </w:t>
            </w:r>
            <w:r>
              <w:rPr>
                <w:lang w:eastAsia="en-AU"/>
              </w:rPr>
              <w:t>e</w:t>
            </w:r>
            <w:r w:rsidRPr="00F96538">
              <w:rPr>
                <w:lang w:eastAsia="en-AU"/>
              </w:rPr>
              <w:t>ducation</w:t>
            </w:r>
          </w:p>
          <w:p w14:paraId="5B517C31" w14:textId="3EBA26EB" w:rsidR="00B12F4B" w:rsidRPr="00F96538" w:rsidRDefault="00B12F4B" w:rsidP="00181277">
            <w:pPr>
              <w:pStyle w:val="TableBodyCopy"/>
              <w:rPr>
                <w:rFonts w:ascii="Segoe UI" w:hAnsi="Segoe UI" w:cs="Segoe UI"/>
                <w:lang w:eastAsia="en-AU"/>
              </w:rPr>
            </w:pPr>
            <w:r w:rsidRPr="00F96538">
              <w:rPr>
                <w:lang w:eastAsia="en-AU"/>
              </w:rPr>
              <w:t>SDG5</w:t>
            </w:r>
            <w:r>
              <w:rPr>
                <w:lang w:eastAsia="en-AU"/>
              </w:rPr>
              <w:t>:</w:t>
            </w:r>
            <w:r w:rsidRPr="00F96538">
              <w:rPr>
                <w:lang w:eastAsia="en-AU"/>
              </w:rPr>
              <w:t xml:space="preserve"> Gender </w:t>
            </w:r>
            <w:r>
              <w:rPr>
                <w:lang w:eastAsia="en-AU"/>
              </w:rPr>
              <w:t>e</w:t>
            </w:r>
            <w:r w:rsidRPr="00F96538">
              <w:rPr>
                <w:lang w:eastAsia="en-AU"/>
              </w:rPr>
              <w:t>quality</w:t>
            </w:r>
          </w:p>
          <w:p w14:paraId="60164A73" w14:textId="2B3BB642" w:rsidR="00B12F4B" w:rsidRPr="00F96538" w:rsidRDefault="00B12F4B" w:rsidP="00181277">
            <w:pPr>
              <w:pStyle w:val="TableBodyCopy"/>
              <w:rPr>
                <w:rFonts w:ascii="Segoe UI" w:hAnsi="Segoe UI" w:cs="Segoe UI"/>
                <w:lang w:eastAsia="en-AU"/>
              </w:rPr>
            </w:pPr>
            <w:r w:rsidRPr="00F96538">
              <w:rPr>
                <w:lang w:eastAsia="en-AU"/>
              </w:rPr>
              <w:t>SDG6</w:t>
            </w:r>
            <w:r>
              <w:rPr>
                <w:lang w:eastAsia="en-AU"/>
              </w:rPr>
              <w:t>:</w:t>
            </w:r>
            <w:r w:rsidRPr="00F96538">
              <w:rPr>
                <w:lang w:eastAsia="en-AU"/>
              </w:rPr>
              <w:t xml:space="preserve"> Clean </w:t>
            </w:r>
            <w:r>
              <w:rPr>
                <w:lang w:eastAsia="en-AU"/>
              </w:rPr>
              <w:t>w</w:t>
            </w:r>
            <w:r w:rsidRPr="00F96538">
              <w:rPr>
                <w:lang w:eastAsia="en-AU"/>
              </w:rPr>
              <w:t xml:space="preserve">ater and </w:t>
            </w:r>
            <w:r>
              <w:rPr>
                <w:lang w:eastAsia="en-AU"/>
              </w:rPr>
              <w:t>s</w:t>
            </w:r>
            <w:r w:rsidRPr="00F96538">
              <w:rPr>
                <w:lang w:eastAsia="en-AU"/>
              </w:rPr>
              <w:t>anitation</w:t>
            </w:r>
          </w:p>
          <w:p w14:paraId="52331822" w14:textId="34024897" w:rsidR="00B12F4B" w:rsidRPr="00F96538" w:rsidRDefault="00B12F4B" w:rsidP="00181277">
            <w:pPr>
              <w:pStyle w:val="TableBodyCopy"/>
              <w:rPr>
                <w:lang w:eastAsia="en-AU"/>
              </w:rPr>
            </w:pPr>
            <w:r w:rsidRPr="00F96538">
              <w:rPr>
                <w:lang w:eastAsia="en-AU"/>
              </w:rPr>
              <w:t>SDG7</w:t>
            </w:r>
            <w:r>
              <w:rPr>
                <w:lang w:eastAsia="en-AU"/>
              </w:rPr>
              <w:t>:</w:t>
            </w:r>
            <w:r w:rsidRPr="00F96538">
              <w:rPr>
                <w:lang w:eastAsia="en-AU"/>
              </w:rPr>
              <w:t xml:space="preserve"> Affordable and </w:t>
            </w:r>
            <w:r>
              <w:rPr>
                <w:lang w:eastAsia="en-AU"/>
              </w:rPr>
              <w:t>c</w:t>
            </w:r>
            <w:r w:rsidRPr="00F96538">
              <w:rPr>
                <w:lang w:eastAsia="en-AU"/>
              </w:rPr>
              <w:t xml:space="preserve">lean </w:t>
            </w:r>
            <w:r>
              <w:rPr>
                <w:lang w:eastAsia="en-AU"/>
              </w:rPr>
              <w:t>e</w:t>
            </w:r>
            <w:r w:rsidRPr="00F96538">
              <w:rPr>
                <w:lang w:eastAsia="en-AU"/>
              </w:rPr>
              <w:t>nergy</w:t>
            </w:r>
          </w:p>
          <w:p w14:paraId="0D31C1F2" w14:textId="548D7AAA" w:rsidR="00B12F4B" w:rsidRPr="00F96538" w:rsidRDefault="00B12F4B" w:rsidP="00181277">
            <w:pPr>
              <w:pStyle w:val="TableBodyCopy"/>
              <w:rPr>
                <w:lang w:eastAsia="en-AU"/>
              </w:rPr>
            </w:pPr>
            <w:r w:rsidRPr="00F96538">
              <w:rPr>
                <w:lang w:eastAsia="en-AU"/>
              </w:rPr>
              <w:t>SDG11</w:t>
            </w:r>
            <w:r>
              <w:rPr>
                <w:lang w:eastAsia="en-AU"/>
              </w:rPr>
              <w:t>:</w:t>
            </w:r>
            <w:r w:rsidRPr="00F96538">
              <w:rPr>
                <w:lang w:eastAsia="en-AU"/>
              </w:rPr>
              <w:t xml:space="preserve"> Sustainable </w:t>
            </w:r>
            <w:r>
              <w:rPr>
                <w:lang w:eastAsia="en-AU"/>
              </w:rPr>
              <w:t>c</w:t>
            </w:r>
            <w:r w:rsidRPr="00F96538">
              <w:rPr>
                <w:lang w:eastAsia="en-AU"/>
              </w:rPr>
              <w:t xml:space="preserve">ities and </w:t>
            </w:r>
            <w:r>
              <w:rPr>
                <w:lang w:eastAsia="en-AU"/>
              </w:rPr>
              <w:t>c</w:t>
            </w:r>
            <w:r w:rsidRPr="00F96538">
              <w:rPr>
                <w:lang w:eastAsia="en-AU"/>
              </w:rPr>
              <w:t>ommunities</w:t>
            </w:r>
          </w:p>
          <w:p w14:paraId="48EA227A" w14:textId="6ED71495" w:rsidR="00B12F4B" w:rsidRPr="00F96538" w:rsidRDefault="00B12F4B" w:rsidP="00181277">
            <w:pPr>
              <w:pStyle w:val="TableBodyCopy"/>
              <w:rPr>
                <w:rFonts w:ascii="Segoe UI" w:hAnsi="Segoe UI" w:cs="Segoe UI"/>
                <w:lang w:eastAsia="en-AU"/>
              </w:rPr>
            </w:pPr>
            <w:r w:rsidRPr="00F96538">
              <w:rPr>
                <w:lang w:eastAsia="en-AU"/>
              </w:rPr>
              <w:t>SDG13</w:t>
            </w:r>
            <w:r>
              <w:rPr>
                <w:lang w:eastAsia="en-AU"/>
              </w:rPr>
              <w:t>:</w:t>
            </w:r>
            <w:r w:rsidRPr="00F96538">
              <w:rPr>
                <w:lang w:eastAsia="en-AU"/>
              </w:rPr>
              <w:t xml:space="preserve"> Climate </w:t>
            </w:r>
            <w:r>
              <w:rPr>
                <w:lang w:eastAsia="en-AU"/>
              </w:rPr>
              <w:t>a</w:t>
            </w:r>
            <w:r w:rsidRPr="00F96538">
              <w:rPr>
                <w:lang w:eastAsia="en-AU"/>
              </w:rPr>
              <w:t>ction</w:t>
            </w:r>
          </w:p>
          <w:p w14:paraId="593979AF" w14:textId="285AFF0B" w:rsidR="00B12F4B" w:rsidRPr="00F96538" w:rsidRDefault="00B12F4B" w:rsidP="00181277">
            <w:pPr>
              <w:pStyle w:val="TableBodyCopy"/>
              <w:rPr>
                <w:rFonts w:ascii="Segoe UI" w:hAnsi="Segoe UI" w:cs="Segoe UI"/>
                <w:lang w:eastAsia="en-AU"/>
              </w:rPr>
            </w:pPr>
            <w:r w:rsidRPr="00F96538">
              <w:rPr>
                <w:lang w:eastAsia="en-AU"/>
              </w:rPr>
              <w:t>SDG14</w:t>
            </w:r>
            <w:r>
              <w:rPr>
                <w:lang w:eastAsia="en-AU"/>
              </w:rPr>
              <w:t>:</w:t>
            </w:r>
            <w:r w:rsidRPr="00F96538">
              <w:rPr>
                <w:lang w:eastAsia="en-AU"/>
              </w:rPr>
              <w:t xml:space="preserve"> Life </w:t>
            </w:r>
            <w:r>
              <w:rPr>
                <w:lang w:eastAsia="en-AU"/>
              </w:rPr>
              <w:t>b</w:t>
            </w:r>
            <w:r w:rsidRPr="00F96538">
              <w:rPr>
                <w:lang w:eastAsia="en-AU"/>
              </w:rPr>
              <w:t xml:space="preserve">elow </w:t>
            </w:r>
            <w:r>
              <w:rPr>
                <w:lang w:eastAsia="en-AU"/>
              </w:rPr>
              <w:t>w</w:t>
            </w:r>
            <w:r w:rsidRPr="00F96538">
              <w:rPr>
                <w:lang w:eastAsia="en-AU"/>
              </w:rPr>
              <w:t>ater</w:t>
            </w:r>
          </w:p>
          <w:p w14:paraId="550719BB" w14:textId="33E0F595" w:rsidR="00B12F4B" w:rsidRDefault="00B12F4B" w:rsidP="00181277">
            <w:pPr>
              <w:pStyle w:val="TableBodyCopy"/>
            </w:pPr>
            <w:r w:rsidRPr="00F96538">
              <w:rPr>
                <w:lang w:eastAsia="en-AU"/>
              </w:rPr>
              <w:t>SDG15</w:t>
            </w:r>
            <w:r>
              <w:rPr>
                <w:lang w:eastAsia="en-AU"/>
              </w:rPr>
              <w:t>:</w:t>
            </w:r>
            <w:r w:rsidRPr="00F96538">
              <w:rPr>
                <w:lang w:eastAsia="en-AU"/>
              </w:rPr>
              <w:t xml:space="preserve"> Life on </w:t>
            </w:r>
            <w:r>
              <w:rPr>
                <w:lang w:eastAsia="en-AU"/>
              </w:rPr>
              <w:t>l</w:t>
            </w:r>
            <w:r w:rsidRPr="00F96538">
              <w:rPr>
                <w:lang w:eastAsia="en-AU"/>
              </w:rPr>
              <w:t>and</w:t>
            </w:r>
          </w:p>
        </w:tc>
      </w:tr>
      <w:tr w:rsidR="00B12F4B" w14:paraId="4D872A36" w14:textId="77777777" w:rsidTr="00E90562">
        <w:trPr>
          <w:cantSplit/>
          <w:trHeight w:val="544"/>
        </w:trPr>
        <w:tc>
          <w:tcPr>
            <w:tcW w:w="830" w:type="pct"/>
          </w:tcPr>
          <w:p w14:paraId="56202711" w14:textId="77777777" w:rsidR="00633E3B" w:rsidRPr="00A55259" w:rsidRDefault="00633E3B" w:rsidP="00633E3B">
            <w:pPr>
              <w:pStyle w:val="TableBodyCopy"/>
              <w:rPr>
                <w:lang w:eastAsia="en-AU"/>
              </w:rPr>
            </w:pPr>
            <w:r>
              <w:rPr>
                <w:b/>
                <w:bCs/>
                <w:lang w:eastAsia="en-AU"/>
              </w:rPr>
              <w:t>Outcome 3.1</w:t>
            </w:r>
          </w:p>
          <w:p w14:paraId="2D52B48D" w14:textId="6DDFFDC0" w:rsidR="00B12F4B" w:rsidRPr="130A47C4" w:rsidRDefault="00B12F4B" w:rsidP="00181277">
            <w:pPr>
              <w:pStyle w:val="TableBodyCopy"/>
              <w:rPr>
                <w:lang w:eastAsia="en-AU"/>
              </w:rPr>
            </w:pPr>
          </w:p>
        </w:tc>
        <w:tc>
          <w:tcPr>
            <w:tcW w:w="830" w:type="pct"/>
          </w:tcPr>
          <w:p w14:paraId="354F7A4F" w14:textId="1491A73C" w:rsidR="00B12F4B" w:rsidRPr="26988FA1" w:rsidRDefault="00E15800" w:rsidP="00181277">
            <w:pPr>
              <w:pStyle w:val="TableBodyCopy"/>
              <w:rPr>
                <w:rFonts w:cs="Segoe UI"/>
                <w:lang w:eastAsia="en-AU"/>
              </w:rPr>
            </w:pPr>
            <w:r>
              <w:rPr>
                <w:rFonts w:cs="Segoe UI"/>
                <w:lang w:eastAsia="en-AU"/>
              </w:rPr>
              <w:t xml:space="preserve">3.1.2 </w:t>
            </w:r>
            <w:r w:rsidRPr="6CEB6730">
              <w:t xml:space="preserve">PNG Government supported to develop systems for social protection program </w:t>
            </w:r>
            <w:r w:rsidRPr="5E119A8C">
              <w:t>delivery</w:t>
            </w:r>
          </w:p>
        </w:tc>
        <w:tc>
          <w:tcPr>
            <w:tcW w:w="830" w:type="pct"/>
          </w:tcPr>
          <w:p w14:paraId="58E554A5" w14:textId="4516A98F" w:rsidR="00B12F4B" w:rsidRPr="130A47C4" w:rsidRDefault="00B12F4B" w:rsidP="00181277">
            <w:pPr>
              <w:pStyle w:val="TableBodyCopy"/>
              <w:rPr>
                <w:rFonts w:cs="Segoe UI"/>
                <w:lang w:eastAsia="en-AU"/>
              </w:rPr>
            </w:pPr>
            <w:r w:rsidRPr="26988FA1">
              <w:rPr>
                <w:rFonts w:cs="Segoe UI"/>
                <w:lang w:eastAsia="en-AU"/>
              </w:rPr>
              <w:t>New or improved delivery system to support beneficiaries directly receiving regular funding transfers to support child nutrition</w:t>
            </w:r>
          </w:p>
        </w:tc>
        <w:tc>
          <w:tcPr>
            <w:tcW w:w="849" w:type="pct"/>
          </w:tcPr>
          <w:p w14:paraId="70ED2C75" w14:textId="1173A1B4" w:rsidR="00B12F4B" w:rsidRPr="130A47C4" w:rsidRDefault="00B12F4B" w:rsidP="00181277">
            <w:pPr>
              <w:pStyle w:val="TableBodyCopy"/>
              <w:rPr>
                <w:rFonts w:cs="Segoe UI"/>
                <w:lang w:eastAsia="en-AU"/>
              </w:rPr>
            </w:pPr>
            <w:r>
              <w:rPr>
                <w:rFonts w:cs="Segoe UI"/>
                <w:lang w:eastAsia="en-AU"/>
              </w:rPr>
              <w:t>R</w:t>
            </w:r>
            <w:r w:rsidRPr="26988FA1">
              <w:rPr>
                <w:rFonts w:cs="Segoe UI"/>
                <w:lang w:eastAsia="en-AU"/>
              </w:rPr>
              <w:t>egular and predictable payments to beneficiaries to support child nutrition</w:t>
            </w:r>
          </w:p>
        </w:tc>
        <w:tc>
          <w:tcPr>
            <w:tcW w:w="830" w:type="pct"/>
          </w:tcPr>
          <w:p w14:paraId="55CF81A2" w14:textId="1C0F2633" w:rsidR="00B12F4B" w:rsidRPr="130A47C4" w:rsidRDefault="00B12F4B" w:rsidP="00181277">
            <w:pPr>
              <w:pStyle w:val="TableBodyCopy"/>
              <w:rPr>
                <w:rFonts w:cs="Segoe UI"/>
                <w:lang w:eastAsia="en-AU"/>
              </w:rPr>
            </w:pPr>
            <w:r>
              <w:rPr>
                <w:rFonts w:cs="Segoe UI"/>
                <w:lang w:eastAsia="en-AU"/>
              </w:rPr>
              <w:t>R</w:t>
            </w:r>
            <w:r w:rsidRPr="26988FA1">
              <w:rPr>
                <w:rFonts w:cs="Segoe UI"/>
                <w:lang w:eastAsia="en-AU"/>
              </w:rPr>
              <w:t>egular and predictable payments to beneficiaries to support child nutrition</w:t>
            </w:r>
          </w:p>
        </w:tc>
        <w:tc>
          <w:tcPr>
            <w:tcW w:w="830" w:type="pct"/>
          </w:tcPr>
          <w:p w14:paraId="14AD0AE2" w14:textId="1B6FD74F" w:rsidR="00B12F4B" w:rsidRPr="00F96538" w:rsidRDefault="00B12F4B" w:rsidP="00243D92">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B12F4B" w14:paraId="7C541CE2" w14:textId="77777777" w:rsidTr="00E90562">
        <w:trPr>
          <w:cantSplit/>
          <w:trHeight w:val="544"/>
        </w:trPr>
        <w:tc>
          <w:tcPr>
            <w:tcW w:w="830" w:type="pct"/>
          </w:tcPr>
          <w:p w14:paraId="639D77E7" w14:textId="77777777" w:rsidR="00633E3B" w:rsidRPr="00A55259" w:rsidRDefault="00633E3B" w:rsidP="00633E3B">
            <w:pPr>
              <w:pStyle w:val="TableBodyCopy"/>
              <w:rPr>
                <w:lang w:eastAsia="en-AU"/>
              </w:rPr>
            </w:pPr>
            <w:r>
              <w:rPr>
                <w:b/>
                <w:bCs/>
                <w:lang w:eastAsia="en-AU"/>
              </w:rPr>
              <w:t>Outcome 3.1</w:t>
            </w:r>
          </w:p>
          <w:p w14:paraId="09844952" w14:textId="76561E01" w:rsidR="00B12F4B" w:rsidRPr="6CEB6730" w:rsidRDefault="00B12F4B" w:rsidP="00181277">
            <w:pPr>
              <w:pStyle w:val="TableBodyCopy"/>
            </w:pPr>
          </w:p>
        </w:tc>
        <w:tc>
          <w:tcPr>
            <w:tcW w:w="830" w:type="pct"/>
          </w:tcPr>
          <w:p w14:paraId="03DD1B78" w14:textId="48DFB741" w:rsidR="00B12F4B" w:rsidRPr="00F96538" w:rsidRDefault="00E15800" w:rsidP="00181277">
            <w:pPr>
              <w:pStyle w:val="TableBodyCopy"/>
              <w:rPr>
                <w:rFonts w:cs="Segoe UI"/>
                <w:lang w:eastAsia="en-AU"/>
              </w:rPr>
            </w:pPr>
            <w:r>
              <w:rPr>
                <w:rFonts w:cs="Segoe UI"/>
                <w:lang w:eastAsia="en-AU"/>
              </w:rPr>
              <w:t xml:space="preserve">3.1.3 </w:t>
            </w:r>
            <w:r w:rsidRPr="00F96538">
              <w:rPr>
                <w:lang w:eastAsia="en-AU"/>
              </w:rPr>
              <w:t>Increased investment to support greater access, retention and learning outcomes for Papua New Guinean students</w:t>
            </w:r>
          </w:p>
        </w:tc>
        <w:tc>
          <w:tcPr>
            <w:tcW w:w="830" w:type="pct"/>
          </w:tcPr>
          <w:p w14:paraId="70393051" w14:textId="43CC575A" w:rsidR="00B12F4B" w:rsidRPr="00F96538" w:rsidRDefault="00B12F4B" w:rsidP="00181277">
            <w:pPr>
              <w:pStyle w:val="TableBodyCopy"/>
              <w:rPr>
                <w:rFonts w:cs="Segoe UI"/>
                <w:lang w:eastAsia="en-AU"/>
              </w:rPr>
            </w:pPr>
            <w:r w:rsidRPr="00F96538">
              <w:rPr>
                <w:rFonts w:cs="Segoe UI"/>
                <w:lang w:eastAsia="en-AU"/>
              </w:rPr>
              <w:t xml:space="preserve">45% </w:t>
            </w:r>
            <w:r>
              <w:rPr>
                <w:rFonts w:cs="Segoe UI"/>
                <w:lang w:eastAsia="en-AU"/>
              </w:rPr>
              <w:t xml:space="preserve">(2300) </w:t>
            </w:r>
            <w:r w:rsidRPr="00F96538">
              <w:rPr>
                <w:rFonts w:cs="Segoe UI"/>
                <w:lang w:eastAsia="en-AU"/>
              </w:rPr>
              <w:t>of P-G2 teachers from target locations access in-service training opportunities</w:t>
            </w:r>
          </w:p>
          <w:p w14:paraId="32FD87E3" w14:textId="108D6A44" w:rsidR="00B12F4B" w:rsidRPr="26988FA1" w:rsidRDefault="00B12F4B" w:rsidP="00181277">
            <w:pPr>
              <w:pStyle w:val="TableBodyCopy"/>
              <w:rPr>
                <w:rFonts w:cs="Segoe UI"/>
                <w:lang w:eastAsia="en-AU"/>
              </w:rPr>
            </w:pPr>
            <w:r w:rsidRPr="00F96538">
              <w:rPr>
                <w:rFonts w:cs="Segoe UI"/>
                <w:lang w:eastAsia="en-AU"/>
              </w:rPr>
              <w:t xml:space="preserve">35% </w:t>
            </w:r>
            <w:r>
              <w:rPr>
                <w:rFonts w:cs="Segoe UI"/>
                <w:lang w:eastAsia="en-AU"/>
              </w:rPr>
              <w:t>o</w:t>
            </w:r>
            <w:r w:rsidRPr="00F96538">
              <w:rPr>
                <w:rFonts w:cs="Segoe UI"/>
                <w:lang w:eastAsia="en-AU"/>
              </w:rPr>
              <w:t>f school board members and head teachers in target locations have completed professional development training</w:t>
            </w:r>
          </w:p>
        </w:tc>
        <w:tc>
          <w:tcPr>
            <w:tcW w:w="849" w:type="pct"/>
          </w:tcPr>
          <w:p w14:paraId="35380947" w14:textId="550DDE4E" w:rsidR="00B12F4B" w:rsidRDefault="00B12F4B" w:rsidP="00181277">
            <w:pPr>
              <w:pStyle w:val="TableBodyCopy"/>
              <w:rPr>
                <w:rFonts w:cs="Segoe UI"/>
                <w:lang w:eastAsia="en-AU"/>
              </w:rPr>
            </w:pPr>
            <w:r>
              <w:rPr>
                <w:rFonts w:cs="Segoe UI"/>
                <w:lang w:eastAsia="en-AU"/>
              </w:rPr>
              <w:t>Additional 20% (</w:t>
            </w:r>
            <w:r w:rsidRPr="00C36AD4">
              <w:rPr>
                <w:rFonts w:cs="Segoe UI"/>
                <w:lang w:eastAsia="en-AU"/>
              </w:rPr>
              <w:t xml:space="preserve">65% </w:t>
            </w:r>
            <w:r>
              <w:rPr>
                <w:rFonts w:cs="Segoe UI"/>
                <w:lang w:eastAsia="en-AU"/>
              </w:rPr>
              <w:t xml:space="preserve">or </w:t>
            </w:r>
            <w:r w:rsidRPr="00C36AD4">
              <w:rPr>
                <w:rFonts w:cs="Segoe UI"/>
                <w:lang w:eastAsia="en-AU"/>
              </w:rPr>
              <w:t>3300</w:t>
            </w:r>
            <w:r>
              <w:rPr>
                <w:rFonts w:cs="Segoe UI"/>
                <w:lang w:eastAsia="en-AU"/>
              </w:rPr>
              <w:t xml:space="preserve"> in total)</w:t>
            </w:r>
            <w:r w:rsidRPr="00C36AD4">
              <w:rPr>
                <w:rFonts w:cs="Segoe UI"/>
                <w:lang w:eastAsia="en-AU"/>
              </w:rPr>
              <w:t xml:space="preserve"> of P-G2 teachers from target locations access in-service training </w:t>
            </w:r>
            <w:proofErr w:type="gramStart"/>
            <w:r w:rsidRPr="00C36AD4">
              <w:rPr>
                <w:rFonts w:cs="Segoe UI"/>
                <w:lang w:eastAsia="en-AU"/>
              </w:rPr>
              <w:t>opportunities</w:t>
            </w:r>
            <w:proofErr w:type="gramEnd"/>
          </w:p>
          <w:p w14:paraId="4352D2AD" w14:textId="50DDC698" w:rsidR="00B12F4B" w:rsidRDefault="00B12F4B" w:rsidP="00181277">
            <w:pPr>
              <w:pStyle w:val="TableBodyCopy"/>
              <w:rPr>
                <w:rFonts w:cs="Segoe UI"/>
                <w:lang w:eastAsia="en-AU"/>
              </w:rPr>
            </w:pPr>
            <w:r w:rsidRPr="229EEEE8">
              <w:rPr>
                <w:rFonts w:cs="Segoe UI"/>
                <w:lang w:eastAsia="en-AU"/>
              </w:rPr>
              <w:t xml:space="preserve">Additional results to be determined </w:t>
            </w:r>
          </w:p>
        </w:tc>
        <w:tc>
          <w:tcPr>
            <w:tcW w:w="830" w:type="pct"/>
          </w:tcPr>
          <w:p w14:paraId="0F1211AB" w14:textId="3679AA00" w:rsidR="00B12F4B" w:rsidRDefault="00B12F4B" w:rsidP="00181277">
            <w:pPr>
              <w:pStyle w:val="TableBodyCopy"/>
              <w:rPr>
                <w:rFonts w:cs="Segoe UI"/>
                <w:lang w:eastAsia="en-AU"/>
              </w:rPr>
            </w:pPr>
            <w:r>
              <w:rPr>
                <w:rFonts w:cs="Segoe UI"/>
                <w:lang w:eastAsia="en-AU"/>
              </w:rPr>
              <w:t>Additional 20% (</w:t>
            </w:r>
            <w:r w:rsidRPr="006F7DE2">
              <w:rPr>
                <w:rFonts w:cs="Segoe UI"/>
                <w:lang w:eastAsia="en-AU"/>
              </w:rPr>
              <w:t xml:space="preserve">85% </w:t>
            </w:r>
            <w:r>
              <w:rPr>
                <w:rFonts w:cs="Segoe UI"/>
                <w:lang w:eastAsia="en-AU"/>
              </w:rPr>
              <w:t xml:space="preserve">or </w:t>
            </w:r>
            <w:r w:rsidRPr="006F7DE2">
              <w:rPr>
                <w:rFonts w:cs="Segoe UI"/>
                <w:lang w:eastAsia="en-AU"/>
              </w:rPr>
              <w:t>4360</w:t>
            </w:r>
            <w:r>
              <w:rPr>
                <w:rFonts w:cs="Segoe UI"/>
                <w:lang w:eastAsia="en-AU"/>
              </w:rPr>
              <w:t xml:space="preserve"> in total</w:t>
            </w:r>
            <w:r w:rsidRPr="006F7DE2">
              <w:rPr>
                <w:rFonts w:cs="Segoe UI"/>
                <w:lang w:eastAsia="en-AU"/>
              </w:rPr>
              <w:t xml:space="preserve">) of P-G2 teachers from target locations access in-service training </w:t>
            </w:r>
            <w:proofErr w:type="gramStart"/>
            <w:r w:rsidRPr="006F7DE2">
              <w:rPr>
                <w:rFonts w:cs="Segoe UI"/>
                <w:lang w:eastAsia="en-AU"/>
              </w:rPr>
              <w:t>opportunities</w:t>
            </w:r>
            <w:proofErr w:type="gramEnd"/>
          </w:p>
          <w:p w14:paraId="5B690E10" w14:textId="393A13A2" w:rsidR="00B12F4B" w:rsidRDefault="00B12F4B" w:rsidP="00181277">
            <w:pPr>
              <w:pStyle w:val="TableBodyCopy"/>
              <w:rPr>
                <w:rFonts w:cs="Segoe UI"/>
                <w:lang w:eastAsia="en-AU"/>
              </w:rPr>
            </w:pPr>
            <w:r w:rsidRPr="229EEEE8">
              <w:rPr>
                <w:rFonts w:cs="Segoe UI"/>
                <w:lang w:eastAsia="en-AU"/>
              </w:rPr>
              <w:t>Additional results to be determined</w:t>
            </w:r>
          </w:p>
        </w:tc>
        <w:tc>
          <w:tcPr>
            <w:tcW w:w="830" w:type="pct"/>
          </w:tcPr>
          <w:p w14:paraId="684D6622" w14:textId="09C3C25C" w:rsidR="00B12F4B" w:rsidRPr="00F96538" w:rsidRDefault="00B12F4B" w:rsidP="00243D92">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B12F4B" w14:paraId="0C4EAF86" w14:textId="77777777" w:rsidTr="00E90562">
        <w:trPr>
          <w:cantSplit/>
          <w:trHeight w:val="544"/>
        </w:trPr>
        <w:tc>
          <w:tcPr>
            <w:tcW w:w="830" w:type="pct"/>
          </w:tcPr>
          <w:p w14:paraId="6C6D8C34" w14:textId="77777777" w:rsidR="00633E3B" w:rsidRPr="00A55259" w:rsidRDefault="00633E3B" w:rsidP="00633E3B">
            <w:pPr>
              <w:pStyle w:val="TableBodyCopy"/>
              <w:rPr>
                <w:lang w:eastAsia="en-AU"/>
              </w:rPr>
            </w:pPr>
            <w:r>
              <w:rPr>
                <w:b/>
                <w:bCs/>
                <w:lang w:eastAsia="en-AU"/>
              </w:rPr>
              <w:t>Outcome 3.1</w:t>
            </w:r>
          </w:p>
          <w:p w14:paraId="5711307B" w14:textId="0512D5A9" w:rsidR="00B12F4B" w:rsidRPr="00F96538" w:rsidRDefault="00B12F4B" w:rsidP="00181277">
            <w:pPr>
              <w:pStyle w:val="TableBodyCopy"/>
              <w:rPr>
                <w:lang w:eastAsia="en-AU"/>
              </w:rPr>
            </w:pPr>
          </w:p>
        </w:tc>
        <w:tc>
          <w:tcPr>
            <w:tcW w:w="830" w:type="pct"/>
          </w:tcPr>
          <w:p w14:paraId="19FE53DF" w14:textId="50EB3933" w:rsidR="00B12F4B" w:rsidRDefault="00E15800" w:rsidP="00181277">
            <w:pPr>
              <w:pStyle w:val="TableBodyCopy"/>
              <w:rPr>
                <w:rFonts w:cs="Segoe UI"/>
                <w:lang w:eastAsia="en-AU"/>
              </w:rPr>
            </w:pPr>
            <w:r>
              <w:rPr>
                <w:rFonts w:cs="Segoe UI"/>
                <w:lang w:eastAsia="en-AU"/>
              </w:rPr>
              <w:t xml:space="preserve">3.1.4 </w:t>
            </w:r>
            <w:r w:rsidRPr="0065191C">
              <w:rPr>
                <w:lang w:val="en-ID" w:eastAsia="en-AU"/>
              </w:rPr>
              <w:t xml:space="preserve">Number of people who successfully complete </w:t>
            </w:r>
            <w:r>
              <w:rPr>
                <w:lang w:val="en-ID" w:eastAsia="en-AU"/>
              </w:rPr>
              <w:t xml:space="preserve">a </w:t>
            </w:r>
            <w:r w:rsidRPr="0065191C">
              <w:rPr>
                <w:lang w:val="en-ID" w:eastAsia="en-AU"/>
              </w:rPr>
              <w:t>technical/vocational course or work-related training</w:t>
            </w:r>
          </w:p>
        </w:tc>
        <w:tc>
          <w:tcPr>
            <w:tcW w:w="830" w:type="pct"/>
          </w:tcPr>
          <w:p w14:paraId="497DD3DF" w14:textId="4A544E70" w:rsidR="00B12F4B" w:rsidRPr="00F96538" w:rsidRDefault="00B12F4B" w:rsidP="00181277">
            <w:pPr>
              <w:pStyle w:val="TableBodyCopy"/>
              <w:rPr>
                <w:rFonts w:cs="Segoe UI"/>
                <w:lang w:eastAsia="en-AU"/>
              </w:rPr>
            </w:pPr>
            <w:r>
              <w:rPr>
                <w:rFonts w:cs="Segoe UI"/>
                <w:lang w:eastAsia="en-AU"/>
              </w:rPr>
              <w:t>1</w:t>
            </w:r>
            <w:r>
              <w:rPr>
                <w:rFonts w:cs="Segoe UI"/>
              </w:rPr>
              <w:t xml:space="preserve">25 TVET students complete a TVET </w:t>
            </w:r>
            <w:proofErr w:type="spellStart"/>
            <w:r>
              <w:rPr>
                <w:rFonts w:cs="Segoe UI"/>
              </w:rPr>
              <w:t>qualification</w:t>
            </w:r>
            <w:hyperlink w:anchor="T3nc" w:history="1">
              <w:r w:rsidRPr="00E90562">
                <w:rPr>
                  <w:rStyle w:val="Hyperlink"/>
                  <w:vertAlign w:val="superscript"/>
                </w:rPr>
                <w:t>c</w:t>
              </w:r>
              <w:proofErr w:type="spellEnd"/>
            </w:hyperlink>
          </w:p>
        </w:tc>
        <w:tc>
          <w:tcPr>
            <w:tcW w:w="849" w:type="pct"/>
          </w:tcPr>
          <w:p w14:paraId="7B35EF25" w14:textId="56287EBD" w:rsidR="00B12F4B" w:rsidRDefault="00B12F4B" w:rsidP="00181277">
            <w:pPr>
              <w:pStyle w:val="TableBodyCopy"/>
              <w:rPr>
                <w:rFonts w:cs="Segoe UI"/>
                <w:lang w:eastAsia="en-AU"/>
              </w:rPr>
            </w:pPr>
            <w:r w:rsidRPr="33256516">
              <w:rPr>
                <w:rFonts w:cs="Segoe UI"/>
                <w:lang w:eastAsia="en-AU"/>
              </w:rPr>
              <w:t>1300 graduates of construction and agriculture programs in the 10</w:t>
            </w:r>
            <w:r>
              <w:rPr>
                <w:rFonts w:cs="Segoe UI"/>
                <w:lang w:eastAsia="en-AU"/>
              </w:rPr>
              <w:t> </w:t>
            </w:r>
            <w:r w:rsidRPr="33256516">
              <w:rPr>
                <w:rFonts w:cs="Segoe UI"/>
                <w:lang w:eastAsia="en-AU"/>
              </w:rPr>
              <w:t xml:space="preserve">TVET institutions </w:t>
            </w:r>
            <w:r>
              <w:rPr>
                <w:rFonts w:cs="Segoe UI"/>
                <w:lang w:eastAsia="en-AU"/>
              </w:rPr>
              <w:t xml:space="preserve">are </w:t>
            </w:r>
            <w:r w:rsidRPr="33256516">
              <w:rPr>
                <w:rFonts w:cs="Segoe UI"/>
                <w:lang w:eastAsia="en-AU"/>
              </w:rPr>
              <w:t>supported by the Improved TVET for Employment Project</w:t>
            </w:r>
          </w:p>
        </w:tc>
        <w:tc>
          <w:tcPr>
            <w:tcW w:w="830" w:type="pct"/>
          </w:tcPr>
          <w:p w14:paraId="5F24562D" w14:textId="577B667F" w:rsidR="00B12F4B" w:rsidRDefault="00B12F4B" w:rsidP="00181277">
            <w:pPr>
              <w:pStyle w:val="TableBodyCopy"/>
              <w:rPr>
                <w:rFonts w:cs="Segoe UI"/>
                <w:lang w:eastAsia="en-AU"/>
              </w:rPr>
            </w:pPr>
            <w:r>
              <w:rPr>
                <w:rFonts w:cs="Segoe UI"/>
                <w:lang w:eastAsia="en-AU"/>
              </w:rPr>
              <w:t xml:space="preserve">An additional </w:t>
            </w:r>
            <w:r w:rsidRPr="33256516">
              <w:rPr>
                <w:rFonts w:cs="Segoe UI"/>
                <w:lang w:eastAsia="en-AU"/>
              </w:rPr>
              <w:t>1400 graduates of construction trade and agriculture programs in the 10</w:t>
            </w:r>
            <w:r>
              <w:rPr>
                <w:rFonts w:cs="Segoe UI"/>
                <w:lang w:eastAsia="en-AU"/>
              </w:rPr>
              <w:t> </w:t>
            </w:r>
            <w:r w:rsidRPr="33256516">
              <w:rPr>
                <w:rFonts w:cs="Segoe UI"/>
                <w:lang w:eastAsia="en-AU"/>
              </w:rPr>
              <w:t xml:space="preserve">TVET institutions </w:t>
            </w:r>
            <w:r>
              <w:rPr>
                <w:rFonts w:cs="Segoe UI"/>
                <w:lang w:eastAsia="en-AU"/>
              </w:rPr>
              <w:t xml:space="preserve">are </w:t>
            </w:r>
            <w:r w:rsidRPr="33256516">
              <w:rPr>
                <w:rFonts w:cs="Segoe UI"/>
                <w:lang w:eastAsia="en-AU"/>
              </w:rPr>
              <w:t>supported by the Improved TVET for Employment Project</w:t>
            </w:r>
          </w:p>
        </w:tc>
        <w:tc>
          <w:tcPr>
            <w:tcW w:w="830" w:type="pct"/>
          </w:tcPr>
          <w:p w14:paraId="100AE061" w14:textId="387655DB" w:rsidR="00B12F4B" w:rsidRPr="00F96538" w:rsidRDefault="00B12F4B" w:rsidP="00243D92">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9B376D" w14:paraId="39C2BCC1" w14:textId="77777777" w:rsidTr="00B12F4B">
        <w:trPr>
          <w:cantSplit/>
          <w:trHeight w:val="544"/>
        </w:trPr>
        <w:tc>
          <w:tcPr>
            <w:tcW w:w="830" w:type="pct"/>
          </w:tcPr>
          <w:p w14:paraId="6B285B50" w14:textId="77777777" w:rsidR="009B376D" w:rsidRPr="00E90562" w:rsidRDefault="009B376D" w:rsidP="009B376D">
            <w:pPr>
              <w:pStyle w:val="TableBodyCopy"/>
              <w:rPr>
                <w:b/>
                <w:bCs/>
                <w:lang w:eastAsia="en-AU"/>
              </w:rPr>
            </w:pPr>
            <w:r w:rsidRPr="00E90562">
              <w:rPr>
                <w:b/>
                <w:bCs/>
                <w:lang w:eastAsia="en-AU"/>
              </w:rPr>
              <w:lastRenderedPageBreak/>
              <w:t>Outcome 3.2</w:t>
            </w:r>
          </w:p>
          <w:p w14:paraId="1A8BDCC2" w14:textId="4C841140" w:rsidR="009B376D" w:rsidRDefault="009B376D" w:rsidP="009B376D">
            <w:pPr>
              <w:pStyle w:val="TableBodyCopy"/>
              <w:rPr>
                <w:b/>
                <w:bCs/>
                <w:lang w:eastAsia="en-AU"/>
              </w:rPr>
            </w:pPr>
            <w:r w:rsidRPr="00E90562">
              <w:rPr>
                <w:rFonts w:cstheme="minorHAnsi"/>
              </w:rPr>
              <w:t xml:space="preserve">Institutional and individual resilience: Supporting institutions, </w:t>
            </w:r>
            <w:proofErr w:type="gramStart"/>
            <w:r w:rsidRPr="00E90562">
              <w:rPr>
                <w:rFonts w:cstheme="minorHAnsi"/>
              </w:rPr>
              <w:t>communities</w:t>
            </w:r>
            <w:proofErr w:type="gramEnd"/>
            <w:r w:rsidRPr="00E90562">
              <w:rPr>
                <w:rFonts w:cstheme="minorHAnsi"/>
              </w:rPr>
              <w:t xml:space="preserve"> and individuals to respond and adapt to climate and disaster risks</w:t>
            </w:r>
            <w:r w:rsidR="00B344BA">
              <w:rPr>
                <w:rFonts w:cstheme="minorHAnsi"/>
              </w:rPr>
              <w:t>,</w:t>
            </w:r>
            <w:r w:rsidRPr="00E90562">
              <w:rPr>
                <w:rFonts w:cstheme="minorHAnsi"/>
              </w:rPr>
              <w:t xml:space="preserve"> and economic and social shocks</w:t>
            </w:r>
          </w:p>
        </w:tc>
        <w:tc>
          <w:tcPr>
            <w:tcW w:w="830" w:type="pct"/>
          </w:tcPr>
          <w:p w14:paraId="02A0C4D7" w14:textId="3D7E937B" w:rsidR="009B376D" w:rsidRDefault="009B376D" w:rsidP="009B376D">
            <w:pPr>
              <w:pStyle w:val="TableBodyCopy"/>
              <w:rPr>
                <w:rFonts w:cs="Segoe UI"/>
                <w:lang w:eastAsia="en-AU"/>
              </w:rPr>
            </w:pPr>
            <w:r>
              <w:rPr>
                <w:lang w:eastAsia="en-AU"/>
              </w:rPr>
              <w:t xml:space="preserve">3.2.1 </w:t>
            </w:r>
            <w:r w:rsidRPr="1B598A3B">
              <w:rPr>
                <w:lang w:eastAsia="en-AU"/>
              </w:rPr>
              <w:t>Number of investments that are </w:t>
            </w:r>
            <w:r w:rsidRPr="00F96538">
              <w:t>contributing to low-emissions development pathways or are supporting mitigation activities and</w:t>
            </w:r>
            <w:r>
              <w:t xml:space="preserve"> </w:t>
            </w:r>
            <w:r w:rsidRPr="1B598A3B">
              <w:t>improving climate change adaptation and disaster resilience</w:t>
            </w:r>
          </w:p>
        </w:tc>
        <w:tc>
          <w:tcPr>
            <w:tcW w:w="830" w:type="pct"/>
          </w:tcPr>
          <w:p w14:paraId="6CAC0EB8" w14:textId="4339C595" w:rsidR="009B376D" w:rsidRDefault="00EE6BFE" w:rsidP="009B376D">
            <w:pPr>
              <w:pStyle w:val="TableBodyCopy"/>
              <w:rPr>
                <w:rFonts w:cs="Segoe UI"/>
                <w:lang w:eastAsia="en-AU"/>
              </w:rPr>
            </w:pPr>
            <w:r>
              <w:rPr>
                <w:lang w:eastAsia="en-AU"/>
              </w:rPr>
              <w:t>Seven</w:t>
            </w:r>
            <w:r w:rsidR="009B376D">
              <w:rPr>
                <w:lang w:eastAsia="en-AU"/>
              </w:rPr>
              <w:t> </w:t>
            </w:r>
            <w:r w:rsidR="009B376D" w:rsidRPr="009542C6">
              <w:rPr>
                <w:lang w:eastAsia="en-AU"/>
              </w:rPr>
              <w:t>investments</w:t>
            </w:r>
          </w:p>
        </w:tc>
        <w:tc>
          <w:tcPr>
            <w:tcW w:w="849" w:type="pct"/>
          </w:tcPr>
          <w:p w14:paraId="1FBDA5E7" w14:textId="1A87F55A" w:rsidR="009B376D" w:rsidRPr="33256516" w:rsidRDefault="00EE6BFE" w:rsidP="009B376D">
            <w:pPr>
              <w:pStyle w:val="TableBodyCopy"/>
              <w:rPr>
                <w:rFonts w:cs="Segoe UI"/>
                <w:lang w:eastAsia="en-AU"/>
              </w:rPr>
            </w:pPr>
            <w:r>
              <w:rPr>
                <w:lang w:eastAsia="en-AU"/>
              </w:rPr>
              <w:t>Seven</w:t>
            </w:r>
            <w:r w:rsidR="009B376D">
              <w:rPr>
                <w:lang w:eastAsia="en-AU"/>
              </w:rPr>
              <w:t> </w:t>
            </w:r>
            <w:r w:rsidR="009B376D" w:rsidRPr="009542C6">
              <w:rPr>
                <w:lang w:eastAsia="en-AU"/>
              </w:rPr>
              <w:t xml:space="preserve">investments </w:t>
            </w:r>
          </w:p>
        </w:tc>
        <w:tc>
          <w:tcPr>
            <w:tcW w:w="830" w:type="pct"/>
          </w:tcPr>
          <w:p w14:paraId="49925F77" w14:textId="5A39C9E8" w:rsidR="009B376D" w:rsidRDefault="00EE6BFE" w:rsidP="009B376D">
            <w:pPr>
              <w:pStyle w:val="TableBodyCopy"/>
              <w:rPr>
                <w:rFonts w:cs="Segoe UI"/>
                <w:lang w:eastAsia="en-AU"/>
              </w:rPr>
            </w:pPr>
            <w:r>
              <w:rPr>
                <w:lang w:eastAsia="en-AU"/>
              </w:rPr>
              <w:t>Seven</w:t>
            </w:r>
            <w:r w:rsidR="009B376D">
              <w:rPr>
                <w:lang w:eastAsia="en-AU"/>
              </w:rPr>
              <w:t> </w:t>
            </w:r>
            <w:r w:rsidR="009B376D" w:rsidRPr="009542C6">
              <w:rPr>
                <w:lang w:eastAsia="en-AU"/>
              </w:rPr>
              <w:t>investments</w:t>
            </w:r>
          </w:p>
        </w:tc>
        <w:tc>
          <w:tcPr>
            <w:tcW w:w="830" w:type="pct"/>
          </w:tcPr>
          <w:p w14:paraId="0F653C30" w14:textId="3D643731" w:rsidR="009B376D" w:rsidRPr="00F96538" w:rsidRDefault="009B376D" w:rsidP="009B376D">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9B376D" w14:paraId="546D2CD3" w14:textId="77777777" w:rsidTr="00B12F4B">
        <w:trPr>
          <w:cantSplit/>
          <w:trHeight w:val="544"/>
        </w:trPr>
        <w:tc>
          <w:tcPr>
            <w:tcW w:w="830" w:type="pct"/>
          </w:tcPr>
          <w:p w14:paraId="48A63269" w14:textId="77777777" w:rsidR="009B376D" w:rsidRPr="006E31E7" w:rsidRDefault="009B376D" w:rsidP="009B376D">
            <w:pPr>
              <w:pStyle w:val="TableBodyCopy"/>
              <w:rPr>
                <w:b/>
                <w:bCs/>
                <w:lang w:eastAsia="en-AU"/>
              </w:rPr>
            </w:pPr>
            <w:r w:rsidRPr="006E31E7">
              <w:rPr>
                <w:b/>
                <w:bCs/>
                <w:lang w:eastAsia="en-AU"/>
              </w:rPr>
              <w:t>Outcome 3.2</w:t>
            </w:r>
          </w:p>
          <w:p w14:paraId="0D1A1DBA" w14:textId="4B75F81C" w:rsidR="009B376D" w:rsidRDefault="009B376D" w:rsidP="009B376D">
            <w:pPr>
              <w:pStyle w:val="TableBodyCopy"/>
              <w:rPr>
                <w:b/>
                <w:bCs/>
                <w:lang w:eastAsia="en-AU"/>
              </w:rPr>
            </w:pPr>
          </w:p>
        </w:tc>
        <w:tc>
          <w:tcPr>
            <w:tcW w:w="830" w:type="pct"/>
          </w:tcPr>
          <w:p w14:paraId="3DF3311A" w14:textId="3CCC8739" w:rsidR="009B376D" w:rsidRDefault="009B376D" w:rsidP="009B376D">
            <w:pPr>
              <w:pStyle w:val="TableBodyCopy"/>
              <w:rPr>
                <w:rFonts w:cs="Segoe UI"/>
                <w:lang w:eastAsia="en-AU"/>
              </w:rPr>
            </w:pPr>
            <w:r>
              <w:rPr>
                <w:rFonts w:cs="Segoe UI"/>
                <w:lang w:eastAsia="en-AU"/>
              </w:rPr>
              <w:t xml:space="preserve">3.2.2 </w:t>
            </w:r>
            <w:r w:rsidRPr="00E4321A">
              <w:rPr>
                <w:lang w:eastAsia="en-AU"/>
              </w:rPr>
              <w:t>Value of new financial sources unlocked from multilateral organisations</w:t>
            </w:r>
          </w:p>
        </w:tc>
        <w:tc>
          <w:tcPr>
            <w:tcW w:w="830" w:type="pct"/>
          </w:tcPr>
          <w:p w14:paraId="35AF85B1" w14:textId="3C5771BA" w:rsidR="009B376D" w:rsidRDefault="009B376D" w:rsidP="009B376D">
            <w:pPr>
              <w:pStyle w:val="TableBodyCopy"/>
              <w:rPr>
                <w:rFonts w:cs="Segoe UI"/>
                <w:lang w:eastAsia="en-AU"/>
              </w:rPr>
            </w:pPr>
            <w:r>
              <w:rPr>
                <w:rFonts w:cs="Segoe UI"/>
                <w:lang w:eastAsia="en-AU"/>
              </w:rPr>
              <w:t xml:space="preserve">Value of climate finance </w:t>
            </w:r>
            <w:proofErr w:type="spellStart"/>
            <w:r>
              <w:rPr>
                <w:rFonts w:cs="Segoe UI"/>
                <w:lang w:eastAsia="en-AU"/>
              </w:rPr>
              <w:t>leveraged</w:t>
            </w:r>
            <w:r w:rsidRPr="00E90562">
              <w:rPr>
                <w:rFonts w:cs="Segoe UI"/>
                <w:vertAlign w:val="superscript"/>
                <w:lang w:eastAsia="en-AU"/>
              </w:rPr>
              <w:t>d</w:t>
            </w:r>
            <w:proofErr w:type="spellEnd"/>
          </w:p>
        </w:tc>
        <w:tc>
          <w:tcPr>
            <w:tcW w:w="849" w:type="pct"/>
          </w:tcPr>
          <w:p w14:paraId="29A8A993" w14:textId="6DBAA9A3" w:rsidR="009B376D" w:rsidRPr="33256516" w:rsidRDefault="009B376D" w:rsidP="009B376D">
            <w:pPr>
              <w:pStyle w:val="TableBodyCopy"/>
              <w:rPr>
                <w:rFonts w:cs="Segoe UI"/>
                <w:lang w:eastAsia="en-AU"/>
              </w:rPr>
            </w:pPr>
            <w:r>
              <w:rPr>
                <w:rFonts w:cs="Segoe UI"/>
                <w:lang w:eastAsia="en-AU"/>
              </w:rPr>
              <w:t>Value of climate finance leveraged</w:t>
            </w:r>
          </w:p>
        </w:tc>
        <w:tc>
          <w:tcPr>
            <w:tcW w:w="830" w:type="pct"/>
          </w:tcPr>
          <w:p w14:paraId="467E30D0" w14:textId="182F2A94" w:rsidR="009B376D" w:rsidRDefault="009B376D" w:rsidP="009B376D">
            <w:pPr>
              <w:pStyle w:val="TableBodyCopy"/>
              <w:rPr>
                <w:rFonts w:cs="Segoe UI"/>
                <w:lang w:eastAsia="en-AU"/>
              </w:rPr>
            </w:pPr>
            <w:r>
              <w:rPr>
                <w:rFonts w:cs="Segoe UI"/>
                <w:lang w:eastAsia="en-AU"/>
              </w:rPr>
              <w:t>Value of climate finance leveraged</w:t>
            </w:r>
          </w:p>
        </w:tc>
        <w:tc>
          <w:tcPr>
            <w:tcW w:w="830" w:type="pct"/>
          </w:tcPr>
          <w:p w14:paraId="72236F2E" w14:textId="35DD68C3" w:rsidR="009B376D" w:rsidRPr="00F96538" w:rsidRDefault="009B376D" w:rsidP="009B376D">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9B376D" w14:paraId="16C6FF29" w14:textId="77777777" w:rsidTr="00B12F4B">
        <w:trPr>
          <w:cantSplit/>
          <w:trHeight w:val="544"/>
        </w:trPr>
        <w:tc>
          <w:tcPr>
            <w:tcW w:w="830" w:type="pct"/>
          </w:tcPr>
          <w:p w14:paraId="0A08DA15" w14:textId="77777777" w:rsidR="009B376D" w:rsidRPr="006E31E7" w:rsidRDefault="009B376D" w:rsidP="009B376D">
            <w:pPr>
              <w:pStyle w:val="TableBodyCopy"/>
              <w:rPr>
                <w:b/>
                <w:bCs/>
                <w:lang w:eastAsia="en-AU"/>
              </w:rPr>
            </w:pPr>
            <w:r w:rsidRPr="006E31E7">
              <w:rPr>
                <w:b/>
                <w:bCs/>
                <w:lang w:eastAsia="en-AU"/>
              </w:rPr>
              <w:t>Outcome 3.2</w:t>
            </w:r>
          </w:p>
          <w:p w14:paraId="5723D1DF" w14:textId="22AD5528" w:rsidR="009B376D" w:rsidRDefault="009B376D" w:rsidP="009B376D">
            <w:pPr>
              <w:pStyle w:val="TableBodyCopy"/>
              <w:rPr>
                <w:b/>
                <w:bCs/>
                <w:lang w:eastAsia="en-AU"/>
              </w:rPr>
            </w:pPr>
          </w:p>
        </w:tc>
        <w:tc>
          <w:tcPr>
            <w:tcW w:w="830" w:type="pct"/>
          </w:tcPr>
          <w:p w14:paraId="14373A65" w14:textId="5BD9665D" w:rsidR="009B376D" w:rsidRDefault="009B376D" w:rsidP="009B376D">
            <w:pPr>
              <w:pStyle w:val="TableBodyCopy"/>
              <w:rPr>
                <w:rFonts w:cs="Segoe UI"/>
                <w:lang w:eastAsia="en-AU"/>
              </w:rPr>
            </w:pPr>
            <w:r>
              <w:rPr>
                <w:rFonts w:asciiTheme="majorHAnsi" w:eastAsiaTheme="majorEastAsia" w:hAnsiTheme="majorHAnsi" w:cstheme="majorBidi"/>
                <w:lang w:eastAsia="en-AU"/>
              </w:rPr>
              <w:t xml:space="preserve">3.2.3 </w:t>
            </w:r>
            <w:r>
              <w:rPr>
                <w:lang w:eastAsia="en-AU"/>
              </w:rPr>
              <w:t>S</w:t>
            </w:r>
            <w:r w:rsidRPr="00F96538">
              <w:rPr>
                <w:lang w:eastAsia="en-AU"/>
              </w:rPr>
              <w:t xml:space="preserve">upport </w:t>
            </w:r>
            <w:r>
              <w:rPr>
                <w:lang w:eastAsia="en-AU"/>
              </w:rPr>
              <w:t>to</w:t>
            </w:r>
            <w:r w:rsidRPr="00F96538">
              <w:rPr>
                <w:lang w:eastAsia="en-AU"/>
              </w:rPr>
              <w:t xml:space="preserve"> PNG</w:t>
            </w:r>
            <w:r>
              <w:rPr>
                <w:lang w:eastAsia="en-AU"/>
              </w:rPr>
              <w:t>’</w:t>
            </w:r>
            <w:r w:rsidRPr="00F96538">
              <w:rPr>
                <w:lang w:eastAsia="en-AU"/>
              </w:rPr>
              <w:t xml:space="preserve">s disaster management architecture </w:t>
            </w:r>
            <w:r>
              <w:rPr>
                <w:lang w:eastAsia="en-AU"/>
              </w:rPr>
              <w:t>to</w:t>
            </w:r>
            <w:r w:rsidRPr="00F96538">
              <w:rPr>
                <w:lang w:eastAsia="en-AU"/>
              </w:rPr>
              <w:t xml:space="preserve"> increas</w:t>
            </w:r>
            <w:r>
              <w:rPr>
                <w:lang w:eastAsia="en-AU"/>
              </w:rPr>
              <w:t>e</w:t>
            </w:r>
            <w:r w:rsidRPr="00F96538">
              <w:rPr>
                <w:lang w:eastAsia="en-AU"/>
              </w:rPr>
              <w:t xml:space="preserve"> PNG</w:t>
            </w:r>
            <w:r>
              <w:rPr>
                <w:lang w:eastAsia="en-AU"/>
              </w:rPr>
              <w:t>’s</w:t>
            </w:r>
            <w:r w:rsidRPr="00F96538">
              <w:rPr>
                <w:lang w:eastAsia="en-AU"/>
              </w:rPr>
              <w:t xml:space="preserve"> disaster response</w:t>
            </w:r>
            <w:r>
              <w:rPr>
                <w:lang w:eastAsia="en-AU"/>
              </w:rPr>
              <w:t xml:space="preserve"> capabilities</w:t>
            </w:r>
          </w:p>
        </w:tc>
        <w:tc>
          <w:tcPr>
            <w:tcW w:w="830" w:type="pct"/>
          </w:tcPr>
          <w:p w14:paraId="25C7FB20" w14:textId="4536A43B" w:rsidR="009B376D" w:rsidRDefault="009B376D" w:rsidP="009B376D">
            <w:pPr>
              <w:pStyle w:val="TableBodyCopy"/>
              <w:rPr>
                <w:rFonts w:cs="Segoe UI"/>
                <w:lang w:eastAsia="en-AU"/>
              </w:rPr>
            </w:pPr>
            <w:r w:rsidRPr="0036683A">
              <w:rPr>
                <w:rFonts w:asciiTheme="majorHAnsi" w:eastAsiaTheme="majorEastAsia" w:hAnsiTheme="majorHAnsi" w:cstheme="majorBidi"/>
                <w:lang w:eastAsia="en-AU"/>
              </w:rPr>
              <w:t xml:space="preserve">Progress made by </w:t>
            </w:r>
            <w:proofErr w:type="spellStart"/>
            <w:r w:rsidRPr="0036683A">
              <w:rPr>
                <w:rFonts w:asciiTheme="majorHAnsi" w:eastAsiaTheme="majorEastAsia" w:hAnsiTheme="majorHAnsi" w:cstheme="majorBidi"/>
                <w:color w:val="333333"/>
              </w:rPr>
              <w:t>GoPNG</w:t>
            </w:r>
            <w:proofErr w:type="spellEnd"/>
            <w:r w:rsidRPr="0036683A">
              <w:rPr>
                <w:rFonts w:asciiTheme="majorHAnsi" w:eastAsiaTheme="majorEastAsia" w:hAnsiTheme="majorHAnsi" w:cstheme="majorBidi"/>
                <w:color w:val="333333"/>
              </w:rPr>
              <w:t xml:space="preserve"> to establish </w:t>
            </w:r>
            <w:r w:rsidRPr="684DC568">
              <w:rPr>
                <w:rFonts w:asciiTheme="majorHAnsi" w:eastAsiaTheme="majorEastAsia" w:hAnsiTheme="majorHAnsi" w:cstheme="majorBidi"/>
                <w:lang w:eastAsia="en-AU"/>
              </w:rPr>
              <w:t>appropriate</w:t>
            </w:r>
            <w:r w:rsidRPr="0036683A">
              <w:rPr>
                <w:rFonts w:asciiTheme="majorHAnsi" w:eastAsiaTheme="majorEastAsia" w:hAnsiTheme="majorHAnsi" w:cstheme="majorBidi"/>
                <w:color w:val="333333"/>
              </w:rPr>
              <w:t xml:space="preserve"> disaster management legislation and policy</w:t>
            </w:r>
          </w:p>
        </w:tc>
        <w:tc>
          <w:tcPr>
            <w:tcW w:w="849" w:type="pct"/>
          </w:tcPr>
          <w:p w14:paraId="03F9CA94" w14:textId="5C473BAE" w:rsidR="009B376D" w:rsidRPr="33256516" w:rsidRDefault="009B376D" w:rsidP="009B376D">
            <w:pPr>
              <w:pStyle w:val="TableBodyCopy"/>
              <w:rPr>
                <w:rFonts w:cs="Segoe UI"/>
                <w:lang w:eastAsia="en-AU"/>
              </w:rPr>
            </w:pPr>
            <w:r w:rsidRPr="229EEEE8">
              <w:rPr>
                <w:rFonts w:cs="Segoe UI"/>
                <w:lang w:eastAsia="en-AU"/>
              </w:rPr>
              <w:t>PNG National Disaster Centre supported to implement changes established through updated emergency management legislation and policy</w:t>
            </w:r>
          </w:p>
        </w:tc>
        <w:tc>
          <w:tcPr>
            <w:tcW w:w="830" w:type="pct"/>
          </w:tcPr>
          <w:p w14:paraId="20DD3BFA" w14:textId="33C970A8" w:rsidR="009B376D" w:rsidRDefault="009B376D" w:rsidP="009B376D">
            <w:pPr>
              <w:pStyle w:val="TableBodyCopy"/>
              <w:rPr>
                <w:rFonts w:cs="Segoe UI"/>
                <w:lang w:eastAsia="en-AU"/>
              </w:rPr>
            </w:pPr>
            <w:r w:rsidRPr="229EEEE8">
              <w:rPr>
                <w:rFonts w:cs="Segoe UI"/>
                <w:lang w:eastAsia="en-AU"/>
              </w:rPr>
              <w:t>To be determined following n</w:t>
            </w:r>
            <w:r w:rsidRPr="229EEEE8">
              <w:rPr>
                <w:rFonts w:cs="Segoe UI"/>
              </w:rPr>
              <w:t>ew program design</w:t>
            </w:r>
          </w:p>
        </w:tc>
        <w:tc>
          <w:tcPr>
            <w:tcW w:w="830" w:type="pct"/>
          </w:tcPr>
          <w:p w14:paraId="62529FBD" w14:textId="44A8684B" w:rsidR="009B376D" w:rsidRPr="00F96538" w:rsidRDefault="009B376D" w:rsidP="009B376D">
            <w:pPr>
              <w:pStyle w:val="TableBodyCopy"/>
              <w:rPr>
                <w:lang w:eastAsia="en-AU"/>
              </w:rPr>
            </w:pPr>
            <w:r w:rsidRPr="00F96538">
              <w:rPr>
                <w:lang w:eastAsia="en-AU"/>
              </w:rPr>
              <w:t>SDG2</w:t>
            </w:r>
            <w:r>
              <w:rPr>
                <w:lang w:eastAsia="en-AU"/>
              </w:rPr>
              <w:t xml:space="preserve">, </w:t>
            </w:r>
            <w:r w:rsidRPr="00F96538">
              <w:rPr>
                <w:lang w:eastAsia="en-AU"/>
              </w:rPr>
              <w:t>SDG3</w:t>
            </w:r>
            <w:r>
              <w:rPr>
                <w:lang w:eastAsia="en-AU"/>
              </w:rPr>
              <w:t xml:space="preserve">, </w:t>
            </w:r>
            <w:r w:rsidRPr="00F96538">
              <w:rPr>
                <w:lang w:eastAsia="en-AU"/>
              </w:rPr>
              <w:t>SDG4</w:t>
            </w:r>
            <w:r>
              <w:rPr>
                <w:lang w:eastAsia="en-AU"/>
              </w:rPr>
              <w:t xml:space="preserve">, </w:t>
            </w:r>
            <w:r w:rsidRPr="00F96538">
              <w:rPr>
                <w:lang w:eastAsia="en-AU"/>
              </w:rPr>
              <w:t>SDG5</w:t>
            </w:r>
            <w:r>
              <w:rPr>
                <w:lang w:eastAsia="en-AU"/>
              </w:rPr>
              <w:t xml:space="preserve">, </w:t>
            </w:r>
            <w:r w:rsidRPr="00F96538">
              <w:rPr>
                <w:lang w:eastAsia="en-AU"/>
              </w:rPr>
              <w:t>SDG6</w:t>
            </w:r>
            <w:r>
              <w:rPr>
                <w:lang w:eastAsia="en-AU"/>
              </w:rPr>
              <w:t xml:space="preserve">, </w:t>
            </w:r>
            <w:r w:rsidRPr="00F96538">
              <w:rPr>
                <w:lang w:eastAsia="en-AU"/>
              </w:rPr>
              <w:t>SDG7</w:t>
            </w:r>
            <w:r>
              <w:rPr>
                <w:lang w:eastAsia="en-AU"/>
              </w:rPr>
              <w:t xml:space="preserve">, </w:t>
            </w:r>
            <w:r w:rsidRPr="00F96538">
              <w:rPr>
                <w:lang w:eastAsia="en-AU"/>
              </w:rPr>
              <w:t>SDG11</w:t>
            </w:r>
            <w:r>
              <w:rPr>
                <w:lang w:eastAsia="en-AU"/>
              </w:rPr>
              <w:t xml:space="preserve">, </w:t>
            </w:r>
            <w:r w:rsidRPr="00F96538">
              <w:rPr>
                <w:lang w:eastAsia="en-AU"/>
              </w:rPr>
              <w:t>SDG13</w:t>
            </w:r>
            <w:r>
              <w:rPr>
                <w:lang w:eastAsia="en-AU"/>
              </w:rPr>
              <w:t xml:space="preserve">, </w:t>
            </w:r>
            <w:r w:rsidRPr="00F96538">
              <w:rPr>
                <w:lang w:eastAsia="en-AU"/>
              </w:rPr>
              <w:t>SDG14</w:t>
            </w:r>
            <w:r>
              <w:rPr>
                <w:lang w:eastAsia="en-AU"/>
              </w:rPr>
              <w:t xml:space="preserve">, </w:t>
            </w:r>
            <w:r w:rsidRPr="00F96538">
              <w:rPr>
                <w:lang w:eastAsia="en-AU"/>
              </w:rPr>
              <w:t>SDG15</w:t>
            </w:r>
          </w:p>
        </w:tc>
      </w:tr>
      <w:tr w:rsidR="009B376D" w14:paraId="0D3F7CC0" w14:textId="77777777" w:rsidTr="00B12F4B">
        <w:trPr>
          <w:cantSplit/>
          <w:trHeight w:val="544"/>
        </w:trPr>
        <w:tc>
          <w:tcPr>
            <w:tcW w:w="830" w:type="pct"/>
          </w:tcPr>
          <w:p w14:paraId="0A0F8A29" w14:textId="77777777" w:rsidR="009B376D" w:rsidRDefault="009B376D" w:rsidP="009B376D">
            <w:pPr>
              <w:pStyle w:val="TableBodyCopy"/>
              <w:rPr>
                <w:lang w:eastAsia="en-AU"/>
              </w:rPr>
            </w:pPr>
            <w:r>
              <w:rPr>
                <w:b/>
                <w:bCs/>
                <w:lang w:eastAsia="en-AU"/>
              </w:rPr>
              <w:lastRenderedPageBreak/>
              <w:t>Outcome 3.3</w:t>
            </w:r>
          </w:p>
          <w:p w14:paraId="47651C39" w14:textId="3809097C" w:rsidR="009B376D" w:rsidRDefault="00441154" w:rsidP="009B376D">
            <w:pPr>
              <w:pStyle w:val="TableBodyCopy"/>
              <w:rPr>
                <w:b/>
                <w:bCs/>
                <w:lang w:eastAsia="en-AU"/>
              </w:rPr>
            </w:pPr>
            <w:r>
              <w:t xml:space="preserve">Gender equality, </w:t>
            </w:r>
            <w:proofErr w:type="gramStart"/>
            <w:r>
              <w:t>disability</w:t>
            </w:r>
            <w:proofErr w:type="gramEnd"/>
            <w:r>
              <w:t xml:space="preserve"> and social inclusion</w:t>
            </w:r>
            <w:r w:rsidR="00407EFE">
              <w:rPr>
                <w:lang w:eastAsia="en-AU"/>
              </w:rPr>
              <w:t xml:space="preserve">: </w:t>
            </w:r>
            <w:r w:rsidR="00407EFE" w:rsidRPr="00407EFE">
              <w:rPr>
                <w:lang w:eastAsia="en-AU"/>
              </w:rPr>
              <w:t>Supporting PNG to address barriers that prevent Papua New Guineans from fulfilling their potential</w:t>
            </w:r>
            <w:r w:rsidR="00F725BF">
              <w:rPr>
                <w:lang w:eastAsia="en-AU"/>
              </w:rPr>
              <w:t>,</w:t>
            </w:r>
            <w:r w:rsidR="00407EFE" w:rsidRPr="00407EFE">
              <w:rPr>
                <w:lang w:eastAsia="en-AU"/>
              </w:rPr>
              <w:t xml:space="preserve"> and opening up opportunities for voice and leadership </w:t>
            </w:r>
          </w:p>
        </w:tc>
        <w:tc>
          <w:tcPr>
            <w:tcW w:w="830" w:type="pct"/>
          </w:tcPr>
          <w:p w14:paraId="0CF887A2" w14:textId="604EF19F" w:rsidR="009B376D" w:rsidRDefault="00EF5AAB" w:rsidP="009B376D">
            <w:pPr>
              <w:pStyle w:val="TableBodyCopy"/>
              <w:rPr>
                <w:rFonts w:cs="Segoe UI"/>
                <w:lang w:eastAsia="en-AU"/>
              </w:rPr>
            </w:pPr>
            <w:r>
              <w:rPr>
                <w:lang w:eastAsia="en-AU"/>
              </w:rPr>
              <w:t xml:space="preserve">3.3.1 </w:t>
            </w:r>
            <w:r w:rsidR="00407EFE" w:rsidRPr="684DC568">
              <w:rPr>
                <w:lang w:eastAsia="en-AU"/>
              </w:rPr>
              <w:t>Progress towards addressing barriers that prevent Papua New Guinean women and girls and other marginalised groups from fulfilling their potential</w:t>
            </w:r>
          </w:p>
        </w:tc>
        <w:tc>
          <w:tcPr>
            <w:tcW w:w="830" w:type="pct"/>
          </w:tcPr>
          <w:p w14:paraId="13891A53" w14:textId="6E83A5E9" w:rsidR="009B376D" w:rsidRDefault="009B376D" w:rsidP="009B376D">
            <w:pPr>
              <w:pStyle w:val="TableBodyCopy"/>
              <w:rPr>
                <w:lang w:eastAsia="en-AU"/>
              </w:rPr>
            </w:pPr>
            <w:r w:rsidRPr="229EEEE8">
              <w:rPr>
                <w:lang w:eastAsia="en-AU"/>
              </w:rPr>
              <w:t xml:space="preserve">The new National Gender Equality and Women’s Empowerment </w:t>
            </w:r>
            <w:r w:rsidR="008E051D">
              <w:rPr>
                <w:lang w:eastAsia="en-AU"/>
              </w:rPr>
              <w:t>(GEWE)</w:t>
            </w:r>
            <w:r w:rsidRPr="229EEEE8">
              <w:rPr>
                <w:lang w:eastAsia="en-AU"/>
              </w:rPr>
              <w:t xml:space="preserve"> Policy is </w:t>
            </w:r>
            <w:proofErr w:type="gramStart"/>
            <w:r w:rsidRPr="229EEEE8">
              <w:rPr>
                <w:lang w:eastAsia="en-AU"/>
              </w:rPr>
              <w:t>launched</w:t>
            </w:r>
            <w:proofErr w:type="gramEnd"/>
          </w:p>
          <w:p w14:paraId="0DC3A5F7" w14:textId="5A41FFE8" w:rsidR="009B376D" w:rsidRDefault="009B376D" w:rsidP="009B376D">
            <w:pPr>
              <w:pStyle w:val="TableBodyCopy"/>
              <w:rPr>
                <w:lang w:eastAsia="en-AU"/>
              </w:rPr>
            </w:pPr>
            <w:r w:rsidRPr="54C679F5">
              <w:rPr>
                <w:lang w:eastAsia="en-AU"/>
              </w:rPr>
              <w:t>The National Gender</w:t>
            </w:r>
            <w:r>
              <w:rPr>
                <w:lang w:eastAsia="en-AU"/>
              </w:rPr>
              <w:t>-</w:t>
            </w:r>
            <w:r w:rsidRPr="54C679F5">
              <w:rPr>
                <w:lang w:eastAsia="en-AU"/>
              </w:rPr>
              <w:t xml:space="preserve">Based Violence Strategy is reviewed and a </w:t>
            </w:r>
            <w:r>
              <w:rPr>
                <w:lang w:eastAsia="en-AU"/>
              </w:rPr>
              <w:t xml:space="preserve">gender-based violence </w:t>
            </w:r>
            <w:r w:rsidRPr="54C679F5">
              <w:rPr>
                <w:lang w:eastAsia="en-AU"/>
              </w:rPr>
              <w:t xml:space="preserve">response fund </w:t>
            </w:r>
            <w:r>
              <w:rPr>
                <w:lang w:eastAsia="en-AU"/>
              </w:rPr>
              <w:t xml:space="preserve">is </w:t>
            </w:r>
            <w:proofErr w:type="gramStart"/>
            <w:r w:rsidRPr="5699606D">
              <w:rPr>
                <w:lang w:eastAsia="en-AU"/>
              </w:rPr>
              <w:t>developed</w:t>
            </w:r>
            <w:proofErr w:type="gramEnd"/>
          </w:p>
          <w:p w14:paraId="39F21173" w14:textId="5A1DF779" w:rsidR="009B376D" w:rsidRPr="00E90562" w:rsidRDefault="009B376D" w:rsidP="009B376D">
            <w:pPr>
              <w:pStyle w:val="TableBodyCopy"/>
            </w:pPr>
            <w:r w:rsidRPr="684DC568">
              <w:rPr>
                <w:lang w:val="en-GB" w:eastAsia="en-AU"/>
              </w:rPr>
              <w:t xml:space="preserve">60 young women </w:t>
            </w:r>
            <w:r w:rsidRPr="00E90562">
              <w:t>participat</w:t>
            </w:r>
            <w:r>
              <w:t>e</w:t>
            </w:r>
            <w:r w:rsidRPr="00E90562">
              <w:t xml:space="preserve"> in elite sporting pathway </w:t>
            </w:r>
            <w:proofErr w:type="gramStart"/>
            <w:r w:rsidRPr="00E90562">
              <w:t>programs</w:t>
            </w:r>
            <w:proofErr w:type="gramEnd"/>
          </w:p>
          <w:p w14:paraId="78D2B0A8" w14:textId="19077A00" w:rsidR="009B376D" w:rsidRDefault="009B376D" w:rsidP="009B376D">
            <w:pPr>
              <w:pStyle w:val="TableBodyCopy"/>
              <w:rPr>
                <w:lang w:eastAsia="en-AU"/>
              </w:rPr>
            </w:pPr>
            <w:r w:rsidRPr="17703363">
              <w:rPr>
                <w:lang w:eastAsia="en-AU"/>
              </w:rPr>
              <w:t xml:space="preserve">The National Disability Authority Act is </w:t>
            </w:r>
            <w:proofErr w:type="gramStart"/>
            <w:r w:rsidRPr="17703363">
              <w:rPr>
                <w:lang w:eastAsia="en-AU"/>
              </w:rPr>
              <w:t>passed</w:t>
            </w:r>
            <w:proofErr w:type="gramEnd"/>
          </w:p>
          <w:p w14:paraId="45D016A4" w14:textId="4EE0125D" w:rsidR="009B376D" w:rsidRPr="0065191C" w:rsidRDefault="009B376D" w:rsidP="009B376D">
            <w:pPr>
              <w:pStyle w:val="TableBodyCopy"/>
              <w:rPr>
                <w:lang w:eastAsia="en-AU"/>
              </w:rPr>
            </w:pPr>
            <w:r w:rsidRPr="229EEEE8">
              <w:rPr>
                <w:lang w:eastAsia="en-AU"/>
              </w:rPr>
              <w:t xml:space="preserve">The National Advisory Committee </w:t>
            </w:r>
            <w:r>
              <w:br/>
            </w:r>
            <w:r w:rsidRPr="229EEEE8">
              <w:rPr>
                <w:lang w:eastAsia="en-AU"/>
              </w:rPr>
              <w:t xml:space="preserve">on Disability and National Board for Disabled Persons are working to develop better metrics around persons people with </w:t>
            </w:r>
            <w:proofErr w:type="gramStart"/>
            <w:r w:rsidRPr="229EEEE8">
              <w:rPr>
                <w:lang w:eastAsia="en-AU"/>
              </w:rPr>
              <w:t>disability</w:t>
            </w:r>
            <w:proofErr w:type="gramEnd"/>
          </w:p>
          <w:p w14:paraId="35780BEC" w14:textId="666A345D" w:rsidR="009B376D" w:rsidRDefault="009B376D" w:rsidP="009B376D">
            <w:pPr>
              <w:pStyle w:val="TableBodyCopy"/>
              <w:rPr>
                <w:rFonts w:cs="Segoe UI"/>
                <w:lang w:eastAsia="en-AU"/>
              </w:rPr>
            </w:pPr>
            <w:r w:rsidRPr="6FAF8298">
              <w:rPr>
                <w:lang w:eastAsia="en-AU"/>
              </w:rPr>
              <w:t>Better understanding by decision</w:t>
            </w:r>
            <w:r>
              <w:rPr>
                <w:lang w:eastAsia="en-AU"/>
              </w:rPr>
              <w:t>-</w:t>
            </w:r>
            <w:r w:rsidRPr="6FAF8298">
              <w:rPr>
                <w:lang w:eastAsia="en-AU"/>
              </w:rPr>
              <w:t xml:space="preserve">makers of metrics required to track progress on </w:t>
            </w:r>
            <w:r w:rsidR="0071327A">
              <w:rPr>
                <w:lang w:eastAsia="en-AU"/>
              </w:rPr>
              <w:t>g</w:t>
            </w:r>
            <w:r w:rsidRPr="6FAF8298">
              <w:rPr>
                <w:lang w:eastAsia="en-AU"/>
              </w:rPr>
              <w:t xml:space="preserve">ender </w:t>
            </w:r>
            <w:r w:rsidR="0071327A">
              <w:rPr>
                <w:lang w:eastAsia="en-AU"/>
              </w:rPr>
              <w:t>e</w:t>
            </w:r>
            <w:r w:rsidRPr="6FAF8298">
              <w:rPr>
                <w:lang w:eastAsia="en-AU"/>
              </w:rPr>
              <w:t xml:space="preserve">quality and </w:t>
            </w:r>
            <w:r w:rsidR="0071327A">
              <w:rPr>
                <w:lang w:eastAsia="en-AU"/>
              </w:rPr>
              <w:t>w</w:t>
            </w:r>
            <w:r w:rsidRPr="6FAF8298">
              <w:rPr>
                <w:lang w:eastAsia="en-AU"/>
              </w:rPr>
              <w:t xml:space="preserve">omen’s </w:t>
            </w:r>
            <w:r w:rsidR="0071327A">
              <w:rPr>
                <w:lang w:eastAsia="en-AU"/>
              </w:rPr>
              <w:t>e</w:t>
            </w:r>
            <w:r w:rsidRPr="6FAF8298">
              <w:rPr>
                <w:lang w:eastAsia="en-AU"/>
              </w:rPr>
              <w:t>mpowerment</w:t>
            </w:r>
            <w:r w:rsidR="00885447">
              <w:rPr>
                <w:lang w:eastAsia="en-AU"/>
              </w:rPr>
              <w:t>,</w:t>
            </w:r>
            <w:r w:rsidRPr="6FAF8298">
              <w:rPr>
                <w:lang w:eastAsia="en-AU"/>
              </w:rPr>
              <w:t xml:space="preserve"> as evidenced by the inclusion of a </w:t>
            </w:r>
            <w:r>
              <w:rPr>
                <w:lang w:eastAsia="en-AU"/>
              </w:rPr>
              <w:t>monitoring, evaluation, research, learning and adaptation (</w:t>
            </w:r>
            <w:r w:rsidRPr="6FAF8298">
              <w:rPr>
                <w:lang w:eastAsia="en-AU"/>
              </w:rPr>
              <w:t>MERLA</w:t>
            </w:r>
            <w:r>
              <w:rPr>
                <w:lang w:eastAsia="en-AU"/>
              </w:rPr>
              <w:t>)</w:t>
            </w:r>
            <w:r w:rsidRPr="6FAF8298">
              <w:rPr>
                <w:lang w:eastAsia="en-AU"/>
              </w:rPr>
              <w:t xml:space="preserve"> strategy as part of implementation of the new </w:t>
            </w:r>
            <w:r w:rsidR="00CF05B5">
              <w:rPr>
                <w:lang w:eastAsia="en-AU"/>
              </w:rPr>
              <w:t xml:space="preserve">National </w:t>
            </w:r>
            <w:r w:rsidRPr="6FAF8298">
              <w:rPr>
                <w:lang w:eastAsia="en-AU"/>
              </w:rPr>
              <w:t>GEWE policy</w:t>
            </w:r>
          </w:p>
        </w:tc>
        <w:tc>
          <w:tcPr>
            <w:tcW w:w="849" w:type="pct"/>
          </w:tcPr>
          <w:p w14:paraId="7C819869" w14:textId="52ACBEAB" w:rsidR="009B376D" w:rsidRDefault="009B376D" w:rsidP="009B376D">
            <w:pPr>
              <w:pStyle w:val="TableBodyCopy"/>
              <w:rPr>
                <w:rFonts w:cstheme="majorHAnsi"/>
                <w:lang w:eastAsia="en-AU"/>
              </w:rPr>
            </w:pPr>
            <w:r w:rsidRPr="229EEEE8">
              <w:rPr>
                <w:lang w:eastAsia="en-AU"/>
              </w:rPr>
              <w:t xml:space="preserve">The new National </w:t>
            </w:r>
            <w:r w:rsidR="0071327A">
              <w:rPr>
                <w:lang w:eastAsia="en-AU"/>
              </w:rPr>
              <w:t>GEWE</w:t>
            </w:r>
            <w:r w:rsidRPr="229EEEE8">
              <w:rPr>
                <w:lang w:eastAsia="en-AU"/>
              </w:rPr>
              <w:t xml:space="preserve"> Policy is implemented nationally (across provinces) with robust MERLA plans to support </w:t>
            </w:r>
            <w:proofErr w:type="gramStart"/>
            <w:r w:rsidRPr="229EEEE8">
              <w:rPr>
                <w:lang w:eastAsia="en-AU"/>
              </w:rPr>
              <w:t>impact</w:t>
            </w:r>
            <w:proofErr w:type="gramEnd"/>
          </w:p>
          <w:p w14:paraId="0E56D87F" w14:textId="06739CA3" w:rsidR="009B376D" w:rsidRDefault="009B376D" w:rsidP="009B376D">
            <w:pPr>
              <w:pStyle w:val="TableBodyCopy"/>
              <w:rPr>
                <w:lang w:val="en-GB" w:eastAsia="en-AU"/>
              </w:rPr>
            </w:pPr>
            <w:r w:rsidRPr="00E90562">
              <w:t xml:space="preserve">Gender-based violence response fund is accessed and used for its intended purpose by appropriate local organisations and </w:t>
            </w:r>
            <w:proofErr w:type="gramStart"/>
            <w:r w:rsidRPr="00E90562">
              <w:t>individuals</w:t>
            </w:r>
            <w:proofErr w:type="gramEnd"/>
          </w:p>
          <w:p w14:paraId="34BC461F" w14:textId="0E79EDF9" w:rsidR="009B376D" w:rsidRPr="00E90562" w:rsidRDefault="009B376D" w:rsidP="009B376D">
            <w:pPr>
              <w:pStyle w:val="TableBodyCopy"/>
            </w:pPr>
            <w:r w:rsidRPr="684DC568">
              <w:rPr>
                <w:lang w:val="en-GB" w:eastAsia="en-AU"/>
              </w:rPr>
              <w:t xml:space="preserve">60 young women </w:t>
            </w:r>
            <w:r w:rsidRPr="00E90562">
              <w:t>participat</w:t>
            </w:r>
            <w:r>
              <w:t>e</w:t>
            </w:r>
            <w:r w:rsidRPr="00E90562">
              <w:t xml:space="preserve"> in elite sporting pathway </w:t>
            </w:r>
            <w:proofErr w:type="gramStart"/>
            <w:r w:rsidRPr="00E90562">
              <w:t>programs</w:t>
            </w:r>
            <w:proofErr w:type="gramEnd"/>
          </w:p>
          <w:p w14:paraId="28C72724" w14:textId="3929C59E" w:rsidR="009B376D" w:rsidRDefault="009B376D" w:rsidP="009B376D">
            <w:pPr>
              <w:pStyle w:val="TableBodyCopy"/>
              <w:rPr>
                <w:lang w:eastAsia="en-AU"/>
              </w:rPr>
            </w:pPr>
            <w:r>
              <w:br/>
            </w:r>
            <w:r w:rsidRPr="229EEEE8">
              <w:rPr>
                <w:lang w:eastAsia="en-AU"/>
              </w:rPr>
              <w:t xml:space="preserve">The National Advisory Committee on Disability and National Board for Disabled Persons are working across national government departments to better coordinate and target funding and services for persons with </w:t>
            </w:r>
            <w:proofErr w:type="gramStart"/>
            <w:r w:rsidRPr="229EEEE8">
              <w:rPr>
                <w:lang w:eastAsia="en-AU"/>
              </w:rPr>
              <w:t>disability</w:t>
            </w:r>
            <w:proofErr w:type="gramEnd"/>
          </w:p>
          <w:p w14:paraId="596E2DCE" w14:textId="65AF1F81" w:rsidR="009B376D" w:rsidRPr="33256516" w:rsidRDefault="009B376D" w:rsidP="009B376D">
            <w:pPr>
              <w:pStyle w:val="TableBodyCopy"/>
              <w:rPr>
                <w:rFonts w:cs="Segoe UI"/>
                <w:lang w:eastAsia="en-AU"/>
              </w:rPr>
            </w:pPr>
            <w:r w:rsidRPr="229EEEE8">
              <w:rPr>
                <w:lang w:eastAsia="en-AU"/>
              </w:rPr>
              <w:t>The new National GEWE Policy’s MERLA strategy is implemented</w:t>
            </w:r>
          </w:p>
        </w:tc>
        <w:tc>
          <w:tcPr>
            <w:tcW w:w="830" w:type="pct"/>
          </w:tcPr>
          <w:p w14:paraId="60C30AA1" w14:textId="301DADDE" w:rsidR="009B376D" w:rsidRPr="0065191C" w:rsidRDefault="009B376D" w:rsidP="009B376D">
            <w:pPr>
              <w:pStyle w:val="TableBodyCopy"/>
              <w:rPr>
                <w:lang w:eastAsia="en-AU"/>
              </w:rPr>
            </w:pPr>
            <w:r w:rsidRPr="797AE2C9">
              <w:rPr>
                <w:lang w:eastAsia="en-AU"/>
              </w:rPr>
              <w:t>Decision</w:t>
            </w:r>
            <w:r w:rsidRPr="5AB5808E">
              <w:rPr>
                <w:lang w:eastAsia="en-AU"/>
              </w:rPr>
              <w:t>-</w:t>
            </w:r>
            <w:r w:rsidRPr="148CCA0E">
              <w:rPr>
                <w:lang w:eastAsia="en-AU"/>
              </w:rPr>
              <w:t xml:space="preserve">makers </w:t>
            </w:r>
            <w:r w:rsidRPr="5AB5808E">
              <w:rPr>
                <w:lang w:eastAsia="en-AU"/>
              </w:rPr>
              <w:t xml:space="preserve">actively </w:t>
            </w:r>
            <w:r w:rsidRPr="0ACF81F2">
              <w:rPr>
                <w:lang w:eastAsia="en-AU"/>
              </w:rPr>
              <w:t>including</w:t>
            </w:r>
            <w:r w:rsidRPr="5AB5808E">
              <w:rPr>
                <w:lang w:eastAsia="en-AU"/>
              </w:rPr>
              <w:t xml:space="preserve"> gender </w:t>
            </w:r>
            <w:r w:rsidRPr="0F742F2B">
              <w:rPr>
                <w:lang w:eastAsia="en-AU"/>
              </w:rPr>
              <w:t>equality</w:t>
            </w:r>
            <w:r w:rsidRPr="54E1CD61">
              <w:rPr>
                <w:lang w:eastAsia="en-AU"/>
              </w:rPr>
              <w:t xml:space="preserve"> and disability </w:t>
            </w:r>
            <w:r>
              <w:rPr>
                <w:lang w:eastAsia="en-AU"/>
              </w:rPr>
              <w:t>equity</w:t>
            </w:r>
            <w:r w:rsidRPr="0F742F2B">
              <w:rPr>
                <w:lang w:eastAsia="en-AU"/>
              </w:rPr>
              <w:t xml:space="preserve"> in </w:t>
            </w:r>
            <w:r w:rsidRPr="797AE2C9">
              <w:rPr>
                <w:lang w:eastAsia="en-AU"/>
              </w:rPr>
              <w:t xml:space="preserve">national and provincial </w:t>
            </w:r>
            <w:r w:rsidRPr="576153D3">
              <w:rPr>
                <w:lang w:eastAsia="en-AU"/>
              </w:rPr>
              <w:t xml:space="preserve">policy, strategy and </w:t>
            </w:r>
            <w:r w:rsidRPr="4ABA4B89">
              <w:rPr>
                <w:lang w:eastAsia="en-AU"/>
              </w:rPr>
              <w:t>funding</w:t>
            </w:r>
            <w:r w:rsidRPr="576153D3">
              <w:rPr>
                <w:lang w:eastAsia="en-AU"/>
              </w:rPr>
              <w:t xml:space="preserve"> </w:t>
            </w:r>
            <w:proofErr w:type="gramStart"/>
            <w:r w:rsidRPr="576153D3">
              <w:rPr>
                <w:lang w:eastAsia="en-AU"/>
              </w:rPr>
              <w:t>decisions</w:t>
            </w:r>
            <w:proofErr w:type="gramEnd"/>
          </w:p>
          <w:p w14:paraId="05BBDC73" w14:textId="763DE780" w:rsidR="009B376D" w:rsidRPr="0065191C" w:rsidRDefault="009B376D" w:rsidP="009B376D">
            <w:pPr>
              <w:pStyle w:val="TableBodyCopy"/>
              <w:rPr>
                <w:lang w:eastAsia="en-AU"/>
              </w:rPr>
            </w:pPr>
            <w:r>
              <w:t xml:space="preserve">Gender-based violence </w:t>
            </w:r>
            <w:r w:rsidRPr="00E90562">
              <w:t xml:space="preserve">response fund is accessed and used for its intended purpose by appropriate local organisations and </w:t>
            </w:r>
            <w:proofErr w:type="gramStart"/>
            <w:r w:rsidRPr="00E90562">
              <w:t>individuals</w:t>
            </w:r>
            <w:proofErr w:type="gramEnd"/>
          </w:p>
          <w:p w14:paraId="1304DF9A" w14:textId="3FE708C5" w:rsidR="009B376D" w:rsidRPr="0065191C" w:rsidRDefault="009B376D" w:rsidP="009B376D">
            <w:pPr>
              <w:pStyle w:val="TableBodyCopy"/>
              <w:rPr>
                <w:lang w:eastAsia="en-AU"/>
              </w:rPr>
            </w:pPr>
            <w:r w:rsidRPr="229EEEE8">
              <w:rPr>
                <w:lang w:eastAsia="en-AU"/>
              </w:rPr>
              <w:t xml:space="preserve">The National Advisory Committee on Disability and National Board for Disabled Persons are working across national government departments to better coordinate and target funding and services for persons with </w:t>
            </w:r>
            <w:proofErr w:type="gramStart"/>
            <w:r w:rsidRPr="229EEEE8">
              <w:rPr>
                <w:lang w:eastAsia="en-AU"/>
              </w:rPr>
              <w:t>disability</w:t>
            </w:r>
            <w:proofErr w:type="gramEnd"/>
          </w:p>
          <w:p w14:paraId="3D02D6C9" w14:textId="77777777" w:rsidR="009B376D" w:rsidRPr="0065191C" w:rsidDel="00401004" w:rsidRDefault="009B376D" w:rsidP="009B376D">
            <w:pPr>
              <w:pStyle w:val="TableBodyCopy"/>
              <w:rPr>
                <w:lang w:eastAsia="en-AU"/>
              </w:rPr>
            </w:pPr>
          </w:p>
          <w:p w14:paraId="72E02634" w14:textId="267632AB" w:rsidR="009B376D" w:rsidRDefault="009B376D" w:rsidP="009B376D">
            <w:pPr>
              <w:pStyle w:val="TableBodyCopy"/>
              <w:rPr>
                <w:rFonts w:cs="Segoe UI"/>
                <w:lang w:eastAsia="en-AU"/>
              </w:rPr>
            </w:pPr>
            <w:r w:rsidRPr="229EEEE8">
              <w:rPr>
                <w:lang w:eastAsia="en-AU"/>
              </w:rPr>
              <w:t xml:space="preserve">The new National </w:t>
            </w:r>
            <w:r w:rsidR="009A63BC">
              <w:rPr>
                <w:lang w:eastAsia="en-AU"/>
              </w:rPr>
              <w:t>GEWE</w:t>
            </w:r>
            <w:r w:rsidRPr="229EEEE8">
              <w:rPr>
                <w:lang w:eastAsia="en-AU"/>
              </w:rPr>
              <w:t xml:space="preserve"> Policy’s MERLA strategy is implemented</w:t>
            </w:r>
          </w:p>
        </w:tc>
        <w:tc>
          <w:tcPr>
            <w:tcW w:w="830" w:type="pct"/>
          </w:tcPr>
          <w:p w14:paraId="7837D4C1" w14:textId="06EBA5E6" w:rsidR="009B376D" w:rsidRPr="0065191C" w:rsidRDefault="009B376D" w:rsidP="009B376D">
            <w:pPr>
              <w:pStyle w:val="TableBodyCopy"/>
              <w:rPr>
                <w:rFonts w:cstheme="majorHAnsi"/>
                <w:lang w:eastAsia="en-AU"/>
              </w:rPr>
            </w:pPr>
            <w:r w:rsidRPr="0065191C">
              <w:rPr>
                <w:rFonts w:cstheme="majorHAnsi"/>
                <w:lang w:eastAsia="en-AU"/>
              </w:rPr>
              <w:t>SDG5</w:t>
            </w:r>
            <w:r>
              <w:rPr>
                <w:rFonts w:cstheme="majorHAnsi"/>
                <w:lang w:eastAsia="en-AU"/>
              </w:rPr>
              <w:t>:</w:t>
            </w:r>
            <w:r w:rsidRPr="0065191C">
              <w:rPr>
                <w:rFonts w:cstheme="majorHAnsi"/>
                <w:lang w:eastAsia="en-AU"/>
              </w:rPr>
              <w:t xml:space="preserve"> Gender </w:t>
            </w:r>
            <w:r>
              <w:rPr>
                <w:rFonts w:cstheme="majorHAnsi"/>
                <w:lang w:eastAsia="en-AU"/>
              </w:rPr>
              <w:t>e</w:t>
            </w:r>
            <w:r w:rsidRPr="0065191C">
              <w:rPr>
                <w:rFonts w:cstheme="majorHAnsi"/>
                <w:lang w:eastAsia="en-AU"/>
              </w:rPr>
              <w:t>quality</w:t>
            </w:r>
          </w:p>
          <w:p w14:paraId="1C268816" w14:textId="13E20F9C" w:rsidR="009B376D" w:rsidRPr="00F96538" w:rsidRDefault="009B376D" w:rsidP="009B376D">
            <w:pPr>
              <w:pStyle w:val="TableBodyCopy"/>
              <w:rPr>
                <w:lang w:eastAsia="en-AU"/>
              </w:rPr>
            </w:pPr>
            <w:r w:rsidRPr="0065191C">
              <w:rPr>
                <w:rFonts w:cstheme="majorHAnsi"/>
                <w:lang w:eastAsia="en-AU"/>
              </w:rPr>
              <w:t>SDG10</w:t>
            </w:r>
            <w:r>
              <w:rPr>
                <w:rFonts w:cstheme="majorHAnsi"/>
                <w:lang w:eastAsia="en-AU"/>
              </w:rPr>
              <w:t>:</w:t>
            </w:r>
            <w:r w:rsidRPr="0065191C">
              <w:rPr>
                <w:rFonts w:cstheme="majorHAnsi"/>
                <w:lang w:eastAsia="en-AU"/>
              </w:rPr>
              <w:t xml:space="preserve"> Reduced </w:t>
            </w:r>
            <w:r>
              <w:rPr>
                <w:rFonts w:cstheme="majorHAnsi"/>
                <w:lang w:eastAsia="en-AU"/>
              </w:rPr>
              <w:t>i</w:t>
            </w:r>
            <w:r w:rsidRPr="0065191C">
              <w:rPr>
                <w:rFonts w:cstheme="majorHAnsi"/>
                <w:lang w:eastAsia="en-AU"/>
              </w:rPr>
              <w:t>nequality </w:t>
            </w:r>
          </w:p>
        </w:tc>
      </w:tr>
    </w:tbl>
    <w:p w14:paraId="494AE3A8" w14:textId="1ECF0BF8" w:rsidR="003D6456" w:rsidRPr="00364BA5" w:rsidRDefault="003D6456" w:rsidP="00364BA5">
      <w:pPr>
        <w:rPr>
          <w:b/>
        </w:rPr>
      </w:pPr>
      <w:r w:rsidRPr="00364BA5">
        <w:rPr>
          <w:b/>
        </w:rPr>
        <w:lastRenderedPageBreak/>
        <w:t xml:space="preserve">Objective 4: </w:t>
      </w:r>
      <w:r w:rsidR="00ED395D" w:rsidRPr="00364BA5">
        <w:rPr>
          <w:b/>
        </w:rPr>
        <w:t xml:space="preserve">Building close </w:t>
      </w:r>
      <w:r w:rsidR="00ED395D" w:rsidRPr="001F3990">
        <w:rPr>
          <w:b/>
        </w:rPr>
        <w:t>friends</w:t>
      </w:r>
      <w:r w:rsidR="00B737A3" w:rsidRPr="00E90562">
        <w:rPr>
          <w:b/>
        </w:rPr>
        <w:t>hips</w:t>
      </w:r>
      <w:r w:rsidR="00ED395D" w:rsidRPr="00364BA5">
        <w:rPr>
          <w:b/>
        </w:rPr>
        <w:t xml:space="preserve"> and enduring </w:t>
      </w:r>
      <w:proofErr w:type="gramStart"/>
      <w:r w:rsidR="00ED395D" w:rsidRPr="00364BA5">
        <w:rPr>
          <w:b/>
        </w:rPr>
        <w:t>ties</w:t>
      </w:r>
      <w:proofErr w:type="gramEnd"/>
    </w:p>
    <w:tbl>
      <w:tblPr>
        <w:tblStyle w:val="DFATOchre"/>
        <w:tblW w:w="5000" w:type="pct"/>
        <w:tblLayout w:type="fixed"/>
        <w:tblLook w:val="04A0" w:firstRow="1" w:lastRow="0" w:firstColumn="1" w:lastColumn="0" w:noHBand="0" w:noVBand="1"/>
        <w:tblCaption w:val="Performance assessment framework for objective 4"/>
        <w:tblDescription w:val="Expected results for the first three years of the DPP and against the Sustainable Development Goals&#10;"/>
      </w:tblPr>
      <w:tblGrid>
        <w:gridCol w:w="2403"/>
        <w:gridCol w:w="2403"/>
        <w:gridCol w:w="2403"/>
        <w:gridCol w:w="2403"/>
        <w:gridCol w:w="2403"/>
        <w:gridCol w:w="2402"/>
      </w:tblGrid>
      <w:tr w:rsidR="00531987" w14:paraId="78FB5005" w14:textId="77777777" w:rsidTr="00E90562">
        <w:trPr>
          <w:cnfStyle w:val="100000000000" w:firstRow="1" w:lastRow="0" w:firstColumn="0" w:lastColumn="0" w:oddVBand="0" w:evenVBand="0" w:oddHBand="0" w:evenHBand="0" w:firstRowFirstColumn="0" w:firstRowLastColumn="0" w:lastRowFirstColumn="0" w:lastRowLastColumn="0"/>
          <w:cantSplit/>
          <w:trHeight w:val="787"/>
        </w:trPr>
        <w:tc>
          <w:tcPr>
            <w:tcW w:w="833" w:type="pct"/>
            <w:hideMark/>
          </w:tcPr>
          <w:p w14:paraId="7C93E880" w14:textId="61FB7D85" w:rsidR="00531987" w:rsidRPr="005764D6" w:rsidRDefault="00531987" w:rsidP="00E90562">
            <w:pPr>
              <w:pStyle w:val="TableHeading"/>
            </w:pPr>
            <w:r w:rsidRPr="00E90562">
              <w:rPr>
                <w:b w:val="0"/>
                <w:bCs w:val="0"/>
              </w:rPr>
              <w:t>Outcome</w:t>
            </w:r>
          </w:p>
        </w:tc>
        <w:tc>
          <w:tcPr>
            <w:tcW w:w="833" w:type="pct"/>
          </w:tcPr>
          <w:p w14:paraId="1099D183" w14:textId="726AF905" w:rsidR="00531987" w:rsidRPr="000B04E1" w:rsidRDefault="00531987" w:rsidP="00C92E9B">
            <w:pPr>
              <w:pStyle w:val="TableHeading"/>
              <w:rPr>
                <w:b w:val="0"/>
                <w:bCs w:val="0"/>
              </w:rPr>
            </w:pPr>
            <w:r>
              <w:rPr>
                <w:b w:val="0"/>
                <w:bCs w:val="0"/>
              </w:rPr>
              <w:t>Indicator</w:t>
            </w:r>
          </w:p>
        </w:tc>
        <w:tc>
          <w:tcPr>
            <w:tcW w:w="833" w:type="pct"/>
            <w:hideMark/>
          </w:tcPr>
          <w:p w14:paraId="514B726E" w14:textId="35BEFFC6" w:rsidR="00531987" w:rsidRPr="000B04E1" w:rsidRDefault="00531987" w:rsidP="00C92E9B">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2024</w:t>
            </w:r>
            <w:r>
              <w:rPr>
                <w:b w:val="0"/>
                <w:bCs w:val="0"/>
              </w:rPr>
              <w:t>–</w:t>
            </w:r>
            <w:r w:rsidRPr="000B04E1">
              <w:rPr>
                <w:b w:val="0"/>
                <w:bCs w:val="0"/>
              </w:rPr>
              <w:t>25</w:t>
            </w:r>
          </w:p>
        </w:tc>
        <w:tc>
          <w:tcPr>
            <w:tcW w:w="833" w:type="pct"/>
            <w:hideMark/>
          </w:tcPr>
          <w:p w14:paraId="5671D095" w14:textId="3F5D41B2" w:rsidR="00531987" w:rsidRPr="000B04E1" w:rsidRDefault="00531987" w:rsidP="00C92E9B">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2025</w:t>
            </w:r>
            <w:r>
              <w:rPr>
                <w:b w:val="0"/>
                <w:bCs w:val="0"/>
              </w:rPr>
              <w:t>–</w:t>
            </w:r>
            <w:r w:rsidRPr="000B04E1">
              <w:rPr>
                <w:b w:val="0"/>
                <w:bCs w:val="0"/>
              </w:rPr>
              <w:t>26</w:t>
            </w:r>
          </w:p>
        </w:tc>
        <w:tc>
          <w:tcPr>
            <w:tcW w:w="833" w:type="pct"/>
            <w:hideMark/>
          </w:tcPr>
          <w:p w14:paraId="675BD02C" w14:textId="6EC2DB77" w:rsidR="00531987" w:rsidRPr="000B04E1" w:rsidRDefault="00531987" w:rsidP="00C92E9B">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2026</w:t>
            </w:r>
            <w:r>
              <w:rPr>
                <w:b w:val="0"/>
                <w:bCs w:val="0"/>
              </w:rPr>
              <w:t>–</w:t>
            </w:r>
            <w:r w:rsidRPr="000B04E1">
              <w:rPr>
                <w:b w:val="0"/>
                <w:bCs w:val="0"/>
              </w:rPr>
              <w:t>27</w:t>
            </w:r>
          </w:p>
        </w:tc>
        <w:tc>
          <w:tcPr>
            <w:tcW w:w="833" w:type="pct"/>
            <w:hideMark/>
          </w:tcPr>
          <w:p w14:paraId="484E2557" w14:textId="3BEBBD93" w:rsidR="00531987" w:rsidRPr="000B04E1" w:rsidRDefault="00531987" w:rsidP="00C92E9B">
            <w:pPr>
              <w:pStyle w:val="TableHeading"/>
              <w:rPr>
                <w:b w:val="0"/>
                <w:bCs w:val="0"/>
              </w:rPr>
            </w:pPr>
            <w:r w:rsidRPr="000B04E1">
              <w:rPr>
                <w:b w:val="0"/>
                <w:bCs w:val="0"/>
              </w:rPr>
              <w:t>S</w:t>
            </w:r>
            <w:r>
              <w:rPr>
                <w:b w:val="0"/>
                <w:bCs w:val="0"/>
              </w:rPr>
              <w:t xml:space="preserve">ustainable </w:t>
            </w:r>
            <w:r w:rsidRPr="000B04E1">
              <w:rPr>
                <w:b w:val="0"/>
                <w:bCs w:val="0"/>
              </w:rPr>
              <w:t>D</w:t>
            </w:r>
            <w:r>
              <w:rPr>
                <w:b w:val="0"/>
                <w:bCs w:val="0"/>
              </w:rPr>
              <w:t xml:space="preserve">evelopment </w:t>
            </w:r>
            <w:r w:rsidRPr="000B04E1">
              <w:rPr>
                <w:b w:val="0"/>
                <w:bCs w:val="0"/>
              </w:rPr>
              <w:t>Goals</w:t>
            </w:r>
            <w:r>
              <w:rPr>
                <w:b w:val="0"/>
                <w:bCs w:val="0"/>
              </w:rPr>
              <w:t xml:space="preserve"> (SDGs)</w:t>
            </w:r>
          </w:p>
        </w:tc>
      </w:tr>
      <w:tr w:rsidR="00531987" w14:paraId="0073C33A" w14:textId="77777777" w:rsidTr="00E90562">
        <w:trPr>
          <w:cantSplit/>
          <w:trHeight w:val="544"/>
        </w:trPr>
        <w:tc>
          <w:tcPr>
            <w:tcW w:w="833" w:type="pct"/>
            <w:shd w:val="clear" w:color="auto" w:fill="D9D9D9"/>
            <w:hideMark/>
          </w:tcPr>
          <w:p w14:paraId="5602A4E4" w14:textId="77777777" w:rsidR="00531987" w:rsidRDefault="00531987" w:rsidP="00E07CAE">
            <w:pPr>
              <w:pStyle w:val="TableBodyCopy"/>
              <w:rPr>
                <w:lang w:val="en-ID" w:eastAsia="en-AU"/>
              </w:rPr>
            </w:pPr>
            <w:r>
              <w:rPr>
                <w:b/>
                <w:bCs/>
                <w:lang w:val="en-ID" w:eastAsia="en-AU"/>
              </w:rPr>
              <w:t>Outcome 4.1</w:t>
            </w:r>
          </w:p>
          <w:p w14:paraId="31559CE9" w14:textId="533BE17B" w:rsidR="00531987" w:rsidRPr="00E90562" w:rsidRDefault="00531987" w:rsidP="00E07CAE">
            <w:pPr>
              <w:pStyle w:val="TableBodyCopy"/>
              <w:rPr>
                <w:lang w:val="en-ID" w:eastAsia="en-AU"/>
              </w:rPr>
            </w:pPr>
            <w:r w:rsidRPr="00E90562">
              <w:rPr>
                <w:rFonts w:cstheme="minorHAnsi"/>
              </w:rPr>
              <w:t>Individual linkages: Building and maintaining positive people-to-people and community relationships, networks and linkages between Papua New Guineans and Australians living in PNG and Australia</w:t>
            </w:r>
          </w:p>
        </w:tc>
        <w:tc>
          <w:tcPr>
            <w:tcW w:w="833" w:type="pct"/>
            <w:shd w:val="clear" w:color="auto" w:fill="D9D9D9"/>
          </w:tcPr>
          <w:p w14:paraId="4D50E870" w14:textId="092E60C9" w:rsidR="00531987" w:rsidRDefault="00C96CB8" w:rsidP="00E07CAE">
            <w:pPr>
              <w:pStyle w:val="TableBodyCopy"/>
              <w:rPr>
                <w:lang w:eastAsia="en-AU"/>
              </w:rPr>
            </w:pPr>
            <w:r>
              <w:rPr>
                <w:lang w:eastAsia="en-AU"/>
              </w:rPr>
              <w:t xml:space="preserve">4.1.1 </w:t>
            </w:r>
            <w:r w:rsidRPr="004A7026">
              <w:rPr>
                <w:lang w:val="en-ID" w:eastAsia="en-AU"/>
              </w:rPr>
              <w:t xml:space="preserve">Cumulative number of PNG workers supported by Australia to work overseas, including in </w:t>
            </w:r>
            <w:r w:rsidRPr="006E31E7">
              <w:t>the Pacific Australia Labour Mobility (PALM)</w:t>
            </w:r>
            <w:r>
              <w:t xml:space="preserve"> </w:t>
            </w:r>
            <w:r w:rsidRPr="004A7026">
              <w:rPr>
                <w:lang w:val="en-ID" w:eastAsia="en-AU"/>
              </w:rPr>
              <w:t>scheme</w:t>
            </w:r>
          </w:p>
        </w:tc>
        <w:tc>
          <w:tcPr>
            <w:tcW w:w="833" w:type="pct"/>
            <w:shd w:val="clear" w:color="auto" w:fill="D9D9D9"/>
            <w:hideMark/>
          </w:tcPr>
          <w:p w14:paraId="17F50282" w14:textId="29F9B06E" w:rsidR="00531987" w:rsidRDefault="00531987" w:rsidP="00E07CAE">
            <w:pPr>
              <w:pStyle w:val="TableBodyCopy"/>
            </w:pPr>
            <w:r>
              <w:rPr>
                <w:lang w:eastAsia="en-AU"/>
              </w:rPr>
              <w:t>4</w:t>
            </w:r>
            <w:r w:rsidR="00395DB5">
              <w:rPr>
                <w:lang w:eastAsia="en-AU"/>
              </w:rPr>
              <w:t>,</w:t>
            </w:r>
            <w:r>
              <w:rPr>
                <w:lang w:eastAsia="en-AU"/>
              </w:rPr>
              <w:t>000</w:t>
            </w:r>
          </w:p>
        </w:tc>
        <w:tc>
          <w:tcPr>
            <w:tcW w:w="833" w:type="pct"/>
            <w:shd w:val="clear" w:color="auto" w:fill="D9D9D9"/>
            <w:hideMark/>
          </w:tcPr>
          <w:p w14:paraId="57E4799A" w14:textId="35FAEB16" w:rsidR="00531987" w:rsidRDefault="00531987" w:rsidP="00E07CAE">
            <w:pPr>
              <w:pStyle w:val="TableBodyCopy"/>
            </w:pPr>
            <w:r>
              <w:rPr>
                <w:lang w:eastAsia="en-AU"/>
              </w:rPr>
              <w:t>8</w:t>
            </w:r>
            <w:r w:rsidR="00332F2D">
              <w:rPr>
                <w:lang w:eastAsia="en-AU"/>
              </w:rPr>
              <w:t>,</w:t>
            </w:r>
            <w:r w:rsidRPr="0065191C">
              <w:rPr>
                <w:lang w:eastAsia="en-AU"/>
              </w:rPr>
              <w:t>000</w:t>
            </w:r>
          </w:p>
        </w:tc>
        <w:tc>
          <w:tcPr>
            <w:tcW w:w="833" w:type="pct"/>
            <w:shd w:val="clear" w:color="auto" w:fill="D9D9D9"/>
            <w:hideMark/>
          </w:tcPr>
          <w:p w14:paraId="0B6B4463" w14:textId="3B4602AD" w:rsidR="00531987" w:rsidRDefault="00531987" w:rsidP="00E07CAE">
            <w:pPr>
              <w:pStyle w:val="TableBodyCopy"/>
            </w:pPr>
            <w:r>
              <w:rPr>
                <w:lang w:eastAsia="en-AU"/>
              </w:rPr>
              <w:t>Maintained or increased number</w:t>
            </w:r>
          </w:p>
        </w:tc>
        <w:tc>
          <w:tcPr>
            <w:tcW w:w="833" w:type="pct"/>
            <w:shd w:val="clear" w:color="auto" w:fill="D9D9D9"/>
          </w:tcPr>
          <w:p w14:paraId="5BC8B102" w14:textId="3897C33A" w:rsidR="00531987" w:rsidRPr="0065191C" w:rsidRDefault="00531987" w:rsidP="00E07CAE">
            <w:pPr>
              <w:pStyle w:val="TableBodyCopy"/>
              <w:rPr>
                <w:rFonts w:ascii="Segoe UI" w:hAnsi="Segoe UI" w:cs="Segoe UI"/>
                <w:lang w:eastAsia="en-AU"/>
              </w:rPr>
            </w:pPr>
            <w:r w:rsidRPr="0065191C">
              <w:rPr>
                <w:lang w:eastAsia="en-AU"/>
              </w:rPr>
              <w:t>SDG4</w:t>
            </w:r>
            <w:r>
              <w:rPr>
                <w:lang w:eastAsia="en-AU"/>
              </w:rPr>
              <w:t>:</w:t>
            </w:r>
            <w:r w:rsidRPr="0065191C">
              <w:rPr>
                <w:lang w:eastAsia="en-AU"/>
              </w:rPr>
              <w:t xml:space="preserve"> Quality </w:t>
            </w:r>
            <w:r>
              <w:rPr>
                <w:lang w:eastAsia="en-AU"/>
              </w:rPr>
              <w:t>e</w:t>
            </w:r>
            <w:r w:rsidRPr="0065191C">
              <w:rPr>
                <w:lang w:eastAsia="en-AU"/>
              </w:rPr>
              <w:t>ducation</w:t>
            </w:r>
          </w:p>
          <w:p w14:paraId="3D3B7151" w14:textId="6DA7F0B9" w:rsidR="00531987" w:rsidRPr="0065191C" w:rsidRDefault="00531987" w:rsidP="00E07CAE">
            <w:pPr>
              <w:pStyle w:val="TableBodyCopy"/>
              <w:rPr>
                <w:lang w:eastAsia="en-AU"/>
              </w:rPr>
            </w:pPr>
            <w:r w:rsidRPr="0065191C">
              <w:rPr>
                <w:lang w:eastAsia="en-AU"/>
              </w:rPr>
              <w:t>SDG5</w:t>
            </w:r>
            <w:r>
              <w:rPr>
                <w:lang w:eastAsia="en-AU"/>
              </w:rPr>
              <w:t>:</w:t>
            </w:r>
            <w:r w:rsidRPr="0065191C">
              <w:rPr>
                <w:lang w:eastAsia="en-AU"/>
              </w:rPr>
              <w:t xml:space="preserve"> Gender </w:t>
            </w:r>
            <w:r>
              <w:rPr>
                <w:lang w:eastAsia="en-AU"/>
              </w:rPr>
              <w:t>e</w:t>
            </w:r>
            <w:r w:rsidRPr="0065191C">
              <w:rPr>
                <w:lang w:eastAsia="en-AU"/>
              </w:rPr>
              <w:t>quality</w:t>
            </w:r>
          </w:p>
          <w:p w14:paraId="2C77173B" w14:textId="6615962E" w:rsidR="00531987" w:rsidRPr="0065191C" w:rsidRDefault="00531987" w:rsidP="00E07CAE">
            <w:pPr>
              <w:pStyle w:val="TableBodyCopy"/>
              <w:rPr>
                <w:lang w:eastAsia="en-AU"/>
              </w:rPr>
            </w:pPr>
            <w:r w:rsidRPr="0065191C">
              <w:rPr>
                <w:lang w:eastAsia="en-AU"/>
              </w:rPr>
              <w:t>SDG8</w:t>
            </w:r>
            <w:r>
              <w:rPr>
                <w:lang w:eastAsia="en-AU"/>
              </w:rPr>
              <w:t>:</w:t>
            </w:r>
            <w:r w:rsidRPr="0065191C">
              <w:rPr>
                <w:lang w:eastAsia="en-AU"/>
              </w:rPr>
              <w:t xml:space="preserve"> Decent </w:t>
            </w:r>
            <w:r>
              <w:rPr>
                <w:lang w:eastAsia="en-AU"/>
              </w:rPr>
              <w:t>w</w:t>
            </w:r>
            <w:r w:rsidRPr="0065191C">
              <w:rPr>
                <w:lang w:eastAsia="en-AU"/>
              </w:rPr>
              <w:t xml:space="preserve">ork and </w:t>
            </w:r>
            <w:r>
              <w:rPr>
                <w:lang w:eastAsia="en-AU"/>
              </w:rPr>
              <w:t>e</w:t>
            </w:r>
            <w:r w:rsidRPr="0065191C">
              <w:rPr>
                <w:lang w:eastAsia="en-AU"/>
              </w:rPr>
              <w:t xml:space="preserve">conomic </w:t>
            </w:r>
            <w:r>
              <w:rPr>
                <w:lang w:eastAsia="en-AU"/>
              </w:rPr>
              <w:t>g</w:t>
            </w:r>
            <w:r w:rsidRPr="0065191C">
              <w:rPr>
                <w:lang w:eastAsia="en-AU"/>
              </w:rPr>
              <w:t>rowth</w:t>
            </w:r>
          </w:p>
          <w:p w14:paraId="6FC2EE00" w14:textId="22F17FCB" w:rsidR="00531987" w:rsidRPr="0065191C" w:rsidRDefault="00531987" w:rsidP="00E07CAE">
            <w:pPr>
              <w:pStyle w:val="TableBodyCopy"/>
              <w:rPr>
                <w:rFonts w:ascii="Segoe UI" w:hAnsi="Segoe UI" w:cs="Segoe UI"/>
                <w:lang w:eastAsia="en-AU"/>
              </w:rPr>
            </w:pPr>
            <w:r w:rsidRPr="0065191C">
              <w:rPr>
                <w:lang w:eastAsia="en-AU"/>
              </w:rPr>
              <w:t>SDG10</w:t>
            </w:r>
            <w:r>
              <w:rPr>
                <w:lang w:eastAsia="en-AU"/>
              </w:rPr>
              <w:t>:</w:t>
            </w:r>
            <w:r w:rsidRPr="0065191C">
              <w:rPr>
                <w:lang w:eastAsia="en-AU"/>
              </w:rPr>
              <w:t xml:space="preserve"> Reduced </w:t>
            </w:r>
            <w:r>
              <w:rPr>
                <w:lang w:eastAsia="en-AU"/>
              </w:rPr>
              <w:t>i</w:t>
            </w:r>
            <w:r w:rsidRPr="0065191C">
              <w:rPr>
                <w:lang w:eastAsia="en-AU"/>
              </w:rPr>
              <w:t>nequalities</w:t>
            </w:r>
          </w:p>
          <w:p w14:paraId="6F53E48C" w14:textId="7C1B8184" w:rsidR="00531987" w:rsidRDefault="00531987" w:rsidP="00E07CAE">
            <w:pPr>
              <w:pStyle w:val="TableBodyCopy"/>
            </w:pPr>
            <w:r w:rsidRPr="0065191C">
              <w:rPr>
                <w:lang w:eastAsia="en-AU"/>
              </w:rPr>
              <w:t>SDG17</w:t>
            </w:r>
            <w:r>
              <w:rPr>
                <w:lang w:eastAsia="en-AU"/>
              </w:rPr>
              <w:t>:</w:t>
            </w:r>
            <w:r w:rsidRPr="0065191C">
              <w:rPr>
                <w:lang w:eastAsia="en-AU"/>
              </w:rPr>
              <w:t xml:space="preserve"> Partnerships</w:t>
            </w:r>
          </w:p>
        </w:tc>
      </w:tr>
      <w:tr w:rsidR="00531987" w14:paraId="480D28A8" w14:textId="77777777" w:rsidTr="00E90562">
        <w:trPr>
          <w:cantSplit/>
          <w:trHeight w:val="544"/>
        </w:trPr>
        <w:tc>
          <w:tcPr>
            <w:tcW w:w="833" w:type="pct"/>
            <w:shd w:val="clear" w:color="auto" w:fill="D9D9D9"/>
          </w:tcPr>
          <w:p w14:paraId="4E316535" w14:textId="77777777" w:rsidR="00C96CB8" w:rsidRDefault="00C96CB8" w:rsidP="00C96CB8">
            <w:pPr>
              <w:pStyle w:val="TableBodyCopy"/>
              <w:rPr>
                <w:lang w:val="en-ID" w:eastAsia="en-AU"/>
              </w:rPr>
            </w:pPr>
            <w:r>
              <w:rPr>
                <w:b/>
                <w:bCs/>
                <w:lang w:val="en-ID" w:eastAsia="en-AU"/>
              </w:rPr>
              <w:t>Outcome 4.1</w:t>
            </w:r>
          </w:p>
          <w:p w14:paraId="12C83BC6" w14:textId="6DEE87F2" w:rsidR="00531987" w:rsidRPr="004A7026" w:rsidRDefault="00531987" w:rsidP="00E07CAE">
            <w:pPr>
              <w:pStyle w:val="TableBodyCopy"/>
              <w:rPr>
                <w:lang w:val="en-ID" w:eastAsia="en-AU"/>
              </w:rPr>
            </w:pPr>
          </w:p>
        </w:tc>
        <w:tc>
          <w:tcPr>
            <w:tcW w:w="833" w:type="pct"/>
            <w:shd w:val="clear" w:color="auto" w:fill="D9D9D9"/>
          </w:tcPr>
          <w:p w14:paraId="7CE627DD" w14:textId="2776B299" w:rsidR="00531987" w:rsidRPr="0065191C" w:rsidRDefault="00C96CB8" w:rsidP="00E07CAE">
            <w:pPr>
              <w:pStyle w:val="TableBodyCopy"/>
              <w:rPr>
                <w:lang w:eastAsia="en-AU"/>
              </w:rPr>
            </w:pPr>
            <w:r>
              <w:rPr>
                <w:lang w:eastAsia="en-AU"/>
              </w:rPr>
              <w:t xml:space="preserve">4.1.2 </w:t>
            </w:r>
            <w:r w:rsidRPr="0065191C">
              <w:rPr>
                <w:lang w:val="en-ID" w:eastAsia="en-AU"/>
              </w:rPr>
              <w:t>Visas issued to support movement between PNG and Australia</w:t>
            </w:r>
          </w:p>
        </w:tc>
        <w:tc>
          <w:tcPr>
            <w:tcW w:w="833" w:type="pct"/>
            <w:shd w:val="clear" w:color="auto" w:fill="D9D9D9"/>
          </w:tcPr>
          <w:p w14:paraId="439879D0" w14:textId="6F38A143" w:rsidR="00531987" w:rsidRPr="0065191C" w:rsidRDefault="00531987" w:rsidP="00E07CAE">
            <w:pPr>
              <w:pStyle w:val="TableBodyCopy"/>
              <w:rPr>
                <w:lang w:eastAsia="en-AU"/>
              </w:rPr>
            </w:pPr>
            <w:r w:rsidRPr="0065191C">
              <w:rPr>
                <w:lang w:eastAsia="en-AU"/>
              </w:rPr>
              <w:t>1</w:t>
            </w:r>
            <w:r w:rsidR="001F3990">
              <w:rPr>
                <w:lang w:eastAsia="en-AU"/>
              </w:rPr>
              <w:t>,</w:t>
            </w:r>
            <w:r w:rsidRPr="0065191C">
              <w:rPr>
                <w:lang w:eastAsia="en-AU"/>
              </w:rPr>
              <w:t>350 </w:t>
            </w:r>
            <w:r>
              <w:rPr>
                <w:lang w:eastAsia="en-AU"/>
              </w:rPr>
              <w:t>PEVs</w:t>
            </w:r>
            <w:r w:rsidRPr="0065191C">
              <w:rPr>
                <w:lang w:eastAsia="en-AU"/>
              </w:rPr>
              <w:t xml:space="preserve"> </w:t>
            </w:r>
            <w:proofErr w:type="gramStart"/>
            <w:r w:rsidRPr="0065191C">
              <w:rPr>
                <w:lang w:eastAsia="en-AU"/>
              </w:rPr>
              <w:t>issued</w:t>
            </w:r>
            <w:proofErr w:type="gramEnd"/>
          </w:p>
          <w:p w14:paraId="131C2CF3" w14:textId="51455CFD" w:rsidR="00531987" w:rsidRPr="0065191C" w:rsidRDefault="00531987" w:rsidP="00E07CAE">
            <w:pPr>
              <w:pStyle w:val="TableBodyCopy"/>
              <w:rPr>
                <w:lang w:eastAsia="en-AU"/>
              </w:rPr>
            </w:pPr>
            <w:r w:rsidRPr="0065191C">
              <w:rPr>
                <w:lang w:eastAsia="en-AU"/>
              </w:rPr>
              <w:t xml:space="preserve">Work and holiday visa arrangements </w:t>
            </w:r>
            <w:proofErr w:type="gramStart"/>
            <w:r w:rsidRPr="0065191C">
              <w:rPr>
                <w:lang w:eastAsia="en-AU"/>
              </w:rPr>
              <w:t>implemented</w:t>
            </w:r>
            <w:proofErr w:type="gramEnd"/>
          </w:p>
          <w:p w14:paraId="26A9D7ED" w14:textId="30912C08" w:rsidR="00531987" w:rsidRDefault="00531987" w:rsidP="00E07CAE">
            <w:pPr>
              <w:pStyle w:val="TableBodyCopy"/>
              <w:rPr>
                <w:lang w:eastAsia="en-AU"/>
              </w:rPr>
            </w:pPr>
            <w:r w:rsidRPr="0065191C">
              <w:rPr>
                <w:lang w:eastAsia="en-AU"/>
              </w:rPr>
              <w:t>Review of operation of Pacific</w:t>
            </w:r>
            <w:r>
              <w:rPr>
                <w:lang w:eastAsia="en-AU"/>
              </w:rPr>
              <w:t>–</w:t>
            </w:r>
            <w:r w:rsidRPr="0065191C">
              <w:rPr>
                <w:lang w:eastAsia="en-AU"/>
              </w:rPr>
              <w:t xml:space="preserve">Australia Card and </w:t>
            </w:r>
            <w:r>
              <w:rPr>
                <w:lang w:eastAsia="en-AU"/>
              </w:rPr>
              <w:t>Asia–Pacific Economic Cooperation (</w:t>
            </w:r>
            <w:r w:rsidRPr="0065191C">
              <w:rPr>
                <w:lang w:eastAsia="en-AU"/>
              </w:rPr>
              <w:t>APEC</w:t>
            </w:r>
            <w:r>
              <w:rPr>
                <w:lang w:eastAsia="en-AU"/>
              </w:rPr>
              <w:t>)</w:t>
            </w:r>
            <w:r w:rsidRPr="0065191C">
              <w:rPr>
                <w:lang w:eastAsia="en-AU"/>
              </w:rPr>
              <w:t xml:space="preserve"> </w:t>
            </w:r>
            <w:r>
              <w:rPr>
                <w:lang w:eastAsia="en-AU"/>
              </w:rPr>
              <w:t xml:space="preserve">Business Travel </w:t>
            </w:r>
            <w:r w:rsidRPr="0065191C">
              <w:rPr>
                <w:lang w:eastAsia="en-AU"/>
              </w:rPr>
              <w:t>Card complete</w:t>
            </w:r>
          </w:p>
        </w:tc>
        <w:tc>
          <w:tcPr>
            <w:tcW w:w="833" w:type="pct"/>
            <w:shd w:val="clear" w:color="auto" w:fill="D9D9D9"/>
          </w:tcPr>
          <w:p w14:paraId="5CCD5887" w14:textId="5A55EDA9" w:rsidR="00531987" w:rsidRDefault="00531987" w:rsidP="00E07CAE">
            <w:pPr>
              <w:pStyle w:val="TableBodyCopy"/>
              <w:rPr>
                <w:lang w:eastAsia="en-AU"/>
              </w:rPr>
            </w:pPr>
            <w:r w:rsidRPr="0065191C">
              <w:rPr>
                <w:lang w:eastAsia="en-AU"/>
              </w:rPr>
              <w:t>Maintain number of PEVs issued, with an increase subject to annual review</w:t>
            </w:r>
          </w:p>
        </w:tc>
        <w:tc>
          <w:tcPr>
            <w:tcW w:w="833" w:type="pct"/>
            <w:shd w:val="clear" w:color="auto" w:fill="D9D9D9"/>
          </w:tcPr>
          <w:p w14:paraId="4CCA28CB" w14:textId="2D8B57FE" w:rsidR="00531987" w:rsidRDefault="00531987" w:rsidP="00E07CAE">
            <w:pPr>
              <w:pStyle w:val="TableBodyCopy"/>
              <w:rPr>
                <w:lang w:eastAsia="en-AU"/>
              </w:rPr>
            </w:pPr>
            <w:r w:rsidRPr="0065191C">
              <w:rPr>
                <w:lang w:eastAsia="en-AU"/>
              </w:rPr>
              <w:t>Maintain number of PEVs issued, with an increase subject to annual review</w:t>
            </w:r>
          </w:p>
        </w:tc>
        <w:tc>
          <w:tcPr>
            <w:tcW w:w="833" w:type="pct"/>
            <w:shd w:val="clear" w:color="auto" w:fill="D9D9D9"/>
          </w:tcPr>
          <w:p w14:paraId="028BCB91" w14:textId="1487E447" w:rsidR="00531987" w:rsidRPr="0065191C" w:rsidRDefault="00531987" w:rsidP="005728BF">
            <w:pPr>
              <w:pStyle w:val="TableBodyCopy"/>
              <w:rPr>
                <w:lang w:eastAsia="en-AU"/>
              </w:rPr>
            </w:pPr>
            <w:r w:rsidRPr="0065191C">
              <w:rPr>
                <w:lang w:eastAsia="en-AU"/>
              </w:rPr>
              <w:t>SDG4</w:t>
            </w:r>
            <w:r>
              <w:rPr>
                <w:lang w:eastAsia="en-AU"/>
              </w:rPr>
              <w:t xml:space="preserve">, </w:t>
            </w:r>
            <w:r w:rsidRPr="0065191C">
              <w:rPr>
                <w:lang w:eastAsia="en-AU"/>
              </w:rPr>
              <w:t>SDG5</w:t>
            </w:r>
            <w:r>
              <w:rPr>
                <w:lang w:eastAsia="en-AU"/>
              </w:rPr>
              <w:t xml:space="preserve">, </w:t>
            </w:r>
            <w:r w:rsidRPr="0065191C">
              <w:rPr>
                <w:lang w:eastAsia="en-AU"/>
              </w:rPr>
              <w:t>SDG8</w:t>
            </w:r>
            <w:r>
              <w:rPr>
                <w:lang w:eastAsia="en-AU"/>
              </w:rPr>
              <w:t xml:space="preserve">, </w:t>
            </w:r>
            <w:r w:rsidRPr="0065191C">
              <w:rPr>
                <w:lang w:eastAsia="en-AU"/>
              </w:rPr>
              <w:t>SDG10</w:t>
            </w:r>
            <w:r>
              <w:rPr>
                <w:lang w:eastAsia="en-AU"/>
              </w:rPr>
              <w:t xml:space="preserve">, </w:t>
            </w:r>
            <w:r w:rsidRPr="0065191C">
              <w:rPr>
                <w:lang w:eastAsia="en-AU"/>
              </w:rPr>
              <w:t>SDG17</w:t>
            </w:r>
          </w:p>
        </w:tc>
      </w:tr>
      <w:tr w:rsidR="00531987" w14:paraId="0D8E3BB7" w14:textId="77777777" w:rsidTr="00E90562">
        <w:trPr>
          <w:cantSplit/>
          <w:trHeight w:val="544"/>
        </w:trPr>
        <w:tc>
          <w:tcPr>
            <w:tcW w:w="833" w:type="pct"/>
            <w:shd w:val="clear" w:color="auto" w:fill="D9D9D9"/>
          </w:tcPr>
          <w:p w14:paraId="128B9AED" w14:textId="77777777" w:rsidR="00C96CB8" w:rsidRDefault="00C96CB8" w:rsidP="00C96CB8">
            <w:pPr>
              <w:pStyle w:val="TableBodyCopy"/>
              <w:rPr>
                <w:lang w:val="en-ID" w:eastAsia="en-AU"/>
              </w:rPr>
            </w:pPr>
            <w:r>
              <w:rPr>
                <w:b/>
                <w:bCs/>
                <w:lang w:val="en-ID" w:eastAsia="en-AU"/>
              </w:rPr>
              <w:t>Outcome 4.1</w:t>
            </w:r>
          </w:p>
          <w:p w14:paraId="7D845976" w14:textId="443124D0" w:rsidR="00531987" w:rsidRPr="0065191C" w:rsidRDefault="00531987" w:rsidP="00E07CAE">
            <w:pPr>
              <w:pStyle w:val="TableBodyCopy"/>
              <w:rPr>
                <w:lang w:val="en-ID" w:eastAsia="en-AU"/>
              </w:rPr>
            </w:pPr>
          </w:p>
        </w:tc>
        <w:tc>
          <w:tcPr>
            <w:tcW w:w="833" w:type="pct"/>
            <w:shd w:val="clear" w:color="auto" w:fill="D9D9D9"/>
          </w:tcPr>
          <w:p w14:paraId="527BDD60" w14:textId="026B0EFB" w:rsidR="00531987" w:rsidRDefault="00C96CB8" w:rsidP="00E07CAE">
            <w:pPr>
              <w:pStyle w:val="TableBodyCopy"/>
              <w:rPr>
                <w:lang w:eastAsia="en-AU"/>
              </w:rPr>
            </w:pPr>
            <w:r>
              <w:rPr>
                <w:lang w:eastAsia="en-AU"/>
              </w:rPr>
              <w:t xml:space="preserve">4.1.3 </w:t>
            </w:r>
            <w:r w:rsidRPr="0065191C">
              <w:rPr>
                <w:lang w:val="en-ID" w:eastAsia="en-AU"/>
              </w:rPr>
              <w:t xml:space="preserve">Number of </w:t>
            </w:r>
            <w:r>
              <w:rPr>
                <w:lang w:val="en-ID" w:eastAsia="en-AU"/>
              </w:rPr>
              <w:t>Papua New Guineans</w:t>
            </w:r>
            <w:r w:rsidRPr="0065191C">
              <w:rPr>
                <w:lang w:val="en-ID" w:eastAsia="en-AU"/>
              </w:rPr>
              <w:t xml:space="preserve"> who </w:t>
            </w:r>
            <w:r>
              <w:rPr>
                <w:lang w:val="en-ID" w:eastAsia="en-AU"/>
              </w:rPr>
              <w:t>are awarded</w:t>
            </w:r>
            <w:r w:rsidRPr="0065191C">
              <w:rPr>
                <w:lang w:val="en-ID" w:eastAsia="en-AU"/>
              </w:rPr>
              <w:t xml:space="preserve"> a tertiary</w:t>
            </w:r>
            <w:r>
              <w:rPr>
                <w:lang w:val="en-ID" w:eastAsia="en-AU"/>
              </w:rPr>
              <w:t xml:space="preserve"> scholarship to study in Australia or Papua New Guinea</w:t>
            </w:r>
          </w:p>
        </w:tc>
        <w:tc>
          <w:tcPr>
            <w:tcW w:w="833" w:type="pct"/>
            <w:shd w:val="clear" w:color="auto" w:fill="D9D9D9"/>
          </w:tcPr>
          <w:p w14:paraId="5968ECC4" w14:textId="5704C123" w:rsidR="00531987" w:rsidRPr="0065191C" w:rsidRDefault="00531987" w:rsidP="00E07CAE">
            <w:pPr>
              <w:pStyle w:val="TableBodyCopy"/>
              <w:rPr>
                <w:lang w:eastAsia="en-AU"/>
              </w:rPr>
            </w:pPr>
            <w:r>
              <w:rPr>
                <w:lang w:eastAsia="en-AU"/>
              </w:rPr>
              <w:t xml:space="preserve">Up to </w:t>
            </w:r>
            <w:r w:rsidRPr="0065191C">
              <w:rPr>
                <w:lang w:eastAsia="en-AU"/>
              </w:rPr>
              <w:t>300</w:t>
            </w:r>
            <w:r>
              <w:rPr>
                <w:lang w:eastAsia="en-AU"/>
              </w:rPr>
              <w:t> </w:t>
            </w:r>
            <w:r w:rsidRPr="0065191C">
              <w:rPr>
                <w:lang w:eastAsia="en-AU"/>
              </w:rPr>
              <w:t>scholarships awarded for Papua New Gui</w:t>
            </w:r>
            <w:r>
              <w:rPr>
                <w:lang w:eastAsia="en-AU"/>
              </w:rPr>
              <w:t>neans</w:t>
            </w:r>
            <w:r w:rsidRPr="0065191C">
              <w:rPr>
                <w:lang w:eastAsia="en-AU"/>
              </w:rPr>
              <w:t xml:space="preserve"> to study in Australia </w:t>
            </w:r>
            <w:r>
              <w:rPr>
                <w:lang w:eastAsia="en-AU"/>
              </w:rPr>
              <w:t xml:space="preserve">or </w:t>
            </w:r>
            <w:r w:rsidRPr="0065191C">
              <w:rPr>
                <w:lang w:eastAsia="en-AU"/>
              </w:rPr>
              <w:t>PNG</w:t>
            </w:r>
          </w:p>
        </w:tc>
        <w:tc>
          <w:tcPr>
            <w:tcW w:w="833" w:type="pct"/>
            <w:shd w:val="clear" w:color="auto" w:fill="D9D9D9"/>
          </w:tcPr>
          <w:p w14:paraId="2950006F" w14:textId="25B77A31" w:rsidR="00531987" w:rsidRPr="0065191C" w:rsidRDefault="00531987" w:rsidP="00E07CAE">
            <w:pPr>
              <w:pStyle w:val="TableBodyCopy"/>
              <w:rPr>
                <w:lang w:eastAsia="en-AU"/>
              </w:rPr>
            </w:pPr>
            <w:r>
              <w:rPr>
                <w:lang w:eastAsia="en-AU"/>
              </w:rPr>
              <w:t xml:space="preserve">Up to </w:t>
            </w:r>
            <w:r w:rsidRPr="0065191C">
              <w:rPr>
                <w:lang w:eastAsia="en-AU"/>
              </w:rPr>
              <w:t>300</w:t>
            </w:r>
            <w:r>
              <w:rPr>
                <w:lang w:eastAsia="en-AU"/>
              </w:rPr>
              <w:t> </w:t>
            </w:r>
            <w:r w:rsidRPr="0065191C">
              <w:rPr>
                <w:lang w:eastAsia="en-AU"/>
              </w:rPr>
              <w:t>scholarships awarded for Papua New Gui</w:t>
            </w:r>
            <w:r>
              <w:rPr>
                <w:lang w:eastAsia="en-AU"/>
              </w:rPr>
              <w:t>neans</w:t>
            </w:r>
            <w:r w:rsidRPr="0065191C">
              <w:rPr>
                <w:lang w:eastAsia="en-AU"/>
              </w:rPr>
              <w:t xml:space="preserve"> to study in Australia </w:t>
            </w:r>
            <w:r>
              <w:rPr>
                <w:lang w:eastAsia="en-AU"/>
              </w:rPr>
              <w:t xml:space="preserve">or </w:t>
            </w:r>
            <w:r w:rsidRPr="0065191C">
              <w:rPr>
                <w:lang w:eastAsia="en-AU"/>
              </w:rPr>
              <w:t>PNG</w:t>
            </w:r>
          </w:p>
        </w:tc>
        <w:tc>
          <w:tcPr>
            <w:tcW w:w="833" w:type="pct"/>
            <w:shd w:val="clear" w:color="auto" w:fill="D9D9D9"/>
          </w:tcPr>
          <w:p w14:paraId="7D2D6502" w14:textId="662CEB50" w:rsidR="00531987" w:rsidRPr="0065191C" w:rsidRDefault="00531987" w:rsidP="00E07CAE">
            <w:pPr>
              <w:pStyle w:val="TableBodyCopy"/>
              <w:rPr>
                <w:lang w:eastAsia="en-AU"/>
              </w:rPr>
            </w:pPr>
            <w:r>
              <w:rPr>
                <w:lang w:eastAsia="en-AU"/>
              </w:rPr>
              <w:t xml:space="preserve">Up to </w:t>
            </w:r>
            <w:r w:rsidRPr="0065191C">
              <w:rPr>
                <w:lang w:eastAsia="en-AU"/>
              </w:rPr>
              <w:t>300</w:t>
            </w:r>
            <w:r>
              <w:rPr>
                <w:lang w:eastAsia="en-AU"/>
              </w:rPr>
              <w:t> </w:t>
            </w:r>
            <w:r w:rsidRPr="0065191C">
              <w:rPr>
                <w:lang w:eastAsia="en-AU"/>
              </w:rPr>
              <w:t>scholarships awarded for Papua New Gui</w:t>
            </w:r>
            <w:r>
              <w:rPr>
                <w:lang w:eastAsia="en-AU"/>
              </w:rPr>
              <w:t>neans</w:t>
            </w:r>
            <w:r w:rsidRPr="0065191C">
              <w:rPr>
                <w:lang w:eastAsia="en-AU"/>
              </w:rPr>
              <w:t xml:space="preserve"> to study in Australia </w:t>
            </w:r>
            <w:r>
              <w:rPr>
                <w:lang w:eastAsia="en-AU"/>
              </w:rPr>
              <w:t>or</w:t>
            </w:r>
            <w:r w:rsidRPr="0065191C">
              <w:rPr>
                <w:lang w:eastAsia="en-AU"/>
              </w:rPr>
              <w:t xml:space="preserve"> PNG</w:t>
            </w:r>
          </w:p>
        </w:tc>
        <w:tc>
          <w:tcPr>
            <w:tcW w:w="833" w:type="pct"/>
            <w:shd w:val="clear" w:color="auto" w:fill="D9D9D9"/>
          </w:tcPr>
          <w:p w14:paraId="5188F0E4" w14:textId="5F01FC9A" w:rsidR="00531987" w:rsidRPr="0065191C" w:rsidRDefault="00531987" w:rsidP="00E07CAE">
            <w:pPr>
              <w:pStyle w:val="TableBodyCopy"/>
              <w:rPr>
                <w:lang w:eastAsia="en-AU"/>
              </w:rPr>
            </w:pPr>
            <w:r w:rsidRPr="0065191C">
              <w:rPr>
                <w:lang w:eastAsia="en-AU"/>
              </w:rPr>
              <w:t>SDG4</w:t>
            </w:r>
            <w:r>
              <w:rPr>
                <w:lang w:eastAsia="en-AU"/>
              </w:rPr>
              <w:t xml:space="preserve">, </w:t>
            </w:r>
            <w:r w:rsidRPr="0065191C">
              <w:rPr>
                <w:lang w:eastAsia="en-AU"/>
              </w:rPr>
              <w:t>SDG5</w:t>
            </w:r>
            <w:r>
              <w:rPr>
                <w:lang w:eastAsia="en-AU"/>
              </w:rPr>
              <w:t xml:space="preserve">, </w:t>
            </w:r>
            <w:r w:rsidRPr="0065191C">
              <w:rPr>
                <w:lang w:eastAsia="en-AU"/>
              </w:rPr>
              <w:t>SDG8</w:t>
            </w:r>
            <w:r>
              <w:rPr>
                <w:lang w:eastAsia="en-AU"/>
              </w:rPr>
              <w:t xml:space="preserve">, </w:t>
            </w:r>
            <w:r w:rsidRPr="0065191C">
              <w:rPr>
                <w:lang w:eastAsia="en-AU"/>
              </w:rPr>
              <w:t>SDG10</w:t>
            </w:r>
            <w:r>
              <w:rPr>
                <w:lang w:eastAsia="en-AU"/>
              </w:rPr>
              <w:t xml:space="preserve">, </w:t>
            </w:r>
            <w:r w:rsidRPr="0065191C">
              <w:rPr>
                <w:lang w:eastAsia="en-AU"/>
              </w:rPr>
              <w:t>SDG17</w:t>
            </w:r>
          </w:p>
        </w:tc>
      </w:tr>
      <w:tr w:rsidR="00531987" w14:paraId="61130CFB" w14:textId="77777777" w:rsidTr="00E90562">
        <w:trPr>
          <w:cantSplit/>
          <w:trHeight w:val="544"/>
        </w:trPr>
        <w:tc>
          <w:tcPr>
            <w:tcW w:w="833" w:type="pct"/>
            <w:shd w:val="clear" w:color="auto" w:fill="D9D9D9"/>
          </w:tcPr>
          <w:p w14:paraId="5CAA2C7E" w14:textId="77777777" w:rsidR="00C96CB8" w:rsidRDefault="00C96CB8" w:rsidP="00C96CB8">
            <w:pPr>
              <w:pStyle w:val="TableBodyCopy"/>
              <w:rPr>
                <w:lang w:val="en-ID" w:eastAsia="en-AU"/>
              </w:rPr>
            </w:pPr>
            <w:r>
              <w:rPr>
                <w:b/>
                <w:bCs/>
                <w:lang w:val="en-ID" w:eastAsia="en-AU"/>
              </w:rPr>
              <w:lastRenderedPageBreak/>
              <w:t>Outcome 4.1</w:t>
            </w:r>
          </w:p>
          <w:p w14:paraId="3D37CD3F" w14:textId="51520BF6" w:rsidR="00531987" w:rsidRPr="0065191C" w:rsidRDefault="00531987" w:rsidP="00E07CAE">
            <w:pPr>
              <w:pStyle w:val="TableBodyCopy"/>
              <w:rPr>
                <w:lang w:val="en-ID" w:eastAsia="en-AU"/>
              </w:rPr>
            </w:pPr>
          </w:p>
        </w:tc>
        <w:tc>
          <w:tcPr>
            <w:tcW w:w="833" w:type="pct"/>
            <w:shd w:val="clear" w:color="auto" w:fill="D9D9D9"/>
          </w:tcPr>
          <w:p w14:paraId="452B7B62" w14:textId="684BFD59" w:rsidR="00531987" w:rsidRPr="00531987" w:rsidRDefault="00C96CB8" w:rsidP="00E07CAE">
            <w:pPr>
              <w:pStyle w:val="TableBodyCopy"/>
            </w:pPr>
            <w:r>
              <w:t xml:space="preserve">4.1.4 </w:t>
            </w:r>
            <w:r w:rsidRPr="0065191C">
              <w:rPr>
                <w:lang w:val="en-ID" w:eastAsia="en-AU"/>
              </w:rPr>
              <w:t>Strengthened linkages and pathways through sports cooperation</w:t>
            </w:r>
          </w:p>
        </w:tc>
        <w:tc>
          <w:tcPr>
            <w:tcW w:w="833" w:type="pct"/>
            <w:shd w:val="clear" w:color="auto" w:fill="D9D9D9"/>
          </w:tcPr>
          <w:p w14:paraId="20C9CF6B" w14:textId="66040B05" w:rsidR="00531987" w:rsidRPr="00E90562" w:rsidRDefault="00EE6BFE" w:rsidP="00E07CAE">
            <w:pPr>
              <w:pStyle w:val="TableBodyCopy"/>
            </w:pPr>
            <w:r>
              <w:t>Five</w:t>
            </w:r>
            <w:r w:rsidR="00531987">
              <w:t> </w:t>
            </w:r>
            <w:r w:rsidR="00531987" w:rsidRPr="00E90562">
              <w:t>young women and 20</w:t>
            </w:r>
            <w:r w:rsidR="00531987">
              <w:t> </w:t>
            </w:r>
            <w:r w:rsidR="00531987" w:rsidRPr="00E90562">
              <w:t>young men participating in competition at elite level in Australia or with Australian teams</w:t>
            </w:r>
          </w:p>
        </w:tc>
        <w:tc>
          <w:tcPr>
            <w:tcW w:w="833" w:type="pct"/>
            <w:shd w:val="clear" w:color="auto" w:fill="D9D9D9"/>
          </w:tcPr>
          <w:p w14:paraId="7926F410" w14:textId="126CA504" w:rsidR="00531987" w:rsidRPr="00E90562" w:rsidRDefault="00EE6BFE" w:rsidP="00E07CAE">
            <w:pPr>
              <w:pStyle w:val="TableBodyCopy"/>
            </w:pPr>
            <w:r>
              <w:t>Five</w:t>
            </w:r>
            <w:r w:rsidR="00531987">
              <w:t> </w:t>
            </w:r>
            <w:r w:rsidR="00531987" w:rsidRPr="00E90562">
              <w:t>young women and 20</w:t>
            </w:r>
            <w:r w:rsidR="00531987">
              <w:t> </w:t>
            </w:r>
            <w:r w:rsidR="00531987" w:rsidRPr="00E90562">
              <w:t>young men participating in competition at elite level in Australia or with Australian teams</w:t>
            </w:r>
          </w:p>
        </w:tc>
        <w:tc>
          <w:tcPr>
            <w:tcW w:w="833" w:type="pct"/>
            <w:shd w:val="clear" w:color="auto" w:fill="D9D9D9"/>
          </w:tcPr>
          <w:p w14:paraId="666E12DB" w14:textId="59D9671F" w:rsidR="00531987" w:rsidRPr="00E90562" w:rsidRDefault="00EE6BFE" w:rsidP="00E07CAE">
            <w:pPr>
              <w:pStyle w:val="TableBodyCopy"/>
            </w:pPr>
            <w:r>
              <w:t>Five</w:t>
            </w:r>
            <w:r w:rsidR="00531987">
              <w:t> </w:t>
            </w:r>
            <w:r w:rsidR="00531987" w:rsidRPr="00E90562">
              <w:t>young women and 20</w:t>
            </w:r>
            <w:r w:rsidR="00531987">
              <w:t> </w:t>
            </w:r>
            <w:r w:rsidR="00531987" w:rsidRPr="00E90562">
              <w:t>young men participating in competition at elite level in Australia or with Australian teams</w:t>
            </w:r>
          </w:p>
        </w:tc>
        <w:tc>
          <w:tcPr>
            <w:tcW w:w="833" w:type="pct"/>
            <w:shd w:val="clear" w:color="auto" w:fill="D9D9D9"/>
          </w:tcPr>
          <w:p w14:paraId="27D63DF1" w14:textId="2A5DCE43" w:rsidR="00531987" w:rsidRPr="0065191C" w:rsidRDefault="00531987" w:rsidP="00E07CAE">
            <w:pPr>
              <w:pStyle w:val="TableBodyCopy"/>
              <w:rPr>
                <w:lang w:eastAsia="en-AU"/>
              </w:rPr>
            </w:pPr>
            <w:r w:rsidRPr="0065191C">
              <w:rPr>
                <w:lang w:eastAsia="en-AU"/>
              </w:rPr>
              <w:t>SDG4</w:t>
            </w:r>
            <w:r>
              <w:rPr>
                <w:lang w:eastAsia="en-AU"/>
              </w:rPr>
              <w:t xml:space="preserve">, </w:t>
            </w:r>
            <w:r w:rsidRPr="0065191C">
              <w:rPr>
                <w:lang w:eastAsia="en-AU"/>
              </w:rPr>
              <w:t>SDG5</w:t>
            </w:r>
            <w:r>
              <w:rPr>
                <w:lang w:eastAsia="en-AU"/>
              </w:rPr>
              <w:t xml:space="preserve">, </w:t>
            </w:r>
            <w:r w:rsidRPr="0065191C">
              <w:rPr>
                <w:lang w:eastAsia="en-AU"/>
              </w:rPr>
              <w:t>SDG8</w:t>
            </w:r>
            <w:r>
              <w:rPr>
                <w:lang w:eastAsia="en-AU"/>
              </w:rPr>
              <w:t xml:space="preserve">, </w:t>
            </w:r>
            <w:r w:rsidRPr="0065191C">
              <w:rPr>
                <w:lang w:eastAsia="en-AU"/>
              </w:rPr>
              <w:t>SDG10</w:t>
            </w:r>
            <w:r>
              <w:rPr>
                <w:lang w:eastAsia="en-AU"/>
              </w:rPr>
              <w:t xml:space="preserve">, </w:t>
            </w:r>
            <w:r w:rsidRPr="0065191C">
              <w:rPr>
                <w:lang w:eastAsia="en-AU"/>
              </w:rPr>
              <w:t>SDG17</w:t>
            </w:r>
          </w:p>
        </w:tc>
      </w:tr>
      <w:tr w:rsidR="009B376D" w14:paraId="58843FF0" w14:textId="77777777" w:rsidTr="00531987">
        <w:trPr>
          <w:cantSplit/>
          <w:trHeight w:val="544"/>
        </w:trPr>
        <w:tc>
          <w:tcPr>
            <w:tcW w:w="833" w:type="pct"/>
            <w:shd w:val="clear" w:color="auto" w:fill="D9D9D9"/>
          </w:tcPr>
          <w:p w14:paraId="282FC64B" w14:textId="77777777" w:rsidR="009B376D" w:rsidRPr="00E90562" w:rsidRDefault="009B376D" w:rsidP="009B376D">
            <w:pPr>
              <w:pStyle w:val="TableBodyCopy"/>
              <w:rPr>
                <w:b/>
                <w:bCs/>
                <w:lang w:eastAsia="en-AU"/>
              </w:rPr>
            </w:pPr>
            <w:r w:rsidRPr="00A23CC3">
              <w:rPr>
                <w:b/>
                <w:bCs/>
                <w:lang w:eastAsia="en-AU"/>
              </w:rPr>
              <w:t>Outcome 4.2</w:t>
            </w:r>
          </w:p>
          <w:p w14:paraId="4BD6F13B" w14:textId="685F83EC" w:rsidR="009B376D" w:rsidRPr="00A23CC3" w:rsidRDefault="009B376D" w:rsidP="009B376D">
            <w:pPr>
              <w:pStyle w:val="TableBodyCopy"/>
              <w:rPr>
                <w:lang w:eastAsia="en-AU"/>
              </w:rPr>
            </w:pPr>
            <w:r w:rsidRPr="00E90562">
              <w:rPr>
                <w:rFonts w:cstheme="minorHAnsi"/>
              </w:rPr>
              <w:t xml:space="preserve">Institutional linkages: </w:t>
            </w:r>
            <w:r w:rsidR="00103170">
              <w:rPr>
                <w:rFonts w:cstheme="minorHAnsi"/>
              </w:rPr>
              <w:t>Developing and maintaining p</w:t>
            </w:r>
            <w:r w:rsidRPr="00E90562">
              <w:rPr>
                <w:rFonts w:cstheme="minorHAnsi"/>
              </w:rPr>
              <w:t xml:space="preserve">artnerships of mutual strategic benefit between PNG and Australian </w:t>
            </w:r>
            <w:proofErr w:type="gramStart"/>
            <w:r w:rsidRPr="00E90562">
              <w:rPr>
                <w:rFonts w:cstheme="minorHAnsi"/>
              </w:rPr>
              <w:t>institutions</w:t>
            </w:r>
            <w:proofErr w:type="gramEnd"/>
          </w:p>
          <w:p w14:paraId="18EC55C6" w14:textId="59FF7071" w:rsidR="009B376D" w:rsidRDefault="009B376D" w:rsidP="009B376D">
            <w:pPr>
              <w:pStyle w:val="TableBodyCopy"/>
              <w:rPr>
                <w:b/>
                <w:bCs/>
                <w:lang w:val="en-ID" w:eastAsia="en-AU"/>
              </w:rPr>
            </w:pPr>
          </w:p>
        </w:tc>
        <w:tc>
          <w:tcPr>
            <w:tcW w:w="833" w:type="pct"/>
            <w:shd w:val="clear" w:color="auto" w:fill="D9D9D9"/>
          </w:tcPr>
          <w:p w14:paraId="3DA3589C" w14:textId="1C7C7F4D" w:rsidR="009B376D" w:rsidRDefault="009B376D" w:rsidP="009B376D">
            <w:pPr>
              <w:pStyle w:val="TableBodyCopy"/>
            </w:pPr>
            <w:r>
              <w:rPr>
                <w:rFonts w:cstheme="majorBidi"/>
                <w:lang w:eastAsia="en-AU"/>
              </w:rPr>
              <w:t xml:space="preserve">4.2.1 </w:t>
            </w:r>
            <w:r w:rsidRPr="0065191C">
              <w:rPr>
                <w:lang w:eastAsia="en-AU"/>
              </w:rPr>
              <w:t>Number of new and existing partnerships that are developed, enhanced and or strengthened</w:t>
            </w:r>
          </w:p>
        </w:tc>
        <w:tc>
          <w:tcPr>
            <w:tcW w:w="833" w:type="pct"/>
            <w:shd w:val="clear" w:color="auto" w:fill="D9D9D9"/>
          </w:tcPr>
          <w:p w14:paraId="6F2C5EDF" w14:textId="21ADF809" w:rsidR="009B376D" w:rsidRPr="0065191C" w:rsidRDefault="009B376D" w:rsidP="009B376D">
            <w:pPr>
              <w:pStyle w:val="TableBodyCopy"/>
              <w:rPr>
                <w:rFonts w:cstheme="majorBidi"/>
                <w:lang w:eastAsia="en-AU"/>
              </w:rPr>
            </w:pPr>
            <w:r w:rsidRPr="17EFA1EA">
              <w:rPr>
                <w:rFonts w:cstheme="majorBidi"/>
                <w:lang w:eastAsia="en-AU"/>
              </w:rPr>
              <w:t xml:space="preserve">Officials from Australian </w:t>
            </w:r>
            <w:r w:rsidRPr="3B23FD08">
              <w:rPr>
                <w:rFonts w:cstheme="majorBidi"/>
                <w:lang w:eastAsia="en-AU"/>
              </w:rPr>
              <w:t xml:space="preserve">and PNG </w:t>
            </w:r>
            <w:r w:rsidR="001B4D9F">
              <w:rPr>
                <w:rFonts w:cstheme="majorBidi"/>
                <w:lang w:eastAsia="en-AU"/>
              </w:rPr>
              <w:t>G</w:t>
            </w:r>
            <w:r w:rsidRPr="65027804">
              <w:rPr>
                <w:rFonts w:cstheme="majorBidi"/>
                <w:lang w:eastAsia="en-AU"/>
              </w:rPr>
              <w:t>overnments</w:t>
            </w:r>
            <w:r w:rsidRPr="17EFA1EA">
              <w:rPr>
                <w:rFonts w:cstheme="majorBidi"/>
                <w:lang w:eastAsia="en-AU"/>
              </w:rPr>
              <w:t xml:space="preserve"> deployed to </w:t>
            </w:r>
            <w:r w:rsidRPr="3B23FD08">
              <w:rPr>
                <w:rFonts w:cstheme="majorBidi"/>
                <w:lang w:eastAsia="en-AU"/>
              </w:rPr>
              <w:t xml:space="preserve">counterpart </w:t>
            </w:r>
            <w:proofErr w:type="gramStart"/>
            <w:r w:rsidRPr="299A4102">
              <w:rPr>
                <w:rFonts w:cstheme="majorBidi"/>
                <w:lang w:eastAsia="en-AU"/>
              </w:rPr>
              <w:t>agencies</w:t>
            </w:r>
            <w:proofErr w:type="gramEnd"/>
          </w:p>
          <w:p w14:paraId="3E8B1DAE" w14:textId="4D85CA4F" w:rsidR="009B376D" w:rsidRPr="009B376D" w:rsidRDefault="009B376D" w:rsidP="009B376D">
            <w:pPr>
              <w:pStyle w:val="TableBodyCopy"/>
            </w:pPr>
            <w:r>
              <w:rPr>
                <w:lang w:eastAsia="en-AU"/>
              </w:rPr>
              <w:t>New partnership/s established as requested</w:t>
            </w:r>
          </w:p>
        </w:tc>
        <w:tc>
          <w:tcPr>
            <w:tcW w:w="833" w:type="pct"/>
            <w:shd w:val="clear" w:color="auto" w:fill="D9D9D9"/>
          </w:tcPr>
          <w:p w14:paraId="4AEE4175" w14:textId="5CB09AAA" w:rsidR="009B376D" w:rsidRPr="0065191C" w:rsidRDefault="009B376D" w:rsidP="009B376D">
            <w:pPr>
              <w:pStyle w:val="TableBodyCopy"/>
              <w:rPr>
                <w:lang w:eastAsia="en-AU"/>
              </w:rPr>
            </w:pPr>
            <w:r w:rsidRPr="0065191C">
              <w:rPr>
                <w:lang w:eastAsia="en-AU"/>
              </w:rPr>
              <w:t xml:space="preserve">Officials from Australian Government departments deployed to PNG </w:t>
            </w:r>
            <w:proofErr w:type="gramStart"/>
            <w:r>
              <w:rPr>
                <w:lang w:eastAsia="en-AU"/>
              </w:rPr>
              <w:t>a</w:t>
            </w:r>
            <w:r w:rsidRPr="0065191C">
              <w:rPr>
                <w:lang w:eastAsia="en-AU"/>
              </w:rPr>
              <w:t>gencies</w:t>
            </w:r>
            <w:proofErr w:type="gramEnd"/>
          </w:p>
          <w:p w14:paraId="79FE8136" w14:textId="79644095" w:rsidR="009B376D" w:rsidRPr="009B376D" w:rsidRDefault="009B376D" w:rsidP="009B376D">
            <w:pPr>
              <w:pStyle w:val="TableBodyCopy"/>
            </w:pPr>
            <w:r>
              <w:rPr>
                <w:lang w:eastAsia="en-AU"/>
              </w:rPr>
              <w:t>New partnership/s established as requested</w:t>
            </w:r>
          </w:p>
        </w:tc>
        <w:tc>
          <w:tcPr>
            <w:tcW w:w="833" w:type="pct"/>
            <w:shd w:val="clear" w:color="auto" w:fill="D9D9D9"/>
          </w:tcPr>
          <w:p w14:paraId="345886A3" w14:textId="38F75791" w:rsidR="009B376D" w:rsidRPr="0065191C" w:rsidRDefault="009B376D" w:rsidP="009B376D">
            <w:pPr>
              <w:pStyle w:val="TableBodyCopy"/>
              <w:rPr>
                <w:lang w:eastAsia="en-AU"/>
              </w:rPr>
            </w:pPr>
            <w:r w:rsidRPr="0065191C">
              <w:rPr>
                <w:lang w:eastAsia="en-AU"/>
              </w:rPr>
              <w:t xml:space="preserve">Officials from Australian Government departments deployed to PNG </w:t>
            </w:r>
            <w:proofErr w:type="gramStart"/>
            <w:r>
              <w:rPr>
                <w:lang w:eastAsia="en-AU"/>
              </w:rPr>
              <w:t>a</w:t>
            </w:r>
            <w:r w:rsidRPr="0065191C">
              <w:rPr>
                <w:lang w:eastAsia="en-AU"/>
              </w:rPr>
              <w:t>gencies</w:t>
            </w:r>
            <w:proofErr w:type="gramEnd"/>
          </w:p>
          <w:p w14:paraId="33AFEF20" w14:textId="03E7251B" w:rsidR="009B376D" w:rsidRPr="009B376D" w:rsidRDefault="009B376D" w:rsidP="009B376D">
            <w:pPr>
              <w:pStyle w:val="TableBodyCopy"/>
            </w:pPr>
            <w:r>
              <w:rPr>
                <w:lang w:eastAsia="en-AU"/>
              </w:rPr>
              <w:t>New</w:t>
            </w:r>
            <w:r w:rsidRPr="0065191C">
              <w:rPr>
                <w:lang w:eastAsia="en-AU"/>
              </w:rPr>
              <w:t xml:space="preserve"> partnership</w:t>
            </w:r>
            <w:r>
              <w:rPr>
                <w:lang w:eastAsia="en-AU"/>
              </w:rPr>
              <w:t>/s</w:t>
            </w:r>
            <w:r w:rsidRPr="0065191C">
              <w:rPr>
                <w:lang w:eastAsia="en-AU"/>
              </w:rPr>
              <w:t xml:space="preserve"> established </w:t>
            </w:r>
            <w:r>
              <w:rPr>
                <w:lang w:eastAsia="en-AU"/>
              </w:rPr>
              <w:t>as requested</w:t>
            </w:r>
          </w:p>
        </w:tc>
        <w:tc>
          <w:tcPr>
            <w:tcW w:w="833" w:type="pct"/>
            <w:shd w:val="clear" w:color="auto" w:fill="D9D9D9"/>
          </w:tcPr>
          <w:p w14:paraId="7F7577DC" w14:textId="6EF4A75C" w:rsidR="009B376D" w:rsidRPr="0065191C" w:rsidRDefault="009B376D" w:rsidP="009B376D">
            <w:pPr>
              <w:pStyle w:val="TableBodyCopy"/>
              <w:rPr>
                <w:lang w:eastAsia="en-AU"/>
              </w:rPr>
            </w:pPr>
            <w:r w:rsidRPr="0065191C">
              <w:rPr>
                <w:lang w:eastAsia="en-AU"/>
              </w:rPr>
              <w:t>SDG4</w:t>
            </w:r>
            <w:r>
              <w:rPr>
                <w:lang w:eastAsia="en-AU"/>
              </w:rPr>
              <w:t xml:space="preserve">, </w:t>
            </w:r>
            <w:r w:rsidRPr="0065191C">
              <w:rPr>
                <w:lang w:eastAsia="en-AU"/>
              </w:rPr>
              <w:t>SDG5</w:t>
            </w:r>
            <w:r>
              <w:rPr>
                <w:lang w:eastAsia="en-AU"/>
              </w:rPr>
              <w:t xml:space="preserve">, </w:t>
            </w:r>
            <w:r w:rsidRPr="0065191C">
              <w:rPr>
                <w:lang w:eastAsia="en-AU"/>
              </w:rPr>
              <w:t>SDG8</w:t>
            </w:r>
            <w:r>
              <w:rPr>
                <w:lang w:eastAsia="en-AU"/>
              </w:rPr>
              <w:t xml:space="preserve">, </w:t>
            </w:r>
            <w:r w:rsidRPr="0065191C">
              <w:rPr>
                <w:lang w:eastAsia="en-AU"/>
              </w:rPr>
              <w:t>SDG10</w:t>
            </w:r>
            <w:r>
              <w:rPr>
                <w:lang w:eastAsia="en-AU"/>
              </w:rPr>
              <w:t xml:space="preserve">, </w:t>
            </w:r>
            <w:r w:rsidRPr="0065191C">
              <w:rPr>
                <w:lang w:eastAsia="en-AU"/>
              </w:rPr>
              <w:t>SDG17</w:t>
            </w:r>
          </w:p>
        </w:tc>
      </w:tr>
    </w:tbl>
    <w:p w14:paraId="69A23C48" w14:textId="77777777" w:rsidR="001F3990" w:rsidRDefault="001F3990">
      <w:pPr>
        <w:spacing w:before="0" w:after="0" w:line="240" w:lineRule="auto"/>
        <w:rPr>
          <w:rFonts w:eastAsiaTheme="majorEastAsia" w:cstheme="minorHAnsi"/>
          <w:b/>
          <w:bCs/>
          <w:iCs/>
          <w:sz w:val="24"/>
          <w:szCs w:val="24"/>
        </w:rPr>
      </w:pPr>
      <w:r>
        <w:br w:type="page"/>
      </w:r>
    </w:p>
    <w:p w14:paraId="32E58D6E" w14:textId="4D5B452C" w:rsidR="00377759" w:rsidRPr="00377759" w:rsidRDefault="00377759" w:rsidP="00377759">
      <w:pPr>
        <w:pStyle w:val="H4-Heading4"/>
        <w:rPr>
          <w:lang w:eastAsia="en-AU"/>
        </w:rPr>
      </w:pPr>
      <w:r>
        <w:lastRenderedPageBreak/>
        <w:t>Cross-</w:t>
      </w:r>
      <w:r w:rsidR="00E248C3">
        <w:t>p</w:t>
      </w:r>
      <w:r>
        <w:t>rogram</w:t>
      </w:r>
    </w:p>
    <w:tbl>
      <w:tblPr>
        <w:tblStyle w:val="DFATBluegum"/>
        <w:tblW w:w="5000" w:type="pct"/>
        <w:tblLayout w:type="fixed"/>
        <w:tblLook w:val="04A0" w:firstRow="1" w:lastRow="0" w:firstColumn="1" w:lastColumn="0" w:noHBand="0" w:noVBand="1"/>
        <w:tblCaption w:val="Cross-program performance assessment framework"/>
        <w:tblDescription w:val="Expected results for the first three years of the DPP and against the Sustainable Development Goals&#10;"/>
      </w:tblPr>
      <w:tblGrid>
        <w:gridCol w:w="1796"/>
        <w:gridCol w:w="2523"/>
        <w:gridCol w:w="2523"/>
        <w:gridCol w:w="2526"/>
        <w:gridCol w:w="2523"/>
        <w:gridCol w:w="2526"/>
      </w:tblGrid>
      <w:tr w:rsidR="00A306DD" w:rsidRPr="000B04E1" w14:paraId="1DBB258C" w14:textId="77777777" w:rsidTr="00A306DD">
        <w:trPr>
          <w:cnfStyle w:val="100000000000" w:firstRow="1" w:lastRow="0" w:firstColumn="0" w:lastColumn="0" w:oddVBand="0" w:evenVBand="0" w:oddHBand="0" w:evenHBand="0" w:firstRowFirstColumn="0" w:firstRowLastColumn="0" w:lastRowFirstColumn="0" w:lastRowLastColumn="0"/>
          <w:cantSplit/>
          <w:trHeight w:val="805"/>
        </w:trPr>
        <w:tc>
          <w:tcPr>
            <w:tcW w:w="623" w:type="pct"/>
          </w:tcPr>
          <w:p w14:paraId="4A847903" w14:textId="416341DB" w:rsidR="00E865C4" w:rsidRPr="000B04E1" w:rsidRDefault="00F63549" w:rsidP="00967711">
            <w:pPr>
              <w:pStyle w:val="TableHeading"/>
              <w:rPr>
                <w:b w:val="0"/>
                <w:bCs w:val="0"/>
              </w:rPr>
            </w:pPr>
            <w:r w:rsidRPr="00F63549">
              <w:rPr>
                <w:b w:val="0"/>
                <w:bCs w:val="0"/>
              </w:rPr>
              <w:t>Theme</w:t>
            </w:r>
          </w:p>
        </w:tc>
        <w:tc>
          <w:tcPr>
            <w:tcW w:w="875" w:type="pct"/>
            <w:hideMark/>
          </w:tcPr>
          <w:p w14:paraId="2B6F7148" w14:textId="17F26E77" w:rsidR="00E865C4" w:rsidRPr="000B04E1" w:rsidRDefault="00E865C4" w:rsidP="00967711">
            <w:pPr>
              <w:pStyle w:val="TableHeading"/>
              <w:rPr>
                <w:b w:val="0"/>
                <w:bCs w:val="0"/>
              </w:rPr>
            </w:pPr>
            <w:r w:rsidRPr="000B04E1">
              <w:rPr>
                <w:b w:val="0"/>
                <w:bCs w:val="0"/>
              </w:rPr>
              <w:t>Indicator</w:t>
            </w:r>
          </w:p>
        </w:tc>
        <w:tc>
          <w:tcPr>
            <w:tcW w:w="875" w:type="pct"/>
            <w:hideMark/>
          </w:tcPr>
          <w:p w14:paraId="6D599319" w14:textId="6F5196AA" w:rsidR="00E865C4" w:rsidRPr="000B04E1" w:rsidRDefault="00E865C4" w:rsidP="00967711">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2024</w:t>
            </w:r>
            <w:r>
              <w:rPr>
                <w:b w:val="0"/>
                <w:bCs w:val="0"/>
              </w:rPr>
              <w:t>–</w:t>
            </w:r>
            <w:r w:rsidRPr="000B04E1">
              <w:rPr>
                <w:b w:val="0"/>
                <w:bCs w:val="0"/>
              </w:rPr>
              <w:t>25</w:t>
            </w:r>
          </w:p>
        </w:tc>
        <w:tc>
          <w:tcPr>
            <w:tcW w:w="876" w:type="pct"/>
            <w:hideMark/>
          </w:tcPr>
          <w:p w14:paraId="206D0BE9" w14:textId="38FA409E" w:rsidR="00E865C4" w:rsidRPr="000B04E1" w:rsidRDefault="00E865C4" w:rsidP="00967711">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2025</w:t>
            </w:r>
            <w:r>
              <w:rPr>
                <w:b w:val="0"/>
                <w:bCs w:val="0"/>
              </w:rPr>
              <w:t>–</w:t>
            </w:r>
            <w:r w:rsidRPr="000B04E1">
              <w:rPr>
                <w:b w:val="0"/>
                <w:bCs w:val="0"/>
              </w:rPr>
              <w:t>26</w:t>
            </w:r>
          </w:p>
        </w:tc>
        <w:tc>
          <w:tcPr>
            <w:tcW w:w="869" w:type="pct"/>
            <w:hideMark/>
          </w:tcPr>
          <w:p w14:paraId="126EBDCB" w14:textId="20552A04" w:rsidR="00E865C4" w:rsidRPr="000B04E1" w:rsidRDefault="00E865C4" w:rsidP="00967711">
            <w:pPr>
              <w:pStyle w:val="TableHeading"/>
              <w:rPr>
                <w:b w:val="0"/>
                <w:bCs w:val="0"/>
              </w:rPr>
            </w:pPr>
            <w:r w:rsidRPr="000B04E1">
              <w:rPr>
                <w:b w:val="0"/>
                <w:bCs w:val="0"/>
              </w:rPr>
              <w:t xml:space="preserve">Expected </w:t>
            </w:r>
            <w:r>
              <w:rPr>
                <w:b w:val="0"/>
                <w:bCs w:val="0"/>
              </w:rPr>
              <w:t>r</w:t>
            </w:r>
            <w:r w:rsidRPr="000B04E1">
              <w:rPr>
                <w:b w:val="0"/>
                <w:bCs w:val="0"/>
              </w:rPr>
              <w:t>esults</w:t>
            </w:r>
            <w:r w:rsidRPr="000B04E1">
              <w:rPr>
                <w:b w:val="0"/>
                <w:bCs w:val="0"/>
              </w:rPr>
              <w:br/>
              <w:t>2026</w:t>
            </w:r>
            <w:r>
              <w:rPr>
                <w:b w:val="0"/>
                <w:bCs w:val="0"/>
              </w:rPr>
              <w:t>–</w:t>
            </w:r>
            <w:r w:rsidRPr="000B04E1">
              <w:rPr>
                <w:b w:val="0"/>
                <w:bCs w:val="0"/>
              </w:rPr>
              <w:t>27</w:t>
            </w:r>
          </w:p>
        </w:tc>
        <w:tc>
          <w:tcPr>
            <w:tcW w:w="882" w:type="pct"/>
            <w:hideMark/>
          </w:tcPr>
          <w:p w14:paraId="3D73C78C" w14:textId="509670E2" w:rsidR="00E865C4" w:rsidRPr="000B04E1" w:rsidRDefault="00E865C4" w:rsidP="00967711">
            <w:pPr>
              <w:pStyle w:val="TableHeading"/>
              <w:rPr>
                <w:b w:val="0"/>
                <w:bCs w:val="0"/>
              </w:rPr>
            </w:pPr>
            <w:r w:rsidRPr="000B04E1">
              <w:rPr>
                <w:b w:val="0"/>
                <w:bCs w:val="0"/>
              </w:rPr>
              <w:t>S</w:t>
            </w:r>
            <w:r>
              <w:rPr>
                <w:b w:val="0"/>
                <w:bCs w:val="0"/>
              </w:rPr>
              <w:t xml:space="preserve">ustainable </w:t>
            </w:r>
            <w:r w:rsidRPr="000B04E1">
              <w:rPr>
                <w:b w:val="0"/>
                <w:bCs w:val="0"/>
              </w:rPr>
              <w:t>D</w:t>
            </w:r>
            <w:r>
              <w:rPr>
                <w:b w:val="0"/>
                <w:bCs w:val="0"/>
              </w:rPr>
              <w:t xml:space="preserve">evelopment </w:t>
            </w:r>
            <w:r w:rsidRPr="000B04E1">
              <w:rPr>
                <w:b w:val="0"/>
                <w:bCs w:val="0"/>
              </w:rPr>
              <w:t>Goals</w:t>
            </w:r>
            <w:r>
              <w:rPr>
                <w:b w:val="0"/>
                <w:bCs w:val="0"/>
              </w:rPr>
              <w:t xml:space="preserve"> (SDGs)</w:t>
            </w:r>
          </w:p>
        </w:tc>
      </w:tr>
      <w:tr w:rsidR="00173BDC" w14:paraId="392C1CC6" w14:textId="77777777" w:rsidTr="00E90562">
        <w:trPr>
          <w:cantSplit/>
          <w:trHeight w:val="779"/>
        </w:trPr>
        <w:tc>
          <w:tcPr>
            <w:tcW w:w="623" w:type="pct"/>
          </w:tcPr>
          <w:p w14:paraId="76DAA36C" w14:textId="232A9614" w:rsidR="00E865C4" w:rsidRPr="00602D3F" w:rsidRDefault="00A466BF" w:rsidP="00602D3F">
            <w:pPr>
              <w:pStyle w:val="TableBodyCopy"/>
            </w:pPr>
            <w:r w:rsidRPr="00602D3F">
              <w:t>Localisation</w:t>
            </w:r>
          </w:p>
        </w:tc>
        <w:tc>
          <w:tcPr>
            <w:tcW w:w="875" w:type="pct"/>
            <w:hideMark/>
          </w:tcPr>
          <w:p w14:paraId="2F9C1D9D" w14:textId="2ED7A7C6" w:rsidR="00E865C4" w:rsidRPr="00602D3F" w:rsidRDefault="00E865C4" w:rsidP="00602D3F">
            <w:pPr>
              <w:pStyle w:val="TableBodyCopy"/>
            </w:pPr>
            <w:r w:rsidRPr="00602D3F">
              <w:t>Percentage of bilateral investment designs and evaluations include local participation</w:t>
            </w:r>
            <w:r w:rsidR="00D75265">
              <w:t xml:space="preserve"> </w:t>
            </w:r>
          </w:p>
        </w:tc>
        <w:tc>
          <w:tcPr>
            <w:tcW w:w="875" w:type="pct"/>
          </w:tcPr>
          <w:p w14:paraId="1328DAE4" w14:textId="7633462E" w:rsidR="00E865C4" w:rsidRPr="00602D3F" w:rsidRDefault="00E865C4" w:rsidP="00602D3F">
            <w:pPr>
              <w:pStyle w:val="TableBodyCopy"/>
            </w:pPr>
            <w:r w:rsidRPr="00602D3F">
              <w:t>60%</w:t>
            </w:r>
          </w:p>
        </w:tc>
        <w:tc>
          <w:tcPr>
            <w:tcW w:w="876" w:type="pct"/>
          </w:tcPr>
          <w:p w14:paraId="216221EA" w14:textId="28183D09" w:rsidR="00E865C4" w:rsidRPr="00602D3F" w:rsidRDefault="00E865C4" w:rsidP="00602D3F">
            <w:pPr>
              <w:pStyle w:val="TableBodyCopy"/>
            </w:pPr>
            <w:r w:rsidRPr="00602D3F">
              <w:t>70%</w:t>
            </w:r>
          </w:p>
        </w:tc>
        <w:tc>
          <w:tcPr>
            <w:tcW w:w="875" w:type="pct"/>
          </w:tcPr>
          <w:p w14:paraId="4CBBD39E" w14:textId="44EA5285" w:rsidR="00E865C4" w:rsidRPr="00602D3F" w:rsidRDefault="00E865C4" w:rsidP="00602D3F">
            <w:pPr>
              <w:pStyle w:val="TableBodyCopy"/>
            </w:pPr>
            <w:r w:rsidRPr="00602D3F">
              <w:t>80%</w:t>
            </w:r>
          </w:p>
        </w:tc>
        <w:tc>
          <w:tcPr>
            <w:tcW w:w="876" w:type="pct"/>
          </w:tcPr>
          <w:p w14:paraId="428985CE" w14:textId="5BA2CE44" w:rsidR="00E865C4" w:rsidRPr="00602D3F" w:rsidRDefault="00E865C4" w:rsidP="00602D3F">
            <w:pPr>
              <w:pStyle w:val="TableBodyCopy"/>
            </w:pPr>
            <w:r w:rsidRPr="00602D3F">
              <w:t>SDG1</w:t>
            </w:r>
            <w:r>
              <w:t>:</w:t>
            </w:r>
            <w:r w:rsidRPr="00602D3F">
              <w:t xml:space="preserve"> No </w:t>
            </w:r>
            <w:r>
              <w:t>p</w:t>
            </w:r>
            <w:r w:rsidRPr="00602D3F">
              <w:t>overty</w:t>
            </w:r>
          </w:p>
          <w:p w14:paraId="30DF19B7" w14:textId="06D5AEE6" w:rsidR="00E865C4" w:rsidRPr="00602D3F" w:rsidRDefault="00E865C4" w:rsidP="00602D3F">
            <w:pPr>
              <w:pStyle w:val="TableBodyCopy"/>
            </w:pPr>
            <w:r w:rsidRPr="00602D3F">
              <w:t>SDG10</w:t>
            </w:r>
            <w:r>
              <w:t>:</w:t>
            </w:r>
            <w:r w:rsidRPr="00602D3F">
              <w:t xml:space="preserve"> Reduced </w:t>
            </w:r>
            <w:r>
              <w:t>i</w:t>
            </w:r>
            <w:r w:rsidRPr="00602D3F">
              <w:t>nequalities</w:t>
            </w:r>
          </w:p>
          <w:p w14:paraId="5CB2246C" w14:textId="5BFEA20E" w:rsidR="00E865C4" w:rsidRPr="00602D3F" w:rsidRDefault="00E865C4" w:rsidP="00602D3F">
            <w:pPr>
              <w:pStyle w:val="TableBodyCopy"/>
            </w:pPr>
            <w:r w:rsidRPr="00602D3F">
              <w:t>SDG17</w:t>
            </w:r>
            <w:r>
              <w:t>:</w:t>
            </w:r>
            <w:r w:rsidRPr="00602D3F">
              <w:t xml:space="preserve"> Partnerships for the </w:t>
            </w:r>
            <w:r>
              <w:t>g</w:t>
            </w:r>
            <w:r w:rsidRPr="00602D3F">
              <w:t xml:space="preserve">oals </w:t>
            </w:r>
          </w:p>
        </w:tc>
      </w:tr>
      <w:tr w:rsidR="00173BDC" w14:paraId="6E999EAF" w14:textId="77777777" w:rsidTr="00E90562">
        <w:trPr>
          <w:cantSplit/>
          <w:trHeight w:val="704"/>
        </w:trPr>
        <w:tc>
          <w:tcPr>
            <w:tcW w:w="623" w:type="pct"/>
          </w:tcPr>
          <w:p w14:paraId="2F2CC767" w14:textId="4A28A7C2" w:rsidR="00E865C4" w:rsidRPr="00602D3F" w:rsidRDefault="00A466BF" w:rsidP="00602D3F">
            <w:pPr>
              <w:pStyle w:val="TableBodyCopy"/>
            </w:pPr>
            <w:r>
              <w:t>Localisation</w:t>
            </w:r>
          </w:p>
        </w:tc>
        <w:tc>
          <w:tcPr>
            <w:tcW w:w="875" w:type="pct"/>
          </w:tcPr>
          <w:p w14:paraId="6C58B417" w14:textId="3112BBEB" w:rsidR="00E865C4" w:rsidRPr="00602D3F" w:rsidRDefault="00E865C4" w:rsidP="00602D3F">
            <w:pPr>
              <w:pStyle w:val="TableBodyCopy"/>
            </w:pPr>
            <w:r w:rsidRPr="00602D3F">
              <w:t>Percentage of contracts awarded to locally</w:t>
            </w:r>
            <w:r>
              <w:t xml:space="preserve"> </w:t>
            </w:r>
            <w:r w:rsidRPr="00602D3F">
              <w:t>led infrastructure companies</w:t>
            </w:r>
          </w:p>
        </w:tc>
        <w:tc>
          <w:tcPr>
            <w:tcW w:w="875" w:type="pct"/>
          </w:tcPr>
          <w:p w14:paraId="2201C03B" w14:textId="36BFE277" w:rsidR="00E865C4" w:rsidRPr="00602D3F" w:rsidRDefault="00E865C4" w:rsidP="00602D3F">
            <w:pPr>
              <w:pStyle w:val="TableBodyCopy"/>
            </w:pPr>
            <w:r w:rsidRPr="00602D3F">
              <w:t>60%</w:t>
            </w:r>
          </w:p>
        </w:tc>
        <w:tc>
          <w:tcPr>
            <w:tcW w:w="876" w:type="pct"/>
          </w:tcPr>
          <w:p w14:paraId="3838643C" w14:textId="7A5FBCA1" w:rsidR="00E865C4" w:rsidRPr="00602D3F" w:rsidRDefault="00E865C4" w:rsidP="00602D3F">
            <w:pPr>
              <w:pStyle w:val="TableBodyCopy"/>
            </w:pPr>
            <w:r w:rsidRPr="00602D3F">
              <w:t>70%</w:t>
            </w:r>
          </w:p>
        </w:tc>
        <w:tc>
          <w:tcPr>
            <w:tcW w:w="875" w:type="pct"/>
          </w:tcPr>
          <w:p w14:paraId="666A329A" w14:textId="5FEA9618" w:rsidR="00E865C4" w:rsidRPr="00602D3F" w:rsidRDefault="00E865C4" w:rsidP="00602D3F">
            <w:pPr>
              <w:pStyle w:val="TableBodyCopy"/>
            </w:pPr>
            <w:r w:rsidRPr="00602D3F">
              <w:t>70%</w:t>
            </w:r>
          </w:p>
        </w:tc>
        <w:tc>
          <w:tcPr>
            <w:tcW w:w="876" w:type="pct"/>
          </w:tcPr>
          <w:p w14:paraId="132431DD" w14:textId="2133A68D" w:rsidR="00E865C4" w:rsidRPr="00602D3F" w:rsidRDefault="00E865C4" w:rsidP="005728BF">
            <w:pPr>
              <w:pStyle w:val="TableBodyCopy"/>
            </w:pPr>
            <w:r w:rsidRPr="00602D3F">
              <w:t>SDG1</w:t>
            </w:r>
            <w:r>
              <w:t xml:space="preserve">, </w:t>
            </w:r>
            <w:r w:rsidRPr="00602D3F">
              <w:t>SDG10</w:t>
            </w:r>
            <w:r>
              <w:t xml:space="preserve">, </w:t>
            </w:r>
            <w:r w:rsidRPr="00602D3F">
              <w:t>SDG17</w:t>
            </w:r>
          </w:p>
        </w:tc>
      </w:tr>
      <w:tr w:rsidR="00173BDC" w14:paraId="34AFF060" w14:textId="77777777" w:rsidTr="00E90562">
        <w:trPr>
          <w:cantSplit/>
          <w:trHeight w:val="716"/>
        </w:trPr>
        <w:tc>
          <w:tcPr>
            <w:tcW w:w="623" w:type="pct"/>
          </w:tcPr>
          <w:p w14:paraId="5F348933" w14:textId="0B9514EC" w:rsidR="00E865C4" w:rsidRPr="00602D3F" w:rsidRDefault="00A466BF" w:rsidP="00602D3F">
            <w:pPr>
              <w:pStyle w:val="TableBodyCopy"/>
            </w:pPr>
            <w:r>
              <w:t>Localisation</w:t>
            </w:r>
          </w:p>
        </w:tc>
        <w:tc>
          <w:tcPr>
            <w:tcW w:w="875" w:type="pct"/>
          </w:tcPr>
          <w:p w14:paraId="166990A5" w14:textId="52092CA7" w:rsidR="00E865C4" w:rsidRPr="00602D3F" w:rsidRDefault="00E865C4" w:rsidP="00602D3F">
            <w:pPr>
              <w:pStyle w:val="TableBodyCopy"/>
            </w:pPr>
            <w:r w:rsidRPr="00602D3F">
              <w:t xml:space="preserve">Number of local personnel, sub-contractors and staff engaged – Managing </w:t>
            </w:r>
            <w:proofErr w:type="spellStart"/>
            <w:r w:rsidRPr="00602D3F">
              <w:t>Contractors</w:t>
            </w:r>
            <w:hyperlink w:anchor="T3ne" w:history="1">
              <w:r w:rsidRPr="00E90562">
                <w:rPr>
                  <w:rStyle w:val="Hyperlink"/>
                  <w:vertAlign w:val="superscript"/>
                </w:rPr>
                <w:t>e</w:t>
              </w:r>
              <w:proofErr w:type="spellEnd"/>
            </w:hyperlink>
            <w:r w:rsidR="006D6DBF">
              <w:rPr>
                <w:rStyle w:val="Hyperlink"/>
                <w:vertAlign w:val="superscript"/>
              </w:rPr>
              <w:t xml:space="preserve"> </w:t>
            </w:r>
          </w:p>
        </w:tc>
        <w:tc>
          <w:tcPr>
            <w:tcW w:w="875" w:type="pct"/>
          </w:tcPr>
          <w:p w14:paraId="6ADEC129" w14:textId="11B544E2" w:rsidR="00E865C4" w:rsidRPr="00602D3F" w:rsidRDefault="00E865C4" w:rsidP="00602D3F">
            <w:pPr>
              <w:pStyle w:val="TableBodyCopy"/>
            </w:pPr>
            <w:r w:rsidRPr="00602D3F">
              <w:t>Results collected centrally</w:t>
            </w:r>
          </w:p>
        </w:tc>
        <w:tc>
          <w:tcPr>
            <w:tcW w:w="876" w:type="pct"/>
          </w:tcPr>
          <w:p w14:paraId="7EA53D13" w14:textId="2FD38179" w:rsidR="00E865C4" w:rsidRPr="00602D3F" w:rsidRDefault="00E865C4" w:rsidP="00602D3F">
            <w:pPr>
              <w:pStyle w:val="TableBodyCopy"/>
            </w:pPr>
            <w:r w:rsidRPr="00602D3F">
              <w:t>Results collected centrally</w:t>
            </w:r>
          </w:p>
        </w:tc>
        <w:tc>
          <w:tcPr>
            <w:tcW w:w="875" w:type="pct"/>
          </w:tcPr>
          <w:p w14:paraId="2424F36C" w14:textId="0856EF9C" w:rsidR="00E865C4" w:rsidRPr="00602D3F" w:rsidRDefault="00E865C4" w:rsidP="00602D3F">
            <w:pPr>
              <w:pStyle w:val="TableBodyCopy"/>
            </w:pPr>
            <w:r w:rsidRPr="00602D3F">
              <w:t>Results collected centrally</w:t>
            </w:r>
          </w:p>
        </w:tc>
        <w:tc>
          <w:tcPr>
            <w:tcW w:w="876" w:type="pct"/>
          </w:tcPr>
          <w:p w14:paraId="389B30E7" w14:textId="27C7078A" w:rsidR="00E865C4" w:rsidRPr="00602D3F" w:rsidRDefault="00E865C4" w:rsidP="00602D3F">
            <w:pPr>
              <w:pStyle w:val="TableBodyCopy"/>
            </w:pPr>
            <w:r w:rsidRPr="00602D3F">
              <w:t>SDG1</w:t>
            </w:r>
            <w:r>
              <w:t xml:space="preserve">, </w:t>
            </w:r>
            <w:r w:rsidRPr="00602D3F">
              <w:t>SDG10</w:t>
            </w:r>
            <w:r>
              <w:t xml:space="preserve">, </w:t>
            </w:r>
            <w:r w:rsidRPr="00602D3F">
              <w:t>SDG17</w:t>
            </w:r>
          </w:p>
        </w:tc>
      </w:tr>
      <w:tr w:rsidR="00E90562" w14:paraId="22E7792B" w14:textId="77777777" w:rsidTr="00E90562">
        <w:trPr>
          <w:cantSplit/>
          <w:trHeight w:val="716"/>
        </w:trPr>
        <w:tc>
          <w:tcPr>
            <w:tcW w:w="623" w:type="pct"/>
          </w:tcPr>
          <w:p w14:paraId="2874468A" w14:textId="53044894" w:rsidR="00E865C4" w:rsidRPr="00602D3F" w:rsidRDefault="00A466BF" w:rsidP="00602D3F">
            <w:pPr>
              <w:pStyle w:val="TableBodyCopy"/>
            </w:pPr>
            <w:r>
              <w:t>Localisation</w:t>
            </w:r>
          </w:p>
        </w:tc>
        <w:tc>
          <w:tcPr>
            <w:tcW w:w="875" w:type="pct"/>
          </w:tcPr>
          <w:p w14:paraId="523F3C96" w14:textId="2AEEA60B" w:rsidR="00E865C4" w:rsidRPr="00602D3F" w:rsidRDefault="00E865C4" w:rsidP="00602D3F">
            <w:pPr>
              <w:pStyle w:val="TableBodyCopy"/>
            </w:pPr>
            <w:r w:rsidRPr="00602D3F">
              <w:t xml:space="preserve">Number and dollar value of local contacts and grants – Managing </w:t>
            </w:r>
            <w:proofErr w:type="spellStart"/>
            <w:r w:rsidRPr="00602D3F">
              <w:t>Contractors</w:t>
            </w:r>
            <w:hyperlink w:anchor="T3nf" w:history="1">
              <w:r w:rsidRPr="00E90562">
                <w:rPr>
                  <w:rStyle w:val="Hyperlink"/>
                  <w:vertAlign w:val="superscript"/>
                </w:rPr>
                <w:t>f</w:t>
              </w:r>
              <w:proofErr w:type="spellEnd"/>
            </w:hyperlink>
          </w:p>
        </w:tc>
        <w:tc>
          <w:tcPr>
            <w:tcW w:w="875" w:type="pct"/>
          </w:tcPr>
          <w:p w14:paraId="5F041C49" w14:textId="72C78A0A" w:rsidR="00E865C4" w:rsidRPr="00602D3F" w:rsidRDefault="00E865C4" w:rsidP="00602D3F">
            <w:pPr>
              <w:pStyle w:val="TableBodyCopy"/>
            </w:pPr>
            <w:r w:rsidRPr="00602D3F">
              <w:t>Results collected centrally</w:t>
            </w:r>
          </w:p>
        </w:tc>
        <w:tc>
          <w:tcPr>
            <w:tcW w:w="876" w:type="pct"/>
          </w:tcPr>
          <w:p w14:paraId="3BBDF589" w14:textId="2F4A5027" w:rsidR="00E865C4" w:rsidRPr="00602D3F" w:rsidRDefault="00E865C4" w:rsidP="00602D3F">
            <w:pPr>
              <w:pStyle w:val="TableBodyCopy"/>
            </w:pPr>
            <w:r w:rsidRPr="00602D3F">
              <w:t>Results collected centrally</w:t>
            </w:r>
          </w:p>
        </w:tc>
        <w:tc>
          <w:tcPr>
            <w:tcW w:w="875" w:type="pct"/>
          </w:tcPr>
          <w:p w14:paraId="01815A85" w14:textId="5ACE0376" w:rsidR="00E865C4" w:rsidRPr="00602D3F" w:rsidRDefault="00E865C4" w:rsidP="00602D3F">
            <w:pPr>
              <w:pStyle w:val="TableBodyCopy"/>
            </w:pPr>
            <w:r w:rsidRPr="00602D3F">
              <w:t>Results collected centrally</w:t>
            </w:r>
          </w:p>
        </w:tc>
        <w:tc>
          <w:tcPr>
            <w:tcW w:w="876" w:type="pct"/>
          </w:tcPr>
          <w:p w14:paraId="5A7A5A4F" w14:textId="019EFEF1" w:rsidR="00E865C4" w:rsidRPr="00602D3F" w:rsidRDefault="00E865C4" w:rsidP="00602D3F">
            <w:pPr>
              <w:pStyle w:val="TableBodyCopy"/>
            </w:pPr>
            <w:r w:rsidRPr="00602D3F">
              <w:t>SDG1</w:t>
            </w:r>
            <w:r>
              <w:t xml:space="preserve">, </w:t>
            </w:r>
            <w:r w:rsidRPr="00602D3F">
              <w:t>SDG10</w:t>
            </w:r>
            <w:r>
              <w:t xml:space="preserve">, </w:t>
            </w:r>
            <w:r w:rsidRPr="00602D3F">
              <w:t>SDG17</w:t>
            </w:r>
          </w:p>
        </w:tc>
      </w:tr>
      <w:tr w:rsidR="00173BDC" w14:paraId="16236990" w14:textId="77777777" w:rsidTr="00E90562">
        <w:trPr>
          <w:cantSplit/>
          <w:trHeight w:val="716"/>
        </w:trPr>
        <w:tc>
          <w:tcPr>
            <w:tcW w:w="623" w:type="pct"/>
          </w:tcPr>
          <w:p w14:paraId="39E58FCE" w14:textId="113F637F" w:rsidR="00E865C4" w:rsidRPr="00602D3F" w:rsidRDefault="00A466BF" w:rsidP="00602D3F">
            <w:pPr>
              <w:pStyle w:val="TableBodyCopy"/>
            </w:pPr>
            <w:r w:rsidRPr="00602D3F">
              <w:t>Gender equality</w:t>
            </w:r>
          </w:p>
        </w:tc>
        <w:tc>
          <w:tcPr>
            <w:tcW w:w="875" w:type="pct"/>
          </w:tcPr>
          <w:p w14:paraId="4D772E24" w14:textId="15FBFCE1" w:rsidR="00E865C4" w:rsidRPr="00602D3F" w:rsidRDefault="00A656AA" w:rsidP="00602D3F">
            <w:pPr>
              <w:pStyle w:val="TableBodyCopy"/>
            </w:pPr>
            <w:r>
              <w:t>PNG d</w:t>
            </w:r>
            <w:r w:rsidR="00E865C4" w:rsidRPr="00602D3F">
              <w:t xml:space="preserve">evelopment investments over </w:t>
            </w:r>
            <w:r w:rsidR="00E865C4">
              <w:t>$</w:t>
            </w:r>
            <w:r w:rsidR="00E865C4" w:rsidRPr="00602D3F">
              <w:t>3</w:t>
            </w:r>
            <w:r w:rsidR="00E865C4">
              <w:t> </w:t>
            </w:r>
            <w:r w:rsidR="00E865C4" w:rsidRPr="00602D3F">
              <w:t>million address gender equality effectively</w:t>
            </w:r>
            <w:r w:rsidR="0007721B">
              <w:t xml:space="preserve"> </w:t>
            </w:r>
          </w:p>
        </w:tc>
        <w:tc>
          <w:tcPr>
            <w:tcW w:w="875" w:type="pct"/>
          </w:tcPr>
          <w:p w14:paraId="7031E88D" w14:textId="3EF76343" w:rsidR="00E865C4" w:rsidRPr="00602D3F" w:rsidRDefault="00E865C4" w:rsidP="00602D3F">
            <w:pPr>
              <w:pStyle w:val="TableBodyCopy"/>
            </w:pPr>
            <w:r w:rsidRPr="00602D3F">
              <w:t xml:space="preserve">80% </w:t>
            </w:r>
          </w:p>
        </w:tc>
        <w:tc>
          <w:tcPr>
            <w:tcW w:w="876" w:type="pct"/>
          </w:tcPr>
          <w:p w14:paraId="45B36262" w14:textId="33A7D0EA" w:rsidR="00E865C4" w:rsidRPr="00602D3F" w:rsidRDefault="00E865C4" w:rsidP="00602D3F">
            <w:pPr>
              <w:pStyle w:val="TableBodyCopy"/>
            </w:pPr>
            <w:r w:rsidRPr="00602D3F">
              <w:t xml:space="preserve">80% </w:t>
            </w:r>
          </w:p>
        </w:tc>
        <w:tc>
          <w:tcPr>
            <w:tcW w:w="875" w:type="pct"/>
          </w:tcPr>
          <w:p w14:paraId="0DD21881" w14:textId="4806771A" w:rsidR="00E865C4" w:rsidRPr="00602D3F" w:rsidRDefault="00E865C4" w:rsidP="00602D3F">
            <w:pPr>
              <w:pStyle w:val="TableBodyCopy"/>
            </w:pPr>
            <w:r w:rsidRPr="00602D3F">
              <w:t xml:space="preserve">80% </w:t>
            </w:r>
          </w:p>
        </w:tc>
        <w:tc>
          <w:tcPr>
            <w:tcW w:w="876" w:type="pct"/>
          </w:tcPr>
          <w:p w14:paraId="5002CA9B" w14:textId="3A5A5DCA" w:rsidR="00E865C4" w:rsidRPr="00602D3F" w:rsidRDefault="00E865C4" w:rsidP="005728BF">
            <w:pPr>
              <w:pStyle w:val="TableBodyCopy"/>
            </w:pPr>
            <w:r w:rsidRPr="00602D3F">
              <w:t>SDG10</w:t>
            </w:r>
          </w:p>
        </w:tc>
      </w:tr>
      <w:tr w:rsidR="00173BDC" w14:paraId="04E6B971" w14:textId="77777777" w:rsidTr="00E90562">
        <w:trPr>
          <w:cantSplit/>
          <w:trHeight w:val="716"/>
        </w:trPr>
        <w:tc>
          <w:tcPr>
            <w:tcW w:w="623" w:type="pct"/>
          </w:tcPr>
          <w:p w14:paraId="002C109A" w14:textId="7F8E8ED1" w:rsidR="00E865C4" w:rsidRPr="00602D3F" w:rsidRDefault="00A466BF" w:rsidP="00602D3F">
            <w:pPr>
              <w:pStyle w:val="TableBodyCopy"/>
            </w:pPr>
            <w:r w:rsidRPr="00602D3F">
              <w:t>Disability</w:t>
            </w:r>
          </w:p>
        </w:tc>
        <w:tc>
          <w:tcPr>
            <w:tcW w:w="875" w:type="pct"/>
          </w:tcPr>
          <w:p w14:paraId="4179737F" w14:textId="0CD65809" w:rsidR="00E865C4" w:rsidRPr="00602D3F" w:rsidRDefault="00E865C4" w:rsidP="00602D3F">
            <w:pPr>
              <w:pStyle w:val="TableBodyCopy"/>
            </w:pPr>
            <w:r w:rsidRPr="00602D3F">
              <w:t>Percentage of development investments that effectively support disability inclusion</w:t>
            </w:r>
            <w:r w:rsidR="00044387">
              <w:t xml:space="preserve"> </w:t>
            </w:r>
          </w:p>
        </w:tc>
        <w:tc>
          <w:tcPr>
            <w:tcW w:w="875" w:type="pct"/>
          </w:tcPr>
          <w:p w14:paraId="6B50B2DD" w14:textId="10BA2C9A" w:rsidR="00E865C4" w:rsidRPr="00602D3F" w:rsidRDefault="006917E9" w:rsidP="00602D3F">
            <w:pPr>
              <w:pStyle w:val="TableBodyCopy"/>
            </w:pPr>
            <w:r w:rsidRPr="00602D3F">
              <w:t>Results collected centrally</w:t>
            </w:r>
          </w:p>
        </w:tc>
        <w:tc>
          <w:tcPr>
            <w:tcW w:w="876" w:type="pct"/>
          </w:tcPr>
          <w:p w14:paraId="11EABF6D" w14:textId="3020AE77" w:rsidR="00E865C4" w:rsidRPr="00602D3F" w:rsidRDefault="006917E9" w:rsidP="00602D3F">
            <w:pPr>
              <w:pStyle w:val="TableBodyCopy"/>
            </w:pPr>
            <w:r w:rsidRPr="00602D3F">
              <w:t>Results collected centrally</w:t>
            </w:r>
          </w:p>
        </w:tc>
        <w:tc>
          <w:tcPr>
            <w:tcW w:w="875" w:type="pct"/>
          </w:tcPr>
          <w:p w14:paraId="75BE64E1" w14:textId="40254B83" w:rsidR="00E865C4" w:rsidRPr="00602D3F" w:rsidRDefault="006917E9" w:rsidP="00602D3F">
            <w:pPr>
              <w:pStyle w:val="TableBodyCopy"/>
            </w:pPr>
            <w:r w:rsidRPr="00602D3F">
              <w:t>Results collected centrally</w:t>
            </w:r>
          </w:p>
        </w:tc>
        <w:tc>
          <w:tcPr>
            <w:tcW w:w="876" w:type="pct"/>
          </w:tcPr>
          <w:p w14:paraId="2430F2FE" w14:textId="0A8F6C2B" w:rsidR="00E865C4" w:rsidRPr="00602D3F" w:rsidRDefault="00E865C4" w:rsidP="00602D3F">
            <w:pPr>
              <w:pStyle w:val="TableBodyCopy"/>
            </w:pPr>
            <w:r w:rsidRPr="00602D3F">
              <w:t>SDG10</w:t>
            </w:r>
          </w:p>
        </w:tc>
      </w:tr>
      <w:tr w:rsidR="00173BDC" w14:paraId="138830A9" w14:textId="77777777" w:rsidTr="00E90562">
        <w:trPr>
          <w:cantSplit/>
          <w:trHeight w:val="716"/>
        </w:trPr>
        <w:tc>
          <w:tcPr>
            <w:tcW w:w="623" w:type="pct"/>
          </w:tcPr>
          <w:p w14:paraId="1727F7D8" w14:textId="4754E432" w:rsidR="00E865C4" w:rsidRPr="00602D3F" w:rsidRDefault="00B372C6" w:rsidP="00602D3F">
            <w:pPr>
              <w:pStyle w:val="TableBodyCopy"/>
            </w:pPr>
            <w:r w:rsidRPr="00602D3F">
              <w:t xml:space="preserve">Climate </w:t>
            </w:r>
            <w:r>
              <w:t>c</w:t>
            </w:r>
            <w:r w:rsidRPr="00602D3F">
              <w:t>hange</w:t>
            </w:r>
          </w:p>
        </w:tc>
        <w:tc>
          <w:tcPr>
            <w:tcW w:w="875" w:type="pct"/>
          </w:tcPr>
          <w:p w14:paraId="1AD69EA3" w14:textId="307ED5A1" w:rsidR="00E865C4" w:rsidRPr="00602D3F" w:rsidRDefault="00E865C4" w:rsidP="00602D3F">
            <w:pPr>
              <w:pStyle w:val="TableBodyCopy"/>
            </w:pPr>
            <w:r w:rsidRPr="00602D3F">
              <w:t xml:space="preserve">Percentage of new </w:t>
            </w:r>
            <w:r w:rsidR="00544D6D">
              <w:t xml:space="preserve">PNG </w:t>
            </w:r>
            <w:r w:rsidRPr="00602D3F">
              <w:t>investments over $3</w:t>
            </w:r>
            <w:r>
              <w:t> </w:t>
            </w:r>
            <w:r w:rsidRPr="00602D3F">
              <w:t xml:space="preserve">million </w:t>
            </w:r>
            <w:r w:rsidR="00544D6D">
              <w:t>have</w:t>
            </w:r>
            <w:r w:rsidRPr="00602D3F">
              <w:t xml:space="preserve"> a climate change objective</w:t>
            </w:r>
          </w:p>
        </w:tc>
        <w:tc>
          <w:tcPr>
            <w:tcW w:w="875" w:type="pct"/>
          </w:tcPr>
          <w:p w14:paraId="3690A676" w14:textId="364007C2" w:rsidR="00E865C4" w:rsidRPr="00602D3F" w:rsidRDefault="00E865C4" w:rsidP="00602D3F">
            <w:pPr>
              <w:pStyle w:val="TableBodyCopy"/>
            </w:pPr>
            <w:r w:rsidRPr="00602D3F">
              <w:t>50% of all new investments</w:t>
            </w:r>
          </w:p>
        </w:tc>
        <w:tc>
          <w:tcPr>
            <w:tcW w:w="876" w:type="pct"/>
          </w:tcPr>
          <w:p w14:paraId="664ECF23" w14:textId="517666E8" w:rsidR="00E865C4" w:rsidRPr="00602D3F" w:rsidRDefault="00E865C4" w:rsidP="00602D3F">
            <w:pPr>
              <w:pStyle w:val="TableBodyCopy"/>
            </w:pPr>
            <w:r w:rsidRPr="00602D3F">
              <w:t>55% of all new investments</w:t>
            </w:r>
          </w:p>
        </w:tc>
        <w:tc>
          <w:tcPr>
            <w:tcW w:w="875" w:type="pct"/>
          </w:tcPr>
          <w:p w14:paraId="786D5C7C" w14:textId="4656AC6C" w:rsidR="00E865C4" w:rsidRPr="00602D3F" w:rsidRDefault="00E865C4" w:rsidP="00602D3F">
            <w:pPr>
              <w:pStyle w:val="TableBodyCopy"/>
            </w:pPr>
            <w:r w:rsidRPr="00602D3F">
              <w:t>60% of all new investments</w:t>
            </w:r>
          </w:p>
        </w:tc>
        <w:tc>
          <w:tcPr>
            <w:tcW w:w="876" w:type="pct"/>
          </w:tcPr>
          <w:p w14:paraId="1681FB08" w14:textId="086A9A91" w:rsidR="00E865C4" w:rsidRPr="00602D3F" w:rsidRDefault="00E865C4" w:rsidP="00A66521">
            <w:pPr>
              <w:pStyle w:val="TableBodyCopy"/>
            </w:pPr>
            <w:r>
              <w:t xml:space="preserve">SDG7, </w:t>
            </w:r>
            <w:r w:rsidRPr="00602D3F">
              <w:t>SDG11</w:t>
            </w:r>
            <w:r>
              <w:t>, SDG13</w:t>
            </w:r>
          </w:p>
        </w:tc>
      </w:tr>
      <w:tr w:rsidR="00173BDC" w14:paraId="29DD6398" w14:textId="77777777" w:rsidTr="00E90562">
        <w:trPr>
          <w:cantSplit/>
          <w:trHeight w:val="716"/>
        </w:trPr>
        <w:tc>
          <w:tcPr>
            <w:tcW w:w="623" w:type="pct"/>
          </w:tcPr>
          <w:p w14:paraId="31193DC2" w14:textId="36C4E352" w:rsidR="00E865C4" w:rsidRPr="00602D3F" w:rsidRDefault="00B372C6" w:rsidP="00602D3F">
            <w:pPr>
              <w:pStyle w:val="TableBodyCopy"/>
            </w:pPr>
            <w:r w:rsidRPr="00602D3F">
              <w:lastRenderedPageBreak/>
              <w:t>First Nations</w:t>
            </w:r>
          </w:p>
        </w:tc>
        <w:tc>
          <w:tcPr>
            <w:tcW w:w="875" w:type="pct"/>
          </w:tcPr>
          <w:p w14:paraId="72339A5D" w14:textId="722392A5" w:rsidR="00E865C4" w:rsidRPr="00602D3F" w:rsidRDefault="00E865C4" w:rsidP="00602D3F">
            <w:pPr>
              <w:pStyle w:val="TableBodyCopy"/>
            </w:pPr>
            <w:r w:rsidRPr="00602D3F">
              <w:t>Partnerships and exchanges between First Nations communities and local communities in PNG fostered</w:t>
            </w:r>
          </w:p>
        </w:tc>
        <w:tc>
          <w:tcPr>
            <w:tcW w:w="875" w:type="pct"/>
          </w:tcPr>
          <w:p w14:paraId="40B5E67C" w14:textId="5C745B4B" w:rsidR="00E865C4" w:rsidRPr="00602D3F" w:rsidRDefault="00D7442E" w:rsidP="00602D3F">
            <w:pPr>
              <w:pStyle w:val="TableBodyCopy"/>
            </w:pPr>
            <w:r>
              <w:t>One</w:t>
            </w:r>
            <w:r w:rsidR="00E865C4" w:rsidRPr="00602D3F">
              <w:t xml:space="preserve"> example of partnership established</w:t>
            </w:r>
          </w:p>
        </w:tc>
        <w:tc>
          <w:tcPr>
            <w:tcW w:w="876" w:type="pct"/>
          </w:tcPr>
          <w:p w14:paraId="1D57F0E6" w14:textId="6B48FA34" w:rsidR="00E865C4" w:rsidRPr="00602D3F" w:rsidRDefault="00D7442E" w:rsidP="00602D3F">
            <w:pPr>
              <w:pStyle w:val="TableBodyCopy"/>
            </w:pPr>
            <w:r>
              <w:t>One</w:t>
            </w:r>
            <w:r w:rsidR="00E865C4" w:rsidRPr="00602D3F">
              <w:t xml:space="preserve"> example of additional partnership established</w:t>
            </w:r>
          </w:p>
        </w:tc>
        <w:tc>
          <w:tcPr>
            <w:tcW w:w="875" w:type="pct"/>
          </w:tcPr>
          <w:p w14:paraId="51C176D4" w14:textId="27AD555A" w:rsidR="00E865C4" w:rsidRPr="00602D3F" w:rsidRDefault="00D7442E" w:rsidP="00602D3F">
            <w:pPr>
              <w:pStyle w:val="TableBodyCopy"/>
            </w:pPr>
            <w:r>
              <w:t>One</w:t>
            </w:r>
            <w:r w:rsidR="00E865C4" w:rsidRPr="00602D3F">
              <w:t xml:space="preserve"> example of additional partnership established</w:t>
            </w:r>
          </w:p>
        </w:tc>
        <w:tc>
          <w:tcPr>
            <w:tcW w:w="876" w:type="pct"/>
          </w:tcPr>
          <w:p w14:paraId="05F8839A" w14:textId="00303EAE" w:rsidR="00E865C4" w:rsidRPr="00602D3F" w:rsidRDefault="00E865C4" w:rsidP="00602D3F">
            <w:pPr>
              <w:pStyle w:val="TableBodyCopy"/>
            </w:pPr>
            <w:r w:rsidRPr="00602D3F">
              <w:t>SDG17</w:t>
            </w:r>
          </w:p>
        </w:tc>
      </w:tr>
      <w:tr w:rsidR="00173BDC" w14:paraId="2EC67C5F" w14:textId="77777777" w:rsidTr="00E90562">
        <w:trPr>
          <w:cantSplit/>
          <w:trHeight w:val="716"/>
        </w:trPr>
        <w:tc>
          <w:tcPr>
            <w:tcW w:w="623" w:type="pct"/>
          </w:tcPr>
          <w:p w14:paraId="140A5770" w14:textId="388CEA9D" w:rsidR="00E865C4" w:rsidRPr="00602D3F" w:rsidRDefault="00F63549" w:rsidP="00602D3F">
            <w:pPr>
              <w:pStyle w:val="TableBodyCopy"/>
            </w:pPr>
            <w:r w:rsidRPr="00602D3F">
              <w:t xml:space="preserve">Program </w:t>
            </w:r>
            <w:r w:rsidR="001C489A">
              <w:t>quality</w:t>
            </w:r>
          </w:p>
        </w:tc>
        <w:tc>
          <w:tcPr>
            <w:tcW w:w="875" w:type="pct"/>
          </w:tcPr>
          <w:p w14:paraId="6EAE1A6B" w14:textId="5352A57D" w:rsidR="00E865C4" w:rsidRPr="00602D3F" w:rsidRDefault="00E865C4" w:rsidP="00602D3F">
            <w:pPr>
              <w:pStyle w:val="TableBodyCopy"/>
            </w:pPr>
            <w:r w:rsidRPr="00602D3F">
              <w:t xml:space="preserve">85% of investments are assessed as satisfactory on both the effectiveness and efficiency criteria in the </w:t>
            </w:r>
            <w:r>
              <w:t>i</w:t>
            </w:r>
            <w:r w:rsidRPr="00602D3F">
              <w:t xml:space="preserve">nvestment </w:t>
            </w:r>
            <w:r>
              <w:t>m</w:t>
            </w:r>
            <w:r w:rsidRPr="00602D3F">
              <w:t xml:space="preserve">onitoring </w:t>
            </w:r>
            <w:r>
              <w:t>r</w:t>
            </w:r>
            <w:r w:rsidRPr="00602D3F">
              <w:t>eporting process</w:t>
            </w:r>
          </w:p>
        </w:tc>
        <w:tc>
          <w:tcPr>
            <w:tcW w:w="875" w:type="pct"/>
          </w:tcPr>
          <w:p w14:paraId="28387A67" w14:textId="11440A6D" w:rsidR="00E865C4" w:rsidRPr="00602D3F" w:rsidRDefault="00E865C4" w:rsidP="00602D3F">
            <w:pPr>
              <w:pStyle w:val="TableBodyCopy"/>
            </w:pPr>
            <w:r w:rsidRPr="00602D3F">
              <w:t>85%</w:t>
            </w:r>
          </w:p>
        </w:tc>
        <w:tc>
          <w:tcPr>
            <w:tcW w:w="876" w:type="pct"/>
          </w:tcPr>
          <w:p w14:paraId="19BC7AE4" w14:textId="7A50B110" w:rsidR="00E865C4" w:rsidRPr="00602D3F" w:rsidRDefault="00E865C4" w:rsidP="00602D3F">
            <w:pPr>
              <w:pStyle w:val="TableBodyCopy"/>
            </w:pPr>
            <w:r w:rsidRPr="00602D3F">
              <w:t>85%</w:t>
            </w:r>
          </w:p>
        </w:tc>
        <w:tc>
          <w:tcPr>
            <w:tcW w:w="875" w:type="pct"/>
          </w:tcPr>
          <w:p w14:paraId="6EC33C84" w14:textId="04A5BF3B" w:rsidR="00E865C4" w:rsidRPr="00602D3F" w:rsidRDefault="00E865C4" w:rsidP="00602D3F">
            <w:pPr>
              <w:pStyle w:val="TableBodyCopy"/>
            </w:pPr>
            <w:r w:rsidRPr="00602D3F">
              <w:t>85%</w:t>
            </w:r>
          </w:p>
        </w:tc>
        <w:tc>
          <w:tcPr>
            <w:tcW w:w="876" w:type="pct"/>
          </w:tcPr>
          <w:p w14:paraId="52F57CED" w14:textId="285C282E" w:rsidR="00E865C4" w:rsidRPr="00602D3F" w:rsidRDefault="00E865C4" w:rsidP="00602D3F">
            <w:pPr>
              <w:pStyle w:val="TableBodyCopy"/>
            </w:pPr>
            <w:r w:rsidRPr="00602D3F">
              <w:t>SDG1</w:t>
            </w:r>
            <w:r>
              <w:t xml:space="preserve">, </w:t>
            </w:r>
            <w:r w:rsidRPr="00602D3F">
              <w:t>SDG10</w:t>
            </w:r>
            <w:r>
              <w:t xml:space="preserve">, </w:t>
            </w:r>
            <w:r w:rsidRPr="00602D3F">
              <w:t>SDG17</w:t>
            </w:r>
          </w:p>
        </w:tc>
      </w:tr>
    </w:tbl>
    <w:p w14:paraId="62DA59B5" w14:textId="1C81535D" w:rsidR="001E331B" w:rsidRPr="000B04E1" w:rsidRDefault="001E331B" w:rsidP="229EEEE8">
      <w:pPr>
        <w:sectPr w:rsidR="001E331B" w:rsidRPr="000B04E1" w:rsidSect="00366D6D">
          <w:headerReference w:type="default" r:id="rId20"/>
          <w:footerReference w:type="default" r:id="rId21"/>
          <w:endnotePr>
            <w:numFmt w:val="decimal"/>
          </w:endnotePr>
          <w:pgSz w:w="16838" w:h="11906" w:orient="landscape" w:code="9"/>
          <w:pgMar w:top="1135" w:right="1418" w:bottom="851" w:left="993" w:header="340" w:footer="414" w:gutter="0"/>
          <w:cols w:space="708"/>
          <w:docGrid w:linePitch="360"/>
        </w:sectPr>
      </w:pPr>
    </w:p>
    <w:p w14:paraId="6DB05183" w14:textId="05EE5EB7" w:rsidR="002F4955" w:rsidRPr="00291082" w:rsidRDefault="002F4955" w:rsidP="00720C8B">
      <w:pPr>
        <w:pStyle w:val="H2-Heading2"/>
      </w:pPr>
      <w:r>
        <w:lastRenderedPageBreak/>
        <w:t>Annex 1</w:t>
      </w:r>
      <w:r w:rsidR="00A62B5F">
        <w:t xml:space="preserve">: </w:t>
      </w:r>
      <w:r w:rsidR="005117DE">
        <w:t>S</w:t>
      </w:r>
      <w:r w:rsidR="00A62B5F" w:rsidRPr="00E90562">
        <w:t>upporting investments</w:t>
      </w:r>
      <w:r w:rsidR="00B619D3">
        <w:t>/</w:t>
      </w:r>
      <w:r w:rsidR="005117DE">
        <w:t xml:space="preserve">activities </w:t>
      </w:r>
      <w:r w:rsidR="00A62B5F" w:rsidRPr="00E90562">
        <w:t>in Papua New Guinea</w:t>
      </w:r>
    </w:p>
    <w:p w14:paraId="203409D9" w14:textId="431524F1" w:rsidR="002F4955" w:rsidRDefault="00B619D3" w:rsidP="008F7173">
      <w:pPr>
        <w:rPr>
          <w:lang w:eastAsia="en-AU"/>
        </w:rPr>
      </w:pPr>
      <w:r>
        <w:rPr>
          <w:lang w:eastAsia="en-AU"/>
        </w:rPr>
        <w:t>Australian</w:t>
      </w:r>
      <w:r w:rsidR="002F4955" w:rsidRPr="229EEEE8">
        <w:rPr>
          <w:lang w:eastAsia="en-AU"/>
        </w:rPr>
        <w:t xml:space="preserve"> Government supporting investments/activities for Objective 1</w:t>
      </w:r>
      <w:r w:rsidR="002B030E" w:rsidRPr="00E90562">
        <w:t xml:space="preserve"> </w:t>
      </w:r>
      <w:r w:rsidR="009244D6">
        <w:t xml:space="preserve">Building </w:t>
      </w:r>
      <w:r w:rsidR="00D36F4F">
        <w:t>a</w:t>
      </w:r>
      <w:r w:rsidR="002B030E" w:rsidRPr="00E90562">
        <w:t>n Economic Partnership for Prosperity</w:t>
      </w:r>
      <w:r w:rsidR="002B030E" w:rsidRPr="229EEEE8">
        <w:rPr>
          <w:lang w:eastAsia="en-AU"/>
        </w:rPr>
        <w:t xml:space="preserve"> </w:t>
      </w:r>
      <w:r w:rsidR="002F4955" w:rsidRPr="229EEEE8">
        <w:rPr>
          <w:lang w:eastAsia="en-AU"/>
        </w:rPr>
        <w:t>(</w:t>
      </w:r>
      <w:r w:rsidR="00AF41BF" w:rsidRPr="229EEEE8">
        <w:rPr>
          <w:lang w:eastAsia="en-AU"/>
        </w:rPr>
        <w:t>b</w:t>
      </w:r>
      <w:r w:rsidR="002F4955" w:rsidRPr="229EEEE8">
        <w:rPr>
          <w:lang w:eastAsia="en-AU"/>
        </w:rPr>
        <w:t>ilateral</w:t>
      </w:r>
      <w:r w:rsidR="003C55AE" w:rsidRPr="229EEEE8">
        <w:rPr>
          <w:lang w:eastAsia="en-AU"/>
        </w:rPr>
        <w:t xml:space="preserve"> Official Development Assistance (ODA) as well as significant</w:t>
      </w:r>
      <w:r w:rsidR="002F4955" w:rsidRPr="229EEEE8">
        <w:rPr>
          <w:lang w:eastAsia="en-AU"/>
        </w:rPr>
        <w:t xml:space="preserve"> regional and global </w:t>
      </w:r>
      <w:r w:rsidR="003C55AE" w:rsidRPr="229EEEE8">
        <w:rPr>
          <w:lang w:eastAsia="en-AU"/>
        </w:rPr>
        <w:t>ODA, and significant non-ODA development</w:t>
      </w:r>
      <w:r w:rsidR="00743CF9" w:rsidRPr="229EEEE8">
        <w:rPr>
          <w:lang w:eastAsia="en-AU"/>
        </w:rPr>
        <w:t xml:space="preserve"> </w:t>
      </w:r>
      <w:r w:rsidR="002F4955" w:rsidRPr="229EEEE8">
        <w:rPr>
          <w:lang w:eastAsia="en-AU"/>
        </w:rPr>
        <w:t>investments</w:t>
      </w:r>
      <w:r w:rsidR="00743CF9" w:rsidRPr="229EEEE8">
        <w:rPr>
          <w:lang w:eastAsia="en-AU"/>
        </w:rPr>
        <w:t>/activities</w:t>
      </w:r>
      <w:r w:rsidR="002F4955" w:rsidRPr="229EEEE8">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
      </w:tblPr>
      <w:tblGrid>
        <w:gridCol w:w="3398"/>
        <w:gridCol w:w="3399"/>
        <w:gridCol w:w="3397"/>
      </w:tblGrid>
      <w:tr w:rsidR="002F4955" w14:paraId="717CD946" w14:textId="77777777" w:rsidTr="003619E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076A9C08" w14:textId="77777777" w:rsidR="002F4955" w:rsidRPr="00264ECD" w:rsidRDefault="002F4955" w:rsidP="00264ECD">
            <w:pPr>
              <w:pStyle w:val="TableHeading"/>
            </w:pPr>
            <w:r w:rsidRPr="00264ECD">
              <w:t>Name of investment/activity</w:t>
            </w:r>
          </w:p>
        </w:tc>
        <w:tc>
          <w:tcPr>
            <w:tcW w:w="1667" w:type="pct"/>
          </w:tcPr>
          <w:p w14:paraId="1FF09C5A" w14:textId="77777777" w:rsidR="002F4955" w:rsidRPr="00264ECD" w:rsidRDefault="43B63052" w:rsidP="00264ECD">
            <w:pPr>
              <w:pStyle w:val="TableHeading"/>
              <w:cnfStyle w:val="100000000000" w:firstRow="1" w:lastRow="0" w:firstColumn="0" w:lastColumn="0" w:oddVBand="0" w:evenVBand="0" w:oddHBand="0" w:evenHBand="0" w:firstRowFirstColumn="0" w:firstRowLastColumn="0" w:lastRowFirstColumn="0" w:lastRowLastColumn="0"/>
            </w:pPr>
            <w:r w:rsidRPr="00264ECD">
              <w:t>Duration</w:t>
            </w:r>
          </w:p>
        </w:tc>
        <w:tc>
          <w:tcPr>
            <w:tcW w:w="1667" w:type="pct"/>
          </w:tcPr>
          <w:p w14:paraId="6CAADA12" w14:textId="77777777" w:rsidR="002F4955" w:rsidRPr="00264ECD" w:rsidRDefault="002F4955" w:rsidP="00264ECD">
            <w:pPr>
              <w:pStyle w:val="TableHeading"/>
              <w:cnfStyle w:val="100000000000" w:firstRow="1" w:lastRow="0" w:firstColumn="0" w:lastColumn="0" w:oddVBand="0" w:evenVBand="0" w:oddHBand="0" w:evenHBand="0" w:firstRowFirstColumn="0" w:firstRowLastColumn="0" w:lastRowFirstColumn="0" w:lastRowLastColumn="0"/>
            </w:pPr>
            <w:r w:rsidRPr="00264ECD">
              <w:t>Key partners</w:t>
            </w:r>
          </w:p>
        </w:tc>
      </w:tr>
      <w:tr w:rsidR="0023546E" w14:paraId="4CD1D2A8"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1CB01B2" w14:textId="78A60C71"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Australia</w:t>
            </w:r>
            <w:r w:rsidR="00870546">
              <w:rPr>
                <w:rFonts w:asciiTheme="majorHAnsi" w:eastAsia="Times New Roman" w:hAnsiTheme="majorHAnsi" w:cstheme="majorHAnsi"/>
                <w:color w:val="000000"/>
                <w:lang w:eastAsia="en-AU"/>
              </w:rPr>
              <w:t xml:space="preserve"> </w:t>
            </w:r>
            <w:r w:rsidR="00850A60">
              <w:rPr>
                <w:rFonts w:asciiTheme="majorHAnsi" w:eastAsia="Times New Roman" w:hAnsiTheme="majorHAnsi" w:cstheme="majorHAnsi"/>
                <w:color w:val="000000"/>
                <w:lang w:eastAsia="en-AU"/>
              </w:rPr>
              <w:t>–</w:t>
            </w:r>
            <w:r w:rsidR="00870546">
              <w:rPr>
                <w:rFonts w:asciiTheme="majorHAnsi" w:eastAsia="Times New Roman" w:hAnsiTheme="majorHAnsi" w:cstheme="majorHAnsi"/>
                <w:color w:val="000000"/>
                <w:lang w:eastAsia="en-AU"/>
              </w:rPr>
              <w:t xml:space="preserve"> </w:t>
            </w:r>
            <w:r w:rsidRPr="00051A07">
              <w:rPr>
                <w:rFonts w:asciiTheme="majorHAnsi" w:eastAsia="Times New Roman" w:hAnsiTheme="majorHAnsi" w:cstheme="majorHAnsi"/>
                <w:color w:val="000000"/>
                <w:lang w:eastAsia="en-AU"/>
              </w:rPr>
              <w:t>Papua New Guinea Economic Partnership</w:t>
            </w:r>
          </w:p>
          <w:p w14:paraId="5DA852A1" w14:textId="01CEC103"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1D76E29A" w14:textId="15383095" w:rsidR="007E34BC" w:rsidRPr="00051A07"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051A07">
              <w:rPr>
                <w:lang w:eastAsia="en-AU"/>
              </w:rPr>
              <w:t>2022</w:t>
            </w:r>
            <w:r w:rsidR="00513E34">
              <w:rPr>
                <w:lang w:eastAsia="en-AU"/>
              </w:rPr>
              <w:t>–</w:t>
            </w:r>
            <w:r w:rsidRPr="00051A07">
              <w:rPr>
                <w:lang w:eastAsia="en-AU"/>
              </w:rPr>
              <w:t>2030</w:t>
            </w:r>
          </w:p>
        </w:tc>
        <w:tc>
          <w:tcPr>
            <w:tcW w:w="1667" w:type="pct"/>
            <w:shd w:val="clear" w:color="auto" w:fill="F2F2F2" w:themeFill="background1" w:themeFillShade="F2"/>
          </w:tcPr>
          <w:p w14:paraId="6A99C45C" w14:textId="1F2D3EB5" w:rsidR="007E34BC" w:rsidRPr="00051A07" w:rsidRDefault="00C9025B" w:rsidP="00513E34">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CSIRO</w:t>
            </w:r>
            <w:r w:rsidR="007E34BC" w:rsidRPr="00051A07">
              <w:rPr>
                <w:lang w:eastAsia="en-AU"/>
              </w:rPr>
              <w:t xml:space="preserve">; Australian National University; Australian Centre for International Agricultural Research; Australian </w:t>
            </w:r>
            <w:r w:rsidR="00687DB9">
              <w:rPr>
                <w:lang w:eastAsia="en-AU"/>
              </w:rPr>
              <w:t xml:space="preserve">Government </w:t>
            </w:r>
            <w:r w:rsidR="007E34BC" w:rsidRPr="00051A07">
              <w:rPr>
                <w:lang w:eastAsia="en-AU"/>
              </w:rPr>
              <w:t>Department of Agriculture, Fisheries and Forestry</w:t>
            </w:r>
          </w:p>
          <w:p w14:paraId="74DFE7F0" w14:textId="386A0D46" w:rsidR="007E34BC" w:rsidRPr="00051A07"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051A07">
              <w:rPr>
                <w:lang w:eastAsia="en-AU"/>
              </w:rPr>
              <w:t xml:space="preserve">PNG Department of Treasury; PNG Department of Finance; Bank of PNG; PNG Government counterpart agencies; PNG industry statutory counterparts; PNG exporters and agribusiness; PNG agricultural NGOs; International Food Policy Research Institute; National Agricultural Research Institute of PNG; PNG </w:t>
            </w:r>
            <w:r w:rsidR="007E0D1E">
              <w:rPr>
                <w:lang w:eastAsia="en-AU"/>
              </w:rPr>
              <w:t>c</w:t>
            </w:r>
            <w:r w:rsidRPr="00051A07">
              <w:rPr>
                <w:lang w:eastAsia="en-AU"/>
              </w:rPr>
              <w:t xml:space="preserve">ivil </w:t>
            </w:r>
            <w:r w:rsidR="007E0D1E">
              <w:rPr>
                <w:lang w:eastAsia="en-AU"/>
              </w:rPr>
              <w:t>s</w:t>
            </w:r>
            <w:r w:rsidRPr="00051A07">
              <w:rPr>
                <w:lang w:eastAsia="en-AU"/>
              </w:rPr>
              <w:t xml:space="preserve">ociety </w:t>
            </w:r>
            <w:r w:rsidR="007E0D1E">
              <w:rPr>
                <w:lang w:eastAsia="en-AU"/>
              </w:rPr>
              <w:t>o</w:t>
            </w:r>
            <w:r w:rsidRPr="00051A07">
              <w:rPr>
                <w:lang w:eastAsia="en-AU"/>
              </w:rPr>
              <w:t xml:space="preserve">rganisations; PNG </w:t>
            </w:r>
            <w:r w:rsidR="00EC584F">
              <w:rPr>
                <w:lang w:eastAsia="en-AU"/>
              </w:rPr>
              <w:t>p</w:t>
            </w:r>
            <w:r w:rsidRPr="00051A07">
              <w:rPr>
                <w:lang w:eastAsia="en-AU"/>
              </w:rPr>
              <w:t xml:space="preserve">rivate </w:t>
            </w:r>
            <w:r w:rsidR="00EC584F">
              <w:rPr>
                <w:lang w:eastAsia="en-AU"/>
              </w:rPr>
              <w:t>s</w:t>
            </w:r>
            <w:r w:rsidRPr="00051A07">
              <w:rPr>
                <w:lang w:eastAsia="en-AU"/>
              </w:rPr>
              <w:t xml:space="preserve">ector </w:t>
            </w:r>
            <w:r w:rsidR="00EC584F">
              <w:rPr>
                <w:lang w:eastAsia="en-AU"/>
              </w:rPr>
              <w:t>e</w:t>
            </w:r>
            <w:r w:rsidRPr="00051A07">
              <w:rPr>
                <w:lang w:eastAsia="en-AU"/>
              </w:rPr>
              <w:t>nterprises </w:t>
            </w:r>
          </w:p>
        </w:tc>
      </w:tr>
      <w:tr w:rsidR="0023546E" w14:paraId="3BA0030E"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401506E" w14:textId="79130B01"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 xml:space="preserve">Budget </w:t>
            </w:r>
            <w:r w:rsidR="00EC584F">
              <w:rPr>
                <w:rFonts w:asciiTheme="majorHAnsi" w:eastAsia="Times New Roman" w:hAnsiTheme="majorHAnsi" w:cstheme="majorHAnsi"/>
                <w:color w:val="000000"/>
                <w:lang w:eastAsia="en-AU"/>
              </w:rPr>
              <w:t>s</w:t>
            </w:r>
            <w:r w:rsidRPr="00051A07">
              <w:rPr>
                <w:rFonts w:asciiTheme="majorHAnsi" w:eastAsia="Times New Roman" w:hAnsiTheme="majorHAnsi" w:cstheme="majorHAnsi"/>
                <w:color w:val="000000"/>
                <w:lang w:eastAsia="en-AU"/>
              </w:rPr>
              <w:t xml:space="preserve">upport </w:t>
            </w:r>
            <w:r w:rsidR="00EC584F">
              <w:rPr>
                <w:rFonts w:asciiTheme="majorHAnsi" w:eastAsia="Times New Roman" w:hAnsiTheme="majorHAnsi" w:cstheme="majorHAnsi"/>
                <w:color w:val="000000"/>
                <w:lang w:eastAsia="en-AU"/>
              </w:rPr>
              <w:t>l</w:t>
            </w:r>
            <w:r w:rsidRPr="00051A07">
              <w:rPr>
                <w:rFonts w:asciiTheme="majorHAnsi" w:eastAsia="Times New Roman" w:hAnsiTheme="majorHAnsi" w:cstheme="majorHAnsi"/>
                <w:color w:val="000000"/>
                <w:lang w:eastAsia="en-AU"/>
              </w:rPr>
              <w:t>ending</w:t>
            </w:r>
          </w:p>
          <w:p w14:paraId="288B433C" w14:textId="39757BF2"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019F243A" w14:textId="0F4E3096" w:rsidR="007E34BC" w:rsidRPr="00051A07" w:rsidRDefault="00986AF5" w:rsidP="00513E34">
            <w:pPr>
              <w:pStyle w:val="TableBodyCopy"/>
              <w:cnfStyle w:val="000000000000" w:firstRow="0" w:lastRow="0" w:firstColumn="0" w:lastColumn="0" w:oddVBand="0" w:evenVBand="0" w:oddHBand="0" w:evenHBand="0" w:firstRowFirstColumn="0" w:firstRowLastColumn="0" w:lastRowFirstColumn="0" w:lastRowLastColumn="0"/>
            </w:pPr>
            <w:r>
              <w:t>Ongoing</w:t>
            </w:r>
          </w:p>
        </w:tc>
        <w:tc>
          <w:tcPr>
            <w:tcW w:w="1667" w:type="pct"/>
            <w:shd w:val="clear" w:color="auto" w:fill="F2F2F2" w:themeFill="background1" w:themeFillShade="F2"/>
          </w:tcPr>
          <w:p w14:paraId="513D66DD" w14:textId="6A3AF64D" w:rsidR="007E34BC" w:rsidRPr="00051A07" w:rsidRDefault="007E34BC" w:rsidP="00513E34">
            <w:pPr>
              <w:pStyle w:val="TableBodyCopy"/>
              <w:cnfStyle w:val="000000000000" w:firstRow="0" w:lastRow="0" w:firstColumn="0" w:lastColumn="0" w:oddVBand="0" w:evenVBand="0" w:oddHBand="0" w:evenHBand="0" w:firstRowFirstColumn="0" w:firstRowLastColumn="0" w:lastRowFirstColumn="0" w:lastRowLastColumn="0"/>
            </w:pPr>
            <w:r w:rsidRPr="00051A07">
              <w:rPr>
                <w:lang w:eastAsia="en-AU"/>
              </w:rPr>
              <w:t xml:space="preserve">Australian </w:t>
            </w:r>
            <w:r w:rsidR="00EC584F">
              <w:rPr>
                <w:lang w:eastAsia="en-AU"/>
              </w:rPr>
              <w:t xml:space="preserve">Government </w:t>
            </w:r>
            <w:r w:rsidRPr="00051A07">
              <w:rPr>
                <w:lang w:eastAsia="en-AU"/>
              </w:rPr>
              <w:t>Department of the Treasury; PNG Department of the Treasury; I</w:t>
            </w:r>
            <w:r w:rsidR="000E37B3">
              <w:rPr>
                <w:lang w:eastAsia="en-AU"/>
              </w:rPr>
              <w:t>MF</w:t>
            </w:r>
            <w:r w:rsidRPr="00051A07">
              <w:rPr>
                <w:lang w:eastAsia="en-AU"/>
              </w:rPr>
              <w:t>; New Zealand Ministry of Foreign Affairs and Trade  </w:t>
            </w:r>
          </w:p>
        </w:tc>
      </w:tr>
      <w:tr w:rsidR="0023546E" w14:paraId="6D499FB7"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C0C0A00" w14:textId="116E5781"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PNG</w:t>
            </w:r>
            <w:r w:rsidR="00EC584F">
              <w:rPr>
                <w:rFonts w:asciiTheme="majorHAnsi" w:eastAsia="Times New Roman" w:hAnsiTheme="majorHAnsi" w:cstheme="majorHAnsi"/>
                <w:color w:val="000000"/>
                <w:lang w:eastAsia="en-AU"/>
              </w:rPr>
              <w:t>–</w:t>
            </w:r>
            <w:r w:rsidRPr="00051A07">
              <w:rPr>
                <w:rFonts w:asciiTheme="majorHAnsi" w:eastAsia="Times New Roman" w:hAnsiTheme="majorHAnsi" w:cstheme="majorHAnsi"/>
                <w:color w:val="000000"/>
                <w:lang w:eastAsia="en-AU"/>
              </w:rPr>
              <w:t>Australia Transport Sector Support Program Phase 3</w:t>
            </w:r>
          </w:p>
          <w:p w14:paraId="04A1FC11" w14:textId="5CF37E90"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554FD2B2" w14:textId="511FB8EB" w:rsidR="007E34BC" w:rsidRPr="00051A07"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051A07">
              <w:rPr>
                <w:lang w:eastAsia="en-AU"/>
              </w:rPr>
              <w:t>2023</w:t>
            </w:r>
            <w:r w:rsidR="00513E34">
              <w:rPr>
                <w:lang w:eastAsia="en-AU"/>
              </w:rPr>
              <w:t>–</w:t>
            </w:r>
            <w:r w:rsidRPr="00051A07">
              <w:rPr>
                <w:lang w:eastAsia="en-AU"/>
              </w:rPr>
              <w:t>2033 </w:t>
            </w:r>
          </w:p>
        </w:tc>
        <w:tc>
          <w:tcPr>
            <w:tcW w:w="1667" w:type="pct"/>
            <w:shd w:val="clear" w:color="auto" w:fill="F2F2F2" w:themeFill="background1" w:themeFillShade="F2"/>
          </w:tcPr>
          <w:p w14:paraId="7252CB2E" w14:textId="02F66846" w:rsidR="007E34BC" w:rsidRPr="00051A07"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051A07">
              <w:rPr>
                <w:lang w:eastAsia="en-AU"/>
              </w:rPr>
              <w:t>Australian Civil Aviation Safety Authority; Airservices Australia; Australian Transport Safety Bureau; PNG Department of Works and Highways; PNG Ports Corporation Ltd; PNG National Airports Corporation </w:t>
            </w:r>
          </w:p>
        </w:tc>
      </w:tr>
      <w:tr w:rsidR="0023546E" w14:paraId="5B09E42A"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D064A30" w14:textId="4905ED08"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Economic and Social Infrastructure Program</w:t>
            </w:r>
          </w:p>
          <w:p w14:paraId="3C8120FF" w14:textId="0E3781C0"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40DBB7AB" w14:textId="036327B3" w:rsidR="007E34BC" w:rsidRPr="00513E34" w:rsidRDefault="007E34BC"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2019</w:t>
            </w:r>
            <w:r w:rsidR="00513E34">
              <w:t>–</w:t>
            </w:r>
            <w:r w:rsidRPr="00513E34">
              <w:t>2026 </w:t>
            </w:r>
          </w:p>
        </w:tc>
        <w:tc>
          <w:tcPr>
            <w:tcW w:w="1667" w:type="pct"/>
            <w:shd w:val="clear" w:color="auto" w:fill="F2F2F2" w:themeFill="background1" w:themeFillShade="F2"/>
          </w:tcPr>
          <w:p w14:paraId="4821FD94" w14:textId="42C7559A" w:rsidR="007E34BC" w:rsidRPr="00513E34" w:rsidRDefault="007E34BC" w:rsidP="00513E34">
            <w:pPr>
              <w:pStyle w:val="TableBodyCopy"/>
              <w:cnfStyle w:val="000000000000" w:firstRow="0" w:lastRow="0" w:firstColumn="0" w:lastColumn="0" w:oddVBand="0" w:evenVBand="0" w:oddHBand="0" w:evenHBand="0" w:firstRowFirstColumn="0" w:firstRowLastColumn="0" w:lastRowFirstColumn="0" w:lastRowLastColumn="0"/>
            </w:pPr>
            <w:proofErr w:type="spellStart"/>
            <w:r w:rsidRPr="00513E34">
              <w:t>Kumul</w:t>
            </w:r>
            <w:proofErr w:type="spellEnd"/>
            <w:r w:rsidRPr="00513E34">
              <w:t xml:space="preserve"> Consolidated Holdings; PNG’s </w:t>
            </w:r>
            <w:r w:rsidR="00545118">
              <w:t>s</w:t>
            </w:r>
            <w:r w:rsidRPr="00513E34">
              <w:t>tate-</w:t>
            </w:r>
            <w:r w:rsidR="00545118">
              <w:t>o</w:t>
            </w:r>
            <w:r w:rsidRPr="00513E34">
              <w:t xml:space="preserve">wned </w:t>
            </w:r>
            <w:r w:rsidR="00545118">
              <w:t>e</w:t>
            </w:r>
            <w:r w:rsidRPr="00513E34">
              <w:t>nterprises; PNG Department of Treasury; PNG Department of National Planning and Monitoring; PNG National Energy Authority; PNG Department of Information and Communications Technology; PNG National Information and Communications Technology Authority </w:t>
            </w:r>
          </w:p>
        </w:tc>
      </w:tr>
      <w:tr w:rsidR="0023546E" w14:paraId="0FD472FE"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987402C" w14:textId="4FCFC713"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 xml:space="preserve">Private </w:t>
            </w:r>
            <w:r w:rsidR="008F0698">
              <w:rPr>
                <w:rFonts w:asciiTheme="majorHAnsi" w:eastAsia="Times New Roman" w:hAnsiTheme="majorHAnsi" w:cstheme="majorHAnsi"/>
                <w:color w:val="000000"/>
                <w:lang w:eastAsia="en-AU"/>
              </w:rPr>
              <w:t>s</w:t>
            </w:r>
            <w:r w:rsidRPr="00051A07">
              <w:rPr>
                <w:rFonts w:asciiTheme="majorHAnsi" w:eastAsia="Times New Roman" w:hAnsiTheme="majorHAnsi" w:cstheme="majorHAnsi"/>
                <w:color w:val="000000"/>
                <w:lang w:eastAsia="en-AU"/>
              </w:rPr>
              <w:t xml:space="preserve">ector and </w:t>
            </w:r>
            <w:r w:rsidR="008F0698">
              <w:rPr>
                <w:rFonts w:asciiTheme="majorHAnsi" w:eastAsia="Times New Roman" w:hAnsiTheme="majorHAnsi" w:cstheme="majorHAnsi"/>
                <w:color w:val="000000"/>
                <w:lang w:eastAsia="en-AU"/>
              </w:rPr>
              <w:t>r</w:t>
            </w:r>
            <w:r w:rsidRPr="00051A07">
              <w:rPr>
                <w:rFonts w:asciiTheme="majorHAnsi" w:eastAsia="Times New Roman" w:hAnsiTheme="majorHAnsi" w:cstheme="majorHAnsi"/>
                <w:color w:val="000000"/>
                <w:lang w:eastAsia="en-AU"/>
              </w:rPr>
              <w:t xml:space="preserve">ural </w:t>
            </w:r>
            <w:r w:rsidR="008F0698">
              <w:rPr>
                <w:rFonts w:asciiTheme="majorHAnsi" w:eastAsia="Times New Roman" w:hAnsiTheme="majorHAnsi" w:cstheme="majorHAnsi"/>
                <w:color w:val="000000"/>
                <w:lang w:eastAsia="en-AU"/>
              </w:rPr>
              <w:t>d</w:t>
            </w:r>
            <w:r w:rsidRPr="00051A07">
              <w:rPr>
                <w:rFonts w:asciiTheme="majorHAnsi" w:eastAsia="Times New Roman" w:hAnsiTheme="majorHAnsi" w:cstheme="majorHAnsi"/>
                <w:color w:val="000000"/>
                <w:lang w:eastAsia="en-AU"/>
              </w:rPr>
              <w:t>evelopment</w:t>
            </w:r>
          </w:p>
          <w:p w14:paraId="25831173" w14:textId="69819B3E"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30413BB9" w14:textId="71150049" w:rsidR="007E34BC" w:rsidRPr="00513E34"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2014</w:t>
            </w:r>
            <w:r w:rsidR="00513E34">
              <w:t>–</w:t>
            </w:r>
            <w:r w:rsidRPr="00513E34">
              <w:t>2025 </w:t>
            </w:r>
          </w:p>
        </w:tc>
        <w:tc>
          <w:tcPr>
            <w:tcW w:w="1667" w:type="pct"/>
            <w:shd w:val="clear" w:color="auto" w:fill="F2F2F2" w:themeFill="background1" w:themeFillShade="F2"/>
          </w:tcPr>
          <w:p w14:paraId="519D04F8" w14:textId="35B1DFA6" w:rsidR="007E34BC" w:rsidRPr="00513E34" w:rsidRDefault="007E34BC"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Centre for International Agricultural Research; Asian Development Bank; International Finance Corporation </w:t>
            </w:r>
          </w:p>
        </w:tc>
      </w:tr>
      <w:tr w:rsidR="0023546E" w14:paraId="30F3DB77"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20F1587" w14:textId="4AC11D56" w:rsidR="007E34BC" w:rsidRDefault="007E34BC" w:rsidP="007E34BC">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t>Incentive Fund Phase V</w:t>
            </w:r>
          </w:p>
          <w:p w14:paraId="644C2608" w14:textId="7934ADA0" w:rsidR="00150385" w:rsidRPr="00051A07" w:rsidRDefault="00150385" w:rsidP="007E34BC">
            <w:pPr>
              <w:pStyle w:val="TableBodyCopy"/>
              <w:rPr>
                <w:rFonts w:asciiTheme="majorHAnsi" w:hAnsiTheme="majorHAnsi" w:cstheme="majorHAnsi"/>
              </w:rPr>
            </w:pPr>
            <w:r>
              <w:rPr>
                <w:rFonts w:asciiTheme="majorHAnsi" w:eastAsia="Times New Roman" w:hAnsiTheme="majorHAnsi" w:cstheme="majorHAnsi"/>
                <w:color w:val="000000"/>
                <w:lang w:eastAsia="en-AU"/>
              </w:rPr>
              <w:t>(bilateral)</w:t>
            </w:r>
          </w:p>
        </w:tc>
        <w:tc>
          <w:tcPr>
            <w:tcW w:w="1667" w:type="pct"/>
            <w:shd w:val="clear" w:color="auto" w:fill="D2DEE7" w:themeFill="accent1" w:themeFillTint="33"/>
          </w:tcPr>
          <w:p w14:paraId="585BDDBE" w14:textId="6D8F4734" w:rsidR="007E34BC" w:rsidRPr="00513E34" w:rsidRDefault="007E34BC"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2023</w:t>
            </w:r>
            <w:r w:rsidR="00513E34">
              <w:t>–</w:t>
            </w:r>
            <w:r w:rsidRPr="00513E34">
              <w:t>2031 </w:t>
            </w:r>
          </w:p>
        </w:tc>
        <w:tc>
          <w:tcPr>
            <w:tcW w:w="1667" w:type="pct"/>
            <w:shd w:val="clear" w:color="auto" w:fill="F2F2F2" w:themeFill="background1" w:themeFillShade="F2"/>
          </w:tcPr>
          <w:p w14:paraId="57569DE2" w14:textId="1F5AC0CB" w:rsidR="007E34BC" w:rsidRPr="00513E34" w:rsidRDefault="007E34BC" w:rsidP="00513E34">
            <w:pPr>
              <w:pStyle w:val="TableBodyCopy"/>
              <w:cnfStyle w:val="000000000000" w:firstRow="0" w:lastRow="0" w:firstColumn="0" w:lastColumn="0" w:oddVBand="0" w:evenVBand="0" w:oddHBand="0" w:evenHBand="0" w:firstRowFirstColumn="0" w:firstRowLastColumn="0" w:lastRowFirstColumn="0" w:lastRowLastColumn="0"/>
            </w:pPr>
            <w:r w:rsidRPr="00513E34">
              <w:t>PNG Department of National Planning and Monitoring </w:t>
            </w:r>
          </w:p>
        </w:tc>
      </w:tr>
      <w:tr w:rsidR="0023546E" w14:paraId="79C2DFE8"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6CD6AC2" w14:textId="190876AF" w:rsidR="009C7F91" w:rsidRDefault="009C7F91" w:rsidP="009C7F91">
            <w:pPr>
              <w:pStyle w:val="TableBodyCopy"/>
              <w:rPr>
                <w:rFonts w:asciiTheme="majorHAnsi" w:eastAsia="Times New Roman" w:hAnsiTheme="majorHAnsi" w:cstheme="majorHAnsi"/>
                <w:b w:val="0"/>
                <w:bCs w:val="0"/>
                <w:color w:val="000000"/>
                <w:lang w:eastAsia="en-AU"/>
              </w:rPr>
            </w:pPr>
            <w:r w:rsidRPr="00051A07">
              <w:rPr>
                <w:rFonts w:asciiTheme="majorHAnsi" w:eastAsia="Times New Roman" w:hAnsiTheme="majorHAnsi" w:cstheme="majorHAnsi"/>
                <w:color w:val="000000"/>
                <w:lang w:eastAsia="en-AU"/>
              </w:rPr>
              <w:lastRenderedPageBreak/>
              <w:t>Australian Infrastructure Financing Facility for the Pacific </w:t>
            </w:r>
            <w:r w:rsidR="00DF78A7">
              <w:rPr>
                <w:rFonts w:asciiTheme="majorHAnsi" w:eastAsia="Times New Roman" w:hAnsiTheme="majorHAnsi" w:cstheme="majorHAnsi"/>
                <w:color w:val="000000"/>
                <w:lang w:eastAsia="en-AU"/>
              </w:rPr>
              <w:t>(AIFFP)</w:t>
            </w:r>
          </w:p>
          <w:p w14:paraId="7704250A" w14:textId="438BB216" w:rsidR="00150385" w:rsidRPr="00051A07" w:rsidRDefault="007F6ED9" w:rsidP="009C7F91">
            <w:pPr>
              <w:pStyle w:val="TableBodyCopy"/>
              <w:rPr>
                <w:rFonts w:asciiTheme="majorHAnsi" w:hAnsiTheme="majorHAnsi" w:cstheme="majorHAnsi"/>
              </w:rPr>
            </w:pPr>
            <w:r w:rsidRPr="00AE3254">
              <w:rPr>
                <w:rFonts w:asciiTheme="majorHAnsi" w:eastAsia="Times New Roman" w:hAnsiTheme="majorHAnsi" w:cstheme="majorHAnsi"/>
                <w:color w:val="000000"/>
                <w:szCs w:val="20"/>
                <w:lang w:eastAsia="en-AU"/>
              </w:rPr>
              <w:t>(</w:t>
            </w:r>
            <w:r>
              <w:rPr>
                <w:rFonts w:asciiTheme="majorHAnsi" w:eastAsia="Times New Roman" w:hAnsiTheme="majorHAnsi" w:cstheme="majorHAnsi"/>
                <w:color w:val="000000"/>
                <w:szCs w:val="20"/>
                <w:lang w:eastAsia="en-AU"/>
              </w:rPr>
              <w:t xml:space="preserve">regional, </w:t>
            </w:r>
            <w:r w:rsidRPr="00AE3254">
              <w:rPr>
                <w:rFonts w:asciiTheme="majorHAnsi" w:eastAsia="Times New Roman" w:hAnsiTheme="majorHAnsi" w:cstheme="majorHAnsi"/>
                <w:color w:val="000000"/>
                <w:szCs w:val="20"/>
                <w:lang w:eastAsia="en-AU"/>
              </w:rPr>
              <w:t>global, other)</w:t>
            </w:r>
          </w:p>
        </w:tc>
        <w:tc>
          <w:tcPr>
            <w:tcW w:w="1667" w:type="pct"/>
            <w:shd w:val="clear" w:color="auto" w:fill="D2DEE7" w:themeFill="accent1" w:themeFillTint="33"/>
          </w:tcPr>
          <w:p w14:paraId="750DF853" w14:textId="660295EE" w:rsidR="009C7F91" w:rsidRPr="00513E34" w:rsidRDefault="009C7F9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 </w:t>
            </w:r>
            <w:r w:rsidR="00986AF5">
              <w:t>Various</w:t>
            </w:r>
          </w:p>
        </w:tc>
        <w:tc>
          <w:tcPr>
            <w:tcW w:w="1667" w:type="pct"/>
            <w:shd w:val="clear" w:color="auto" w:fill="F2F2F2" w:themeFill="background1" w:themeFillShade="F2"/>
          </w:tcPr>
          <w:p w14:paraId="33FC868F" w14:textId="4ADB48CC" w:rsidR="009C7F91" w:rsidRPr="00513E34" w:rsidRDefault="009C7F9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PNG Department of Treasury</w:t>
            </w:r>
            <w:r w:rsidR="008F0698">
              <w:t>;</w:t>
            </w:r>
            <w:r w:rsidRPr="00513E34">
              <w:t xml:space="preserve"> PNG Ports Corporation Ltd</w:t>
            </w:r>
            <w:r w:rsidR="008F0698">
              <w:t>;</w:t>
            </w:r>
            <w:r w:rsidRPr="00513E34">
              <w:t xml:space="preserve"> PNG Power Ltd </w:t>
            </w:r>
          </w:p>
        </w:tc>
      </w:tr>
    </w:tbl>
    <w:p w14:paraId="16374172" w14:textId="32B637B7" w:rsidR="002F4955" w:rsidRDefault="00636C8B" w:rsidP="008F7173">
      <w:pPr>
        <w:rPr>
          <w:lang w:eastAsia="en-AU"/>
        </w:rPr>
      </w:pPr>
      <w:r>
        <w:rPr>
          <w:lang w:eastAsia="en-AU"/>
        </w:rPr>
        <w:t>Australian Government</w:t>
      </w:r>
      <w:r w:rsidR="002F4955" w:rsidRPr="413282F0">
        <w:rPr>
          <w:lang w:eastAsia="en-AU"/>
        </w:rPr>
        <w:t xml:space="preserve"> supporting investments for Objective 2</w:t>
      </w:r>
      <w:r w:rsidR="00FB4FCF">
        <w:rPr>
          <w:lang w:eastAsia="en-AU"/>
        </w:rPr>
        <w:t xml:space="preserve"> – Promoting improved law, </w:t>
      </w:r>
      <w:proofErr w:type="gramStart"/>
      <w:r w:rsidR="00FB4FCF">
        <w:rPr>
          <w:lang w:eastAsia="en-AU"/>
        </w:rPr>
        <w:t>order</w:t>
      </w:r>
      <w:proofErr w:type="gramEnd"/>
      <w:r w:rsidR="00FB4FCF">
        <w:rPr>
          <w:lang w:eastAsia="en-AU"/>
        </w:rPr>
        <w:t xml:space="preserve"> and governance</w:t>
      </w:r>
      <w:r w:rsidR="00743CF9">
        <w:rPr>
          <w:lang w:eastAsia="en-AU"/>
        </w:rPr>
        <w:t xml:space="preserve"> </w:t>
      </w:r>
      <w:r w:rsidR="00743CF9" w:rsidRPr="413282F0">
        <w:rPr>
          <w:lang w:eastAsia="en-AU"/>
        </w:rPr>
        <w:t>(</w:t>
      </w:r>
      <w:r w:rsidR="00743CF9">
        <w:rPr>
          <w:lang w:eastAsia="en-AU"/>
        </w:rPr>
        <w:t>b</w:t>
      </w:r>
      <w:r w:rsidR="00743CF9" w:rsidRPr="413282F0">
        <w:rPr>
          <w:lang w:eastAsia="en-AU"/>
        </w:rPr>
        <w:t>ilateral</w:t>
      </w:r>
      <w:r w:rsidR="00743CF9">
        <w:rPr>
          <w:lang w:eastAsia="en-AU"/>
        </w:rPr>
        <w:t xml:space="preserve"> ODA as well as significant</w:t>
      </w:r>
      <w:r w:rsidR="00743CF9" w:rsidRPr="413282F0">
        <w:rPr>
          <w:lang w:eastAsia="en-AU"/>
        </w:rPr>
        <w:t xml:space="preserve"> regional and global </w:t>
      </w:r>
      <w:r w:rsidR="00743CF9">
        <w:rPr>
          <w:lang w:eastAsia="en-AU"/>
        </w:rPr>
        <w:t xml:space="preserve">ODA, and significant non-ODA development </w:t>
      </w:r>
      <w:r w:rsidR="00743CF9" w:rsidRPr="413282F0">
        <w:rPr>
          <w:lang w:eastAsia="en-AU"/>
        </w:rPr>
        <w:t>investments</w:t>
      </w:r>
      <w:r w:rsidR="00743CF9">
        <w:rPr>
          <w:lang w:eastAsia="en-AU"/>
        </w:rPr>
        <w:t>/activities</w:t>
      </w:r>
      <w:r w:rsidR="00743CF9" w:rsidRPr="413282F0">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10;"/>
      </w:tblPr>
      <w:tblGrid>
        <w:gridCol w:w="3398"/>
        <w:gridCol w:w="3399"/>
        <w:gridCol w:w="3397"/>
      </w:tblGrid>
      <w:tr w:rsidR="002F4955" w14:paraId="22ED1500" w14:textId="77777777" w:rsidTr="003619E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60D66464" w14:textId="13842A05" w:rsidR="002F4955" w:rsidRPr="00967711" w:rsidRDefault="002F4955" w:rsidP="00967711">
            <w:pPr>
              <w:pStyle w:val="TableHeading"/>
            </w:pPr>
            <w:r w:rsidRPr="00967711">
              <w:t xml:space="preserve">Name of </w:t>
            </w:r>
            <w:r w:rsidR="00150C3E">
              <w:t>i</w:t>
            </w:r>
            <w:r w:rsidRPr="00967711">
              <w:t>nvestment</w:t>
            </w:r>
            <w:r w:rsidR="00150C3E">
              <w:t>/activity</w:t>
            </w:r>
          </w:p>
        </w:tc>
        <w:tc>
          <w:tcPr>
            <w:tcW w:w="1667" w:type="pct"/>
          </w:tcPr>
          <w:p w14:paraId="1BD63017" w14:textId="77777777" w:rsidR="002F4955" w:rsidRPr="00967711" w:rsidRDefault="0C7E6A20" w:rsidP="00967711">
            <w:pPr>
              <w:pStyle w:val="TableHeading"/>
              <w:cnfStyle w:val="100000000000" w:firstRow="1" w:lastRow="0" w:firstColumn="0" w:lastColumn="0" w:oddVBand="0" w:evenVBand="0" w:oddHBand="0" w:evenHBand="0" w:firstRowFirstColumn="0" w:firstRowLastColumn="0" w:lastRowFirstColumn="0" w:lastRowLastColumn="0"/>
            </w:pPr>
            <w:r w:rsidRPr="00967711">
              <w:t>D</w:t>
            </w:r>
            <w:r w:rsidR="3CF99CB8" w:rsidRPr="00967711">
              <w:t>uration</w:t>
            </w:r>
          </w:p>
        </w:tc>
        <w:tc>
          <w:tcPr>
            <w:tcW w:w="1667" w:type="pct"/>
          </w:tcPr>
          <w:p w14:paraId="02FF9B15" w14:textId="77777777" w:rsidR="002F4955" w:rsidRPr="00967711" w:rsidRDefault="002F4955" w:rsidP="00967711">
            <w:pPr>
              <w:pStyle w:val="TableHeading"/>
              <w:cnfStyle w:val="100000000000" w:firstRow="1" w:lastRow="0" w:firstColumn="0" w:lastColumn="0" w:oddVBand="0" w:evenVBand="0" w:oddHBand="0" w:evenHBand="0" w:firstRowFirstColumn="0" w:firstRowLastColumn="0" w:lastRowFirstColumn="0" w:lastRowLastColumn="0"/>
            </w:pPr>
            <w:r w:rsidRPr="00967711">
              <w:t>Key partners</w:t>
            </w:r>
          </w:p>
        </w:tc>
      </w:tr>
      <w:tr w:rsidR="0023546E" w:rsidRPr="00513E34" w14:paraId="4C323F07"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99A143D" w14:textId="2B88BC43" w:rsidR="005D587F" w:rsidRPr="00513E34" w:rsidRDefault="005D587F" w:rsidP="005D587F">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Australia</w:t>
            </w:r>
            <w:r w:rsidR="00796952">
              <w:rPr>
                <w:rFonts w:asciiTheme="majorHAnsi" w:eastAsia="Times New Roman" w:hAnsiTheme="majorHAnsi" w:cstheme="majorHAnsi"/>
                <w:szCs w:val="20"/>
                <w:lang w:eastAsia="en-AU"/>
              </w:rPr>
              <w:t>–</w:t>
            </w:r>
            <w:r w:rsidRPr="00513E34">
              <w:rPr>
                <w:rFonts w:asciiTheme="majorHAnsi" w:eastAsia="Times New Roman" w:hAnsiTheme="majorHAnsi" w:cstheme="majorHAnsi"/>
                <w:szCs w:val="20"/>
                <w:lang w:eastAsia="en-AU"/>
              </w:rPr>
              <w:t>PNG Law and Justice Partnership (APLJ)</w:t>
            </w:r>
          </w:p>
          <w:p w14:paraId="7C4B6675" w14:textId="33BFD0EF" w:rsidR="00150385" w:rsidRPr="00513E34" w:rsidRDefault="00150385" w:rsidP="005D587F">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73A695F4" w14:textId="37AB2324"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2024</w:t>
            </w:r>
            <w:r w:rsidR="00513E34">
              <w:t>–</w:t>
            </w:r>
            <w:r w:rsidRPr="00513E34">
              <w:t>2027</w:t>
            </w:r>
          </w:p>
        </w:tc>
        <w:tc>
          <w:tcPr>
            <w:tcW w:w="1667" w:type="pct"/>
            <w:shd w:val="clear" w:color="auto" w:fill="F2F2F2" w:themeFill="background1" w:themeFillShade="F2"/>
          </w:tcPr>
          <w:p w14:paraId="58D3B0CB" w14:textId="52455E04"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w:t>
            </w:r>
            <w:r w:rsidR="005E3E5F">
              <w:t>n Government</w:t>
            </w:r>
            <w:r w:rsidRPr="00513E34">
              <w:t xml:space="preserve"> Attorney-General’s Department</w:t>
            </w:r>
            <w:r w:rsidR="00796952">
              <w:t>;</w:t>
            </w:r>
            <w:r w:rsidR="00796952" w:rsidRPr="00513E34">
              <w:t xml:space="preserve"> </w:t>
            </w:r>
            <w:r w:rsidRPr="00513E34">
              <w:t>PNG Department of Justice and Attorney General </w:t>
            </w:r>
          </w:p>
        </w:tc>
      </w:tr>
      <w:tr w:rsidR="0023546E" w:rsidRPr="00513E34" w14:paraId="59CB68A7"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343EF05" w14:textId="5EE6C40C" w:rsidR="005D587F" w:rsidRPr="00513E34" w:rsidRDefault="00DD4582" w:rsidP="005D587F">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w:t>
            </w:r>
            <w:r>
              <w:rPr>
                <w:rFonts w:asciiTheme="majorHAnsi" w:eastAsia="Times New Roman" w:hAnsiTheme="majorHAnsi" w:cstheme="majorHAnsi"/>
                <w:szCs w:val="20"/>
                <w:lang w:eastAsia="en-AU"/>
              </w:rPr>
              <w:t>–</w:t>
            </w:r>
            <w:r w:rsidR="005D587F" w:rsidRPr="00513E34">
              <w:rPr>
                <w:rFonts w:asciiTheme="majorHAnsi" w:eastAsia="Times New Roman" w:hAnsiTheme="majorHAnsi" w:cstheme="majorHAnsi"/>
                <w:szCs w:val="20"/>
                <w:lang w:eastAsia="en-AU"/>
              </w:rPr>
              <w:t>Australia Policing Partnership (PNG-APP)</w:t>
            </w:r>
          </w:p>
          <w:p w14:paraId="3EA8BCDF" w14:textId="5B8EB35D" w:rsidR="00150385" w:rsidRPr="00513E34" w:rsidRDefault="00150385" w:rsidP="005D587F">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6A627BDE" w14:textId="55FBDDDE" w:rsidR="005D587F" w:rsidRPr="00513E34" w:rsidRDefault="005D587F"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2022</w:t>
            </w:r>
            <w:r w:rsidR="00513E34">
              <w:t>–</w:t>
            </w:r>
            <w:r w:rsidRPr="00513E34">
              <w:t>2026</w:t>
            </w:r>
          </w:p>
        </w:tc>
        <w:tc>
          <w:tcPr>
            <w:tcW w:w="1667" w:type="pct"/>
            <w:shd w:val="clear" w:color="auto" w:fill="F2F2F2" w:themeFill="background1" w:themeFillShade="F2"/>
          </w:tcPr>
          <w:p w14:paraId="5F36F114" w14:textId="2F31CA90" w:rsidR="005D587F" w:rsidRPr="00513E34" w:rsidRDefault="005D587F" w:rsidP="00513E34">
            <w:pPr>
              <w:pStyle w:val="TableBodyCopy"/>
              <w:cnfStyle w:val="000000000000" w:firstRow="0" w:lastRow="0" w:firstColumn="0" w:lastColumn="0" w:oddVBand="0" w:evenVBand="0" w:oddHBand="0" w:evenHBand="0" w:firstRowFirstColumn="0" w:firstRowLastColumn="0" w:lastRowFirstColumn="0" w:lastRowLastColumn="0"/>
            </w:pPr>
            <w:r w:rsidRPr="00513E34">
              <w:t>Australian Federal Police</w:t>
            </w:r>
            <w:r w:rsidR="00DD4582">
              <w:t>;</w:t>
            </w:r>
            <w:r w:rsidR="00DD4582" w:rsidRPr="00513E34">
              <w:t xml:space="preserve"> </w:t>
            </w:r>
            <w:r w:rsidRPr="00513E34">
              <w:t>Royal Papua New Guinea Constabulary </w:t>
            </w:r>
          </w:p>
        </w:tc>
      </w:tr>
      <w:tr w:rsidR="0023546E" w:rsidRPr="00513E34" w14:paraId="7C12F29F"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15CF10B" w14:textId="1465306B" w:rsidR="005D587F" w:rsidRPr="00513E34" w:rsidRDefault="005D587F" w:rsidP="005D587F">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Supporting </w:t>
            </w:r>
            <w:r w:rsidR="00DD4582">
              <w:rPr>
                <w:rFonts w:asciiTheme="majorHAnsi" w:eastAsia="Times New Roman" w:hAnsiTheme="majorHAnsi" w:cstheme="majorHAnsi"/>
                <w:szCs w:val="20"/>
                <w:lang w:eastAsia="en-AU"/>
              </w:rPr>
              <w:t>e</w:t>
            </w:r>
            <w:r w:rsidRPr="00513E34">
              <w:rPr>
                <w:rFonts w:asciiTheme="majorHAnsi" w:eastAsia="Times New Roman" w:hAnsiTheme="majorHAnsi" w:cstheme="majorHAnsi"/>
                <w:szCs w:val="20"/>
                <w:lang w:eastAsia="en-AU"/>
              </w:rPr>
              <w:t>lections in PNG</w:t>
            </w:r>
          </w:p>
          <w:p w14:paraId="483328C8" w14:textId="4BE46F4D" w:rsidR="00150385" w:rsidRPr="00513E34" w:rsidRDefault="00150385" w:rsidP="005D587F">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6DB06D13" w14:textId="08FF38A4"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2019</w:t>
            </w:r>
            <w:r w:rsidR="00513E34">
              <w:t>–</w:t>
            </w:r>
            <w:r w:rsidRPr="00513E34">
              <w:t>2024</w:t>
            </w:r>
          </w:p>
        </w:tc>
        <w:tc>
          <w:tcPr>
            <w:tcW w:w="1667" w:type="pct"/>
            <w:shd w:val="clear" w:color="auto" w:fill="F2F2F2" w:themeFill="background1" w:themeFillShade="F2"/>
          </w:tcPr>
          <w:p w14:paraId="24556BBD" w14:textId="1DFD700B"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Electoral Commission; PNG Electoral Commission; International Foundation for Electoral Systems; Transparency International PNG </w:t>
            </w:r>
          </w:p>
        </w:tc>
      </w:tr>
      <w:tr w:rsidR="0023546E" w:rsidRPr="00513E34" w14:paraId="3D452E75"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9B63198" w14:textId="340D0298" w:rsidR="005D587F" w:rsidRPr="00513E34" w:rsidRDefault="005D587F" w:rsidP="005D587F">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Building </w:t>
            </w:r>
            <w:r w:rsidR="00DD4582">
              <w:rPr>
                <w:rFonts w:asciiTheme="majorHAnsi" w:eastAsia="Times New Roman" w:hAnsiTheme="majorHAnsi" w:cstheme="majorHAnsi"/>
                <w:szCs w:val="20"/>
                <w:lang w:eastAsia="en-AU"/>
              </w:rPr>
              <w:t>c</w:t>
            </w:r>
            <w:r w:rsidRPr="00513E34">
              <w:rPr>
                <w:rFonts w:asciiTheme="majorHAnsi" w:eastAsia="Times New Roman" w:hAnsiTheme="majorHAnsi" w:cstheme="majorHAnsi"/>
                <w:szCs w:val="20"/>
                <w:lang w:eastAsia="en-AU"/>
              </w:rPr>
              <w:t xml:space="preserve">ommunity </w:t>
            </w:r>
            <w:r w:rsidR="00DD4582">
              <w:rPr>
                <w:rFonts w:asciiTheme="majorHAnsi" w:eastAsia="Times New Roman" w:hAnsiTheme="majorHAnsi" w:cstheme="majorHAnsi"/>
                <w:szCs w:val="20"/>
                <w:lang w:eastAsia="en-AU"/>
              </w:rPr>
              <w:t>e</w:t>
            </w:r>
            <w:r w:rsidRPr="00513E34">
              <w:rPr>
                <w:rFonts w:asciiTheme="majorHAnsi" w:eastAsia="Times New Roman" w:hAnsiTheme="majorHAnsi" w:cstheme="majorHAnsi"/>
                <w:szCs w:val="20"/>
                <w:lang w:eastAsia="en-AU"/>
              </w:rPr>
              <w:t>ngagement in Papua New Guinea</w:t>
            </w:r>
          </w:p>
          <w:p w14:paraId="5AFC4C07" w14:textId="46FB7435" w:rsidR="00150385" w:rsidRPr="00513E34" w:rsidRDefault="00150385" w:rsidP="005D587F">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1BFD9D5C" w14:textId="72294ADF" w:rsidR="005D587F" w:rsidRPr="00513E34" w:rsidRDefault="005D587F"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2022</w:t>
            </w:r>
            <w:r w:rsidR="00513E34">
              <w:t>–</w:t>
            </w:r>
            <w:r w:rsidRPr="00513E34">
              <w:t>2026</w:t>
            </w:r>
          </w:p>
        </w:tc>
        <w:tc>
          <w:tcPr>
            <w:tcW w:w="1667" w:type="pct"/>
            <w:shd w:val="clear" w:color="auto" w:fill="F2F2F2" w:themeFill="background1" w:themeFillShade="F2"/>
          </w:tcPr>
          <w:p w14:paraId="6B8A8CB7" w14:textId="6263AA15" w:rsidR="005D587F" w:rsidRPr="00513E34" w:rsidRDefault="005D587F" w:rsidP="00513E34">
            <w:pPr>
              <w:pStyle w:val="TableBodyCopy"/>
              <w:cnfStyle w:val="000000000000" w:firstRow="0" w:lastRow="0" w:firstColumn="0" w:lastColumn="0" w:oddVBand="0" w:evenVBand="0" w:oddHBand="0" w:evenHBand="0" w:firstRowFirstColumn="0" w:firstRowLastColumn="0" w:lastRowFirstColumn="0" w:lastRowLastColumn="0"/>
            </w:pPr>
            <w:r w:rsidRPr="00513E34">
              <w:t xml:space="preserve">PNG </w:t>
            </w:r>
            <w:r w:rsidR="00DD4582">
              <w:t>c</w:t>
            </w:r>
            <w:r w:rsidRPr="00513E34">
              <w:t xml:space="preserve">ivil </w:t>
            </w:r>
            <w:r w:rsidR="00DD4582">
              <w:t>s</w:t>
            </w:r>
            <w:r w:rsidRPr="00513E34">
              <w:t xml:space="preserve">ociety </w:t>
            </w:r>
            <w:r w:rsidR="00DD4582">
              <w:t>o</w:t>
            </w:r>
            <w:r w:rsidRPr="00513E34">
              <w:t xml:space="preserve">rganisations; PNG </w:t>
            </w:r>
            <w:r w:rsidR="00DD4582">
              <w:t>m</w:t>
            </w:r>
            <w:r w:rsidRPr="00513E34">
              <w:t xml:space="preserve">edia </w:t>
            </w:r>
            <w:r w:rsidR="00DD4582">
              <w:t>o</w:t>
            </w:r>
            <w:r w:rsidRPr="00513E34">
              <w:t xml:space="preserve">rganisations; PNG Council of Churches and seven mainline </w:t>
            </w:r>
            <w:r w:rsidR="00DD4582">
              <w:t>c</w:t>
            </w:r>
            <w:r w:rsidRPr="00513E34">
              <w:t>hurches; PNG Department of National Planning and Monitoring; PNG Department of Community Development and Religion; PNG Department of Implementation and Rural Development </w:t>
            </w:r>
          </w:p>
        </w:tc>
      </w:tr>
      <w:tr w:rsidR="0023546E" w:rsidRPr="00513E34" w14:paraId="1E86786E"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50CA2FF" w14:textId="03F155A9" w:rsidR="005D587F" w:rsidRPr="00513E34" w:rsidRDefault="005D587F" w:rsidP="005D587F">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Support to the </w:t>
            </w:r>
            <w:r w:rsidR="00DD4582">
              <w:rPr>
                <w:rFonts w:asciiTheme="majorHAnsi" w:eastAsia="Times New Roman" w:hAnsiTheme="majorHAnsi" w:cstheme="majorHAnsi"/>
                <w:szCs w:val="20"/>
                <w:lang w:eastAsia="en-AU"/>
              </w:rPr>
              <w:t>p</w:t>
            </w:r>
            <w:r w:rsidRPr="00513E34">
              <w:rPr>
                <w:rFonts w:asciiTheme="majorHAnsi" w:eastAsia="Times New Roman" w:hAnsiTheme="majorHAnsi" w:cstheme="majorHAnsi"/>
                <w:szCs w:val="20"/>
                <w:lang w:eastAsia="en-AU"/>
              </w:rPr>
              <w:t xml:space="preserve">rotection of </w:t>
            </w:r>
            <w:r w:rsidR="00DD4582">
              <w:rPr>
                <w:rFonts w:asciiTheme="majorHAnsi" w:eastAsia="Times New Roman" w:hAnsiTheme="majorHAnsi" w:cstheme="majorHAnsi"/>
                <w:szCs w:val="20"/>
                <w:lang w:eastAsia="en-AU"/>
              </w:rPr>
              <w:t>c</w:t>
            </w:r>
            <w:r w:rsidRPr="00513E34">
              <w:rPr>
                <w:rFonts w:asciiTheme="majorHAnsi" w:eastAsia="Times New Roman" w:hAnsiTheme="majorHAnsi" w:cstheme="majorHAnsi"/>
                <w:szCs w:val="20"/>
                <w:lang w:eastAsia="en-AU"/>
              </w:rPr>
              <w:t xml:space="preserve">ivilians and </w:t>
            </w:r>
            <w:r w:rsidR="00DD4582">
              <w:rPr>
                <w:rFonts w:asciiTheme="majorHAnsi" w:eastAsia="Times New Roman" w:hAnsiTheme="majorHAnsi" w:cstheme="majorHAnsi"/>
                <w:szCs w:val="20"/>
                <w:lang w:eastAsia="en-AU"/>
              </w:rPr>
              <w:t>r</w:t>
            </w:r>
            <w:r w:rsidRPr="00513E34">
              <w:rPr>
                <w:rFonts w:asciiTheme="majorHAnsi" w:eastAsia="Times New Roman" w:hAnsiTheme="majorHAnsi" w:cstheme="majorHAnsi"/>
                <w:szCs w:val="20"/>
                <w:lang w:eastAsia="en-AU"/>
              </w:rPr>
              <w:t>espect for the</w:t>
            </w:r>
            <w:r w:rsidR="00DD4582">
              <w:rPr>
                <w:rFonts w:asciiTheme="majorHAnsi" w:eastAsia="Times New Roman" w:hAnsiTheme="majorHAnsi" w:cstheme="majorHAnsi"/>
                <w:szCs w:val="20"/>
                <w:lang w:eastAsia="en-AU"/>
              </w:rPr>
              <w:t xml:space="preserve"> r</w:t>
            </w:r>
            <w:r w:rsidRPr="00513E34">
              <w:rPr>
                <w:rFonts w:asciiTheme="majorHAnsi" w:eastAsia="Times New Roman" w:hAnsiTheme="majorHAnsi" w:cstheme="majorHAnsi"/>
                <w:szCs w:val="20"/>
                <w:lang w:eastAsia="en-AU"/>
              </w:rPr>
              <w:t xml:space="preserve">ule of </w:t>
            </w:r>
            <w:proofErr w:type="gramStart"/>
            <w:r w:rsidR="00DD4582">
              <w:rPr>
                <w:rFonts w:asciiTheme="majorHAnsi" w:eastAsia="Times New Roman" w:hAnsiTheme="majorHAnsi" w:cstheme="majorHAnsi"/>
                <w:szCs w:val="20"/>
                <w:lang w:eastAsia="en-AU"/>
              </w:rPr>
              <w:t>l</w:t>
            </w:r>
            <w:r w:rsidRPr="00513E34">
              <w:rPr>
                <w:rFonts w:asciiTheme="majorHAnsi" w:eastAsia="Times New Roman" w:hAnsiTheme="majorHAnsi" w:cstheme="majorHAnsi"/>
                <w:szCs w:val="20"/>
                <w:lang w:eastAsia="en-AU"/>
              </w:rPr>
              <w:t>aw</w:t>
            </w:r>
            <w:proofErr w:type="gramEnd"/>
          </w:p>
          <w:p w14:paraId="172D1E63" w14:textId="3328FBD5" w:rsidR="00150385" w:rsidRPr="00513E34" w:rsidRDefault="00150385" w:rsidP="005D587F">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38F3719D" w14:textId="5C6FF654"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513E34">
              <w:t>–</w:t>
            </w:r>
            <w:r w:rsidRPr="00513E34">
              <w:t>2024</w:t>
            </w:r>
          </w:p>
        </w:tc>
        <w:tc>
          <w:tcPr>
            <w:tcW w:w="1667" w:type="pct"/>
            <w:shd w:val="clear" w:color="auto" w:fill="F2F2F2" w:themeFill="background1" w:themeFillShade="F2"/>
          </w:tcPr>
          <w:p w14:paraId="6E5A6FF8" w14:textId="2B5222EA" w:rsidR="005D587F" w:rsidRPr="00513E34" w:rsidRDefault="005D587F" w:rsidP="00513E34">
            <w:pPr>
              <w:pStyle w:val="TableBodyCopy"/>
              <w:cnfStyle w:val="000000100000" w:firstRow="0" w:lastRow="0" w:firstColumn="0" w:lastColumn="0" w:oddVBand="0" w:evenVBand="0" w:oddHBand="1" w:evenHBand="0" w:firstRowFirstColumn="0" w:firstRowLastColumn="0" w:lastRowFirstColumn="0" w:lastRowLastColumn="0"/>
            </w:pPr>
            <w:r w:rsidRPr="00513E34">
              <w:t>International Committee of the Red Cross </w:t>
            </w:r>
          </w:p>
        </w:tc>
      </w:tr>
      <w:tr w:rsidR="0023546E" w:rsidRPr="00513E34" w14:paraId="2B5DD1A7"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D424851" w14:textId="055812DE" w:rsidR="00150385" w:rsidRDefault="00150385" w:rsidP="00150385">
            <w:pPr>
              <w:spacing w:after="0" w:line="240" w:lineRule="auto"/>
              <w:ind w:left="30"/>
              <w:textAlignment w:val="baseline"/>
              <w:rPr>
                <w:rFonts w:eastAsia="Times New Roman" w:cstheme="majorHAnsi"/>
                <w:b w:val="0"/>
                <w:bCs w:val="0"/>
                <w:sz w:val="20"/>
                <w:szCs w:val="20"/>
                <w:lang w:eastAsia="en-AU"/>
              </w:rPr>
            </w:pPr>
            <w:r w:rsidRPr="00513E34">
              <w:rPr>
                <w:rFonts w:eastAsia="Times New Roman" w:cstheme="majorHAnsi"/>
                <w:sz w:val="20"/>
                <w:szCs w:val="20"/>
                <w:lang w:eastAsia="en-AU"/>
              </w:rPr>
              <w:t>Pacific Policing Infrastructure Program (PPIP)</w:t>
            </w:r>
          </w:p>
          <w:p w14:paraId="7E606CF2" w14:textId="1ED87218" w:rsidR="00150385" w:rsidRPr="00513E34" w:rsidRDefault="00150385" w:rsidP="005843AD">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 component (non-ODA)</w:t>
            </w:r>
          </w:p>
          <w:p w14:paraId="3906AB36" w14:textId="49CBB0D5" w:rsidR="00150385" w:rsidRPr="00513E34" w:rsidRDefault="007F6ED9" w:rsidP="00150385">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4FE2FEB3" w14:textId="709DB2F8" w:rsidR="00150385" w:rsidRPr="00513E34" w:rsidRDefault="00150385"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2023</w:t>
            </w:r>
            <w:r w:rsidR="00513E34">
              <w:t>–</w:t>
            </w:r>
            <w:r w:rsidRPr="00513E34">
              <w:t>2027</w:t>
            </w:r>
          </w:p>
        </w:tc>
        <w:tc>
          <w:tcPr>
            <w:tcW w:w="1667" w:type="pct"/>
            <w:shd w:val="clear" w:color="auto" w:fill="F2F2F2" w:themeFill="background1" w:themeFillShade="F2"/>
          </w:tcPr>
          <w:p w14:paraId="5251E8D3" w14:textId="6CE7D365" w:rsidR="00150385" w:rsidRPr="00513E34" w:rsidRDefault="00150385" w:rsidP="00513E34">
            <w:pPr>
              <w:pStyle w:val="TableBodyCopy"/>
              <w:cnfStyle w:val="000000000000" w:firstRow="0" w:lastRow="0" w:firstColumn="0" w:lastColumn="0" w:oddVBand="0" w:evenVBand="0" w:oddHBand="0" w:evenHBand="0" w:firstRowFirstColumn="0" w:firstRowLastColumn="0" w:lastRowFirstColumn="0" w:lastRowLastColumn="0"/>
            </w:pPr>
            <w:r w:rsidRPr="00513E34">
              <w:t>Australian Federal Police</w:t>
            </w:r>
            <w:r w:rsidR="005843AD">
              <w:t>;</w:t>
            </w:r>
            <w:r w:rsidRPr="00513E34">
              <w:t xml:space="preserve"> Royal Papua New Guinea Constabulary </w:t>
            </w:r>
          </w:p>
        </w:tc>
      </w:tr>
      <w:tr w:rsidR="0023546E" w:rsidRPr="00513E34" w14:paraId="4E6EB8FF"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FB585AB" w14:textId="107E9C18" w:rsidR="00150385" w:rsidRPr="00513E34" w:rsidRDefault="00150385" w:rsidP="00150385">
            <w:pPr>
              <w:spacing w:after="0" w:line="240" w:lineRule="auto"/>
              <w:ind w:left="30"/>
              <w:textAlignment w:val="baseline"/>
              <w:rPr>
                <w:rFonts w:eastAsia="Times New Roman" w:cstheme="majorHAnsi"/>
                <w:b w:val="0"/>
                <w:bCs w:val="0"/>
                <w:sz w:val="20"/>
                <w:szCs w:val="20"/>
                <w:lang w:eastAsia="en-AU"/>
              </w:rPr>
            </w:pPr>
            <w:r w:rsidRPr="00513E34">
              <w:rPr>
                <w:rFonts w:eastAsia="Times New Roman" w:cstheme="majorHAnsi"/>
                <w:sz w:val="20"/>
                <w:szCs w:val="20"/>
                <w:lang w:eastAsia="en-AU"/>
              </w:rPr>
              <w:t xml:space="preserve">Police </w:t>
            </w:r>
            <w:r w:rsidR="005843AD">
              <w:rPr>
                <w:rFonts w:eastAsia="Times New Roman" w:cstheme="majorHAnsi"/>
                <w:sz w:val="20"/>
                <w:szCs w:val="20"/>
                <w:lang w:eastAsia="en-AU"/>
              </w:rPr>
              <w:t>r</w:t>
            </w:r>
            <w:r w:rsidRPr="00513E34">
              <w:rPr>
                <w:rFonts w:eastAsia="Times New Roman" w:cstheme="majorHAnsi"/>
                <w:sz w:val="20"/>
                <w:szCs w:val="20"/>
                <w:lang w:eastAsia="en-AU"/>
              </w:rPr>
              <w:t xml:space="preserve">ecruit and </w:t>
            </w:r>
            <w:r w:rsidR="005843AD">
              <w:rPr>
                <w:rFonts w:eastAsia="Times New Roman" w:cstheme="majorHAnsi"/>
                <w:sz w:val="20"/>
                <w:szCs w:val="20"/>
                <w:lang w:eastAsia="en-AU"/>
              </w:rPr>
              <w:t>i</w:t>
            </w:r>
            <w:r w:rsidRPr="00513E34">
              <w:rPr>
                <w:rFonts w:eastAsia="Times New Roman" w:cstheme="majorHAnsi"/>
                <w:sz w:val="20"/>
                <w:szCs w:val="20"/>
                <w:lang w:eastAsia="en-AU"/>
              </w:rPr>
              <w:t xml:space="preserve">nvestigations </w:t>
            </w:r>
            <w:r w:rsidR="005843AD">
              <w:rPr>
                <w:rFonts w:eastAsia="Times New Roman" w:cstheme="majorHAnsi"/>
                <w:sz w:val="20"/>
                <w:szCs w:val="20"/>
                <w:lang w:eastAsia="en-AU"/>
              </w:rPr>
              <w:t>t</w:t>
            </w:r>
            <w:r w:rsidRPr="00513E34">
              <w:rPr>
                <w:rFonts w:eastAsia="Times New Roman" w:cstheme="majorHAnsi"/>
                <w:sz w:val="20"/>
                <w:szCs w:val="20"/>
                <w:lang w:eastAsia="en-AU"/>
              </w:rPr>
              <w:t xml:space="preserve">raining </w:t>
            </w:r>
            <w:r w:rsidR="005843AD">
              <w:rPr>
                <w:rFonts w:eastAsia="Times New Roman" w:cstheme="majorHAnsi"/>
                <w:sz w:val="20"/>
                <w:szCs w:val="20"/>
                <w:lang w:eastAsia="en-AU"/>
              </w:rPr>
              <w:t>c</w:t>
            </w:r>
            <w:r w:rsidRPr="00513E34">
              <w:rPr>
                <w:rFonts w:eastAsia="Times New Roman" w:cstheme="majorHAnsi"/>
                <w:sz w:val="20"/>
                <w:szCs w:val="20"/>
                <w:lang w:eastAsia="en-AU"/>
              </w:rPr>
              <w:t>entre</w:t>
            </w:r>
          </w:p>
          <w:p w14:paraId="735459F2" w14:textId="6436F39F" w:rsidR="00150385" w:rsidRPr="00513E34" w:rsidRDefault="00150385" w:rsidP="00150385">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 component of the Pacific Policing Initiative (PPI) (non-ODA)</w:t>
            </w:r>
          </w:p>
          <w:p w14:paraId="30D3ABF0" w14:textId="76F386C3" w:rsidR="00AE3254" w:rsidRPr="00513E34" w:rsidRDefault="007F6ED9" w:rsidP="00150385">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4377F306" w14:textId="2B2D0FBA" w:rsidR="00150385" w:rsidRPr="00513E34" w:rsidRDefault="00150385"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513E34">
              <w:t>–</w:t>
            </w:r>
            <w:r w:rsidRPr="00513E34">
              <w:t>2027</w:t>
            </w:r>
          </w:p>
        </w:tc>
        <w:tc>
          <w:tcPr>
            <w:tcW w:w="1667" w:type="pct"/>
            <w:shd w:val="clear" w:color="auto" w:fill="F2F2F2" w:themeFill="background1" w:themeFillShade="F2"/>
          </w:tcPr>
          <w:p w14:paraId="6BB3090A" w14:textId="7AC11ACC" w:rsidR="00150385" w:rsidRPr="00513E34" w:rsidRDefault="00150385"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Federal Police</w:t>
            </w:r>
            <w:r w:rsidR="00365A5C">
              <w:t>;</w:t>
            </w:r>
            <w:r w:rsidRPr="00513E34">
              <w:t xml:space="preserve"> Royal Papua New Guinea Constabulary </w:t>
            </w:r>
          </w:p>
        </w:tc>
      </w:tr>
    </w:tbl>
    <w:p w14:paraId="6B7AA715" w14:textId="170EF7E4" w:rsidR="002F4955" w:rsidRPr="00513E34" w:rsidRDefault="00636C8B" w:rsidP="00E90562">
      <w:pPr>
        <w:keepNext/>
        <w:rPr>
          <w:rFonts w:cstheme="majorHAnsi"/>
          <w:sz w:val="20"/>
          <w:szCs w:val="20"/>
          <w:lang w:eastAsia="en-AU"/>
        </w:rPr>
      </w:pPr>
      <w:r>
        <w:rPr>
          <w:lang w:eastAsia="en-AU"/>
        </w:rPr>
        <w:lastRenderedPageBreak/>
        <w:t xml:space="preserve">Australian </w:t>
      </w:r>
      <w:r w:rsidRPr="00E90562">
        <w:t>Government</w:t>
      </w:r>
      <w:r w:rsidR="002F4955" w:rsidRPr="00E90562">
        <w:t xml:space="preserve"> supporting investments for Objective 3</w:t>
      </w:r>
      <w:r w:rsidR="00DE0B32">
        <w:t xml:space="preserve"> – Investing in people and building resilient communities</w:t>
      </w:r>
      <w:r w:rsidR="00743CF9" w:rsidRPr="00E90562">
        <w:t xml:space="preserve"> (bilateral</w:t>
      </w:r>
      <w:r w:rsidR="00743CF9">
        <w:rPr>
          <w:lang w:eastAsia="en-AU"/>
        </w:rPr>
        <w:t xml:space="preserve"> ODA as well as significant</w:t>
      </w:r>
      <w:r w:rsidR="00743CF9" w:rsidRPr="413282F0">
        <w:rPr>
          <w:lang w:eastAsia="en-AU"/>
        </w:rPr>
        <w:t xml:space="preserve"> regional and global </w:t>
      </w:r>
      <w:r w:rsidR="00743CF9">
        <w:rPr>
          <w:lang w:eastAsia="en-AU"/>
        </w:rPr>
        <w:t xml:space="preserve">ODA, and significant non-ODA development </w:t>
      </w:r>
      <w:r w:rsidR="00743CF9" w:rsidRPr="413282F0">
        <w:rPr>
          <w:lang w:eastAsia="en-AU"/>
        </w:rPr>
        <w:t>investments</w:t>
      </w:r>
      <w:r w:rsidR="00743CF9">
        <w:rPr>
          <w:lang w:eastAsia="en-AU"/>
        </w:rPr>
        <w:t>/activities</w:t>
      </w:r>
      <w:r w:rsidR="00743CF9" w:rsidRPr="413282F0">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10;"/>
      </w:tblPr>
      <w:tblGrid>
        <w:gridCol w:w="3398"/>
        <w:gridCol w:w="3399"/>
        <w:gridCol w:w="3397"/>
      </w:tblGrid>
      <w:tr w:rsidR="002F4955" w:rsidRPr="00513E34" w14:paraId="2ADA9CB6" w14:textId="77777777" w:rsidTr="003619E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5B68B75B" w14:textId="34489243" w:rsidR="002F4955" w:rsidRPr="00513E34" w:rsidRDefault="002F4955" w:rsidP="00967711">
            <w:pPr>
              <w:pStyle w:val="TableHeading"/>
              <w:rPr>
                <w:rFonts w:cstheme="majorHAnsi"/>
                <w:szCs w:val="20"/>
              </w:rPr>
            </w:pPr>
            <w:r w:rsidRPr="00513E34">
              <w:rPr>
                <w:rFonts w:cstheme="majorHAnsi"/>
                <w:szCs w:val="20"/>
              </w:rPr>
              <w:t xml:space="preserve">Name of </w:t>
            </w:r>
            <w:r w:rsidR="00150C3E">
              <w:rPr>
                <w:rFonts w:cstheme="majorHAnsi"/>
                <w:szCs w:val="20"/>
              </w:rPr>
              <w:t>i</w:t>
            </w:r>
            <w:r w:rsidRPr="00513E34">
              <w:rPr>
                <w:rFonts w:cstheme="majorHAnsi"/>
                <w:szCs w:val="20"/>
              </w:rPr>
              <w:t>nvestment</w:t>
            </w:r>
            <w:r w:rsidR="00150C3E">
              <w:rPr>
                <w:rFonts w:cstheme="majorHAnsi"/>
                <w:szCs w:val="20"/>
              </w:rPr>
              <w:t>/activity</w:t>
            </w:r>
          </w:p>
        </w:tc>
        <w:tc>
          <w:tcPr>
            <w:tcW w:w="1667" w:type="pct"/>
          </w:tcPr>
          <w:p w14:paraId="5B4EF918" w14:textId="77777777" w:rsidR="002F4955" w:rsidRPr="00513E34" w:rsidRDefault="7CCE640A" w:rsidP="00967711">
            <w:pPr>
              <w:pStyle w:val="TableHeading"/>
              <w:cnfStyle w:val="100000000000" w:firstRow="1" w:lastRow="0" w:firstColumn="0" w:lastColumn="0" w:oddVBand="0" w:evenVBand="0" w:oddHBand="0" w:evenHBand="0" w:firstRowFirstColumn="0" w:firstRowLastColumn="0" w:lastRowFirstColumn="0" w:lastRowLastColumn="0"/>
              <w:rPr>
                <w:rFonts w:cstheme="majorHAnsi"/>
                <w:szCs w:val="20"/>
              </w:rPr>
            </w:pPr>
            <w:r w:rsidRPr="00513E34">
              <w:rPr>
                <w:rFonts w:cstheme="majorHAnsi"/>
                <w:szCs w:val="20"/>
              </w:rPr>
              <w:t>D</w:t>
            </w:r>
            <w:r w:rsidR="3CF99CB8" w:rsidRPr="00513E34">
              <w:rPr>
                <w:rFonts w:cstheme="majorHAnsi"/>
                <w:szCs w:val="20"/>
              </w:rPr>
              <w:t>uration</w:t>
            </w:r>
          </w:p>
        </w:tc>
        <w:tc>
          <w:tcPr>
            <w:tcW w:w="1667" w:type="pct"/>
          </w:tcPr>
          <w:p w14:paraId="7FB70227" w14:textId="77777777" w:rsidR="002F4955" w:rsidRPr="00513E34" w:rsidRDefault="002F4955" w:rsidP="00967711">
            <w:pPr>
              <w:pStyle w:val="TableHeading"/>
              <w:cnfStyle w:val="100000000000" w:firstRow="1" w:lastRow="0" w:firstColumn="0" w:lastColumn="0" w:oddVBand="0" w:evenVBand="0" w:oddHBand="0" w:evenHBand="0" w:firstRowFirstColumn="0" w:firstRowLastColumn="0" w:lastRowFirstColumn="0" w:lastRowLastColumn="0"/>
              <w:rPr>
                <w:rFonts w:cstheme="majorHAnsi"/>
                <w:szCs w:val="20"/>
              </w:rPr>
            </w:pPr>
            <w:r w:rsidRPr="00513E34">
              <w:rPr>
                <w:rFonts w:cstheme="majorHAnsi"/>
                <w:szCs w:val="20"/>
              </w:rPr>
              <w:t>Key partners</w:t>
            </w:r>
          </w:p>
        </w:tc>
      </w:tr>
      <w:tr w:rsidR="0023546E" w:rsidRPr="00513E34" w14:paraId="070A7062"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2A63C99" w14:textId="5F1FE32A"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 Improved TVET for Employment Project</w:t>
            </w:r>
          </w:p>
          <w:p w14:paraId="1FBAC66A" w14:textId="0D07208E"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5B5A913F" w14:textId="655A9F64"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2022</w:t>
            </w:r>
            <w:r w:rsidR="00513E34">
              <w:t>–</w:t>
            </w:r>
            <w:r w:rsidRPr="00513E34">
              <w:t>2029</w:t>
            </w:r>
          </w:p>
        </w:tc>
        <w:tc>
          <w:tcPr>
            <w:tcW w:w="1667" w:type="pct"/>
            <w:shd w:val="clear" w:color="auto" w:fill="F2F2F2" w:themeFill="background1" w:themeFillShade="F2"/>
          </w:tcPr>
          <w:p w14:paraId="3C82F554" w14:textId="19A4BA3C"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Asian Development Bank; PNG Department of Higher Education, Research, Science and Technology </w:t>
            </w:r>
          </w:p>
        </w:tc>
      </w:tr>
      <w:tr w:rsidR="0023546E" w:rsidRPr="00513E34" w14:paraId="1E2B8732"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3BD9E74" w14:textId="69E529E6"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PNG </w:t>
            </w:r>
            <w:r w:rsidR="00986AF5">
              <w:rPr>
                <w:rFonts w:asciiTheme="majorHAnsi" w:eastAsia="Times New Roman" w:hAnsiTheme="majorHAnsi" w:cstheme="majorHAnsi"/>
                <w:szCs w:val="20"/>
                <w:lang w:eastAsia="en-AU"/>
              </w:rPr>
              <w:t>Partnerships for Improving Education</w:t>
            </w:r>
          </w:p>
          <w:p w14:paraId="3686236A" w14:textId="39CC56A8"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53095BBE" w14:textId="5F60D258"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2022</w:t>
            </w:r>
            <w:r w:rsidR="00513E34">
              <w:t>–</w:t>
            </w:r>
            <w:r w:rsidRPr="00513E34">
              <w:t>2030</w:t>
            </w:r>
          </w:p>
        </w:tc>
        <w:tc>
          <w:tcPr>
            <w:tcW w:w="1667" w:type="pct"/>
            <w:shd w:val="clear" w:color="auto" w:fill="F2F2F2" w:themeFill="background1" w:themeFillShade="F2"/>
          </w:tcPr>
          <w:p w14:paraId="291177BE" w14:textId="24239A92"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PNG National Department of Education </w:t>
            </w:r>
          </w:p>
        </w:tc>
      </w:tr>
      <w:tr w:rsidR="0023546E" w:rsidRPr="00513E34" w14:paraId="74E7799F"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813F6EE" w14:textId="5D0EA8F2"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PNG Secondary Education Program </w:t>
            </w:r>
            <w:r w:rsidR="00365A5C">
              <w:rPr>
                <w:rFonts w:asciiTheme="majorHAnsi" w:eastAsia="Times New Roman" w:hAnsiTheme="majorHAnsi" w:cstheme="majorHAnsi"/>
                <w:szCs w:val="20"/>
                <w:lang w:eastAsia="en-AU"/>
              </w:rPr>
              <w:t>(</w:t>
            </w:r>
            <w:r w:rsidRPr="00513E34">
              <w:rPr>
                <w:rFonts w:asciiTheme="majorHAnsi" w:eastAsia="Times New Roman" w:hAnsiTheme="majorHAnsi" w:cstheme="majorHAnsi"/>
                <w:szCs w:val="20"/>
                <w:lang w:eastAsia="en-AU"/>
              </w:rPr>
              <w:t>under development</w:t>
            </w:r>
            <w:r w:rsidR="00365A5C">
              <w:rPr>
                <w:rFonts w:asciiTheme="majorHAnsi" w:eastAsia="Times New Roman" w:hAnsiTheme="majorHAnsi" w:cstheme="majorHAnsi"/>
                <w:szCs w:val="20"/>
                <w:lang w:eastAsia="en-AU"/>
              </w:rPr>
              <w:t>)</w:t>
            </w:r>
          </w:p>
          <w:p w14:paraId="79141104" w14:textId="1E545291"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11DDB833" w14:textId="1674374A"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2025</w:t>
            </w:r>
            <w:r w:rsidR="00513E34">
              <w:t>–</w:t>
            </w:r>
            <w:r w:rsidRPr="00513E34">
              <w:t>2029</w:t>
            </w:r>
          </w:p>
        </w:tc>
        <w:tc>
          <w:tcPr>
            <w:tcW w:w="1667" w:type="pct"/>
            <w:shd w:val="clear" w:color="auto" w:fill="F2F2F2" w:themeFill="background1" w:themeFillShade="F2"/>
          </w:tcPr>
          <w:p w14:paraId="01F025D1" w14:textId="6DD8BC0C"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PNG National Department of Education </w:t>
            </w:r>
          </w:p>
        </w:tc>
      </w:tr>
      <w:tr w:rsidR="0023546E" w:rsidRPr="00513E34" w14:paraId="4CD39D4B"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C9FF918" w14:textId="734178D2"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 xml:space="preserve">UNICEF Education Program </w:t>
            </w:r>
            <w:r w:rsidR="00365A5C">
              <w:rPr>
                <w:rFonts w:asciiTheme="majorHAnsi" w:eastAsia="Times New Roman" w:hAnsiTheme="majorHAnsi" w:cstheme="majorHAnsi"/>
                <w:szCs w:val="20"/>
                <w:lang w:eastAsia="en-AU"/>
              </w:rPr>
              <w:t>(</w:t>
            </w:r>
            <w:r w:rsidRPr="00513E34">
              <w:rPr>
                <w:rFonts w:asciiTheme="majorHAnsi" w:eastAsia="Times New Roman" w:hAnsiTheme="majorHAnsi" w:cstheme="majorHAnsi"/>
                <w:szCs w:val="20"/>
                <w:lang w:eastAsia="en-AU"/>
              </w:rPr>
              <w:t>under development</w:t>
            </w:r>
            <w:r w:rsidR="00365A5C">
              <w:rPr>
                <w:rFonts w:asciiTheme="majorHAnsi" w:eastAsia="Times New Roman" w:hAnsiTheme="majorHAnsi" w:cstheme="majorHAnsi"/>
                <w:szCs w:val="20"/>
                <w:lang w:eastAsia="en-AU"/>
              </w:rPr>
              <w:t>)</w:t>
            </w:r>
          </w:p>
          <w:p w14:paraId="27FD1D35" w14:textId="45EB1BFF"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34562F61" w14:textId="31C50FD1"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2024</w:t>
            </w:r>
            <w:r w:rsidR="00513E34">
              <w:t>–</w:t>
            </w:r>
            <w:r w:rsidRPr="00513E34">
              <w:t>2028</w:t>
            </w:r>
          </w:p>
        </w:tc>
        <w:tc>
          <w:tcPr>
            <w:tcW w:w="1667" w:type="pct"/>
            <w:shd w:val="clear" w:color="auto" w:fill="F2F2F2" w:themeFill="background1" w:themeFillShade="F2"/>
          </w:tcPr>
          <w:p w14:paraId="69646DC2" w14:textId="710E2E8E"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UNICEF; PNG National Department of Education </w:t>
            </w:r>
          </w:p>
        </w:tc>
      </w:tr>
      <w:tr w:rsidR="0023546E" w:rsidRPr="00513E34" w14:paraId="3523FC29"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6D49844" w14:textId="4A498C87" w:rsidR="006F0649" w:rsidRPr="00513E34" w:rsidRDefault="00865588"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w:t>
            </w:r>
            <w:r>
              <w:rPr>
                <w:rFonts w:asciiTheme="majorHAnsi" w:eastAsia="Times New Roman" w:hAnsiTheme="majorHAnsi" w:cstheme="majorHAnsi"/>
                <w:szCs w:val="20"/>
                <w:lang w:eastAsia="en-AU"/>
              </w:rPr>
              <w:t>–</w:t>
            </w:r>
            <w:r w:rsidR="006F0649" w:rsidRPr="00513E34">
              <w:rPr>
                <w:rFonts w:asciiTheme="majorHAnsi" w:eastAsia="Times New Roman" w:hAnsiTheme="majorHAnsi" w:cstheme="majorHAnsi"/>
                <w:szCs w:val="20"/>
                <w:lang w:eastAsia="en-AU"/>
              </w:rPr>
              <w:t>Australia Transition to Health (PATH)</w:t>
            </w:r>
          </w:p>
          <w:p w14:paraId="0887EA01" w14:textId="6D467918"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6128CF2D" w14:textId="02A1002C"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2020</w:t>
            </w:r>
            <w:r w:rsidR="00513E34">
              <w:t>–</w:t>
            </w:r>
            <w:r w:rsidRPr="00513E34">
              <w:t>2025</w:t>
            </w:r>
          </w:p>
        </w:tc>
        <w:tc>
          <w:tcPr>
            <w:tcW w:w="1667" w:type="pct"/>
            <w:shd w:val="clear" w:color="auto" w:fill="F2F2F2" w:themeFill="background1" w:themeFillShade="F2"/>
          </w:tcPr>
          <w:p w14:paraId="75A0CEA1" w14:textId="75904563" w:rsidR="006F0649" w:rsidRPr="00513E34" w:rsidRDefault="54D587CE" w:rsidP="00513E34">
            <w:pPr>
              <w:pStyle w:val="TableBodyCopy"/>
              <w:cnfStyle w:val="000000100000" w:firstRow="0" w:lastRow="0" w:firstColumn="0" w:lastColumn="0" w:oddVBand="0" w:evenVBand="0" w:oddHBand="1" w:evenHBand="0" w:firstRowFirstColumn="0" w:firstRowLastColumn="0" w:lastRowFirstColumn="0" w:lastRowLastColumn="0"/>
            </w:pPr>
            <w:r>
              <w:t xml:space="preserve">PNG National Department of Health, Western Provincial Health Authority (PHA); Western Highlands PHA; West Sepik PHA; East New Britain PHA; West New Britain PHA; </w:t>
            </w:r>
            <w:proofErr w:type="spellStart"/>
            <w:r>
              <w:t>Morobe</w:t>
            </w:r>
            <w:proofErr w:type="spellEnd"/>
            <w:r>
              <w:t xml:space="preserve"> PHA; Autonomous Region of Bougainville PHA  </w:t>
            </w:r>
          </w:p>
        </w:tc>
      </w:tr>
      <w:tr w:rsidR="0023546E" w:rsidRPr="00513E34" w14:paraId="634A81B5"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284EE75" w14:textId="3AC2EA04"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Health Service Sector Development Program (HSSDP)</w:t>
            </w:r>
          </w:p>
          <w:p w14:paraId="575BDC13" w14:textId="202EAD96"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7A16997E" w14:textId="62988061"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2018</w:t>
            </w:r>
            <w:r w:rsidR="00513E34">
              <w:t>–</w:t>
            </w:r>
            <w:r w:rsidRPr="00513E34">
              <w:t>2027</w:t>
            </w:r>
          </w:p>
        </w:tc>
        <w:tc>
          <w:tcPr>
            <w:tcW w:w="1667" w:type="pct"/>
            <w:shd w:val="clear" w:color="auto" w:fill="F2F2F2" w:themeFill="background1" w:themeFillShade="F2"/>
          </w:tcPr>
          <w:p w14:paraId="500B79BF" w14:textId="61F764FB"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Asian Development Bank; PNG Department of Health</w:t>
            </w:r>
          </w:p>
        </w:tc>
      </w:tr>
      <w:tr w:rsidR="0023546E" w:rsidRPr="00513E34" w14:paraId="2DA6E770"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20BB3FE" w14:textId="0F81FCC8"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ANGAU Hospital Redevelopment</w:t>
            </w:r>
          </w:p>
          <w:p w14:paraId="29B77ED2" w14:textId="647B0528"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7F8912E1" w14:textId="08CB3B95"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2017</w:t>
            </w:r>
            <w:r w:rsidR="00513E34">
              <w:t>–</w:t>
            </w:r>
            <w:r w:rsidRPr="00513E34">
              <w:t>2024</w:t>
            </w:r>
          </w:p>
        </w:tc>
        <w:tc>
          <w:tcPr>
            <w:tcW w:w="1667" w:type="pct"/>
            <w:shd w:val="clear" w:color="auto" w:fill="F2F2F2" w:themeFill="background1" w:themeFillShade="F2"/>
          </w:tcPr>
          <w:p w14:paraId="48A644B6" w14:textId="77B97C12"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 xml:space="preserve">PNG National Department of Health; </w:t>
            </w:r>
            <w:proofErr w:type="spellStart"/>
            <w:r w:rsidRPr="00513E34">
              <w:t>Morobe</w:t>
            </w:r>
            <w:proofErr w:type="spellEnd"/>
            <w:r w:rsidRPr="00513E34">
              <w:t xml:space="preserve"> P</w:t>
            </w:r>
            <w:r w:rsidR="00832990">
              <w:t>HA</w:t>
            </w:r>
            <w:r w:rsidRPr="00513E34">
              <w:t> </w:t>
            </w:r>
          </w:p>
        </w:tc>
      </w:tr>
      <w:tr w:rsidR="0023546E" w:rsidRPr="00513E34" w14:paraId="3910E71A"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42529F4" w14:textId="21D9C08B"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World Bank Child Nutrition and Social Protection Project</w:t>
            </w:r>
          </w:p>
          <w:p w14:paraId="778741FB" w14:textId="2DD4F98D"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1AFB3D63" w14:textId="39BC4DAB" w:rsidR="006F0649" w:rsidRPr="00513E34" w:rsidRDefault="00EE1889" w:rsidP="00513E34">
            <w:pPr>
              <w:pStyle w:val="TableBodyCopy"/>
              <w:cnfStyle w:val="000000000000" w:firstRow="0" w:lastRow="0" w:firstColumn="0" w:lastColumn="0" w:oddVBand="0" w:evenVBand="0" w:oddHBand="0" w:evenHBand="0" w:firstRowFirstColumn="0" w:firstRowLastColumn="0" w:lastRowFirstColumn="0" w:lastRowLastColumn="0"/>
            </w:pPr>
            <w:r>
              <w:t xml:space="preserve"> </w:t>
            </w:r>
            <w:r w:rsidRPr="00EE1889">
              <w:t>2021-</w:t>
            </w:r>
            <w:r>
              <w:t>20</w:t>
            </w:r>
            <w:r w:rsidRPr="00EE1889">
              <w:t>27</w:t>
            </w:r>
          </w:p>
        </w:tc>
        <w:tc>
          <w:tcPr>
            <w:tcW w:w="1667" w:type="pct"/>
            <w:shd w:val="clear" w:color="auto" w:fill="F2F2F2" w:themeFill="background1" w:themeFillShade="F2"/>
          </w:tcPr>
          <w:p w14:paraId="336EB48A" w14:textId="13BCBD87"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 xml:space="preserve">World Bank Group; PNG Department of Justice and Attorney General; </w:t>
            </w:r>
            <w:r w:rsidR="009A0514">
              <w:t xml:space="preserve">PNG </w:t>
            </w:r>
            <w:r w:rsidRPr="00513E34">
              <w:t>Department of Community Development and Religion </w:t>
            </w:r>
          </w:p>
        </w:tc>
      </w:tr>
      <w:tr w:rsidR="0023546E" w:rsidRPr="00513E34" w14:paraId="467AA089"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B766378" w14:textId="07FC634E"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 Women Lead</w:t>
            </w:r>
          </w:p>
          <w:p w14:paraId="5F2CBBBF" w14:textId="4AEA7CC6"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522B84EC" w14:textId="787A5411"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2021</w:t>
            </w:r>
            <w:r w:rsidR="00513E34">
              <w:t>–</w:t>
            </w:r>
            <w:r w:rsidRPr="00513E34">
              <w:t>2028</w:t>
            </w:r>
          </w:p>
        </w:tc>
        <w:tc>
          <w:tcPr>
            <w:tcW w:w="1667" w:type="pct"/>
            <w:shd w:val="clear" w:color="auto" w:fill="F2F2F2" w:themeFill="background1" w:themeFillShade="F2"/>
          </w:tcPr>
          <w:p w14:paraId="6A973935" w14:textId="025358A9" w:rsidR="006F0649" w:rsidRPr="00513E34" w:rsidRDefault="54D587CE" w:rsidP="00513E34">
            <w:pPr>
              <w:pStyle w:val="TableBodyCopy"/>
              <w:cnfStyle w:val="000000100000" w:firstRow="0" w:lastRow="0" w:firstColumn="0" w:lastColumn="0" w:oddVBand="0" w:evenVBand="0" w:oddHBand="1" w:evenHBand="0" w:firstRowFirstColumn="0" w:firstRowLastColumn="0" w:lastRowFirstColumn="0" w:lastRowLastColumn="0"/>
            </w:pPr>
            <w:r>
              <w:t xml:space="preserve">UN Women; PNG Department for Community Development and Religion; </w:t>
            </w:r>
            <w:r w:rsidR="4A21D0D5">
              <w:t>c</w:t>
            </w:r>
            <w:r>
              <w:t xml:space="preserve">ivil </w:t>
            </w:r>
            <w:r w:rsidR="4A21D0D5">
              <w:t>s</w:t>
            </w:r>
            <w:r>
              <w:t xml:space="preserve">ociety </w:t>
            </w:r>
            <w:r w:rsidR="4A21D0D5">
              <w:t>o</w:t>
            </w:r>
            <w:r>
              <w:t>rganisations</w:t>
            </w:r>
            <w:r w:rsidR="0053502B">
              <w:t xml:space="preserve"> run by, and for the benefit of, women and people with disability</w:t>
            </w:r>
          </w:p>
        </w:tc>
      </w:tr>
      <w:tr w:rsidR="0023546E" w:rsidRPr="00513E34" w14:paraId="5B1728E9"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51B41D5" w14:textId="527D0563"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 Disaster Risk Reduction Program</w:t>
            </w:r>
          </w:p>
          <w:p w14:paraId="6E7AEFBC" w14:textId="7351734B"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7D4BFC59" w14:textId="21449770"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2016</w:t>
            </w:r>
            <w:r w:rsidR="00513E34">
              <w:t>–</w:t>
            </w:r>
            <w:r w:rsidRPr="00513E34">
              <w:t>2025</w:t>
            </w:r>
          </w:p>
        </w:tc>
        <w:tc>
          <w:tcPr>
            <w:tcW w:w="1667" w:type="pct"/>
            <w:shd w:val="clear" w:color="auto" w:fill="F2F2F2" w:themeFill="background1" w:themeFillShade="F2"/>
          </w:tcPr>
          <w:p w14:paraId="671CE8AD" w14:textId="3204770B"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Geoscience Australia;</w:t>
            </w:r>
            <w:r w:rsidR="00BA4044">
              <w:t xml:space="preserve"> </w:t>
            </w:r>
            <w:r w:rsidRPr="00513E34">
              <w:t>PNG Department of Mineral Policy and Geohazard Management </w:t>
            </w:r>
          </w:p>
        </w:tc>
      </w:tr>
      <w:tr w:rsidR="0023546E" w:rsidRPr="00513E34" w14:paraId="61CDEE43"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90A3974" w14:textId="41EB27E5"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PNG</w:t>
            </w:r>
            <w:r w:rsidR="009A0514">
              <w:rPr>
                <w:rFonts w:asciiTheme="majorHAnsi" w:eastAsia="Times New Roman" w:hAnsiTheme="majorHAnsi" w:cstheme="majorHAnsi"/>
                <w:szCs w:val="20"/>
                <w:lang w:eastAsia="en-AU"/>
              </w:rPr>
              <w:t>–</w:t>
            </w:r>
            <w:r w:rsidRPr="00513E34">
              <w:rPr>
                <w:rFonts w:asciiTheme="majorHAnsi" w:eastAsia="Times New Roman" w:hAnsiTheme="majorHAnsi" w:cstheme="majorHAnsi"/>
                <w:szCs w:val="20"/>
                <w:lang w:eastAsia="en-AU"/>
              </w:rPr>
              <w:t>Aus</w:t>
            </w:r>
            <w:r w:rsidR="009A0514">
              <w:rPr>
                <w:rFonts w:asciiTheme="majorHAnsi" w:eastAsia="Times New Roman" w:hAnsiTheme="majorHAnsi" w:cstheme="majorHAnsi"/>
                <w:szCs w:val="20"/>
                <w:lang w:eastAsia="en-AU"/>
              </w:rPr>
              <w:t>tralia</w:t>
            </w:r>
            <w:r w:rsidRPr="00513E34">
              <w:rPr>
                <w:rFonts w:asciiTheme="majorHAnsi" w:eastAsia="Times New Roman" w:hAnsiTheme="majorHAnsi" w:cstheme="majorHAnsi"/>
                <w:szCs w:val="20"/>
                <w:lang w:eastAsia="en-AU"/>
              </w:rPr>
              <w:t xml:space="preserve"> Partnership for Disaster Risk Management</w:t>
            </w:r>
          </w:p>
          <w:p w14:paraId="7C7C8B59" w14:textId="74853C19"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50FAC952" w14:textId="7566494A"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513E34">
              <w:t>–</w:t>
            </w:r>
            <w:r w:rsidRPr="00513E34">
              <w:t>2027</w:t>
            </w:r>
          </w:p>
        </w:tc>
        <w:tc>
          <w:tcPr>
            <w:tcW w:w="1667" w:type="pct"/>
            <w:shd w:val="clear" w:color="auto" w:fill="F2F2F2" w:themeFill="background1" w:themeFillShade="F2"/>
          </w:tcPr>
          <w:p w14:paraId="400A2F86" w14:textId="7A46AD54"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Bureau of Meteorology; Geoscience Australia; PNG National Weather Service; PNG Department of Mineral Policy and Geohazard Management </w:t>
            </w:r>
          </w:p>
        </w:tc>
      </w:tr>
      <w:tr w:rsidR="0023546E" w:rsidRPr="00513E34" w14:paraId="6DFF1215"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62EB1607" w14:textId="2C4DE75D"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lastRenderedPageBreak/>
              <w:t>Australia</w:t>
            </w:r>
            <w:r w:rsidR="00E64088">
              <w:rPr>
                <w:rFonts w:asciiTheme="majorHAnsi" w:eastAsia="Times New Roman" w:hAnsiTheme="majorHAnsi" w:cstheme="majorHAnsi"/>
                <w:szCs w:val="20"/>
                <w:lang w:eastAsia="en-AU"/>
              </w:rPr>
              <w:t xml:space="preserve"> </w:t>
            </w:r>
            <w:r w:rsidR="00BA4044">
              <w:rPr>
                <w:rFonts w:asciiTheme="majorHAnsi" w:eastAsia="Times New Roman" w:hAnsiTheme="majorHAnsi" w:cstheme="majorHAnsi"/>
                <w:szCs w:val="20"/>
                <w:lang w:eastAsia="en-AU"/>
              </w:rPr>
              <w:t>–</w:t>
            </w:r>
            <w:r w:rsidR="00E64088">
              <w:rPr>
                <w:rFonts w:asciiTheme="majorHAnsi" w:eastAsia="Times New Roman" w:hAnsiTheme="majorHAnsi" w:cstheme="majorHAnsi"/>
                <w:szCs w:val="20"/>
                <w:lang w:eastAsia="en-AU"/>
              </w:rPr>
              <w:t xml:space="preserve"> </w:t>
            </w:r>
            <w:r w:rsidRPr="00513E34">
              <w:rPr>
                <w:rFonts w:asciiTheme="majorHAnsi" w:eastAsia="Times New Roman" w:hAnsiTheme="majorHAnsi" w:cstheme="majorHAnsi"/>
                <w:szCs w:val="20"/>
                <w:lang w:eastAsia="en-AU"/>
              </w:rPr>
              <w:t>Papua New Guinea Subnational Program</w:t>
            </w:r>
          </w:p>
          <w:p w14:paraId="7B63EAEF" w14:textId="1D48FD01"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4338BA60" w14:textId="43B19E5F"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2022</w:t>
            </w:r>
            <w:r w:rsidR="00513E34">
              <w:t>–</w:t>
            </w:r>
            <w:r w:rsidRPr="00513E34">
              <w:t>2026</w:t>
            </w:r>
          </w:p>
        </w:tc>
        <w:tc>
          <w:tcPr>
            <w:tcW w:w="1667" w:type="pct"/>
            <w:shd w:val="clear" w:color="auto" w:fill="F2F2F2" w:themeFill="background1" w:themeFillShade="F2"/>
          </w:tcPr>
          <w:p w14:paraId="7252CFE9" w14:textId="6274FFBD" w:rsidR="006F0649" w:rsidRPr="00513E34" w:rsidRDefault="00E52D23" w:rsidP="00513E34">
            <w:pPr>
              <w:pStyle w:val="TableBodyCopy"/>
              <w:cnfStyle w:val="000000000000" w:firstRow="0" w:lastRow="0" w:firstColumn="0" w:lastColumn="0" w:oddVBand="0" w:evenVBand="0" w:oddHBand="0" w:evenHBand="0" w:firstRowFirstColumn="0" w:firstRowLastColumn="0" w:lastRowFirstColumn="0" w:lastRowLastColumn="0"/>
            </w:pPr>
            <w:r>
              <w:t xml:space="preserve">PNG </w:t>
            </w:r>
            <w:r w:rsidR="006F0649" w:rsidRPr="00513E34">
              <w:t xml:space="preserve">Department of Provincial and Local Government Affairs; National Economic and Fiscal Commission; Provincial Administrations (Western, East and West Sepik, </w:t>
            </w:r>
            <w:proofErr w:type="spellStart"/>
            <w:r w:rsidR="006F0649" w:rsidRPr="00513E34">
              <w:t>Morobe</w:t>
            </w:r>
            <w:proofErr w:type="spellEnd"/>
            <w:r w:rsidR="006F0649" w:rsidRPr="00513E34">
              <w:t>, Western Highlands, Central and Oro); Autonomous Bougainville Government; Kokoda Track Authority; PNG Tourism Promotion Authority; PNG Conservation and Environmental Protection Authority; PNG Department of Agriculture and Livestock; PNG National Agriculture &amp; Quarantine Inspection Authority; National Museum and Art Gallery; Australian</w:t>
            </w:r>
            <w:r>
              <w:t xml:space="preserve"> Government</w:t>
            </w:r>
            <w:r w:rsidR="006F0649" w:rsidRPr="00513E34">
              <w:t xml:space="preserve"> Department of Climate Change, Energy, the Environment and Water </w:t>
            </w:r>
          </w:p>
        </w:tc>
      </w:tr>
      <w:tr w:rsidR="0023546E" w:rsidRPr="00513E34" w14:paraId="203F4A5F"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4B198D7" w14:textId="2264A4F9"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Bougainville Partnership </w:t>
            </w:r>
            <w:r w:rsidRPr="00513E34">
              <w:rPr>
                <w:rFonts w:asciiTheme="majorHAnsi" w:eastAsia="Times New Roman" w:hAnsiTheme="majorHAnsi" w:cstheme="majorHAnsi"/>
                <w:szCs w:val="20"/>
                <w:lang w:eastAsia="en-AU"/>
              </w:rPr>
              <w:br/>
              <w:t>(component of the Australia</w:t>
            </w:r>
            <w:r w:rsidR="00870546">
              <w:rPr>
                <w:rFonts w:asciiTheme="majorHAnsi" w:eastAsia="Times New Roman" w:hAnsiTheme="majorHAnsi" w:cstheme="majorHAnsi"/>
                <w:szCs w:val="20"/>
                <w:lang w:eastAsia="en-AU"/>
              </w:rPr>
              <w:t xml:space="preserve"> – </w:t>
            </w:r>
            <w:r w:rsidRPr="00513E34">
              <w:rPr>
                <w:rFonts w:asciiTheme="majorHAnsi" w:eastAsia="Times New Roman" w:hAnsiTheme="majorHAnsi" w:cstheme="majorHAnsi"/>
                <w:szCs w:val="20"/>
                <w:lang w:eastAsia="en-AU"/>
              </w:rPr>
              <w:t>Papua New Guinea Subnational Program)</w:t>
            </w:r>
          </w:p>
          <w:p w14:paraId="1473A1FB" w14:textId="014AC014"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3319D813" w14:textId="0A19B682"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2022</w:t>
            </w:r>
            <w:r w:rsidR="00513E34">
              <w:t>–</w:t>
            </w:r>
            <w:r w:rsidRPr="00513E34">
              <w:t>2026</w:t>
            </w:r>
          </w:p>
        </w:tc>
        <w:tc>
          <w:tcPr>
            <w:tcW w:w="1667" w:type="pct"/>
            <w:shd w:val="clear" w:color="auto" w:fill="F2F2F2" w:themeFill="background1" w:themeFillShade="F2"/>
          </w:tcPr>
          <w:p w14:paraId="01832C18" w14:textId="2B2C9DF5"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Autonomous Bougainville Government; PNG National Coordinati</w:t>
            </w:r>
            <w:r w:rsidR="00986AF5">
              <w:t>on</w:t>
            </w:r>
            <w:r w:rsidRPr="00513E34">
              <w:t xml:space="preserve"> Office for Bougainville Affairs; New Zealand Ministry of Foreign Affairs </w:t>
            </w:r>
          </w:p>
        </w:tc>
      </w:tr>
      <w:tr w:rsidR="0023546E" w:rsidRPr="00513E34" w14:paraId="0E5D5688"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DE480A0" w14:textId="177B48BC" w:rsidR="006F0649" w:rsidRPr="00513E34" w:rsidRDefault="006F0649" w:rsidP="006F0649">
            <w:pPr>
              <w:pStyle w:val="TableBodyCopy"/>
              <w:rPr>
                <w:rFonts w:asciiTheme="majorHAnsi" w:eastAsia="Times New Roman" w:hAnsiTheme="majorHAnsi" w:cstheme="majorHAnsi"/>
                <w:b w:val="0"/>
                <w:bCs w:val="0"/>
                <w:color w:val="000000"/>
                <w:szCs w:val="20"/>
                <w:lang w:eastAsia="en-AU"/>
              </w:rPr>
            </w:pPr>
            <w:r w:rsidRPr="00513E34">
              <w:rPr>
                <w:rFonts w:asciiTheme="majorHAnsi" w:eastAsia="Times New Roman" w:hAnsiTheme="majorHAnsi" w:cstheme="majorHAnsi"/>
                <w:color w:val="000000"/>
                <w:szCs w:val="20"/>
                <w:lang w:eastAsia="en-AU"/>
              </w:rPr>
              <w:t>PNG Climate FIRST</w:t>
            </w:r>
          </w:p>
          <w:p w14:paraId="7311D1E0" w14:textId="358A8995"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0DAD6375" w14:textId="6FA20DEA"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2024</w:t>
            </w:r>
            <w:r w:rsidR="00513E34">
              <w:t>–</w:t>
            </w:r>
            <w:r w:rsidRPr="00513E34">
              <w:t>2028</w:t>
            </w:r>
          </w:p>
        </w:tc>
        <w:tc>
          <w:tcPr>
            <w:tcW w:w="1667" w:type="pct"/>
            <w:shd w:val="clear" w:color="auto" w:fill="F2F2F2" w:themeFill="background1" w:themeFillShade="F2"/>
          </w:tcPr>
          <w:p w14:paraId="4FCD3454" w14:textId="36FCBDFF" w:rsidR="006F0649" w:rsidRPr="00513E34" w:rsidRDefault="006F064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PNG Climate Change Development Authority </w:t>
            </w:r>
          </w:p>
        </w:tc>
      </w:tr>
      <w:tr w:rsidR="0023546E" w:rsidRPr="00513E34" w14:paraId="1180F683"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FEC6BAB" w14:textId="1911C05F" w:rsidR="006F0649" w:rsidRPr="00513E34" w:rsidRDefault="006F0649" w:rsidP="006F064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Papua New Guinea Agriculture Policy Support</w:t>
            </w:r>
          </w:p>
          <w:p w14:paraId="247CF100" w14:textId="178EF102" w:rsidR="007F6ED9" w:rsidRPr="00513E34" w:rsidRDefault="007F6ED9" w:rsidP="006F064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68364352" w14:textId="590DC318"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513E34">
              <w:t>–</w:t>
            </w:r>
            <w:r w:rsidRPr="00513E34">
              <w:t>2028</w:t>
            </w:r>
          </w:p>
        </w:tc>
        <w:tc>
          <w:tcPr>
            <w:tcW w:w="1667" w:type="pct"/>
            <w:shd w:val="clear" w:color="auto" w:fill="F2F2F2" w:themeFill="background1" w:themeFillShade="F2"/>
          </w:tcPr>
          <w:p w14:paraId="04C19515" w14:textId="123956D6" w:rsidR="006F0649" w:rsidRPr="00513E34" w:rsidRDefault="006F064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International Food Policy Research Institute </w:t>
            </w:r>
          </w:p>
        </w:tc>
      </w:tr>
      <w:tr w:rsidR="0023546E" w:rsidRPr="00513E34" w14:paraId="1ED4CAEA"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4F2125BE" w14:textId="00024D9C" w:rsidR="007F6ED9" w:rsidRPr="00513E34" w:rsidRDefault="007F6ED9" w:rsidP="007F6ED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Australia Pacific Training Coalition (APTC) Phase 3 (including PNG bilateral Skills for Sub-National Growth Investment)</w:t>
            </w:r>
          </w:p>
          <w:p w14:paraId="54D1F81B" w14:textId="5E5F3B29" w:rsidR="007F6ED9" w:rsidRPr="00513E34" w:rsidRDefault="007F6ED9" w:rsidP="007F6ED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1627FDB7" w14:textId="7367FDA2" w:rsidR="007F6ED9" w:rsidRPr="00513E34" w:rsidRDefault="007F6ED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Completion</w:t>
            </w:r>
            <w:r w:rsidR="00513E34">
              <w:t xml:space="preserve"> </w:t>
            </w:r>
            <w:r w:rsidRPr="00513E34">
              <w:t>March 2025</w:t>
            </w:r>
          </w:p>
        </w:tc>
        <w:tc>
          <w:tcPr>
            <w:tcW w:w="1667" w:type="pct"/>
            <w:shd w:val="clear" w:color="auto" w:fill="F2F2F2" w:themeFill="background1" w:themeFillShade="F2"/>
          </w:tcPr>
          <w:p w14:paraId="173D1ED7" w14:textId="77754859" w:rsidR="007F6ED9" w:rsidRPr="00513E34" w:rsidRDefault="007F6ED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PNG Department of Higher Education, Research, Science and Technology; Queensland TAFE </w:t>
            </w:r>
          </w:p>
        </w:tc>
      </w:tr>
      <w:tr w:rsidR="0023546E" w:rsidRPr="00513E34" w14:paraId="68891B38"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6215B20" w14:textId="26A65C35" w:rsidR="007F6ED9" w:rsidRPr="00513E34" w:rsidRDefault="007F6ED9" w:rsidP="007F6ED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Australia’s Pacific Skills Investment</w:t>
            </w:r>
          </w:p>
          <w:p w14:paraId="50E51E3E" w14:textId="59D84970" w:rsidR="007F6ED9" w:rsidRPr="00513E34" w:rsidRDefault="007F6ED9" w:rsidP="007F6ED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00C60A24" w14:textId="572C1B85" w:rsidR="007F6ED9" w:rsidRPr="00513E34" w:rsidRDefault="007F6ED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2024</w:t>
            </w:r>
            <w:r w:rsidR="00513E34">
              <w:t>–</w:t>
            </w:r>
            <w:r w:rsidRPr="00513E34">
              <w:t>2029</w:t>
            </w:r>
          </w:p>
        </w:tc>
        <w:tc>
          <w:tcPr>
            <w:tcW w:w="1667" w:type="pct"/>
            <w:shd w:val="clear" w:color="auto" w:fill="F2F2F2" w:themeFill="background1" w:themeFillShade="F2"/>
          </w:tcPr>
          <w:p w14:paraId="487FC3D8" w14:textId="2F351D6D" w:rsidR="007F6ED9" w:rsidRPr="00513E34" w:rsidRDefault="007F6ED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[under development] </w:t>
            </w:r>
          </w:p>
        </w:tc>
      </w:tr>
      <w:tr w:rsidR="0023546E" w:rsidRPr="00513E34" w14:paraId="0EFD166F"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AF3F9B8" w14:textId="522894FB" w:rsidR="007F6ED9" w:rsidRPr="00513E34" w:rsidRDefault="007F6ED9" w:rsidP="007F6ED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Australian NGO Cooperation Program (ANCP)</w:t>
            </w:r>
          </w:p>
          <w:p w14:paraId="2CC19D33" w14:textId="651C77D2" w:rsidR="007F6ED9" w:rsidRPr="00513E34" w:rsidRDefault="007F6ED9" w:rsidP="007F6ED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1AB88AF7" w14:textId="79E84EF3" w:rsidR="007F6ED9" w:rsidRPr="00513E34" w:rsidRDefault="007F6ED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2023</w:t>
            </w:r>
            <w:r w:rsidR="00513E34">
              <w:t>–</w:t>
            </w:r>
            <w:r w:rsidR="00D30553">
              <w:t>20</w:t>
            </w:r>
            <w:r w:rsidRPr="00513E34">
              <w:t>24</w:t>
            </w:r>
          </w:p>
        </w:tc>
        <w:tc>
          <w:tcPr>
            <w:tcW w:w="1667" w:type="pct"/>
            <w:shd w:val="clear" w:color="auto" w:fill="F2F2F2" w:themeFill="background1" w:themeFillShade="F2"/>
          </w:tcPr>
          <w:p w14:paraId="34B7EC9D" w14:textId="3D625980" w:rsidR="007F6ED9" w:rsidRPr="00513E34" w:rsidRDefault="007F6ED9" w:rsidP="00513E34">
            <w:pPr>
              <w:pStyle w:val="TableBodyCopy"/>
              <w:cnfStyle w:val="000000000000" w:firstRow="0" w:lastRow="0" w:firstColumn="0" w:lastColumn="0" w:oddVBand="0" w:evenVBand="0" w:oddHBand="0" w:evenHBand="0" w:firstRowFirstColumn="0" w:firstRowLastColumn="0" w:lastRowFirstColumn="0" w:lastRowLastColumn="0"/>
            </w:pPr>
            <w:r w:rsidRPr="00513E34">
              <w:t>Australian NGOs</w:t>
            </w:r>
            <w:r w:rsidR="00E52D23">
              <w:t>;</w:t>
            </w:r>
            <w:r w:rsidRPr="00513E34">
              <w:t xml:space="preserve"> </w:t>
            </w:r>
            <w:r w:rsidR="006C6E2C">
              <w:t xml:space="preserve">PNG </w:t>
            </w:r>
            <w:r w:rsidRPr="00513E34">
              <w:t>Provincial Health Authorities </w:t>
            </w:r>
          </w:p>
        </w:tc>
      </w:tr>
      <w:tr w:rsidR="0023546E" w:rsidRPr="00513E34" w14:paraId="72A243CF"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3DEDC6A2" w14:textId="011068A8" w:rsidR="007F6ED9" w:rsidRPr="00513E34" w:rsidRDefault="007F6ED9" w:rsidP="007F6ED9">
            <w:pPr>
              <w:pStyle w:val="TableBodyCopy"/>
              <w:rPr>
                <w:rFonts w:asciiTheme="majorHAnsi" w:eastAsia="Times New Roman" w:hAnsiTheme="majorHAnsi" w:cstheme="majorHAnsi"/>
                <w:b w:val="0"/>
                <w:bCs w:val="0"/>
                <w:szCs w:val="20"/>
                <w:lang w:eastAsia="en-AU"/>
              </w:rPr>
            </w:pPr>
            <w:r w:rsidRPr="00513E34">
              <w:rPr>
                <w:rFonts w:asciiTheme="majorHAnsi" w:eastAsia="Times New Roman" w:hAnsiTheme="majorHAnsi" w:cstheme="majorHAnsi"/>
                <w:szCs w:val="20"/>
                <w:lang w:eastAsia="en-AU"/>
              </w:rPr>
              <w:t>Australian Centre for International Agricultural Research (ACIAR)</w:t>
            </w:r>
          </w:p>
          <w:p w14:paraId="1EA30173" w14:textId="04DB6626" w:rsidR="007F6ED9" w:rsidRPr="00513E34" w:rsidRDefault="007F6ED9" w:rsidP="007F6ED9">
            <w:pPr>
              <w:pStyle w:val="TableBodyCopy"/>
              <w:rPr>
                <w:rFonts w:asciiTheme="majorHAnsi" w:hAnsiTheme="majorHAnsi" w:cstheme="majorHAnsi"/>
                <w:szCs w:val="20"/>
              </w:rPr>
            </w:pPr>
            <w:r w:rsidRPr="00513E34">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6E7B4FD9" w14:textId="6D8BB0BF" w:rsidR="007F6ED9" w:rsidRPr="00513E34" w:rsidRDefault="006C6E2C" w:rsidP="00513E34">
            <w:pPr>
              <w:pStyle w:val="TableBodyCopy"/>
              <w:cnfStyle w:val="000000100000" w:firstRow="0" w:lastRow="0" w:firstColumn="0" w:lastColumn="0" w:oddVBand="0" w:evenVBand="0" w:oddHBand="1" w:evenHBand="0" w:firstRowFirstColumn="0" w:firstRowLastColumn="0" w:lastRowFirstColumn="0" w:lastRowLastColumn="0"/>
            </w:pPr>
            <w:r>
              <w:t>O</w:t>
            </w:r>
            <w:r w:rsidRPr="00513E34">
              <w:t>ngoing</w:t>
            </w:r>
          </w:p>
        </w:tc>
        <w:tc>
          <w:tcPr>
            <w:tcW w:w="1667" w:type="pct"/>
            <w:shd w:val="clear" w:color="auto" w:fill="F2F2F2" w:themeFill="background1" w:themeFillShade="F2"/>
          </w:tcPr>
          <w:p w14:paraId="0BB32515" w14:textId="1FF4CF34" w:rsidR="007F6ED9" w:rsidRPr="00513E34" w:rsidRDefault="007F6ED9"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Centre for International Agricultural Research Projects </w:t>
            </w:r>
          </w:p>
        </w:tc>
      </w:tr>
    </w:tbl>
    <w:p w14:paraId="08A2C175" w14:textId="306D3DA5" w:rsidR="00174DE9" w:rsidRDefault="00636C8B" w:rsidP="00E90562">
      <w:pPr>
        <w:keepNext/>
        <w:rPr>
          <w:lang w:eastAsia="en-AU"/>
        </w:rPr>
      </w:pPr>
      <w:r>
        <w:rPr>
          <w:lang w:eastAsia="en-AU"/>
        </w:rPr>
        <w:lastRenderedPageBreak/>
        <w:t>Australian Government</w:t>
      </w:r>
      <w:r w:rsidR="00174DE9" w:rsidRPr="413282F0">
        <w:rPr>
          <w:lang w:eastAsia="en-AU"/>
        </w:rPr>
        <w:t xml:space="preserve"> supporting investments for Objective </w:t>
      </w:r>
      <w:r w:rsidR="00174DE9">
        <w:rPr>
          <w:lang w:eastAsia="en-AU"/>
        </w:rPr>
        <w:t>4</w:t>
      </w:r>
      <w:r w:rsidR="00743CF9">
        <w:rPr>
          <w:lang w:eastAsia="en-AU"/>
        </w:rPr>
        <w:t xml:space="preserve"> </w:t>
      </w:r>
      <w:r w:rsidR="00DE0B32">
        <w:rPr>
          <w:lang w:eastAsia="en-AU"/>
        </w:rPr>
        <w:t xml:space="preserve">– Building close friendships and enduring ties </w:t>
      </w:r>
      <w:r w:rsidR="00743CF9" w:rsidRPr="413282F0">
        <w:rPr>
          <w:lang w:eastAsia="en-AU"/>
        </w:rPr>
        <w:t>(</w:t>
      </w:r>
      <w:r w:rsidR="00743CF9">
        <w:rPr>
          <w:lang w:eastAsia="en-AU"/>
        </w:rPr>
        <w:t>b</w:t>
      </w:r>
      <w:r w:rsidR="00743CF9" w:rsidRPr="413282F0">
        <w:rPr>
          <w:lang w:eastAsia="en-AU"/>
        </w:rPr>
        <w:t>ilateral</w:t>
      </w:r>
      <w:r w:rsidR="00743CF9">
        <w:rPr>
          <w:lang w:eastAsia="en-AU"/>
        </w:rPr>
        <w:t xml:space="preserve"> ODA as well as significant</w:t>
      </w:r>
      <w:r w:rsidR="00743CF9" w:rsidRPr="413282F0">
        <w:rPr>
          <w:lang w:eastAsia="en-AU"/>
        </w:rPr>
        <w:t xml:space="preserve"> regional and global </w:t>
      </w:r>
      <w:r w:rsidR="00743CF9">
        <w:rPr>
          <w:lang w:eastAsia="en-AU"/>
        </w:rPr>
        <w:t xml:space="preserve">ODA, and significant non-ODA development </w:t>
      </w:r>
      <w:r w:rsidR="00743CF9" w:rsidRPr="413282F0">
        <w:rPr>
          <w:lang w:eastAsia="en-AU"/>
        </w:rPr>
        <w:t>investments</w:t>
      </w:r>
      <w:r w:rsidR="00743CF9">
        <w:rPr>
          <w:lang w:eastAsia="en-AU"/>
        </w:rPr>
        <w:t>/activities</w:t>
      </w:r>
      <w:r w:rsidR="00743CF9" w:rsidRPr="413282F0">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4"/>
        <w:tblDescription w:val="Investments and activities, duration and key partners&#10;"/>
      </w:tblPr>
      <w:tblGrid>
        <w:gridCol w:w="3398"/>
        <w:gridCol w:w="3399"/>
        <w:gridCol w:w="3397"/>
      </w:tblGrid>
      <w:tr w:rsidR="00174DE9" w14:paraId="6E126188" w14:textId="77777777" w:rsidTr="003619E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66E45F46" w14:textId="69E2B835" w:rsidR="00174DE9" w:rsidRPr="00967711" w:rsidRDefault="00174DE9" w:rsidP="00C92E9B">
            <w:pPr>
              <w:pStyle w:val="TableHeading"/>
            </w:pPr>
            <w:r w:rsidRPr="00967711">
              <w:t xml:space="preserve">Name of </w:t>
            </w:r>
            <w:r w:rsidR="00150C3E">
              <w:t>i</w:t>
            </w:r>
            <w:r w:rsidRPr="00967711">
              <w:t>nvestment</w:t>
            </w:r>
            <w:r w:rsidR="00150C3E">
              <w:t>/activity</w:t>
            </w:r>
          </w:p>
        </w:tc>
        <w:tc>
          <w:tcPr>
            <w:tcW w:w="1667" w:type="pct"/>
          </w:tcPr>
          <w:p w14:paraId="6227DBFE" w14:textId="77777777" w:rsidR="00174DE9" w:rsidRPr="00967711" w:rsidRDefault="00174DE9" w:rsidP="00C92E9B">
            <w:pPr>
              <w:pStyle w:val="TableHeading"/>
              <w:cnfStyle w:val="100000000000" w:firstRow="1" w:lastRow="0" w:firstColumn="0" w:lastColumn="0" w:oddVBand="0" w:evenVBand="0" w:oddHBand="0" w:evenHBand="0" w:firstRowFirstColumn="0" w:firstRowLastColumn="0" w:lastRowFirstColumn="0" w:lastRowLastColumn="0"/>
            </w:pPr>
            <w:r w:rsidRPr="00967711">
              <w:t>Duration</w:t>
            </w:r>
          </w:p>
        </w:tc>
        <w:tc>
          <w:tcPr>
            <w:tcW w:w="1667" w:type="pct"/>
          </w:tcPr>
          <w:p w14:paraId="2E2F77C4" w14:textId="77777777" w:rsidR="00174DE9" w:rsidRPr="00967711" w:rsidRDefault="00174DE9" w:rsidP="00C92E9B">
            <w:pPr>
              <w:pStyle w:val="TableHeading"/>
              <w:cnfStyle w:val="100000000000" w:firstRow="1" w:lastRow="0" w:firstColumn="0" w:lastColumn="0" w:oddVBand="0" w:evenVBand="0" w:oddHBand="0" w:evenHBand="0" w:firstRowFirstColumn="0" w:firstRowLastColumn="0" w:lastRowFirstColumn="0" w:lastRowLastColumn="0"/>
            </w:pPr>
            <w:r w:rsidRPr="00967711">
              <w:t>Key partners</w:t>
            </w:r>
          </w:p>
        </w:tc>
      </w:tr>
      <w:tr w:rsidR="0023546E" w14:paraId="020C166E"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3E5EB8A" w14:textId="58AB3293" w:rsidR="00AB7D08" w:rsidRPr="00155058" w:rsidRDefault="003407D3" w:rsidP="00AB7D08">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Papua New Guinea</w:t>
            </w:r>
            <w:r w:rsidR="00AB4A89" w:rsidRPr="00155058">
              <w:rPr>
                <w:rFonts w:asciiTheme="majorHAnsi" w:eastAsia="Times New Roman" w:hAnsiTheme="majorHAnsi" w:cstheme="majorHAnsi"/>
                <w:lang w:eastAsia="en-AU"/>
              </w:rPr>
              <w:t xml:space="preserve"> Institutional Partnerships Program (PIPP)</w:t>
            </w:r>
          </w:p>
          <w:p w14:paraId="52349B9C" w14:textId="74142E0E" w:rsidR="00AB7D08" w:rsidRDefault="00AB7D08" w:rsidP="00AB7D08">
            <w:pPr>
              <w:pStyle w:val="TableBodyCopy"/>
            </w:pPr>
            <w:r w:rsidRPr="006C6E2C">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47429D97" w14:textId="3AC00F23" w:rsidR="00AB7D08" w:rsidRDefault="00AB7D08" w:rsidP="00513E34">
            <w:pPr>
              <w:pStyle w:val="TableBodyCopy"/>
              <w:cnfStyle w:val="000000100000" w:firstRow="0" w:lastRow="0" w:firstColumn="0" w:lastColumn="0" w:oddVBand="0" w:evenVBand="0" w:oddHBand="1" w:evenHBand="0" w:firstRowFirstColumn="0" w:firstRowLastColumn="0" w:lastRowFirstColumn="0" w:lastRowLastColumn="0"/>
            </w:pPr>
            <w:r w:rsidRPr="0063587D">
              <w:rPr>
                <w:lang w:eastAsia="en-AU"/>
              </w:rPr>
              <w:t>2022</w:t>
            </w:r>
            <w:r w:rsidR="00D30553">
              <w:rPr>
                <w:lang w:eastAsia="en-AU"/>
              </w:rPr>
              <w:t>–</w:t>
            </w:r>
            <w:r w:rsidRPr="0063587D">
              <w:rPr>
                <w:lang w:eastAsia="en-AU"/>
              </w:rPr>
              <w:t>2026</w:t>
            </w:r>
          </w:p>
        </w:tc>
        <w:tc>
          <w:tcPr>
            <w:tcW w:w="1667" w:type="pct"/>
            <w:shd w:val="clear" w:color="auto" w:fill="F2F2F2" w:themeFill="background1" w:themeFillShade="F2"/>
          </w:tcPr>
          <w:p w14:paraId="61A4959A" w14:textId="3BEAE95D" w:rsidR="00AB7D08" w:rsidRDefault="00AB7D08" w:rsidP="00513E34">
            <w:pPr>
              <w:pStyle w:val="TableBodyCopy"/>
              <w:cnfStyle w:val="000000100000" w:firstRow="0" w:lastRow="0" w:firstColumn="0" w:lastColumn="0" w:oddVBand="0" w:evenVBand="0" w:oddHBand="1" w:evenHBand="0" w:firstRowFirstColumn="0" w:firstRowLastColumn="0" w:lastRowFirstColumn="0" w:lastRowLastColumn="0"/>
            </w:pPr>
            <w:r w:rsidRPr="0063587D">
              <w:rPr>
                <w:lang w:eastAsia="en-AU"/>
              </w:rPr>
              <w:t xml:space="preserve">Australian Bureau of Statistics; Australian National Audit Office; Australian Taxation Office; Australian </w:t>
            </w:r>
            <w:r w:rsidR="00AC73C8">
              <w:rPr>
                <w:lang w:eastAsia="en-AU"/>
              </w:rPr>
              <w:t xml:space="preserve">Government </w:t>
            </w:r>
            <w:r w:rsidRPr="0063587D">
              <w:rPr>
                <w:lang w:eastAsia="en-AU"/>
              </w:rPr>
              <w:t xml:space="preserve">Department of Finance; Australian </w:t>
            </w:r>
            <w:r w:rsidR="00AC73C8">
              <w:rPr>
                <w:lang w:eastAsia="en-AU"/>
              </w:rPr>
              <w:t xml:space="preserve">Government Department of </w:t>
            </w:r>
            <w:r w:rsidRPr="0063587D">
              <w:rPr>
                <w:lang w:eastAsia="en-AU"/>
              </w:rPr>
              <w:t xml:space="preserve">Treasury; Australian </w:t>
            </w:r>
            <w:r w:rsidR="00AC73C8">
              <w:rPr>
                <w:lang w:eastAsia="en-AU"/>
              </w:rPr>
              <w:t xml:space="preserve">Government </w:t>
            </w:r>
            <w:r w:rsidRPr="0063587D">
              <w:rPr>
                <w:lang w:eastAsia="en-AU"/>
              </w:rPr>
              <w:t>Attorney</w:t>
            </w:r>
            <w:r w:rsidR="00E12641">
              <w:rPr>
                <w:lang w:eastAsia="en-AU"/>
              </w:rPr>
              <w:t>-</w:t>
            </w:r>
            <w:r w:rsidRPr="0063587D">
              <w:rPr>
                <w:lang w:eastAsia="en-AU"/>
              </w:rPr>
              <w:t>General’s Department; Australian Department of Home Affairs; Australian Public Service Commission; Australian Department of the Prime Minister and Cabinet</w:t>
            </w:r>
            <w:r w:rsidR="00AC73C8">
              <w:rPr>
                <w:lang w:eastAsia="en-AU"/>
              </w:rPr>
              <w:t xml:space="preserve">; </w:t>
            </w:r>
            <w:r w:rsidRPr="0063587D">
              <w:rPr>
                <w:lang w:eastAsia="en-AU"/>
              </w:rPr>
              <w:t>PNG Auditor General’s Office</w:t>
            </w:r>
            <w:r w:rsidR="00AC73C8">
              <w:rPr>
                <w:lang w:eastAsia="en-AU"/>
              </w:rPr>
              <w:t>;</w:t>
            </w:r>
            <w:r w:rsidRPr="0063587D">
              <w:rPr>
                <w:lang w:eastAsia="en-AU"/>
              </w:rPr>
              <w:t xml:space="preserve"> PNG Customs</w:t>
            </w:r>
            <w:r w:rsidR="00AC73C8">
              <w:rPr>
                <w:lang w:eastAsia="en-AU"/>
              </w:rPr>
              <w:t>;</w:t>
            </w:r>
            <w:r w:rsidRPr="0063587D">
              <w:rPr>
                <w:lang w:eastAsia="en-AU"/>
              </w:rPr>
              <w:t xml:space="preserve"> PNG Department of Justice </w:t>
            </w:r>
            <w:r w:rsidR="008060E1">
              <w:rPr>
                <w:lang w:eastAsia="en-AU"/>
              </w:rPr>
              <w:t>and</w:t>
            </w:r>
            <w:r w:rsidRPr="0063587D">
              <w:rPr>
                <w:lang w:eastAsia="en-AU"/>
              </w:rPr>
              <w:t xml:space="preserve"> Attorney General</w:t>
            </w:r>
            <w:r w:rsidR="00AC73C8">
              <w:rPr>
                <w:lang w:eastAsia="en-AU"/>
              </w:rPr>
              <w:t>;</w:t>
            </w:r>
            <w:r w:rsidRPr="0063587D">
              <w:rPr>
                <w:lang w:eastAsia="en-AU"/>
              </w:rPr>
              <w:t xml:space="preserve"> PNG Department of Personnel Management</w:t>
            </w:r>
            <w:r w:rsidR="00AC73C8">
              <w:rPr>
                <w:lang w:eastAsia="en-AU"/>
              </w:rPr>
              <w:t>;</w:t>
            </w:r>
            <w:r w:rsidRPr="0063587D">
              <w:rPr>
                <w:lang w:eastAsia="en-AU"/>
              </w:rPr>
              <w:t xml:space="preserve"> PNG Department of Finance</w:t>
            </w:r>
            <w:r w:rsidR="00AC73C8">
              <w:rPr>
                <w:lang w:eastAsia="en-AU"/>
              </w:rPr>
              <w:t>;</w:t>
            </w:r>
            <w:r w:rsidRPr="0063587D">
              <w:rPr>
                <w:lang w:eastAsia="en-AU"/>
              </w:rPr>
              <w:t xml:space="preserve"> PNG Immigration </w:t>
            </w:r>
            <w:r w:rsidR="00AC73C8">
              <w:rPr>
                <w:lang w:eastAsia="en-AU"/>
              </w:rPr>
              <w:t>and</w:t>
            </w:r>
            <w:r w:rsidR="00AC73C8" w:rsidRPr="0063587D">
              <w:rPr>
                <w:lang w:eastAsia="en-AU"/>
              </w:rPr>
              <w:t xml:space="preserve"> </w:t>
            </w:r>
            <w:r w:rsidRPr="0063587D">
              <w:rPr>
                <w:lang w:eastAsia="en-AU"/>
              </w:rPr>
              <w:t>Citizenship Authority</w:t>
            </w:r>
            <w:r w:rsidR="00AC73C8">
              <w:rPr>
                <w:lang w:eastAsia="en-AU"/>
              </w:rPr>
              <w:t>;</w:t>
            </w:r>
            <w:r w:rsidRPr="0063587D">
              <w:rPr>
                <w:lang w:eastAsia="en-AU"/>
              </w:rPr>
              <w:t xml:space="preserve"> PNG Internal Revenue Commission</w:t>
            </w:r>
            <w:r w:rsidR="00AC73C8">
              <w:rPr>
                <w:lang w:eastAsia="en-AU"/>
              </w:rPr>
              <w:t>;</w:t>
            </w:r>
            <w:r w:rsidR="00AC73C8" w:rsidRPr="0063587D">
              <w:rPr>
                <w:lang w:eastAsia="en-AU"/>
              </w:rPr>
              <w:t xml:space="preserve"> </w:t>
            </w:r>
            <w:r w:rsidRPr="0063587D">
              <w:rPr>
                <w:lang w:eastAsia="en-AU"/>
              </w:rPr>
              <w:t>PNG National Statistical Office</w:t>
            </w:r>
            <w:r w:rsidR="00AC73C8">
              <w:rPr>
                <w:lang w:eastAsia="en-AU"/>
              </w:rPr>
              <w:t>;</w:t>
            </w:r>
            <w:r w:rsidR="00AC73C8" w:rsidRPr="0063587D">
              <w:rPr>
                <w:lang w:eastAsia="en-AU"/>
              </w:rPr>
              <w:t xml:space="preserve"> </w:t>
            </w:r>
            <w:r w:rsidRPr="0063587D">
              <w:rPr>
                <w:lang w:eastAsia="en-AU"/>
              </w:rPr>
              <w:t>PNG Prime Minister and National Executive Council</w:t>
            </w:r>
            <w:r w:rsidR="00AC73C8">
              <w:rPr>
                <w:lang w:eastAsia="en-AU"/>
              </w:rPr>
              <w:t>;</w:t>
            </w:r>
            <w:r w:rsidR="00AC73C8" w:rsidRPr="0063587D">
              <w:rPr>
                <w:lang w:eastAsia="en-AU"/>
              </w:rPr>
              <w:t xml:space="preserve"> </w:t>
            </w:r>
            <w:r w:rsidRPr="0063587D">
              <w:rPr>
                <w:lang w:eastAsia="en-AU"/>
              </w:rPr>
              <w:t>PNG Department of Treasury </w:t>
            </w:r>
          </w:p>
        </w:tc>
      </w:tr>
      <w:tr w:rsidR="0023546E" w14:paraId="634787BA"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FDCDDC6" w14:textId="3E075812" w:rsidR="00AB7D08" w:rsidRPr="00155058" w:rsidRDefault="00AB7D08" w:rsidP="00AB7D08">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Australia Awards Papua New Guinea</w:t>
            </w:r>
          </w:p>
          <w:p w14:paraId="24C53981" w14:textId="38BC09AA" w:rsidR="00AB7D08" w:rsidRPr="00155058" w:rsidRDefault="00AB7D08" w:rsidP="00AB7D08">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3D3BBE8A" w14:textId="3ACA88B9" w:rsidR="00AB7D08" w:rsidRPr="00513E34" w:rsidRDefault="00AB7D08"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2023</w:t>
            </w:r>
            <w:r w:rsidR="00D30553">
              <w:t>–</w:t>
            </w:r>
            <w:r w:rsidRPr="00513E34">
              <w:t>2033</w:t>
            </w:r>
          </w:p>
        </w:tc>
        <w:tc>
          <w:tcPr>
            <w:tcW w:w="1667" w:type="pct"/>
            <w:shd w:val="clear" w:color="auto" w:fill="F2F2F2" w:themeFill="background1" w:themeFillShade="F2"/>
          </w:tcPr>
          <w:p w14:paraId="38099936" w14:textId="05BAB96F" w:rsidR="00AB7D08" w:rsidRPr="00513E34" w:rsidRDefault="00AB7D08" w:rsidP="00513E34">
            <w:pPr>
              <w:pStyle w:val="TableBodyCopy"/>
              <w:cnfStyle w:val="000000000000" w:firstRow="0" w:lastRow="0" w:firstColumn="0" w:lastColumn="0" w:oddVBand="0" w:evenVBand="0" w:oddHBand="0" w:evenHBand="0" w:firstRowFirstColumn="0" w:firstRowLastColumn="0" w:lastRowFirstColumn="0" w:lastRowLastColumn="0"/>
            </w:pPr>
            <w:r w:rsidRPr="00513E34">
              <w:t>Australian and PNG education institutions </w:t>
            </w:r>
          </w:p>
        </w:tc>
      </w:tr>
      <w:tr w:rsidR="0023546E" w14:paraId="2377A6E8"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5A3087FF" w14:textId="06EC076A" w:rsidR="00AB7D08" w:rsidRPr="00155058" w:rsidRDefault="00AB7D08" w:rsidP="00AB7D08">
            <w:pPr>
              <w:pStyle w:val="TableBodyCopy"/>
              <w:rPr>
                <w:rFonts w:asciiTheme="majorHAnsi" w:eastAsia="Times New Roman" w:hAnsiTheme="majorHAnsi" w:cstheme="majorHAnsi"/>
                <w:b w:val="0"/>
                <w:bCs w:val="0"/>
                <w:lang w:eastAsia="en-AU"/>
              </w:rPr>
            </w:pPr>
            <w:r w:rsidRPr="00AC73C8">
              <w:rPr>
                <w:rFonts w:ascii="Calibri" w:eastAsia="Times New Roman" w:hAnsi="Calibri" w:cs="Calibri"/>
                <w:lang w:eastAsia="en-AU"/>
              </w:rPr>
              <w:t xml:space="preserve">PNG </w:t>
            </w:r>
            <w:r w:rsidRPr="00155058">
              <w:rPr>
                <w:rFonts w:asciiTheme="majorHAnsi" w:eastAsia="Times New Roman" w:hAnsiTheme="majorHAnsi" w:cstheme="majorHAnsi"/>
                <w:lang w:eastAsia="en-AU"/>
              </w:rPr>
              <w:t>Kokoda Program</w:t>
            </w:r>
          </w:p>
          <w:p w14:paraId="48696D42" w14:textId="00D970D4" w:rsidR="00AB7D08" w:rsidRPr="00155058" w:rsidRDefault="00AB7D08" w:rsidP="00AB7D08">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0F914F53" w14:textId="27E517B2" w:rsidR="00AB7D08" w:rsidRPr="00513E34" w:rsidRDefault="00AB7D08"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2022</w:t>
            </w:r>
            <w:r w:rsidR="00D30553">
              <w:t>–</w:t>
            </w:r>
            <w:r w:rsidRPr="00513E34">
              <w:t>2026</w:t>
            </w:r>
          </w:p>
        </w:tc>
        <w:tc>
          <w:tcPr>
            <w:tcW w:w="1667" w:type="pct"/>
            <w:shd w:val="clear" w:color="auto" w:fill="F2F2F2" w:themeFill="background1" w:themeFillShade="F2"/>
          </w:tcPr>
          <w:p w14:paraId="549CEE87" w14:textId="1ACAC542" w:rsidR="00AB7D08" w:rsidRPr="00513E34" w:rsidRDefault="00AB7D08" w:rsidP="00513E34">
            <w:pPr>
              <w:pStyle w:val="TableBodyCopy"/>
              <w:cnfStyle w:val="000000100000" w:firstRow="0" w:lastRow="0" w:firstColumn="0" w:lastColumn="0" w:oddVBand="0" w:evenVBand="0" w:oddHBand="1" w:evenHBand="0" w:firstRowFirstColumn="0" w:firstRowLastColumn="0" w:lastRowFirstColumn="0" w:lastRowLastColumn="0"/>
            </w:pPr>
            <w:r w:rsidRPr="00513E34">
              <w:t>Oro Provincial Authority; Kokoda Track Authority; PNG Tourism Promotion Authority</w:t>
            </w:r>
          </w:p>
        </w:tc>
      </w:tr>
      <w:tr w:rsidR="0023546E" w14:paraId="5A250973"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B01C94F" w14:textId="0628E762" w:rsidR="004A27E1" w:rsidRPr="00155058" w:rsidRDefault="004A27E1" w:rsidP="004A27E1">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DFAT P</w:t>
            </w:r>
            <w:r w:rsidR="008866B4" w:rsidRPr="00155058">
              <w:rPr>
                <w:rFonts w:asciiTheme="majorHAnsi" w:eastAsia="Times New Roman" w:hAnsiTheme="majorHAnsi" w:cstheme="majorHAnsi"/>
                <w:lang w:eastAsia="en-AU"/>
              </w:rPr>
              <w:t>ALM</w:t>
            </w:r>
            <w:r w:rsidRPr="00155058">
              <w:rPr>
                <w:rFonts w:asciiTheme="majorHAnsi" w:eastAsia="Times New Roman" w:hAnsiTheme="majorHAnsi" w:cstheme="majorHAnsi"/>
                <w:lang w:eastAsia="en-AU"/>
              </w:rPr>
              <w:t xml:space="preserve"> Support Program [New investment for 2023 - 2028 is under development]</w:t>
            </w:r>
          </w:p>
          <w:p w14:paraId="7FA0CA91" w14:textId="19125AB9"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5688244C" w14:textId="0BF85554"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2024</w:t>
            </w:r>
          </w:p>
        </w:tc>
        <w:tc>
          <w:tcPr>
            <w:tcW w:w="1667" w:type="pct"/>
            <w:shd w:val="clear" w:color="auto" w:fill="F2F2F2" w:themeFill="background1" w:themeFillShade="F2"/>
          </w:tcPr>
          <w:p w14:paraId="3FE548C2" w14:textId="7A2ADC42"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PNG Department of Treasury </w:t>
            </w:r>
          </w:p>
        </w:tc>
      </w:tr>
      <w:tr w:rsidR="0023546E" w14:paraId="7CA1BCFD"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C6D138B" w14:textId="6A414EAD" w:rsidR="004A27E1" w:rsidRPr="00155058" w:rsidRDefault="004A27E1" w:rsidP="004A27E1">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Australian Sports Partnerships Program Phase 2 (Team Up)</w:t>
            </w:r>
          </w:p>
          <w:p w14:paraId="145950DA" w14:textId="1C9BD9D2"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417F7FC1" w14:textId="667425E7" w:rsidR="004A27E1" w:rsidRPr="00513E34" w:rsidRDefault="004A27E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D30553">
              <w:t>–</w:t>
            </w:r>
            <w:r w:rsidRPr="00513E34">
              <w:t>2025</w:t>
            </w:r>
          </w:p>
        </w:tc>
        <w:tc>
          <w:tcPr>
            <w:tcW w:w="1667" w:type="pct"/>
            <w:shd w:val="clear" w:color="auto" w:fill="F2F2F2" w:themeFill="background1" w:themeFillShade="F2"/>
          </w:tcPr>
          <w:p w14:paraId="5354F0AB" w14:textId="0795D3FB" w:rsidR="004A27E1" w:rsidRPr="00513E34" w:rsidRDefault="004A27E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 xml:space="preserve">PNG </w:t>
            </w:r>
            <w:r w:rsidR="00AC73C8">
              <w:t>n</w:t>
            </w:r>
            <w:r w:rsidRPr="00513E34">
              <w:t xml:space="preserve">ational </w:t>
            </w:r>
            <w:r w:rsidR="00AC73C8">
              <w:t>s</w:t>
            </w:r>
            <w:r w:rsidRPr="00513E34">
              <w:t xml:space="preserve">ports </w:t>
            </w:r>
            <w:r w:rsidR="00AC73C8">
              <w:t>o</w:t>
            </w:r>
            <w:r w:rsidRPr="00513E34">
              <w:t>rganisations; Kokoda Track Foundation </w:t>
            </w:r>
          </w:p>
        </w:tc>
      </w:tr>
      <w:tr w:rsidR="0023546E" w14:paraId="2E96E849"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0D417349" w14:textId="74ADE96E" w:rsidR="004A27E1" w:rsidRPr="00155058" w:rsidRDefault="004A27E1" w:rsidP="004A27E1">
            <w:pPr>
              <w:pStyle w:val="TableBodyCopy"/>
              <w:rPr>
                <w:rFonts w:asciiTheme="majorHAnsi" w:eastAsia="Times New Roman" w:hAnsiTheme="majorHAnsi" w:cstheme="majorHAnsi"/>
                <w:b w:val="0"/>
                <w:bCs w:val="0"/>
                <w:lang w:eastAsia="en-AU"/>
              </w:rPr>
            </w:pPr>
            <w:proofErr w:type="spellStart"/>
            <w:r w:rsidRPr="00155058">
              <w:rPr>
                <w:rFonts w:asciiTheme="majorHAnsi" w:eastAsia="Times New Roman" w:hAnsiTheme="majorHAnsi" w:cstheme="majorHAnsi"/>
                <w:lang w:eastAsia="en-AU"/>
              </w:rPr>
              <w:t>PacificAus</w:t>
            </w:r>
            <w:proofErr w:type="spellEnd"/>
            <w:r w:rsidRPr="00155058">
              <w:rPr>
                <w:rFonts w:asciiTheme="majorHAnsi" w:eastAsia="Times New Roman" w:hAnsiTheme="majorHAnsi" w:cstheme="majorHAnsi"/>
                <w:lang w:eastAsia="en-AU"/>
              </w:rPr>
              <w:t xml:space="preserve"> Sports partnerships (Pacific)</w:t>
            </w:r>
          </w:p>
          <w:p w14:paraId="070CBEE8" w14:textId="694CCF76"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0F047837" w14:textId="4EE1286E"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2019</w:t>
            </w:r>
            <w:r w:rsidR="00D30553">
              <w:t>–</w:t>
            </w:r>
            <w:r w:rsidRPr="00513E34">
              <w:t>2027</w:t>
            </w:r>
          </w:p>
        </w:tc>
        <w:tc>
          <w:tcPr>
            <w:tcW w:w="1667" w:type="pct"/>
            <w:shd w:val="clear" w:color="auto" w:fill="F2F2F2" w:themeFill="background1" w:themeFillShade="F2"/>
          </w:tcPr>
          <w:p w14:paraId="398496B8" w14:textId="50041517"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 xml:space="preserve">PNG </w:t>
            </w:r>
            <w:r w:rsidR="00AC73C8">
              <w:t>n</w:t>
            </w:r>
            <w:r w:rsidRPr="00513E34">
              <w:t xml:space="preserve">ational </w:t>
            </w:r>
            <w:r w:rsidR="00AC73C8">
              <w:t>s</w:t>
            </w:r>
            <w:r w:rsidRPr="00513E34">
              <w:t xml:space="preserve">ports </w:t>
            </w:r>
            <w:r w:rsidR="00AC73C8">
              <w:t>o</w:t>
            </w:r>
            <w:r w:rsidRPr="00513E34">
              <w:t>rganisations </w:t>
            </w:r>
          </w:p>
        </w:tc>
      </w:tr>
      <w:tr w:rsidR="0023546E" w14:paraId="5AC7FC58"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778E6180" w14:textId="47A9E2C8" w:rsidR="004A27E1" w:rsidRPr="00155058" w:rsidRDefault="004A27E1" w:rsidP="004A27E1">
            <w:pPr>
              <w:pStyle w:val="TableBodyCopy"/>
              <w:rPr>
                <w:rFonts w:asciiTheme="majorHAnsi" w:eastAsia="Times New Roman" w:hAnsiTheme="majorHAnsi" w:cstheme="majorHAnsi"/>
                <w:b w:val="0"/>
                <w:bCs w:val="0"/>
                <w:lang w:eastAsia="en-AU"/>
              </w:rPr>
            </w:pPr>
            <w:r w:rsidRPr="00A552A9">
              <w:rPr>
                <w:rFonts w:ascii="Calibri" w:eastAsia="Times New Roman" w:hAnsi="Calibri" w:cs="Calibri"/>
                <w:lang w:eastAsia="en-AU"/>
              </w:rPr>
              <w:t xml:space="preserve">PNG </w:t>
            </w:r>
            <w:r w:rsidRPr="00155058">
              <w:rPr>
                <w:rFonts w:asciiTheme="majorHAnsi" w:eastAsia="Times New Roman" w:hAnsiTheme="majorHAnsi" w:cstheme="majorHAnsi"/>
                <w:lang w:eastAsia="en-AU"/>
              </w:rPr>
              <w:t>Rugby League Pathway Development Program [under development]</w:t>
            </w:r>
          </w:p>
          <w:p w14:paraId="0AD4FE48" w14:textId="610045A2"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282BD8B0" w14:textId="5B6DDAD0" w:rsidR="004A27E1" w:rsidRPr="00513E34" w:rsidRDefault="004A27E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2024</w:t>
            </w:r>
            <w:r w:rsidR="00D30553">
              <w:t>–</w:t>
            </w:r>
            <w:r w:rsidRPr="00513E34">
              <w:t>2025</w:t>
            </w:r>
          </w:p>
        </w:tc>
        <w:tc>
          <w:tcPr>
            <w:tcW w:w="1667" w:type="pct"/>
            <w:shd w:val="clear" w:color="auto" w:fill="F2F2F2" w:themeFill="background1" w:themeFillShade="F2"/>
          </w:tcPr>
          <w:p w14:paraId="3524AB2F" w14:textId="5669223A" w:rsidR="004A27E1" w:rsidRPr="00513E34" w:rsidRDefault="004A27E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 xml:space="preserve">PNG </w:t>
            </w:r>
            <w:r w:rsidR="00AC73C8">
              <w:t>n</w:t>
            </w:r>
            <w:r w:rsidRPr="00513E34">
              <w:t xml:space="preserve">ational </w:t>
            </w:r>
            <w:r w:rsidR="00AC73C8">
              <w:t>s</w:t>
            </w:r>
            <w:r w:rsidRPr="00513E34">
              <w:t xml:space="preserve">ports </w:t>
            </w:r>
            <w:r w:rsidR="00AC73C8">
              <w:t>o</w:t>
            </w:r>
            <w:r w:rsidRPr="00513E34">
              <w:t>rganisations </w:t>
            </w:r>
          </w:p>
        </w:tc>
      </w:tr>
      <w:tr w:rsidR="0023546E" w14:paraId="300564BC" w14:textId="77777777" w:rsidTr="003619EC">
        <w:trPr>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085C6AE" w14:textId="7AD97CA8" w:rsidR="004A27E1" w:rsidRPr="00155058" w:rsidRDefault="004A27E1" w:rsidP="004A27E1">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D</w:t>
            </w:r>
            <w:r w:rsidR="002C25E2" w:rsidRPr="00155058">
              <w:rPr>
                <w:rFonts w:asciiTheme="majorHAnsi" w:eastAsia="Times New Roman" w:hAnsiTheme="majorHAnsi" w:cstheme="majorHAnsi"/>
                <w:lang w:eastAsia="en-AU"/>
              </w:rPr>
              <w:t>CP</w:t>
            </w:r>
            <w:r w:rsidRPr="00155058">
              <w:rPr>
                <w:rFonts w:asciiTheme="majorHAnsi" w:eastAsia="Times New Roman" w:hAnsiTheme="majorHAnsi" w:cstheme="majorHAnsi"/>
                <w:lang w:eastAsia="en-AU"/>
              </w:rPr>
              <w:t xml:space="preserve"> (Pacific Region)</w:t>
            </w:r>
          </w:p>
          <w:p w14:paraId="7AE2A0D8" w14:textId="5C0BCBBA"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63418A5C" w14:textId="04902C33"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2023</w:t>
            </w:r>
            <w:r w:rsidR="00D30553">
              <w:t>–</w:t>
            </w:r>
            <w:r w:rsidRPr="00513E34">
              <w:t>2024</w:t>
            </w:r>
          </w:p>
        </w:tc>
        <w:tc>
          <w:tcPr>
            <w:tcW w:w="1667" w:type="pct"/>
            <w:shd w:val="clear" w:color="auto" w:fill="F2F2F2" w:themeFill="background1" w:themeFillShade="F2"/>
          </w:tcPr>
          <w:p w14:paraId="6465CA0E" w14:textId="4199C950" w:rsidR="004A27E1" w:rsidRPr="00513E34" w:rsidRDefault="004A27E1" w:rsidP="00513E34">
            <w:pPr>
              <w:pStyle w:val="TableBodyCopy"/>
              <w:cnfStyle w:val="000000000000" w:firstRow="0" w:lastRow="0" w:firstColumn="0" w:lastColumn="0" w:oddVBand="0" w:evenVBand="0" w:oddHBand="0" w:evenHBand="0" w:firstRowFirstColumn="0" w:firstRowLastColumn="0" w:lastRowFirstColumn="0" w:lastRowLastColumn="0"/>
            </w:pPr>
            <w:r w:rsidRPr="00513E34">
              <w:t xml:space="preserve">Australian </w:t>
            </w:r>
            <w:r w:rsidR="00AC73C8">
              <w:t xml:space="preserve">Government </w:t>
            </w:r>
            <w:r w:rsidRPr="00513E34">
              <w:t>Department of Defence; Australian Defence Force; PNG Department of Defence; PNG Defence Force </w:t>
            </w:r>
          </w:p>
        </w:tc>
      </w:tr>
      <w:tr w:rsidR="0023546E" w14:paraId="79E2BB3E"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2ADED50D" w14:textId="29FC5B0C" w:rsidR="004A27E1" w:rsidRPr="00155058" w:rsidRDefault="004A27E1" w:rsidP="004A27E1">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lastRenderedPageBreak/>
              <w:t>Australia Volunteers (PNG)</w:t>
            </w:r>
          </w:p>
          <w:p w14:paraId="7DB28CD6" w14:textId="48C84093" w:rsidR="004A27E1" w:rsidRPr="00155058" w:rsidRDefault="004A27E1" w:rsidP="004A27E1">
            <w:pPr>
              <w:pStyle w:val="TableBodyCopy"/>
              <w:rPr>
                <w:rFonts w:asciiTheme="majorHAnsi" w:hAnsiTheme="majorHAnsi" w:cstheme="majorHAnsi"/>
              </w:rPr>
            </w:pPr>
            <w:r w:rsidRPr="006C6E2C">
              <w:rPr>
                <w:rFonts w:asciiTheme="majorHAnsi" w:eastAsia="Times New Roman" w:hAnsiTheme="majorHAnsi" w:cstheme="majorHAnsi"/>
                <w:color w:val="000000"/>
                <w:szCs w:val="20"/>
                <w:lang w:eastAsia="en-AU"/>
              </w:rPr>
              <w:t>(regional, global, other)</w:t>
            </w:r>
          </w:p>
        </w:tc>
        <w:tc>
          <w:tcPr>
            <w:tcW w:w="1667" w:type="pct"/>
            <w:shd w:val="clear" w:color="auto" w:fill="D2DEE7" w:themeFill="accent1" w:themeFillTint="33"/>
          </w:tcPr>
          <w:p w14:paraId="45D1E1F5" w14:textId="0331C98B" w:rsidR="004A27E1" w:rsidRPr="00513E34" w:rsidRDefault="00554F22" w:rsidP="00513E34">
            <w:pPr>
              <w:pStyle w:val="TableBodyCopy"/>
              <w:cnfStyle w:val="000000100000" w:firstRow="0" w:lastRow="0" w:firstColumn="0" w:lastColumn="0" w:oddVBand="0" w:evenVBand="0" w:oddHBand="1" w:evenHBand="0" w:firstRowFirstColumn="0" w:firstRowLastColumn="0" w:lastRowFirstColumn="0" w:lastRowLastColumn="0"/>
            </w:pPr>
            <w:r>
              <w:t>O</w:t>
            </w:r>
            <w:r w:rsidR="004A27E1" w:rsidRPr="00513E34">
              <w:t>ngoing</w:t>
            </w:r>
          </w:p>
        </w:tc>
        <w:tc>
          <w:tcPr>
            <w:tcW w:w="1667" w:type="pct"/>
            <w:shd w:val="clear" w:color="auto" w:fill="F2F2F2" w:themeFill="background1" w:themeFillShade="F2"/>
          </w:tcPr>
          <w:p w14:paraId="1FD6435B" w14:textId="6AC4AC56" w:rsidR="004A27E1" w:rsidRPr="00513E34" w:rsidRDefault="004A27E1" w:rsidP="00513E34">
            <w:pPr>
              <w:pStyle w:val="TableBodyCopy"/>
              <w:cnfStyle w:val="000000100000" w:firstRow="0" w:lastRow="0" w:firstColumn="0" w:lastColumn="0" w:oddVBand="0" w:evenVBand="0" w:oddHBand="1" w:evenHBand="0" w:firstRowFirstColumn="0" w:firstRowLastColumn="0" w:lastRowFirstColumn="0" w:lastRowLastColumn="0"/>
            </w:pPr>
            <w:r w:rsidRPr="00513E34">
              <w:t>Australian Volunteers Program </w:t>
            </w:r>
          </w:p>
        </w:tc>
      </w:tr>
    </w:tbl>
    <w:p w14:paraId="3541BAD6" w14:textId="067E2411" w:rsidR="00A95254" w:rsidRDefault="00636C8B" w:rsidP="00A95254">
      <w:pPr>
        <w:rPr>
          <w:lang w:eastAsia="en-AU"/>
        </w:rPr>
      </w:pPr>
      <w:r>
        <w:rPr>
          <w:lang w:eastAsia="en-AU"/>
        </w:rPr>
        <w:t>Australian Government</w:t>
      </w:r>
      <w:r w:rsidR="00A95254" w:rsidRPr="413282F0">
        <w:rPr>
          <w:lang w:eastAsia="en-AU"/>
        </w:rPr>
        <w:t xml:space="preserve"> supporting investments </w:t>
      </w:r>
      <w:r w:rsidR="00C46D41" w:rsidRPr="00430B10">
        <w:t xml:space="preserve">across </w:t>
      </w:r>
      <w:r w:rsidR="00520E85" w:rsidRPr="00430B10">
        <w:t>O</w:t>
      </w:r>
      <w:r w:rsidR="00C46D41" w:rsidRPr="00430B10">
        <w:t>bjectives</w:t>
      </w:r>
      <w:r w:rsidR="00B43FEA" w:rsidRPr="00430B10">
        <w:t xml:space="preserve"> 1, 2, 3 and 4</w:t>
      </w:r>
      <w:r w:rsidR="00A95254" w:rsidRPr="0063587D">
        <w:rPr>
          <w:rFonts w:eastAsia="Times New Roman" w:cs="Calibri Light"/>
          <w:b/>
          <w:bCs/>
          <w:color w:val="313E48"/>
          <w:sz w:val="24"/>
          <w:szCs w:val="24"/>
          <w:lang w:eastAsia="en-AU"/>
        </w:rPr>
        <w:t xml:space="preserve"> </w:t>
      </w:r>
      <w:r w:rsidR="00743CF9" w:rsidRPr="413282F0">
        <w:rPr>
          <w:lang w:eastAsia="en-AU"/>
        </w:rPr>
        <w:t>(</w:t>
      </w:r>
      <w:r w:rsidR="00743CF9">
        <w:rPr>
          <w:lang w:eastAsia="en-AU"/>
        </w:rPr>
        <w:t>b</w:t>
      </w:r>
      <w:r w:rsidR="00743CF9" w:rsidRPr="413282F0">
        <w:rPr>
          <w:lang w:eastAsia="en-AU"/>
        </w:rPr>
        <w:t>ilateral</w:t>
      </w:r>
      <w:r w:rsidR="00743CF9">
        <w:rPr>
          <w:lang w:eastAsia="en-AU"/>
        </w:rPr>
        <w:t xml:space="preserve"> ODA as well as significant</w:t>
      </w:r>
      <w:r w:rsidR="00743CF9" w:rsidRPr="413282F0">
        <w:rPr>
          <w:lang w:eastAsia="en-AU"/>
        </w:rPr>
        <w:t xml:space="preserve"> regional and global </w:t>
      </w:r>
      <w:r w:rsidR="00743CF9">
        <w:rPr>
          <w:lang w:eastAsia="en-AU"/>
        </w:rPr>
        <w:t xml:space="preserve">ODA, and significant non-ODA development </w:t>
      </w:r>
      <w:r w:rsidR="00743CF9" w:rsidRPr="413282F0">
        <w:rPr>
          <w:lang w:eastAsia="en-AU"/>
        </w:rPr>
        <w:t>investments</w:t>
      </w:r>
      <w:r w:rsidR="00743CF9">
        <w:rPr>
          <w:lang w:eastAsia="en-AU"/>
        </w:rPr>
        <w:t>/activities</w:t>
      </w:r>
      <w:r w:rsidR="00743CF9" w:rsidRPr="413282F0">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ther investments"/>
        <w:tblDescription w:val="Investments and activities, duration and key partners&#10;"/>
      </w:tblPr>
      <w:tblGrid>
        <w:gridCol w:w="3398"/>
        <w:gridCol w:w="3399"/>
        <w:gridCol w:w="3397"/>
      </w:tblGrid>
      <w:tr w:rsidR="00A95254" w14:paraId="4C73F7E6" w14:textId="77777777" w:rsidTr="003619E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1667" w:type="pct"/>
          </w:tcPr>
          <w:p w14:paraId="35A977D0" w14:textId="303A5F7E" w:rsidR="00A95254" w:rsidRPr="00967711" w:rsidRDefault="00A95254" w:rsidP="00C92E9B">
            <w:pPr>
              <w:pStyle w:val="TableHeading"/>
            </w:pPr>
            <w:r w:rsidRPr="00967711">
              <w:t xml:space="preserve">Name of </w:t>
            </w:r>
            <w:r w:rsidR="00150C3E">
              <w:t>i</w:t>
            </w:r>
            <w:r w:rsidRPr="00967711">
              <w:t>nvestment</w:t>
            </w:r>
            <w:r w:rsidR="00150C3E">
              <w:t>/activity</w:t>
            </w:r>
          </w:p>
        </w:tc>
        <w:tc>
          <w:tcPr>
            <w:tcW w:w="1667" w:type="pct"/>
          </w:tcPr>
          <w:p w14:paraId="416638C2" w14:textId="77777777" w:rsidR="00A95254" w:rsidRPr="00967711" w:rsidRDefault="00A95254" w:rsidP="00C92E9B">
            <w:pPr>
              <w:pStyle w:val="TableHeading"/>
              <w:cnfStyle w:val="100000000000" w:firstRow="1" w:lastRow="0" w:firstColumn="0" w:lastColumn="0" w:oddVBand="0" w:evenVBand="0" w:oddHBand="0" w:evenHBand="0" w:firstRowFirstColumn="0" w:firstRowLastColumn="0" w:lastRowFirstColumn="0" w:lastRowLastColumn="0"/>
            </w:pPr>
            <w:r w:rsidRPr="00967711">
              <w:t>Duration</w:t>
            </w:r>
          </w:p>
        </w:tc>
        <w:tc>
          <w:tcPr>
            <w:tcW w:w="1667" w:type="pct"/>
          </w:tcPr>
          <w:p w14:paraId="099C4E49" w14:textId="77777777" w:rsidR="00A95254" w:rsidRPr="00967711" w:rsidRDefault="00A95254" w:rsidP="00C92E9B">
            <w:pPr>
              <w:pStyle w:val="TableHeading"/>
              <w:cnfStyle w:val="100000000000" w:firstRow="1" w:lastRow="0" w:firstColumn="0" w:lastColumn="0" w:oddVBand="0" w:evenVBand="0" w:oddHBand="0" w:evenHBand="0" w:firstRowFirstColumn="0" w:firstRowLastColumn="0" w:lastRowFirstColumn="0" w:lastRowLastColumn="0"/>
            </w:pPr>
            <w:r w:rsidRPr="00967711">
              <w:t>Key partners</w:t>
            </w:r>
          </w:p>
        </w:tc>
      </w:tr>
      <w:tr w:rsidR="0023546E" w14:paraId="7D7B9DD2" w14:textId="77777777" w:rsidTr="003619E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5BDCF" w:themeFill="accent1" w:themeFillTint="66"/>
          </w:tcPr>
          <w:p w14:paraId="1C35B02A" w14:textId="4A6E2AE8" w:rsidR="0040723D" w:rsidRPr="00155058" w:rsidRDefault="0040723D" w:rsidP="0040723D">
            <w:pPr>
              <w:pStyle w:val="TableBodyCopy"/>
              <w:rPr>
                <w:rFonts w:asciiTheme="majorHAnsi" w:eastAsia="Times New Roman" w:hAnsiTheme="majorHAnsi" w:cstheme="majorHAnsi"/>
                <w:b w:val="0"/>
                <w:bCs w:val="0"/>
                <w:lang w:eastAsia="en-AU"/>
              </w:rPr>
            </w:pPr>
            <w:r w:rsidRPr="00155058">
              <w:rPr>
                <w:rFonts w:asciiTheme="majorHAnsi" w:eastAsia="Times New Roman" w:hAnsiTheme="majorHAnsi" w:cstheme="majorHAnsi"/>
                <w:lang w:eastAsia="en-AU"/>
              </w:rPr>
              <w:t>PNG</w:t>
            </w:r>
            <w:r w:rsidRPr="006C6E2C">
              <w:rPr>
                <w:rFonts w:ascii="Calibri" w:eastAsia="Times New Roman" w:hAnsi="Calibri" w:cs="Calibri"/>
                <w:lang w:eastAsia="en-AU"/>
              </w:rPr>
              <w:t xml:space="preserve"> </w:t>
            </w:r>
            <w:r w:rsidRPr="00155058">
              <w:rPr>
                <w:rFonts w:asciiTheme="majorHAnsi" w:eastAsia="Times New Roman" w:hAnsiTheme="majorHAnsi" w:cstheme="majorHAnsi"/>
                <w:lang w:eastAsia="en-AU"/>
              </w:rPr>
              <w:t>One United Nations Fund</w:t>
            </w:r>
          </w:p>
          <w:p w14:paraId="6D028426" w14:textId="1597C0B5" w:rsidR="0040723D" w:rsidRDefault="0040723D" w:rsidP="0040723D">
            <w:pPr>
              <w:pStyle w:val="TableBodyCopy"/>
            </w:pPr>
            <w:r w:rsidRPr="006C6E2C">
              <w:rPr>
                <w:rFonts w:asciiTheme="majorHAnsi" w:eastAsia="Times New Roman" w:hAnsiTheme="majorHAnsi" w:cstheme="majorHAnsi"/>
                <w:color w:val="000000"/>
                <w:szCs w:val="20"/>
                <w:lang w:eastAsia="en-AU"/>
              </w:rPr>
              <w:t>(bilateral)</w:t>
            </w:r>
          </w:p>
        </w:tc>
        <w:tc>
          <w:tcPr>
            <w:tcW w:w="1667" w:type="pct"/>
            <w:shd w:val="clear" w:color="auto" w:fill="D2DEE7" w:themeFill="accent1" w:themeFillTint="33"/>
          </w:tcPr>
          <w:p w14:paraId="14948FE8" w14:textId="7F70E0B7" w:rsidR="0040723D" w:rsidRPr="00513E34" w:rsidRDefault="0040723D" w:rsidP="00513E34">
            <w:pPr>
              <w:pStyle w:val="TableBodyCopy"/>
              <w:cnfStyle w:val="000000100000" w:firstRow="0" w:lastRow="0" w:firstColumn="0" w:lastColumn="0" w:oddVBand="0" w:evenVBand="0" w:oddHBand="1" w:evenHBand="0" w:firstRowFirstColumn="0" w:firstRowLastColumn="0" w:lastRowFirstColumn="0" w:lastRowLastColumn="0"/>
            </w:pPr>
            <w:r w:rsidRPr="00513E34">
              <w:t>2023</w:t>
            </w:r>
            <w:r w:rsidR="00D30553">
              <w:t>–</w:t>
            </w:r>
            <w:r w:rsidRPr="00513E34">
              <w:t>2029</w:t>
            </w:r>
          </w:p>
        </w:tc>
        <w:tc>
          <w:tcPr>
            <w:tcW w:w="1667" w:type="pct"/>
            <w:shd w:val="clear" w:color="auto" w:fill="F2F2F2" w:themeFill="background1" w:themeFillShade="F2"/>
          </w:tcPr>
          <w:p w14:paraId="0F7458B4" w14:textId="2869D5E7" w:rsidR="0040723D" w:rsidRPr="00513E34" w:rsidRDefault="006C6E2C" w:rsidP="00513E34">
            <w:pPr>
              <w:pStyle w:val="TableBodyCopy"/>
              <w:cnfStyle w:val="000000100000" w:firstRow="0" w:lastRow="0" w:firstColumn="0" w:lastColumn="0" w:oddVBand="0" w:evenVBand="0" w:oddHBand="1" w:evenHBand="0" w:firstRowFirstColumn="0" w:firstRowLastColumn="0" w:lastRowFirstColumn="0" w:lastRowLastColumn="0"/>
            </w:pPr>
            <w:r>
              <w:t xml:space="preserve">UN </w:t>
            </w:r>
            <w:r w:rsidR="0040723D" w:rsidRPr="00513E34">
              <w:t>agencies </w:t>
            </w:r>
          </w:p>
        </w:tc>
      </w:tr>
    </w:tbl>
    <w:p w14:paraId="06EE5479" w14:textId="76E55B72" w:rsidR="0060209B" w:rsidRDefault="0060209B" w:rsidP="006A210E">
      <w:pPr>
        <w:pStyle w:val="TableBodyCopy"/>
        <w:widowControl w:val="0"/>
        <w:spacing w:before="0" w:after="0"/>
        <w:rPr>
          <w:sz w:val="24"/>
          <w:szCs w:val="24"/>
        </w:rPr>
      </w:pPr>
    </w:p>
    <w:p w14:paraId="57F22A89" w14:textId="77777777" w:rsidR="0060209B" w:rsidRDefault="0060209B">
      <w:pPr>
        <w:spacing w:before="0" w:after="0" w:line="240" w:lineRule="auto"/>
        <w:rPr>
          <w:rFonts w:ascii="Calibri Light" w:hAnsi="Calibri Light" w:cs="Calibri Light"/>
          <w:sz w:val="24"/>
          <w:szCs w:val="24"/>
        </w:rPr>
      </w:pPr>
      <w:r>
        <w:rPr>
          <w:sz w:val="24"/>
          <w:szCs w:val="24"/>
        </w:rPr>
        <w:br w:type="page"/>
      </w:r>
    </w:p>
    <w:p w14:paraId="40DDE3D7" w14:textId="2A0FA293" w:rsidR="0060209B" w:rsidRDefault="00430B10" w:rsidP="00E90562">
      <w:pPr>
        <w:pStyle w:val="H2-Heading2"/>
        <w:rPr>
          <w:sz w:val="24"/>
          <w:szCs w:val="24"/>
        </w:rPr>
      </w:pPr>
      <w:r>
        <w:rPr>
          <w:lang w:eastAsia="en-AU"/>
        </w:rPr>
        <w:lastRenderedPageBreak/>
        <w:t>Endnotes</w:t>
      </w:r>
    </w:p>
    <w:sectPr w:rsidR="0060209B" w:rsidSect="00366D6D">
      <w:headerReference w:type="default" r:id="rId22"/>
      <w:footerReference w:type="default" r:id="rId23"/>
      <w:headerReference w:type="first" r:id="rId24"/>
      <w:footerReference w:type="first" r:id="rId25"/>
      <w:endnotePr>
        <w:numFmt w:val="decimal"/>
      </w:endnotePr>
      <w:pgSz w:w="11906" w:h="16838" w:code="9"/>
      <w:pgMar w:top="1418" w:right="851" w:bottom="284" w:left="851" w:header="340"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963B" w14:textId="77777777" w:rsidR="007F498A" w:rsidRDefault="007F498A" w:rsidP="00EE32FE">
      <w:pPr>
        <w:spacing w:after="0" w:line="240" w:lineRule="auto"/>
      </w:pPr>
      <w:r>
        <w:separator/>
      </w:r>
    </w:p>
  </w:endnote>
  <w:endnote w:type="continuationSeparator" w:id="0">
    <w:p w14:paraId="610B1FD4" w14:textId="77777777" w:rsidR="007F498A" w:rsidRDefault="007F498A" w:rsidP="00EE32FE">
      <w:pPr>
        <w:spacing w:after="0" w:line="240" w:lineRule="auto"/>
      </w:pPr>
      <w:r>
        <w:continuationSeparator/>
      </w:r>
    </w:p>
  </w:endnote>
  <w:endnote w:type="continuationNotice" w:id="1">
    <w:p w14:paraId="2574DDB4" w14:textId="77777777" w:rsidR="007F498A" w:rsidRDefault="007F498A">
      <w:pPr>
        <w:spacing w:after="0" w:line="240" w:lineRule="auto"/>
      </w:pPr>
    </w:p>
  </w:endnote>
  <w:endnote w:id="2">
    <w:p w14:paraId="20B023ED" w14:textId="0F1EC982" w:rsidR="00325860" w:rsidRPr="00BF41E8" w:rsidRDefault="00325860" w:rsidP="00E90562">
      <w:pPr>
        <w:pStyle w:val="Endnotes"/>
      </w:pPr>
      <w:r>
        <w:rPr>
          <w:rStyle w:val="EndnoteReference"/>
        </w:rPr>
        <w:endnoteRef/>
      </w:r>
      <w:r>
        <w:t xml:space="preserve"> </w:t>
      </w:r>
      <w:r w:rsidR="00C3546C">
        <w:t xml:space="preserve">Government of Papua New Guinea and Government of Australia, </w:t>
      </w:r>
      <w:r w:rsidR="00C3546C">
        <w:rPr>
          <w:i/>
          <w:iCs/>
        </w:rPr>
        <w:t xml:space="preserve">Papua New Guinea – </w:t>
      </w:r>
      <w:r w:rsidR="00C3546C" w:rsidRPr="00BF41E8">
        <w:rPr>
          <w:i/>
          <w:iCs/>
        </w:rPr>
        <w:t>Australia</w:t>
      </w:r>
      <w:r w:rsidR="00C3546C">
        <w:rPr>
          <w:i/>
          <w:iCs/>
        </w:rPr>
        <w:t xml:space="preserve"> comprehensive strategic and economic partnership</w:t>
      </w:r>
      <w:r w:rsidR="00D870CE">
        <w:t xml:space="preserve">, 2020. </w:t>
      </w:r>
      <w:r w:rsidR="00D870CE" w:rsidRPr="00D870CE">
        <w:t>https://www.</w:t>
      </w:r>
      <w:r w:rsidR="00D870CE" w:rsidRPr="00BF41E8">
        <w:t>dfat</w:t>
      </w:r>
      <w:r w:rsidR="00D870CE" w:rsidRPr="00D870CE">
        <w:t>.gov.au/geo/papua-new-guinea/papua-new-guinea-australia-comprehensive-strategic-and-economic-partnership</w:t>
      </w:r>
    </w:p>
  </w:endnote>
  <w:endnote w:id="3">
    <w:p w14:paraId="6ED12887" w14:textId="4296EDA4" w:rsidR="00775890" w:rsidRDefault="00775890" w:rsidP="00E90562">
      <w:pPr>
        <w:pStyle w:val="Endnotes"/>
      </w:pPr>
      <w:r>
        <w:rPr>
          <w:rStyle w:val="EndnoteReference"/>
        </w:rPr>
        <w:endnoteRef/>
      </w:r>
      <w:r>
        <w:t xml:space="preserve"> </w:t>
      </w:r>
      <w:r w:rsidR="003D2A5B">
        <w:t xml:space="preserve">Government of Australia and Government of Papua New Guinea, </w:t>
      </w:r>
      <w:r w:rsidR="003D2A5B" w:rsidRPr="00BF41E8">
        <w:t>Agreement between the Government of Australia and the Government of Papua New Guinea on a framework for closer security relations</w:t>
      </w:r>
      <w:r w:rsidR="003D2A5B">
        <w:t xml:space="preserve">, 2023. </w:t>
      </w:r>
      <w:r w:rsidRPr="00775890">
        <w:t>https://www.dfat.gov.au/countries/papua-new-guinea/australia-papua-new-guinea-bilateral-security-agreement</w:t>
      </w:r>
    </w:p>
  </w:endnote>
  <w:endnote w:id="4">
    <w:p w14:paraId="10E66EBB" w14:textId="66CF9C04" w:rsidR="0091270A" w:rsidRDefault="0091270A">
      <w:pPr>
        <w:pStyle w:val="EndnoteText"/>
      </w:pPr>
      <w:r>
        <w:rPr>
          <w:rStyle w:val="EndnoteReference"/>
        </w:rPr>
        <w:endnoteRef/>
      </w:r>
      <w:r>
        <w:t xml:space="preserve"> </w:t>
      </w:r>
      <w:r w:rsidRPr="0091270A">
        <w:t xml:space="preserve">Government of Papua New Guinea, </w:t>
      </w:r>
      <w:r w:rsidRPr="00E22138">
        <w:rPr>
          <w:i/>
          <w:iCs/>
        </w:rPr>
        <w:t>Medium-term development plan IV 2023–2027</w:t>
      </w:r>
      <w:r w:rsidRPr="0091270A">
        <w:t>, 2023. https://mtdp.gov.pg</w:t>
      </w:r>
    </w:p>
  </w:endnote>
  <w:endnote w:id="5">
    <w:p w14:paraId="67E4F463" w14:textId="49681F47" w:rsidR="0091270A" w:rsidRDefault="0091270A">
      <w:pPr>
        <w:pStyle w:val="EndnoteText"/>
      </w:pPr>
      <w:r>
        <w:rPr>
          <w:rStyle w:val="EndnoteReference"/>
        </w:rPr>
        <w:endnoteRef/>
      </w:r>
      <w:r>
        <w:t xml:space="preserve"> </w:t>
      </w:r>
      <w:r w:rsidRPr="0091270A">
        <w:t xml:space="preserve">Government of Papua New Guinea, </w:t>
      </w:r>
      <w:r w:rsidRPr="0091270A">
        <w:rPr>
          <w:i/>
          <w:iCs/>
        </w:rPr>
        <w:t>Medium-term development plan IV 2023–2027</w:t>
      </w:r>
      <w:r w:rsidRPr="0091270A">
        <w:t>, 2023. https://mtdp.gov.pg</w:t>
      </w:r>
    </w:p>
  </w:endnote>
  <w:endnote w:id="6">
    <w:p w14:paraId="1ADC2C87" w14:textId="6BC2663B" w:rsidR="0091270A" w:rsidRPr="0091270A" w:rsidRDefault="0091270A">
      <w:pPr>
        <w:pStyle w:val="EndnoteText"/>
      </w:pPr>
      <w:r>
        <w:rPr>
          <w:rStyle w:val="EndnoteReference"/>
        </w:rPr>
        <w:endnoteRef/>
      </w:r>
      <w:r>
        <w:t xml:space="preserve"> Lowy Institute, </w:t>
      </w:r>
      <w:r w:rsidRPr="00E22138">
        <w:rPr>
          <w:i/>
          <w:iCs/>
        </w:rPr>
        <w:t>Infrastructure challenges for Papua New Guinea’s Future</w:t>
      </w:r>
      <w:r>
        <w:rPr>
          <w:i/>
          <w:iCs/>
        </w:rPr>
        <w:t xml:space="preserve"> </w:t>
      </w:r>
      <w:r>
        <w:t xml:space="preserve">(C. Lawrence), 2018. </w:t>
      </w:r>
      <w:r w:rsidRPr="0091270A">
        <w:t>https://interactives.lowyinstitute.org/archive/png-in-2017/downloads/Lawrence_Infrastructure.pdf</w:t>
      </w:r>
    </w:p>
  </w:endnote>
  <w:endnote w:id="7">
    <w:p w14:paraId="2AD2C47E" w14:textId="6558D91C" w:rsidR="007944C2" w:rsidRDefault="007944C2" w:rsidP="00E90562">
      <w:pPr>
        <w:pStyle w:val="Endnotes"/>
      </w:pPr>
      <w:r>
        <w:rPr>
          <w:rStyle w:val="EndnoteReference"/>
        </w:rPr>
        <w:endnoteRef/>
      </w:r>
      <w:r>
        <w:t xml:space="preserve"> </w:t>
      </w:r>
      <w:r w:rsidR="00F97116">
        <w:t>Government of Papua New Guinea</w:t>
      </w:r>
      <w:r w:rsidR="00D57233">
        <w:t xml:space="preserve">, </w:t>
      </w:r>
      <w:r w:rsidR="00D57233" w:rsidRPr="00E90562">
        <w:rPr>
          <w:i/>
          <w:iCs/>
        </w:rPr>
        <w:t>Medium</w:t>
      </w:r>
      <w:r w:rsidR="003643A1" w:rsidRPr="00E90562">
        <w:rPr>
          <w:i/>
          <w:iCs/>
        </w:rPr>
        <w:t>-</w:t>
      </w:r>
      <w:r w:rsidR="00D57233" w:rsidRPr="00E90562">
        <w:rPr>
          <w:i/>
          <w:iCs/>
        </w:rPr>
        <w:t>term development plan IV 2023–2027</w:t>
      </w:r>
      <w:r w:rsidR="00D57233">
        <w:t xml:space="preserve">, 2023. </w:t>
      </w:r>
      <w:r w:rsidR="00D57233" w:rsidRPr="00D57233">
        <w:t>https://mtdp.gov.pg</w:t>
      </w:r>
    </w:p>
  </w:endnote>
  <w:endnote w:id="8">
    <w:p w14:paraId="0D43A7C2" w14:textId="77916177" w:rsidR="0091270A" w:rsidRPr="0091270A" w:rsidRDefault="0091270A">
      <w:pPr>
        <w:pStyle w:val="EndnoteText"/>
      </w:pPr>
      <w:r>
        <w:rPr>
          <w:rStyle w:val="EndnoteReference"/>
        </w:rPr>
        <w:endnoteRef/>
      </w:r>
      <w:r>
        <w:t xml:space="preserve"> Government of Papua New Guinea Department of Education, </w:t>
      </w:r>
      <w:r>
        <w:rPr>
          <w:i/>
          <w:iCs/>
        </w:rPr>
        <w:t>The Gendered Impacts of COVID-19 School Closures in Papua New Guinea</w:t>
      </w:r>
      <w:r>
        <w:t xml:space="preserve">, 2022. </w:t>
      </w:r>
      <w:r w:rsidRPr="0091270A">
        <w:t>https://education.gov.pg/IEC-Materials/EERRP/documents/Project_Materials/Impact-study-report/Gender-Study-Report.pdf</w:t>
      </w:r>
    </w:p>
  </w:endnote>
  <w:endnote w:id="9">
    <w:p w14:paraId="4BC17B42" w14:textId="2378845C" w:rsidR="00F65FE7" w:rsidRPr="00D837D3" w:rsidRDefault="00F65FE7" w:rsidP="00E90562">
      <w:pPr>
        <w:pStyle w:val="Endnotes"/>
      </w:pPr>
      <w:r>
        <w:rPr>
          <w:rStyle w:val="EndnoteReference"/>
        </w:rPr>
        <w:endnoteRef/>
      </w:r>
      <w:r>
        <w:t xml:space="preserve"> </w:t>
      </w:r>
      <w:r w:rsidR="004C44F1">
        <w:t>Government of Papua New Guinea</w:t>
      </w:r>
      <w:r w:rsidR="00D837D3">
        <w:t xml:space="preserve"> Climate Change and Development Authority</w:t>
      </w:r>
      <w:r w:rsidR="004C44F1">
        <w:t xml:space="preserve">, </w:t>
      </w:r>
      <w:r w:rsidR="00D837D3">
        <w:rPr>
          <w:i/>
          <w:iCs/>
        </w:rPr>
        <w:t>Papua New Guinea’s enhanced nationally determined contribution 2020</w:t>
      </w:r>
      <w:r w:rsidR="00D837D3">
        <w:t>, 2020.</w:t>
      </w:r>
      <w:r w:rsidR="000A764E">
        <w:t xml:space="preserve"> </w:t>
      </w:r>
      <w:r w:rsidR="000A764E" w:rsidRPr="000A764E">
        <w:t>https://unfccc.int/sites/default/files/NDC/2022-06/PNG%20Second%20NDC.pdf</w:t>
      </w:r>
    </w:p>
  </w:endnote>
  <w:endnote w:id="10">
    <w:p w14:paraId="2D9FDE65" w14:textId="6BCA8FAC" w:rsidR="00AB531E" w:rsidRPr="00F71200" w:rsidRDefault="00AB531E" w:rsidP="00E90562">
      <w:pPr>
        <w:pStyle w:val="Endnotes"/>
      </w:pPr>
      <w:r>
        <w:rPr>
          <w:rStyle w:val="EndnoteReference"/>
        </w:rPr>
        <w:endnoteRef/>
      </w:r>
      <w:r>
        <w:t xml:space="preserve"> </w:t>
      </w:r>
      <w:r w:rsidR="00F71200">
        <w:t>Government of Papua New Guinea</w:t>
      </w:r>
      <w:r w:rsidR="00DE004C">
        <w:t xml:space="preserve"> Climate Change and Development Authority</w:t>
      </w:r>
      <w:r w:rsidR="00F71200">
        <w:t xml:space="preserve">, </w:t>
      </w:r>
      <w:r w:rsidR="00F71200">
        <w:rPr>
          <w:i/>
          <w:iCs/>
        </w:rPr>
        <w:t>National adaptation plan of Papua New Guinea</w:t>
      </w:r>
      <w:r w:rsidR="00F71200">
        <w:t xml:space="preserve">, 2023. </w:t>
      </w:r>
      <w:r w:rsidR="00034CD6" w:rsidRPr="00034CD6">
        <w:t>https://unfccc.int/sites/default/files/resource/NAP-PNG-Finale-2023.pdf</w:t>
      </w:r>
    </w:p>
  </w:endnote>
  <w:endnote w:id="11">
    <w:p w14:paraId="22AF38F4" w14:textId="08458AAE" w:rsidR="00120208" w:rsidRDefault="00120208" w:rsidP="00E90562">
      <w:pPr>
        <w:pStyle w:val="Endnotes"/>
      </w:pPr>
      <w:r>
        <w:rPr>
          <w:rStyle w:val="EndnoteReference"/>
        </w:rPr>
        <w:endnoteRef/>
      </w:r>
      <w:r>
        <w:t xml:space="preserve"> </w:t>
      </w:r>
      <w:r w:rsidR="00AD5FF7">
        <w:t xml:space="preserve">Australian Government Department of Foreign Affairs and Trade, </w:t>
      </w:r>
      <w:r w:rsidR="00AD5FF7" w:rsidRPr="00E90562">
        <w:rPr>
          <w:i/>
          <w:iCs/>
        </w:rPr>
        <w:t>PNG Climate FIRST (Climate Finance Initiative for Resilience and a Sustainable Transition)</w:t>
      </w:r>
      <w:r w:rsidR="009B3E6B">
        <w:t xml:space="preserve">, 2024. </w:t>
      </w:r>
      <w:r w:rsidR="009B3E6B" w:rsidRPr="009B3E6B">
        <w:t>https://www.dfat.gov.au/publications/development/png-climate-finance-initiative-resilience-and-sustainable-transition-climate-first</w:t>
      </w:r>
    </w:p>
  </w:endnote>
  <w:endnote w:id="12">
    <w:p w14:paraId="2575FD4F" w14:textId="5E56A2FB" w:rsidR="0063709D" w:rsidRPr="005053C8" w:rsidRDefault="0063709D">
      <w:pPr>
        <w:pStyle w:val="EndnoteText"/>
      </w:pPr>
      <w:r>
        <w:rPr>
          <w:rStyle w:val="EndnoteReference"/>
        </w:rPr>
        <w:endnoteRef/>
      </w:r>
      <w:r w:rsidR="00304491">
        <w:t xml:space="preserve"> Government of Papua New Guinea </w:t>
      </w:r>
      <w:r w:rsidR="00304491" w:rsidRPr="00304491">
        <w:t>Department of Prime Minister and National Executive Council</w:t>
      </w:r>
      <w:r w:rsidR="00304491">
        <w:t xml:space="preserve">, </w:t>
      </w:r>
      <w:r w:rsidR="005053C8" w:rsidRPr="00E90562">
        <w:rPr>
          <w:i/>
          <w:iCs/>
        </w:rPr>
        <w:t>Prime Minister Hon. James Marape Acknowledges France’s Unprecedented US$100 Million ‘Country Package’ for Nature, Forests, and Climate</w:t>
      </w:r>
      <w:r w:rsidR="005053C8">
        <w:t xml:space="preserve">, </w:t>
      </w:r>
      <w:r w:rsidR="0098279F" w:rsidRPr="00E90562">
        <w:t>https://pmnec.gov.pg/prime-minister-hon-james-marape-acknowledges-frances-unprecedented-us100-million-country-package-for-nature-forests-and-climate</w:t>
      </w:r>
    </w:p>
  </w:endnote>
  <w:endnote w:id="13">
    <w:p w14:paraId="2FB0FE4E" w14:textId="054DBC1F" w:rsidR="0091270A" w:rsidRPr="000A7622" w:rsidRDefault="0091270A">
      <w:pPr>
        <w:pStyle w:val="EndnoteText"/>
      </w:pPr>
      <w:r>
        <w:rPr>
          <w:rStyle w:val="EndnoteReference"/>
        </w:rPr>
        <w:endnoteRef/>
      </w:r>
      <w:r>
        <w:t xml:space="preserve"> </w:t>
      </w:r>
      <w:r w:rsidR="000A7622">
        <w:t xml:space="preserve">CBM Global Inclusion Advisory Group, </w:t>
      </w:r>
      <w:r w:rsidR="000A7622">
        <w:rPr>
          <w:i/>
          <w:iCs/>
        </w:rPr>
        <w:t>Our Advisory Work in Papua New Guinea</w:t>
      </w:r>
      <w:r w:rsidR="000A7622">
        <w:t xml:space="preserve">, 2020. </w:t>
      </w:r>
      <w:r w:rsidR="000A7622" w:rsidRPr="000A7622">
        <w:t>https://www.cbm.org.au/wp-content/uploads/2020/12/PNG_CBM_InclusionAdvisoryGroup.pdf</w:t>
      </w:r>
    </w:p>
  </w:endnote>
  <w:endnote w:id="14">
    <w:p w14:paraId="2FF9452E" w14:textId="1C8DE9EE" w:rsidR="00851983" w:rsidRDefault="00851983">
      <w:pPr>
        <w:pStyle w:val="Endnotes"/>
      </w:pPr>
      <w:r>
        <w:rPr>
          <w:rStyle w:val="EndnoteReference"/>
        </w:rPr>
        <w:endnoteRef/>
      </w:r>
      <w:r>
        <w:t xml:space="preserve"> Australian Government Department of Foreign Affairs and Trade, </w:t>
      </w:r>
      <w:r w:rsidRPr="00E90562">
        <w:rPr>
          <w:i/>
          <w:iCs/>
        </w:rPr>
        <w:t>Papua New Guinea – Women Lead investment design</w:t>
      </w:r>
      <w:r>
        <w:t xml:space="preserve">, </w:t>
      </w:r>
      <w:r w:rsidR="003E0116">
        <w:t xml:space="preserve">2023. </w:t>
      </w:r>
      <w:r w:rsidR="000511AB">
        <w:t xml:space="preserve"> </w:t>
      </w:r>
      <w:r w:rsidRPr="00851983">
        <w:t>https://www.dfat.gov.au/publications/development/papua-new-guinea-women-lead-investment-design</w:t>
      </w:r>
    </w:p>
    <w:p w14:paraId="3F347C18" w14:textId="77777777" w:rsidR="00534E6E" w:rsidRDefault="00534E6E">
      <w:pPr>
        <w:pStyle w:val="Endnotes"/>
      </w:pPr>
    </w:p>
    <w:p w14:paraId="78348712" w14:textId="6E87E8FC" w:rsidR="00534E6E" w:rsidRDefault="00712A27" w:rsidP="00D250E9">
      <w:pPr>
        <w:pStyle w:val="H2-Heading2"/>
      </w:pPr>
      <w:r>
        <w:t>Cover p</w:t>
      </w:r>
      <w:r w:rsidR="00D250E9">
        <w:t>hoto credits</w:t>
      </w:r>
    </w:p>
    <w:p w14:paraId="6E549280" w14:textId="77777777" w:rsidR="000F255E" w:rsidRPr="00E452F0" w:rsidRDefault="000F255E" w:rsidP="0018153B">
      <w:pPr>
        <w:spacing w:before="0" w:after="0"/>
        <w:rPr>
          <w:sz w:val="20"/>
          <w:szCs w:val="20"/>
        </w:rPr>
      </w:pPr>
      <w:r w:rsidRPr="00E452F0">
        <w:rPr>
          <w:sz w:val="20"/>
          <w:szCs w:val="20"/>
        </w:rPr>
        <w:t xml:space="preserve">Top row (from left to right): </w:t>
      </w:r>
    </w:p>
    <w:p w14:paraId="3D8539E7" w14:textId="651068B6" w:rsidR="000F255E" w:rsidRPr="00E452F0" w:rsidRDefault="000F255E" w:rsidP="0018153B">
      <w:pPr>
        <w:pStyle w:val="NormalBullets-L1"/>
        <w:spacing w:before="0" w:after="0" w:line="259" w:lineRule="auto"/>
        <w:ind w:left="714" w:hanging="357"/>
        <w:rPr>
          <w:sz w:val="20"/>
          <w:szCs w:val="20"/>
        </w:rPr>
      </w:pPr>
      <w:r w:rsidRPr="00E452F0">
        <w:rPr>
          <w:sz w:val="20"/>
          <w:szCs w:val="20"/>
        </w:rPr>
        <w:t>Aus</w:t>
      </w:r>
      <w:r w:rsidR="00985EE4" w:rsidRPr="00E452F0">
        <w:rPr>
          <w:sz w:val="20"/>
          <w:szCs w:val="20"/>
        </w:rPr>
        <w:t>tralia</w:t>
      </w:r>
      <w:r w:rsidRPr="00E452F0">
        <w:rPr>
          <w:sz w:val="20"/>
          <w:szCs w:val="20"/>
        </w:rPr>
        <w:t xml:space="preserve"> Awards Maritime Cadet Eunice Tuwe</w:t>
      </w:r>
      <w:r w:rsidRPr="00E452F0">
        <w:rPr>
          <w:sz w:val="20"/>
          <w:szCs w:val="20"/>
        </w:rPr>
        <w:br/>
        <w:t>Credit: Australia Awards</w:t>
      </w:r>
    </w:p>
    <w:p w14:paraId="3B0B2112" w14:textId="0F296EAA" w:rsidR="000F255E" w:rsidRPr="00E452F0" w:rsidRDefault="000F255E" w:rsidP="0018153B">
      <w:pPr>
        <w:pStyle w:val="NormalBullets-L1"/>
        <w:spacing w:before="0" w:after="0" w:line="259" w:lineRule="auto"/>
        <w:ind w:left="714" w:hanging="357"/>
        <w:rPr>
          <w:sz w:val="20"/>
          <w:szCs w:val="20"/>
        </w:rPr>
      </w:pPr>
      <w:r w:rsidRPr="00E452F0">
        <w:rPr>
          <w:sz w:val="20"/>
          <w:szCs w:val="20"/>
        </w:rPr>
        <w:t>Australian Federal Police</w:t>
      </w:r>
      <w:r w:rsidR="00F94671" w:rsidRPr="00E452F0">
        <w:rPr>
          <w:sz w:val="20"/>
          <w:szCs w:val="20"/>
        </w:rPr>
        <w:t xml:space="preserve"> (AFP)</w:t>
      </w:r>
      <w:r w:rsidRPr="00E452F0">
        <w:rPr>
          <w:sz w:val="20"/>
          <w:szCs w:val="20"/>
        </w:rPr>
        <w:t xml:space="preserve"> </w:t>
      </w:r>
      <w:r w:rsidR="00846435" w:rsidRPr="00E452F0">
        <w:rPr>
          <w:sz w:val="20"/>
          <w:szCs w:val="20"/>
        </w:rPr>
        <w:t xml:space="preserve">conduct training with </w:t>
      </w:r>
      <w:r w:rsidR="00F94671" w:rsidRPr="00E452F0">
        <w:rPr>
          <w:sz w:val="20"/>
          <w:szCs w:val="20"/>
        </w:rPr>
        <w:t xml:space="preserve">Royal Papua New Guinea Constabulary (RPNGC) </w:t>
      </w:r>
      <w:r w:rsidRPr="00E452F0">
        <w:rPr>
          <w:sz w:val="20"/>
          <w:szCs w:val="20"/>
        </w:rPr>
        <w:br/>
        <w:t>Credit: AFP</w:t>
      </w:r>
    </w:p>
    <w:p w14:paraId="35007453" w14:textId="10227F2A" w:rsidR="000F255E" w:rsidRPr="00E452F0" w:rsidRDefault="000F255E" w:rsidP="0018153B">
      <w:pPr>
        <w:spacing w:before="0" w:after="0"/>
        <w:rPr>
          <w:sz w:val="20"/>
          <w:szCs w:val="20"/>
        </w:rPr>
      </w:pPr>
      <w:r w:rsidRPr="00E452F0">
        <w:rPr>
          <w:sz w:val="20"/>
          <w:szCs w:val="20"/>
        </w:rPr>
        <w:t>Middle row (</w:t>
      </w:r>
      <w:r w:rsidR="002C6361" w:rsidRPr="00E452F0">
        <w:rPr>
          <w:sz w:val="20"/>
          <w:szCs w:val="20"/>
        </w:rPr>
        <w:t>left</w:t>
      </w:r>
      <w:r w:rsidRPr="00E452F0">
        <w:rPr>
          <w:sz w:val="20"/>
          <w:szCs w:val="20"/>
        </w:rPr>
        <w:t>-hand side):</w:t>
      </w:r>
    </w:p>
    <w:p w14:paraId="6D7B6440" w14:textId="000FFE0E" w:rsidR="000F255E" w:rsidRPr="00E452F0" w:rsidRDefault="000F255E" w:rsidP="0018153B">
      <w:pPr>
        <w:pStyle w:val="NormalBullets-L1"/>
        <w:spacing w:before="0" w:after="0" w:line="259" w:lineRule="auto"/>
        <w:rPr>
          <w:sz w:val="20"/>
          <w:szCs w:val="20"/>
        </w:rPr>
      </w:pPr>
      <w:r w:rsidRPr="00E452F0">
        <w:rPr>
          <w:sz w:val="20"/>
          <w:szCs w:val="20"/>
        </w:rPr>
        <w:t>Kapuna Hospital in Papua New Guinea</w:t>
      </w:r>
      <w:r w:rsidRPr="00E452F0">
        <w:rPr>
          <w:sz w:val="20"/>
          <w:szCs w:val="20"/>
        </w:rPr>
        <w:br/>
        <w:t xml:space="preserve">Credit: </w:t>
      </w:r>
      <w:r w:rsidR="002C6361" w:rsidRPr="00E452F0">
        <w:rPr>
          <w:sz w:val="20"/>
          <w:szCs w:val="20"/>
        </w:rPr>
        <w:t>Incentive Fund</w:t>
      </w:r>
    </w:p>
    <w:p w14:paraId="31C1CBC2" w14:textId="77777777" w:rsidR="000F255E" w:rsidRPr="00E452F0" w:rsidRDefault="000F255E" w:rsidP="0018153B">
      <w:pPr>
        <w:spacing w:before="0" w:after="0"/>
        <w:rPr>
          <w:sz w:val="20"/>
          <w:szCs w:val="20"/>
        </w:rPr>
      </w:pPr>
      <w:r w:rsidRPr="00E452F0">
        <w:rPr>
          <w:sz w:val="20"/>
          <w:szCs w:val="20"/>
        </w:rPr>
        <w:t xml:space="preserve">Bottom row (from left to right): </w:t>
      </w:r>
    </w:p>
    <w:p w14:paraId="72B2A984" w14:textId="21912BD4" w:rsidR="000F255E" w:rsidRPr="00E452F0" w:rsidRDefault="000F255E" w:rsidP="0018153B">
      <w:pPr>
        <w:pStyle w:val="NormalBullets-L1"/>
        <w:spacing w:before="0" w:after="0" w:line="259" w:lineRule="auto"/>
        <w:rPr>
          <w:sz w:val="20"/>
          <w:szCs w:val="20"/>
        </w:rPr>
      </w:pPr>
      <w:r w:rsidRPr="00E452F0">
        <w:rPr>
          <w:sz w:val="20"/>
          <w:szCs w:val="20"/>
        </w:rPr>
        <w:t>Papua New Guinea Defence Force (PNGDF) personnel load Australian Aid supplies on a PNGDF P-750 aircraft at Wapenamanda airport, Enga Province, PNG</w:t>
      </w:r>
      <w:r w:rsidRPr="00E452F0">
        <w:rPr>
          <w:sz w:val="20"/>
          <w:szCs w:val="20"/>
        </w:rPr>
        <w:br/>
        <w:t>Credit: Defence / LTCOL Anthony Evans</w:t>
      </w:r>
    </w:p>
    <w:p w14:paraId="4B1E1733" w14:textId="77777777" w:rsidR="000F255E" w:rsidRPr="00E452F0" w:rsidRDefault="000F255E" w:rsidP="0018153B">
      <w:pPr>
        <w:pStyle w:val="NormalBullets-L1"/>
        <w:spacing w:before="0" w:after="0" w:line="259" w:lineRule="auto"/>
        <w:rPr>
          <w:sz w:val="20"/>
          <w:szCs w:val="20"/>
        </w:rPr>
      </w:pPr>
      <w:r w:rsidRPr="00E452F0">
        <w:rPr>
          <w:sz w:val="20"/>
          <w:szCs w:val="20"/>
        </w:rPr>
        <w:t>PNG Forester Agnes Mone Sumareke</w:t>
      </w:r>
      <w:r w:rsidRPr="00E452F0">
        <w:rPr>
          <w:sz w:val="20"/>
          <w:szCs w:val="20"/>
        </w:rPr>
        <w:br/>
        <w:t>Credit: ACIAR</w:t>
      </w:r>
    </w:p>
    <w:p w14:paraId="5C6CEF3E" w14:textId="365AAD62" w:rsidR="000F255E" w:rsidRPr="00E452F0" w:rsidRDefault="000F255E" w:rsidP="0018153B">
      <w:pPr>
        <w:spacing w:before="0" w:after="0"/>
        <w:rPr>
          <w:sz w:val="20"/>
          <w:szCs w:val="20"/>
        </w:rPr>
      </w:pPr>
      <w:r w:rsidRPr="00E452F0">
        <w:rPr>
          <w:sz w:val="20"/>
          <w:szCs w:val="20"/>
        </w:rPr>
        <w:t xml:space="preserve">Bottom </w:t>
      </w:r>
      <w:r w:rsidR="00712A27" w:rsidRPr="00E452F0">
        <w:rPr>
          <w:sz w:val="20"/>
          <w:szCs w:val="20"/>
        </w:rPr>
        <w:t>right</w:t>
      </w:r>
      <w:r w:rsidRPr="00E452F0">
        <w:rPr>
          <w:sz w:val="20"/>
          <w:szCs w:val="20"/>
        </w:rPr>
        <w:t xml:space="preserve"> corner: </w:t>
      </w:r>
    </w:p>
    <w:p w14:paraId="721625BC" w14:textId="43375701" w:rsidR="000F255E" w:rsidRPr="00E452F0" w:rsidRDefault="000F255E" w:rsidP="0018153B">
      <w:pPr>
        <w:pStyle w:val="NormalBullets-L1"/>
        <w:spacing w:before="0" w:after="0" w:line="259" w:lineRule="auto"/>
        <w:rPr>
          <w:sz w:val="20"/>
          <w:szCs w:val="20"/>
        </w:rPr>
      </w:pPr>
      <w:r w:rsidRPr="00E452F0">
        <w:rPr>
          <w:sz w:val="20"/>
          <w:szCs w:val="20"/>
        </w:rPr>
        <w:t>Papua New Guinean schoolgirl</w:t>
      </w:r>
      <w:r w:rsidRPr="00E452F0">
        <w:rPr>
          <w:sz w:val="20"/>
          <w:szCs w:val="20"/>
        </w:rPr>
        <w:br/>
        <w:t>Credit: DFA</w:t>
      </w:r>
      <w:r w:rsidR="00B7716D" w:rsidRPr="00E452F0">
        <w:rPr>
          <w:sz w:val="20"/>
          <w:szCs w:val="20"/>
        </w:rPr>
        <w:t>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970729"/>
      <w:docPartObj>
        <w:docPartGallery w:val="Page Numbers (Bottom of Page)"/>
        <w:docPartUnique/>
      </w:docPartObj>
    </w:sdtPr>
    <w:sdtEndPr>
      <w:rPr>
        <w:noProof/>
      </w:rPr>
    </w:sdtEndPr>
    <w:sdtContent>
      <w:p w14:paraId="016E308C" w14:textId="135D8398" w:rsidR="00D15489" w:rsidRDefault="00323B58" w:rsidP="00323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91420"/>
      <w:docPartObj>
        <w:docPartGallery w:val="Page Numbers (Bottom of Page)"/>
        <w:docPartUnique/>
      </w:docPartObj>
    </w:sdtPr>
    <w:sdtEndPr>
      <w:rPr>
        <w:noProof/>
      </w:rPr>
    </w:sdtEndPr>
    <w:sdtContent>
      <w:p w14:paraId="71C4C008" w14:textId="063E639B" w:rsidR="00C629A8" w:rsidRDefault="00C7379F" w:rsidP="00C737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24578"/>
      <w:docPartObj>
        <w:docPartGallery w:val="Page Numbers (Bottom of Page)"/>
        <w:docPartUnique/>
      </w:docPartObj>
    </w:sdtPr>
    <w:sdtEndPr>
      <w:rPr>
        <w:noProof/>
      </w:rPr>
    </w:sdtEndPr>
    <w:sdtContent>
      <w:p w14:paraId="0B8AF623" w14:textId="1D322374" w:rsidR="001B6539" w:rsidRDefault="000236CD" w:rsidP="00C737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32414"/>
      <w:docPartObj>
        <w:docPartGallery w:val="Page Numbers (Bottom of Page)"/>
        <w:docPartUnique/>
      </w:docPartObj>
    </w:sdtPr>
    <w:sdtEndPr>
      <w:rPr>
        <w:noProof/>
      </w:rPr>
    </w:sdtEndPr>
    <w:sdtContent>
      <w:p w14:paraId="4ECABFFF" w14:textId="4FC0D712" w:rsidR="006119AC" w:rsidRDefault="00D752C8" w:rsidP="00D75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566F" w14:textId="7AF53FEF" w:rsidR="00C419E4" w:rsidRDefault="00366D6D" w:rsidP="003466F5">
    <w:pPr>
      <w:pStyle w:val="Footer"/>
      <w:tabs>
        <w:tab w:val="clear" w:pos="4513"/>
        <w:tab w:val="clear" w:pos="9026"/>
        <w:tab w:val="left" w:pos="1635"/>
      </w:tabs>
    </w:pPr>
    <w:r>
      <w:fldChar w:fldCharType="begin"/>
    </w:r>
    <w:r>
      <w:instrText xml:space="preserve"> PAGE   \* MERGEFORMAT </w:instrText>
    </w:r>
    <w:r>
      <w:fldChar w:fldCharType="separate"/>
    </w:r>
    <w:r>
      <w:rPr>
        <w:noProof/>
      </w:rPr>
      <w:t>1</w:t>
    </w:r>
    <w:r>
      <w:rPr>
        <w:noProof/>
      </w:rPr>
      <w:fldChar w:fldCharType="end"/>
    </w:r>
    <w:r w:rsidR="00C71FEB" w:rsidRPr="00B63B50">
      <w:rPr>
        <w:noProof/>
        <w:color w:val="FFFFFF" w:themeColor="background1"/>
      </w:rPr>
      <w:drawing>
        <wp:anchor distT="0" distB="0" distL="114300" distR="114300" simplePos="0" relativeHeight="251658243" behindDoc="1" locked="1" layoutInCell="1" allowOverlap="1" wp14:anchorId="46497403" wp14:editId="0AF47CB3">
          <wp:simplePos x="0" y="0"/>
          <wp:positionH relativeFrom="page">
            <wp:posOffset>106680</wp:posOffset>
          </wp:positionH>
          <wp:positionV relativeFrom="page">
            <wp:posOffset>7020560</wp:posOffset>
          </wp:positionV>
          <wp:extent cx="10479405" cy="442595"/>
          <wp:effectExtent l="0" t="0" r="0" b="0"/>
          <wp:wrapNone/>
          <wp:docPr id="164687308" name="Picture 164687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924" t="18541" r="2903" b="21916"/>
                  <a:stretch/>
                </pic:blipFill>
                <pic:spPr bwMode="auto">
                  <a:xfrm>
                    <a:off x="0" y="0"/>
                    <a:ext cx="1047940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D1D">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879232"/>
      <w:docPartObj>
        <w:docPartGallery w:val="Page Numbers (Bottom of Page)"/>
        <w:docPartUnique/>
      </w:docPartObj>
    </w:sdtPr>
    <w:sdtEndPr>
      <w:rPr>
        <w:noProof/>
      </w:rPr>
    </w:sdtEndPr>
    <w:sdtContent>
      <w:p w14:paraId="1110D17A" w14:textId="203E5148" w:rsidR="00FC6C44" w:rsidRDefault="00D752C8" w:rsidP="00D75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669535"/>
      <w:docPartObj>
        <w:docPartGallery w:val="Page Numbers (Bottom of Page)"/>
        <w:docPartUnique/>
      </w:docPartObj>
    </w:sdtPr>
    <w:sdtEndPr>
      <w:rPr>
        <w:noProof/>
      </w:rPr>
    </w:sdtEndPr>
    <w:sdtContent>
      <w:p w14:paraId="2889C9A7" w14:textId="79950B78" w:rsidR="000907F0" w:rsidRDefault="00D752C8" w:rsidP="00D75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62150"/>
      <w:docPartObj>
        <w:docPartGallery w:val="Page Numbers (Bottom of Page)"/>
        <w:docPartUnique/>
      </w:docPartObj>
    </w:sdtPr>
    <w:sdtEndPr>
      <w:rPr>
        <w:noProof/>
      </w:rPr>
    </w:sdtEndPr>
    <w:sdtContent>
      <w:p w14:paraId="0C63B53A" w14:textId="6B0B84A4" w:rsidR="001A1CF2" w:rsidRDefault="00D752C8" w:rsidP="00D75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2292" w14:textId="77777777" w:rsidR="007F498A" w:rsidRDefault="007F498A" w:rsidP="00EE32FE">
      <w:pPr>
        <w:spacing w:after="0" w:line="240" w:lineRule="auto"/>
      </w:pPr>
      <w:r>
        <w:separator/>
      </w:r>
    </w:p>
  </w:footnote>
  <w:footnote w:type="continuationSeparator" w:id="0">
    <w:p w14:paraId="1F3CFC15" w14:textId="77777777" w:rsidR="007F498A" w:rsidRDefault="007F498A" w:rsidP="00EE32FE">
      <w:pPr>
        <w:spacing w:after="0" w:line="240" w:lineRule="auto"/>
      </w:pPr>
      <w:r>
        <w:continuationSeparator/>
      </w:r>
    </w:p>
  </w:footnote>
  <w:footnote w:type="continuationNotice" w:id="1">
    <w:p w14:paraId="5E60672A" w14:textId="77777777" w:rsidR="007F498A" w:rsidRDefault="007F498A">
      <w:pPr>
        <w:spacing w:after="0" w:line="240" w:lineRule="auto"/>
      </w:pPr>
    </w:p>
  </w:footnote>
  <w:footnote w:id="2">
    <w:p w14:paraId="48CBC9D7" w14:textId="4874C0E8" w:rsidR="0042372F" w:rsidRDefault="0042372F" w:rsidP="0042372F">
      <w:pPr>
        <w:pStyle w:val="FootnoteText"/>
      </w:pPr>
      <w:r>
        <w:rPr>
          <w:rStyle w:val="FootnoteReference"/>
        </w:rPr>
        <w:footnoteRef/>
      </w:r>
      <w:r>
        <w:t xml:space="preserve"> Throughout this paper, the terms ‘First </w:t>
      </w:r>
      <w:r w:rsidR="005F4A13">
        <w:t xml:space="preserve">Nations </w:t>
      </w:r>
      <w:r>
        <w:t xml:space="preserve">Australians’ and </w:t>
      </w:r>
      <w:r w:rsidR="00751B9F">
        <w:t>‘</w:t>
      </w:r>
      <w:r>
        <w:t>First Nations people’ collectively refer to the diverse identities of Aboriginal and Torres Strait Islander peoples.</w:t>
      </w:r>
    </w:p>
    <w:p w14:paraId="4D0B1572" w14:textId="77777777" w:rsidR="0042372F" w:rsidRDefault="0042372F" w:rsidP="004237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0707" w14:textId="295AFADC" w:rsidR="00390608" w:rsidRDefault="00390608" w:rsidP="00390608">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EBA3" w14:textId="4A6F1592" w:rsidR="002F4955" w:rsidRDefault="002F20AB" w:rsidP="00CF17C3">
    <w:pPr>
      <w:pStyle w:val="SECCLASSIFICATION"/>
    </w:pPr>
    <w:r>
      <w:drawing>
        <wp:anchor distT="0" distB="0" distL="114300" distR="114300" simplePos="0" relativeHeight="251658257" behindDoc="0" locked="0" layoutInCell="1" allowOverlap="1" wp14:anchorId="72C330DB" wp14:editId="762B9678">
          <wp:simplePos x="0" y="0"/>
          <wp:positionH relativeFrom="column">
            <wp:posOffset>-530860</wp:posOffset>
          </wp:positionH>
          <wp:positionV relativeFrom="paragraph">
            <wp:posOffset>-234950</wp:posOffset>
          </wp:positionV>
          <wp:extent cx="7562850" cy="10697966"/>
          <wp:effectExtent l="0" t="0" r="0" b="8255"/>
          <wp:wrapNone/>
          <wp:docPr id="87870200" name="Picture 1" descr="Papua New Guineans partnering with Australian government development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0200" name="Picture 1" descr="Papua New Guineans partnering with Australian government development programs"/>
                  <pic:cNvPicPr/>
                </pic:nvPicPr>
                <pic:blipFill>
                  <a:blip r:embed="rId1">
                    <a:extLst>
                      <a:ext uri="{28A0092B-C50C-407E-A947-70E740481C1C}">
                        <a14:useLocalDpi xmlns:a14="http://schemas.microsoft.com/office/drawing/2010/main" val="0"/>
                      </a:ext>
                    </a:extLst>
                  </a:blip>
                  <a:stretch>
                    <a:fillRect/>
                  </a:stretch>
                </pic:blipFill>
                <pic:spPr>
                  <a:xfrm>
                    <a:off x="0" y="0"/>
                    <a:ext cx="7569421" cy="107072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1DEA" w14:textId="197391E2" w:rsidR="001B6539" w:rsidRDefault="001B6539" w:rsidP="00C62638">
    <w:pPr>
      <w:pStyle w:val="Foot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8551" w14:textId="61530A1F" w:rsidR="00637564" w:rsidRPr="00B63B50" w:rsidRDefault="00637564" w:rsidP="00CF17C3">
    <w:pPr>
      <w:pStyle w:val="SECCLASSIFICA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E265" w14:textId="41BD5655" w:rsidR="00E72C7F" w:rsidRDefault="00794A07" w:rsidP="00CF17C3">
    <w:pPr>
      <w:pStyle w:val="SECCLASSIFICATION"/>
      <w:tabs>
        <w:tab w:val="clear" w:pos="4513"/>
        <w:tab w:val="clear" w:pos="9026"/>
        <w:tab w:val="center" w:pos="0"/>
      </w:tabs>
    </w:pPr>
    <w:r>
      <w:drawing>
        <wp:anchor distT="0" distB="0" distL="114300" distR="114300" simplePos="0" relativeHeight="251658252" behindDoc="1" locked="0" layoutInCell="1" allowOverlap="1" wp14:anchorId="06F705E3" wp14:editId="04FF872D">
          <wp:simplePos x="0" y="0"/>
          <wp:positionH relativeFrom="page">
            <wp:align>right</wp:align>
          </wp:positionH>
          <wp:positionV relativeFrom="paragraph">
            <wp:posOffset>-171450</wp:posOffset>
          </wp:positionV>
          <wp:extent cx="10551600" cy="514218"/>
          <wp:effectExtent l="0" t="0" r="0" b="635"/>
          <wp:wrapNone/>
          <wp:docPr id="19766573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2713" t="18760" r="2824" b="18710"/>
                  <a:stretch/>
                </pic:blipFill>
                <pic:spPr bwMode="auto">
                  <a:xfrm>
                    <a:off x="0" y="0"/>
                    <a:ext cx="10551600" cy="514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5E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7619" w14:textId="4BC5319D" w:rsidR="00541A9E" w:rsidRPr="00CF17C3" w:rsidRDefault="00541A9E" w:rsidP="00CF17C3">
    <w:pPr>
      <w:pStyle w:val="SECCLASSIFICA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960E" w14:textId="66923FD5" w:rsidR="00EF1299" w:rsidRPr="00CF17C3" w:rsidRDefault="00EF1299" w:rsidP="00E90562">
    <w:pPr>
      <w:pStyle w:val="SECCLASSIFICATION"/>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226" w14:textId="0CC7C30B" w:rsidR="001A1CF2" w:rsidRDefault="001A1CF2" w:rsidP="00CF17C3">
    <w:pPr>
      <w:pStyle w:val="SEC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0F2"/>
    <w:multiLevelType w:val="hybridMultilevel"/>
    <w:tmpl w:val="8174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863C3"/>
    <w:multiLevelType w:val="hybridMultilevel"/>
    <w:tmpl w:val="3BB4F288"/>
    <w:lvl w:ilvl="0" w:tplc="806C2AA0">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12CEF"/>
    <w:multiLevelType w:val="hybridMultilevel"/>
    <w:tmpl w:val="0AE2F426"/>
    <w:lvl w:ilvl="0" w:tplc="C370500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2B62"/>
    <w:multiLevelType w:val="hybridMultilevel"/>
    <w:tmpl w:val="C9322540"/>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667B2"/>
    <w:multiLevelType w:val="hybridMultilevel"/>
    <w:tmpl w:val="DF7E9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7B88DE"/>
    <w:multiLevelType w:val="hybridMultilevel"/>
    <w:tmpl w:val="600E5D62"/>
    <w:lvl w:ilvl="0" w:tplc="EED4BCAC">
      <w:start w:val="1"/>
      <w:numFmt w:val="bullet"/>
      <w:lvlText w:val=""/>
      <w:lvlJc w:val="left"/>
      <w:pPr>
        <w:ind w:left="720" w:hanging="360"/>
      </w:pPr>
      <w:rPr>
        <w:rFonts w:ascii="Symbol" w:hAnsi="Symbol" w:hint="default"/>
      </w:rPr>
    </w:lvl>
    <w:lvl w:ilvl="1" w:tplc="CA825D50">
      <w:start w:val="1"/>
      <w:numFmt w:val="bullet"/>
      <w:lvlText w:val="o"/>
      <w:lvlJc w:val="left"/>
      <w:pPr>
        <w:ind w:left="1440" w:hanging="360"/>
      </w:pPr>
      <w:rPr>
        <w:rFonts w:ascii="Courier New" w:hAnsi="Courier New" w:hint="default"/>
      </w:rPr>
    </w:lvl>
    <w:lvl w:ilvl="2" w:tplc="541C1910">
      <w:start w:val="1"/>
      <w:numFmt w:val="bullet"/>
      <w:lvlText w:val=""/>
      <w:lvlJc w:val="left"/>
      <w:pPr>
        <w:ind w:left="2160" w:hanging="360"/>
      </w:pPr>
      <w:rPr>
        <w:rFonts w:ascii="Wingdings" w:hAnsi="Wingdings" w:hint="default"/>
      </w:rPr>
    </w:lvl>
    <w:lvl w:ilvl="3" w:tplc="C9ECD5C0">
      <w:start w:val="1"/>
      <w:numFmt w:val="bullet"/>
      <w:lvlText w:val=""/>
      <w:lvlJc w:val="left"/>
      <w:pPr>
        <w:ind w:left="2880" w:hanging="360"/>
      </w:pPr>
      <w:rPr>
        <w:rFonts w:ascii="Symbol" w:hAnsi="Symbol" w:hint="default"/>
      </w:rPr>
    </w:lvl>
    <w:lvl w:ilvl="4" w:tplc="C2FE284C">
      <w:start w:val="1"/>
      <w:numFmt w:val="bullet"/>
      <w:lvlText w:val="o"/>
      <w:lvlJc w:val="left"/>
      <w:pPr>
        <w:ind w:left="3600" w:hanging="360"/>
      </w:pPr>
      <w:rPr>
        <w:rFonts w:ascii="Courier New" w:hAnsi="Courier New" w:hint="default"/>
      </w:rPr>
    </w:lvl>
    <w:lvl w:ilvl="5" w:tplc="3D86C422">
      <w:start w:val="1"/>
      <w:numFmt w:val="bullet"/>
      <w:lvlText w:val=""/>
      <w:lvlJc w:val="left"/>
      <w:pPr>
        <w:ind w:left="4320" w:hanging="360"/>
      </w:pPr>
      <w:rPr>
        <w:rFonts w:ascii="Wingdings" w:hAnsi="Wingdings" w:hint="default"/>
      </w:rPr>
    </w:lvl>
    <w:lvl w:ilvl="6" w:tplc="D9AA0E1C">
      <w:start w:val="1"/>
      <w:numFmt w:val="bullet"/>
      <w:lvlText w:val=""/>
      <w:lvlJc w:val="left"/>
      <w:pPr>
        <w:ind w:left="5040" w:hanging="360"/>
      </w:pPr>
      <w:rPr>
        <w:rFonts w:ascii="Symbol" w:hAnsi="Symbol" w:hint="default"/>
      </w:rPr>
    </w:lvl>
    <w:lvl w:ilvl="7" w:tplc="C09836F2">
      <w:start w:val="1"/>
      <w:numFmt w:val="bullet"/>
      <w:lvlText w:val="o"/>
      <w:lvlJc w:val="left"/>
      <w:pPr>
        <w:ind w:left="5760" w:hanging="360"/>
      </w:pPr>
      <w:rPr>
        <w:rFonts w:ascii="Courier New" w:hAnsi="Courier New" w:hint="default"/>
      </w:rPr>
    </w:lvl>
    <w:lvl w:ilvl="8" w:tplc="706EBE68">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7" w15:restartNumberingAfterBreak="0">
    <w:nsid w:val="185D6EDE"/>
    <w:multiLevelType w:val="multilevel"/>
    <w:tmpl w:val="FB023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2532B"/>
    <w:multiLevelType w:val="hybridMultilevel"/>
    <w:tmpl w:val="A85A2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0722D2"/>
    <w:multiLevelType w:val="hybridMultilevel"/>
    <w:tmpl w:val="3BB05A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4046ACA"/>
    <w:multiLevelType w:val="hybridMultilevel"/>
    <w:tmpl w:val="0ADA8B2A"/>
    <w:lvl w:ilvl="0" w:tplc="5DF4EA44">
      <w:start w:val="1"/>
      <w:numFmt w:val="decimal"/>
      <w:lvlText w:val="%1."/>
      <w:lvlJc w:val="left"/>
      <w:pPr>
        <w:ind w:left="1020" w:hanging="360"/>
      </w:pPr>
    </w:lvl>
    <w:lvl w:ilvl="1" w:tplc="DDFCABAC">
      <w:start w:val="1"/>
      <w:numFmt w:val="decimal"/>
      <w:lvlText w:val="%2."/>
      <w:lvlJc w:val="left"/>
      <w:pPr>
        <w:ind w:left="1020" w:hanging="360"/>
      </w:pPr>
    </w:lvl>
    <w:lvl w:ilvl="2" w:tplc="75803508">
      <w:start w:val="1"/>
      <w:numFmt w:val="decimal"/>
      <w:lvlText w:val="%3."/>
      <w:lvlJc w:val="left"/>
      <w:pPr>
        <w:ind w:left="1020" w:hanging="360"/>
      </w:pPr>
    </w:lvl>
    <w:lvl w:ilvl="3" w:tplc="EAE602CA">
      <w:start w:val="1"/>
      <w:numFmt w:val="decimal"/>
      <w:lvlText w:val="%4."/>
      <w:lvlJc w:val="left"/>
      <w:pPr>
        <w:ind w:left="1020" w:hanging="360"/>
      </w:pPr>
    </w:lvl>
    <w:lvl w:ilvl="4" w:tplc="78A82DD0">
      <w:start w:val="1"/>
      <w:numFmt w:val="decimal"/>
      <w:lvlText w:val="%5."/>
      <w:lvlJc w:val="left"/>
      <w:pPr>
        <w:ind w:left="1020" w:hanging="360"/>
      </w:pPr>
    </w:lvl>
    <w:lvl w:ilvl="5" w:tplc="D6AAC3DC">
      <w:start w:val="1"/>
      <w:numFmt w:val="decimal"/>
      <w:lvlText w:val="%6."/>
      <w:lvlJc w:val="left"/>
      <w:pPr>
        <w:ind w:left="1020" w:hanging="360"/>
      </w:pPr>
    </w:lvl>
    <w:lvl w:ilvl="6" w:tplc="6B82F426">
      <w:start w:val="1"/>
      <w:numFmt w:val="decimal"/>
      <w:lvlText w:val="%7."/>
      <w:lvlJc w:val="left"/>
      <w:pPr>
        <w:ind w:left="1020" w:hanging="360"/>
      </w:pPr>
    </w:lvl>
    <w:lvl w:ilvl="7" w:tplc="D9705652">
      <w:start w:val="1"/>
      <w:numFmt w:val="decimal"/>
      <w:lvlText w:val="%8."/>
      <w:lvlJc w:val="left"/>
      <w:pPr>
        <w:ind w:left="1020" w:hanging="360"/>
      </w:pPr>
    </w:lvl>
    <w:lvl w:ilvl="8" w:tplc="02E0B1EC">
      <w:start w:val="1"/>
      <w:numFmt w:val="decimal"/>
      <w:lvlText w:val="%9."/>
      <w:lvlJc w:val="left"/>
      <w:pPr>
        <w:ind w:left="1020" w:hanging="360"/>
      </w:pPr>
    </w:lvl>
  </w:abstractNum>
  <w:abstractNum w:abstractNumId="12" w15:restartNumberingAfterBreak="0">
    <w:nsid w:val="262D4D93"/>
    <w:multiLevelType w:val="hybridMultilevel"/>
    <w:tmpl w:val="A2A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A4C4C"/>
    <w:multiLevelType w:val="hybridMultilevel"/>
    <w:tmpl w:val="ACB63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41218D"/>
    <w:multiLevelType w:val="hybridMultilevel"/>
    <w:tmpl w:val="8612D6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573158"/>
    <w:multiLevelType w:val="hybridMultilevel"/>
    <w:tmpl w:val="64800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40BD2"/>
    <w:multiLevelType w:val="hybridMultilevel"/>
    <w:tmpl w:val="4366F4D8"/>
    <w:lvl w:ilvl="0" w:tplc="2C5E754A">
      <w:start w:val="1"/>
      <w:numFmt w:val="decimal"/>
      <w:lvlText w:val="%1."/>
      <w:lvlJc w:val="center"/>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4735664"/>
    <w:multiLevelType w:val="hybridMultilevel"/>
    <w:tmpl w:val="567A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95DB4"/>
    <w:multiLevelType w:val="hybridMultilevel"/>
    <w:tmpl w:val="D472A79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61B5CE3"/>
    <w:multiLevelType w:val="hybridMultilevel"/>
    <w:tmpl w:val="2A4617D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A1E04"/>
    <w:multiLevelType w:val="hybridMultilevel"/>
    <w:tmpl w:val="82489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396311"/>
    <w:multiLevelType w:val="hybridMultilevel"/>
    <w:tmpl w:val="8612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C618EB"/>
    <w:multiLevelType w:val="hybridMultilevel"/>
    <w:tmpl w:val="AFA2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93BC9"/>
    <w:multiLevelType w:val="hybridMultilevel"/>
    <w:tmpl w:val="040CB4B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5" w15:restartNumberingAfterBreak="0">
    <w:nsid w:val="3E4943B1"/>
    <w:multiLevelType w:val="multilevel"/>
    <w:tmpl w:val="59B28130"/>
    <w:lvl w:ilvl="0">
      <w:start w:val="1"/>
      <w:numFmt w:val="bullet"/>
      <w:pStyle w:val="NormalBullets-L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580FB7"/>
    <w:multiLevelType w:val="hybridMultilevel"/>
    <w:tmpl w:val="055ACAB4"/>
    <w:lvl w:ilvl="0" w:tplc="2FE821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625135"/>
    <w:multiLevelType w:val="hybridMultilevel"/>
    <w:tmpl w:val="3CCCC78E"/>
    <w:lvl w:ilvl="0" w:tplc="2AFA47F4">
      <w:start w:val="1"/>
      <w:numFmt w:val="decimal"/>
      <w:lvlText w:val="%1."/>
      <w:lvlJc w:val="left"/>
      <w:pPr>
        <w:ind w:left="1020" w:hanging="360"/>
      </w:pPr>
    </w:lvl>
    <w:lvl w:ilvl="1" w:tplc="B72C9BCC">
      <w:start w:val="1"/>
      <w:numFmt w:val="decimal"/>
      <w:lvlText w:val="%2."/>
      <w:lvlJc w:val="left"/>
      <w:pPr>
        <w:ind w:left="1020" w:hanging="360"/>
      </w:pPr>
    </w:lvl>
    <w:lvl w:ilvl="2" w:tplc="5B006994">
      <w:start w:val="1"/>
      <w:numFmt w:val="decimal"/>
      <w:lvlText w:val="%3."/>
      <w:lvlJc w:val="left"/>
      <w:pPr>
        <w:ind w:left="1020" w:hanging="360"/>
      </w:pPr>
    </w:lvl>
    <w:lvl w:ilvl="3" w:tplc="ABD6D28C">
      <w:start w:val="1"/>
      <w:numFmt w:val="decimal"/>
      <w:lvlText w:val="%4."/>
      <w:lvlJc w:val="left"/>
      <w:pPr>
        <w:ind w:left="1020" w:hanging="360"/>
      </w:pPr>
    </w:lvl>
    <w:lvl w:ilvl="4" w:tplc="EECA5FA0">
      <w:start w:val="1"/>
      <w:numFmt w:val="decimal"/>
      <w:lvlText w:val="%5."/>
      <w:lvlJc w:val="left"/>
      <w:pPr>
        <w:ind w:left="1020" w:hanging="360"/>
      </w:pPr>
    </w:lvl>
    <w:lvl w:ilvl="5" w:tplc="0BBA2AF2">
      <w:start w:val="1"/>
      <w:numFmt w:val="decimal"/>
      <w:lvlText w:val="%6."/>
      <w:lvlJc w:val="left"/>
      <w:pPr>
        <w:ind w:left="1020" w:hanging="360"/>
      </w:pPr>
    </w:lvl>
    <w:lvl w:ilvl="6" w:tplc="D2047418">
      <w:start w:val="1"/>
      <w:numFmt w:val="decimal"/>
      <w:lvlText w:val="%7."/>
      <w:lvlJc w:val="left"/>
      <w:pPr>
        <w:ind w:left="1020" w:hanging="360"/>
      </w:pPr>
    </w:lvl>
    <w:lvl w:ilvl="7" w:tplc="4CD4C93C">
      <w:start w:val="1"/>
      <w:numFmt w:val="decimal"/>
      <w:lvlText w:val="%8."/>
      <w:lvlJc w:val="left"/>
      <w:pPr>
        <w:ind w:left="1020" w:hanging="360"/>
      </w:pPr>
    </w:lvl>
    <w:lvl w:ilvl="8" w:tplc="88F0DC6C">
      <w:start w:val="1"/>
      <w:numFmt w:val="decimal"/>
      <w:lvlText w:val="%9."/>
      <w:lvlJc w:val="left"/>
      <w:pPr>
        <w:ind w:left="1020" w:hanging="360"/>
      </w:pPr>
    </w:lvl>
  </w:abstractNum>
  <w:abstractNum w:abstractNumId="29" w15:restartNumberingAfterBreak="0">
    <w:nsid w:val="48077873"/>
    <w:multiLevelType w:val="hybridMultilevel"/>
    <w:tmpl w:val="10D8807C"/>
    <w:lvl w:ilvl="0" w:tplc="692639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6B6C83"/>
    <w:multiLevelType w:val="multilevel"/>
    <w:tmpl w:val="6F989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8020B6"/>
    <w:multiLevelType w:val="multilevel"/>
    <w:tmpl w:val="1CA43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3" w15:restartNumberingAfterBreak="0">
    <w:nsid w:val="506D18F9"/>
    <w:multiLevelType w:val="hybridMultilevel"/>
    <w:tmpl w:val="6DCC8A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EC2AB4"/>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327922"/>
    <w:multiLevelType w:val="hybridMultilevel"/>
    <w:tmpl w:val="73EA4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F71CF0"/>
    <w:multiLevelType w:val="hybridMultilevel"/>
    <w:tmpl w:val="CF3CC1A6"/>
    <w:lvl w:ilvl="0" w:tplc="9384AB2E">
      <w:start w:val="1"/>
      <w:numFmt w:val="decimal"/>
      <w:lvlText w:val="%1."/>
      <w:lvlJc w:val="left"/>
      <w:pPr>
        <w:ind w:left="720" w:hanging="360"/>
      </w:pPr>
      <w:rPr>
        <w:b/>
        <w:b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D02518"/>
    <w:multiLevelType w:val="multilevel"/>
    <w:tmpl w:val="1960D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126FC2"/>
    <w:multiLevelType w:val="hybridMultilevel"/>
    <w:tmpl w:val="842AD1E2"/>
    <w:lvl w:ilvl="0" w:tplc="5076300C">
      <w:start w:val="1"/>
      <w:numFmt w:val="bullet"/>
      <w:lvlText w:val=""/>
      <w:lvlJc w:val="left"/>
      <w:pPr>
        <w:ind w:left="1080" w:hanging="360"/>
      </w:pPr>
      <w:rPr>
        <w:rFonts w:ascii="Symbol" w:hAnsi="Symbol" w:hint="default"/>
      </w:rPr>
    </w:lvl>
    <w:lvl w:ilvl="1" w:tplc="C9DA367E" w:tentative="1">
      <w:start w:val="1"/>
      <w:numFmt w:val="bullet"/>
      <w:lvlText w:val="o"/>
      <w:lvlJc w:val="left"/>
      <w:pPr>
        <w:ind w:left="1800" w:hanging="360"/>
      </w:pPr>
      <w:rPr>
        <w:rFonts w:ascii="Courier New" w:hAnsi="Courier New" w:hint="default"/>
      </w:rPr>
    </w:lvl>
    <w:lvl w:ilvl="2" w:tplc="CED2C46C" w:tentative="1">
      <w:start w:val="1"/>
      <w:numFmt w:val="bullet"/>
      <w:lvlText w:val=""/>
      <w:lvlJc w:val="left"/>
      <w:pPr>
        <w:ind w:left="2520" w:hanging="360"/>
      </w:pPr>
      <w:rPr>
        <w:rFonts w:ascii="Wingdings" w:hAnsi="Wingdings" w:hint="default"/>
      </w:rPr>
    </w:lvl>
    <w:lvl w:ilvl="3" w:tplc="FE8AC018" w:tentative="1">
      <w:start w:val="1"/>
      <w:numFmt w:val="bullet"/>
      <w:lvlText w:val=""/>
      <w:lvlJc w:val="left"/>
      <w:pPr>
        <w:ind w:left="3240" w:hanging="360"/>
      </w:pPr>
      <w:rPr>
        <w:rFonts w:ascii="Symbol" w:hAnsi="Symbol" w:hint="default"/>
      </w:rPr>
    </w:lvl>
    <w:lvl w:ilvl="4" w:tplc="111CA9A0" w:tentative="1">
      <w:start w:val="1"/>
      <w:numFmt w:val="bullet"/>
      <w:lvlText w:val="o"/>
      <w:lvlJc w:val="left"/>
      <w:pPr>
        <w:ind w:left="3960" w:hanging="360"/>
      </w:pPr>
      <w:rPr>
        <w:rFonts w:ascii="Courier New" w:hAnsi="Courier New" w:hint="default"/>
      </w:rPr>
    </w:lvl>
    <w:lvl w:ilvl="5" w:tplc="F3AA61EC" w:tentative="1">
      <w:start w:val="1"/>
      <w:numFmt w:val="bullet"/>
      <w:lvlText w:val=""/>
      <w:lvlJc w:val="left"/>
      <w:pPr>
        <w:ind w:left="4680" w:hanging="360"/>
      </w:pPr>
      <w:rPr>
        <w:rFonts w:ascii="Wingdings" w:hAnsi="Wingdings" w:hint="default"/>
      </w:rPr>
    </w:lvl>
    <w:lvl w:ilvl="6" w:tplc="00A2998C" w:tentative="1">
      <w:start w:val="1"/>
      <w:numFmt w:val="bullet"/>
      <w:lvlText w:val=""/>
      <w:lvlJc w:val="left"/>
      <w:pPr>
        <w:ind w:left="5400" w:hanging="360"/>
      </w:pPr>
      <w:rPr>
        <w:rFonts w:ascii="Symbol" w:hAnsi="Symbol" w:hint="default"/>
      </w:rPr>
    </w:lvl>
    <w:lvl w:ilvl="7" w:tplc="2C02BC26" w:tentative="1">
      <w:start w:val="1"/>
      <w:numFmt w:val="bullet"/>
      <w:lvlText w:val="o"/>
      <w:lvlJc w:val="left"/>
      <w:pPr>
        <w:ind w:left="6120" w:hanging="360"/>
      </w:pPr>
      <w:rPr>
        <w:rFonts w:ascii="Courier New" w:hAnsi="Courier New" w:hint="default"/>
      </w:rPr>
    </w:lvl>
    <w:lvl w:ilvl="8" w:tplc="876EF842" w:tentative="1">
      <w:start w:val="1"/>
      <w:numFmt w:val="bullet"/>
      <w:lvlText w:val=""/>
      <w:lvlJc w:val="left"/>
      <w:pPr>
        <w:ind w:left="6840" w:hanging="360"/>
      </w:pPr>
      <w:rPr>
        <w:rFonts w:ascii="Wingdings" w:hAnsi="Wingdings" w:hint="default"/>
      </w:rPr>
    </w:lvl>
  </w:abstractNum>
  <w:abstractNum w:abstractNumId="39" w15:restartNumberingAfterBreak="0">
    <w:nsid w:val="5DEA24C7"/>
    <w:multiLevelType w:val="hybridMultilevel"/>
    <w:tmpl w:val="57A2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B96AA4"/>
    <w:multiLevelType w:val="hybridMultilevel"/>
    <w:tmpl w:val="E518901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87E5B61"/>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5287429">
    <w:abstractNumId w:val="5"/>
  </w:num>
  <w:num w:numId="2" w16cid:durableId="767967916">
    <w:abstractNumId w:val="16"/>
  </w:num>
  <w:num w:numId="3" w16cid:durableId="266667794">
    <w:abstractNumId w:val="16"/>
    <w:lvlOverride w:ilvl="0">
      <w:startOverride w:val="1"/>
    </w:lvlOverride>
  </w:num>
  <w:num w:numId="4" w16cid:durableId="1903906318">
    <w:abstractNumId w:val="16"/>
    <w:lvlOverride w:ilvl="0">
      <w:startOverride w:val="1"/>
    </w:lvlOverride>
  </w:num>
  <w:num w:numId="5" w16cid:durableId="1122304565">
    <w:abstractNumId w:val="27"/>
  </w:num>
  <w:num w:numId="6" w16cid:durableId="694119614">
    <w:abstractNumId w:val="16"/>
    <w:lvlOverride w:ilvl="0">
      <w:startOverride w:val="1"/>
    </w:lvlOverride>
  </w:num>
  <w:num w:numId="7" w16cid:durableId="876505344">
    <w:abstractNumId w:val="16"/>
    <w:lvlOverride w:ilvl="0">
      <w:startOverride w:val="1"/>
    </w:lvlOverride>
  </w:num>
  <w:num w:numId="8" w16cid:durableId="1400522488">
    <w:abstractNumId w:val="25"/>
  </w:num>
  <w:num w:numId="9" w16cid:durableId="1460949582">
    <w:abstractNumId w:val="40"/>
  </w:num>
  <w:num w:numId="10" w16cid:durableId="1084494418">
    <w:abstractNumId w:val="32"/>
  </w:num>
  <w:num w:numId="11" w16cid:durableId="909847184">
    <w:abstractNumId w:val="6"/>
  </w:num>
  <w:num w:numId="12" w16cid:durableId="751583131">
    <w:abstractNumId w:val="24"/>
  </w:num>
  <w:num w:numId="13" w16cid:durableId="1477331751">
    <w:abstractNumId w:val="39"/>
  </w:num>
  <w:num w:numId="14" w16cid:durableId="238485856">
    <w:abstractNumId w:val="38"/>
  </w:num>
  <w:num w:numId="15" w16cid:durableId="1909537969">
    <w:abstractNumId w:val="4"/>
  </w:num>
  <w:num w:numId="16" w16cid:durableId="1097941218">
    <w:abstractNumId w:val="2"/>
  </w:num>
  <w:num w:numId="17" w16cid:durableId="893662038">
    <w:abstractNumId w:val="29"/>
  </w:num>
  <w:num w:numId="18" w16cid:durableId="879513284">
    <w:abstractNumId w:val="0"/>
  </w:num>
  <w:num w:numId="19" w16cid:durableId="2106991903">
    <w:abstractNumId w:val="27"/>
  </w:num>
  <w:num w:numId="20" w16cid:durableId="1458833825">
    <w:abstractNumId w:val="27"/>
  </w:num>
  <w:num w:numId="21" w16cid:durableId="1847087469">
    <w:abstractNumId w:val="27"/>
  </w:num>
  <w:num w:numId="22" w16cid:durableId="1481769628">
    <w:abstractNumId w:val="27"/>
  </w:num>
  <w:num w:numId="23" w16cid:durableId="1251891245">
    <w:abstractNumId w:val="27"/>
  </w:num>
  <w:num w:numId="24" w16cid:durableId="1201893486">
    <w:abstractNumId w:val="37"/>
  </w:num>
  <w:num w:numId="25" w16cid:durableId="16934237">
    <w:abstractNumId w:val="19"/>
  </w:num>
  <w:num w:numId="26" w16cid:durableId="723600152">
    <w:abstractNumId w:val="26"/>
  </w:num>
  <w:num w:numId="27" w16cid:durableId="826245015">
    <w:abstractNumId w:val="9"/>
  </w:num>
  <w:num w:numId="28" w16cid:durableId="911164738">
    <w:abstractNumId w:val="25"/>
  </w:num>
  <w:num w:numId="29" w16cid:durableId="241574739">
    <w:abstractNumId w:val="9"/>
  </w:num>
  <w:num w:numId="30" w16cid:durableId="889145706">
    <w:abstractNumId w:val="25"/>
  </w:num>
  <w:num w:numId="31" w16cid:durableId="2006088877">
    <w:abstractNumId w:val="36"/>
  </w:num>
  <w:num w:numId="32" w16cid:durableId="626006505">
    <w:abstractNumId w:val="22"/>
  </w:num>
  <w:num w:numId="33" w16cid:durableId="1953898847">
    <w:abstractNumId w:val="18"/>
  </w:num>
  <w:num w:numId="34" w16cid:durableId="635573056">
    <w:abstractNumId w:val="23"/>
  </w:num>
  <w:num w:numId="35" w16cid:durableId="1379276118">
    <w:abstractNumId w:val="14"/>
  </w:num>
  <w:num w:numId="36" w16cid:durableId="1312783132">
    <w:abstractNumId w:val="21"/>
  </w:num>
  <w:num w:numId="37" w16cid:durableId="1813669774">
    <w:abstractNumId w:val="1"/>
  </w:num>
  <w:num w:numId="38" w16cid:durableId="1114902746">
    <w:abstractNumId w:val="20"/>
  </w:num>
  <w:num w:numId="39" w16cid:durableId="1102603397">
    <w:abstractNumId w:val="33"/>
  </w:num>
  <w:num w:numId="40" w16cid:durableId="1616449394">
    <w:abstractNumId w:val="35"/>
  </w:num>
  <w:num w:numId="41" w16cid:durableId="906841593">
    <w:abstractNumId w:val="15"/>
  </w:num>
  <w:num w:numId="42" w16cid:durableId="1186290551">
    <w:abstractNumId w:val="10"/>
  </w:num>
  <w:num w:numId="43" w16cid:durableId="878476460">
    <w:abstractNumId w:val="17"/>
  </w:num>
  <w:num w:numId="44" w16cid:durableId="1532913980">
    <w:abstractNumId w:val="42"/>
  </w:num>
  <w:num w:numId="45" w16cid:durableId="1843549453">
    <w:abstractNumId w:val="13"/>
  </w:num>
  <w:num w:numId="46" w16cid:durableId="1895851377">
    <w:abstractNumId w:val="34"/>
  </w:num>
  <w:num w:numId="47" w16cid:durableId="371928425">
    <w:abstractNumId w:val="3"/>
  </w:num>
  <w:num w:numId="48" w16cid:durableId="117382646">
    <w:abstractNumId w:val="12"/>
  </w:num>
  <w:num w:numId="49" w16cid:durableId="1717001320">
    <w:abstractNumId w:val="41"/>
  </w:num>
  <w:num w:numId="50" w16cid:durableId="372076550">
    <w:abstractNumId w:val="11"/>
  </w:num>
  <w:num w:numId="51" w16cid:durableId="1770201160">
    <w:abstractNumId w:val="28"/>
  </w:num>
  <w:num w:numId="52" w16cid:durableId="1300182350">
    <w:abstractNumId w:val="8"/>
  </w:num>
  <w:num w:numId="53" w16cid:durableId="1070495433">
    <w:abstractNumId w:val="30"/>
  </w:num>
  <w:num w:numId="54" w16cid:durableId="1742829323">
    <w:abstractNumId w:val="7"/>
  </w:num>
  <w:num w:numId="55" w16cid:durableId="210275015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6"/>
    <w:rsid w:val="0000097A"/>
    <w:rsid w:val="000016B2"/>
    <w:rsid w:val="00001B93"/>
    <w:rsid w:val="00002B67"/>
    <w:rsid w:val="00003531"/>
    <w:rsid w:val="000049FA"/>
    <w:rsid w:val="00005B78"/>
    <w:rsid w:val="00006385"/>
    <w:rsid w:val="00006A10"/>
    <w:rsid w:val="00006B97"/>
    <w:rsid w:val="00012899"/>
    <w:rsid w:val="00014F30"/>
    <w:rsid w:val="000154D9"/>
    <w:rsid w:val="00015AB5"/>
    <w:rsid w:val="000175A1"/>
    <w:rsid w:val="00020372"/>
    <w:rsid w:val="0002117E"/>
    <w:rsid w:val="00021238"/>
    <w:rsid w:val="00021400"/>
    <w:rsid w:val="00021643"/>
    <w:rsid w:val="00022510"/>
    <w:rsid w:val="00022746"/>
    <w:rsid w:val="0002336E"/>
    <w:rsid w:val="000236CD"/>
    <w:rsid w:val="000237CF"/>
    <w:rsid w:val="00024FF8"/>
    <w:rsid w:val="00025428"/>
    <w:rsid w:val="000260FB"/>
    <w:rsid w:val="00026684"/>
    <w:rsid w:val="00026DC4"/>
    <w:rsid w:val="000270CC"/>
    <w:rsid w:val="00027CFF"/>
    <w:rsid w:val="00030679"/>
    <w:rsid w:val="0003264E"/>
    <w:rsid w:val="000326BA"/>
    <w:rsid w:val="0003309B"/>
    <w:rsid w:val="000349C8"/>
    <w:rsid w:val="00034B75"/>
    <w:rsid w:val="00034CD6"/>
    <w:rsid w:val="000355C2"/>
    <w:rsid w:val="000355E6"/>
    <w:rsid w:val="00035BCB"/>
    <w:rsid w:val="00040128"/>
    <w:rsid w:val="0004064C"/>
    <w:rsid w:val="00042DCE"/>
    <w:rsid w:val="00043B51"/>
    <w:rsid w:val="00044387"/>
    <w:rsid w:val="00046C31"/>
    <w:rsid w:val="00046F59"/>
    <w:rsid w:val="000503FC"/>
    <w:rsid w:val="0005090B"/>
    <w:rsid w:val="000511AB"/>
    <w:rsid w:val="00051761"/>
    <w:rsid w:val="00051A07"/>
    <w:rsid w:val="00052648"/>
    <w:rsid w:val="00053ACB"/>
    <w:rsid w:val="00054A1C"/>
    <w:rsid w:val="000551F9"/>
    <w:rsid w:val="00056270"/>
    <w:rsid w:val="00060444"/>
    <w:rsid w:val="0006046E"/>
    <w:rsid w:val="00060787"/>
    <w:rsid w:val="00060AAF"/>
    <w:rsid w:val="00060FE6"/>
    <w:rsid w:val="0006132F"/>
    <w:rsid w:val="000618AC"/>
    <w:rsid w:val="00061924"/>
    <w:rsid w:val="00062E12"/>
    <w:rsid w:val="00062EA5"/>
    <w:rsid w:val="00063779"/>
    <w:rsid w:val="00065041"/>
    <w:rsid w:val="000661FB"/>
    <w:rsid w:val="0006639F"/>
    <w:rsid w:val="000664A6"/>
    <w:rsid w:val="000670CA"/>
    <w:rsid w:val="00067917"/>
    <w:rsid w:val="0007335A"/>
    <w:rsid w:val="00074C73"/>
    <w:rsid w:val="000752D0"/>
    <w:rsid w:val="0007721B"/>
    <w:rsid w:val="0007791C"/>
    <w:rsid w:val="00080709"/>
    <w:rsid w:val="00080A26"/>
    <w:rsid w:val="00081ECF"/>
    <w:rsid w:val="00082C8A"/>
    <w:rsid w:val="000831C0"/>
    <w:rsid w:val="00083836"/>
    <w:rsid w:val="00084F2C"/>
    <w:rsid w:val="00085055"/>
    <w:rsid w:val="00085AC0"/>
    <w:rsid w:val="00086BD2"/>
    <w:rsid w:val="000876DB"/>
    <w:rsid w:val="00087B81"/>
    <w:rsid w:val="000903C5"/>
    <w:rsid w:val="000907F0"/>
    <w:rsid w:val="00090A01"/>
    <w:rsid w:val="00090ABB"/>
    <w:rsid w:val="0009265A"/>
    <w:rsid w:val="00092665"/>
    <w:rsid w:val="00092FFC"/>
    <w:rsid w:val="00093F9C"/>
    <w:rsid w:val="00093FBA"/>
    <w:rsid w:val="00094F6E"/>
    <w:rsid w:val="0009602A"/>
    <w:rsid w:val="00096C93"/>
    <w:rsid w:val="00097D16"/>
    <w:rsid w:val="000A0841"/>
    <w:rsid w:val="000A0F7A"/>
    <w:rsid w:val="000A17ED"/>
    <w:rsid w:val="000A1F8D"/>
    <w:rsid w:val="000A3003"/>
    <w:rsid w:val="000A35EE"/>
    <w:rsid w:val="000A546A"/>
    <w:rsid w:val="000A5FC3"/>
    <w:rsid w:val="000A6982"/>
    <w:rsid w:val="000A6E90"/>
    <w:rsid w:val="000A747B"/>
    <w:rsid w:val="000A7622"/>
    <w:rsid w:val="000A764E"/>
    <w:rsid w:val="000A7F44"/>
    <w:rsid w:val="000B04E1"/>
    <w:rsid w:val="000B05A9"/>
    <w:rsid w:val="000B2623"/>
    <w:rsid w:val="000B2EE1"/>
    <w:rsid w:val="000B4A07"/>
    <w:rsid w:val="000B7B34"/>
    <w:rsid w:val="000C166F"/>
    <w:rsid w:val="000C20D5"/>
    <w:rsid w:val="000C2C5C"/>
    <w:rsid w:val="000C3C88"/>
    <w:rsid w:val="000C4984"/>
    <w:rsid w:val="000C4BA5"/>
    <w:rsid w:val="000C52E7"/>
    <w:rsid w:val="000C6273"/>
    <w:rsid w:val="000C6F07"/>
    <w:rsid w:val="000C6F29"/>
    <w:rsid w:val="000C713B"/>
    <w:rsid w:val="000C7C61"/>
    <w:rsid w:val="000D0475"/>
    <w:rsid w:val="000D156D"/>
    <w:rsid w:val="000D1C27"/>
    <w:rsid w:val="000D226D"/>
    <w:rsid w:val="000D2C84"/>
    <w:rsid w:val="000D3A27"/>
    <w:rsid w:val="000D6436"/>
    <w:rsid w:val="000D6AE2"/>
    <w:rsid w:val="000E058A"/>
    <w:rsid w:val="000E1238"/>
    <w:rsid w:val="000E1671"/>
    <w:rsid w:val="000E2C1E"/>
    <w:rsid w:val="000E37B3"/>
    <w:rsid w:val="000E40C6"/>
    <w:rsid w:val="000E453D"/>
    <w:rsid w:val="000E499D"/>
    <w:rsid w:val="000E4E91"/>
    <w:rsid w:val="000E5231"/>
    <w:rsid w:val="000E566F"/>
    <w:rsid w:val="000E5B38"/>
    <w:rsid w:val="000F07B0"/>
    <w:rsid w:val="000F255E"/>
    <w:rsid w:val="000F3A8A"/>
    <w:rsid w:val="000F3D64"/>
    <w:rsid w:val="000F487E"/>
    <w:rsid w:val="000F4D98"/>
    <w:rsid w:val="000F533A"/>
    <w:rsid w:val="000F62AF"/>
    <w:rsid w:val="000F65C6"/>
    <w:rsid w:val="000F6AB5"/>
    <w:rsid w:val="000F6AB9"/>
    <w:rsid w:val="000F6B0F"/>
    <w:rsid w:val="000F717B"/>
    <w:rsid w:val="000F78F7"/>
    <w:rsid w:val="00100731"/>
    <w:rsid w:val="00100EEB"/>
    <w:rsid w:val="00102407"/>
    <w:rsid w:val="00102509"/>
    <w:rsid w:val="00103170"/>
    <w:rsid w:val="00103290"/>
    <w:rsid w:val="00103864"/>
    <w:rsid w:val="0010421B"/>
    <w:rsid w:val="001058D0"/>
    <w:rsid w:val="001078DF"/>
    <w:rsid w:val="00107D7E"/>
    <w:rsid w:val="00107E79"/>
    <w:rsid w:val="0011116C"/>
    <w:rsid w:val="00111838"/>
    <w:rsid w:val="00111A67"/>
    <w:rsid w:val="00112F20"/>
    <w:rsid w:val="0011351A"/>
    <w:rsid w:val="0011360A"/>
    <w:rsid w:val="001151F4"/>
    <w:rsid w:val="00115A1A"/>
    <w:rsid w:val="001168FB"/>
    <w:rsid w:val="00117E9D"/>
    <w:rsid w:val="001200AB"/>
    <w:rsid w:val="0012012C"/>
    <w:rsid w:val="00120208"/>
    <w:rsid w:val="0012058C"/>
    <w:rsid w:val="00123518"/>
    <w:rsid w:val="001237F4"/>
    <w:rsid w:val="00124557"/>
    <w:rsid w:val="00124912"/>
    <w:rsid w:val="00126108"/>
    <w:rsid w:val="001261FA"/>
    <w:rsid w:val="00126B9B"/>
    <w:rsid w:val="001301E2"/>
    <w:rsid w:val="001313B5"/>
    <w:rsid w:val="0013302A"/>
    <w:rsid w:val="00133273"/>
    <w:rsid w:val="00133E3C"/>
    <w:rsid w:val="00134F82"/>
    <w:rsid w:val="0013598F"/>
    <w:rsid w:val="0013689D"/>
    <w:rsid w:val="001405B7"/>
    <w:rsid w:val="0014115F"/>
    <w:rsid w:val="00141D2F"/>
    <w:rsid w:val="001425E8"/>
    <w:rsid w:val="00142E01"/>
    <w:rsid w:val="00143783"/>
    <w:rsid w:val="00144612"/>
    <w:rsid w:val="001450D2"/>
    <w:rsid w:val="00150385"/>
    <w:rsid w:val="00150444"/>
    <w:rsid w:val="001509F9"/>
    <w:rsid w:val="00150C3E"/>
    <w:rsid w:val="00151078"/>
    <w:rsid w:val="00151836"/>
    <w:rsid w:val="00151C33"/>
    <w:rsid w:val="00151ED5"/>
    <w:rsid w:val="00152DE8"/>
    <w:rsid w:val="0015311C"/>
    <w:rsid w:val="00153B0D"/>
    <w:rsid w:val="001545A5"/>
    <w:rsid w:val="00154876"/>
    <w:rsid w:val="00155058"/>
    <w:rsid w:val="001551CC"/>
    <w:rsid w:val="00155F24"/>
    <w:rsid w:val="00156E09"/>
    <w:rsid w:val="00156E7E"/>
    <w:rsid w:val="00157287"/>
    <w:rsid w:val="00157FE6"/>
    <w:rsid w:val="001613CB"/>
    <w:rsid w:val="00161F52"/>
    <w:rsid w:val="00162754"/>
    <w:rsid w:val="001629FF"/>
    <w:rsid w:val="00163279"/>
    <w:rsid w:val="001632B9"/>
    <w:rsid w:val="00163C6E"/>
    <w:rsid w:val="00164C66"/>
    <w:rsid w:val="00165186"/>
    <w:rsid w:val="00165E75"/>
    <w:rsid w:val="0016604A"/>
    <w:rsid w:val="00167109"/>
    <w:rsid w:val="001675C5"/>
    <w:rsid w:val="00167FCE"/>
    <w:rsid w:val="00170649"/>
    <w:rsid w:val="00170C86"/>
    <w:rsid w:val="00171E62"/>
    <w:rsid w:val="001724B1"/>
    <w:rsid w:val="00172690"/>
    <w:rsid w:val="00172D09"/>
    <w:rsid w:val="0017317D"/>
    <w:rsid w:val="001731DA"/>
    <w:rsid w:val="00173BDC"/>
    <w:rsid w:val="00173F8D"/>
    <w:rsid w:val="00174DE9"/>
    <w:rsid w:val="00175652"/>
    <w:rsid w:val="0017610A"/>
    <w:rsid w:val="00176DB4"/>
    <w:rsid w:val="00176E8A"/>
    <w:rsid w:val="00177089"/>
    <w:rsid w:val="00177192"/>
    <w:rsid w:val="00177470"/>
    <w:rsid w:val="001806CD"/>
    <w:rsid w:val="00180F06"/>
    <w:rsid w:val="00181277"/>
    <w:rsid w:val="0018153B"/>
    <w:rsid w:val="001815B0"/>
    <w:rsid w:val="00184471"/>
    <w:rsid w:val="001844D9"/>
    <w:rsid w:val="0018479B"/>
    <w:rsid w:val="00184E49"/>
    <w:rsid w:val="001856C0"/>
    <w:rsid w:val="001858B5"/>
    <w:rsid w:val="001869DB"/>
    <w:rsid w:val="0018775B"/>
    <w:rsid w:val="001909DE"/>
    <w:rsid w:val="00190C21"/>
    <w:rsid w:val="00190C72"/>
    <w:rsid w:val="00191F5B"/>
    <w:rsid w:val="001924F8"/>
    <w:rsid w:val="00192A45"/>
    <w:rsid w:val="0019326C"/>
    <w:rsid w:val="001939F0"/>
    <w:rsid w:val="0019518F"/>
    <w:rsid w:val="001958AE"/>
    <w:rsid w:val="00195B73"/>
    <w:rsid w:val="00195EF7"/>
    <w:rsid w:val="00195FC4"/>
    <w:rsid w:val="001961F5"/>
    <w:rsid w:val="00197654"/>
    <w:rsid w:val="001A07E8"/>
    <w:rsid w:val="001A1CF2"/>
    <w:rsid w:val="001A1E2F"/>
    <w:rsid w:val="001A35A3"/>
    <w:rsid w:val="001A4F21"/>
    <w:rsid w:val="001A52CF"/>
    <w:rsid w:val="001A6313"/>
    <w:rsid w:val="001A67BF"/>
    <w:rsid w:val="001B1D74"/>
    <w:rsid w:val="001B27F6"/>
    <w:rsid w:val="001B3479"/>
    <w:rsid w:val="001B4754"/>
    <w:rsid w:val="001B4D9F"/>
    <w:rsid w:val="001B5B92"/>
    <w:rsid w:val="001B5FD7"/>
    <w:rsid w:val="001B6539"/>
    <w:rsid w:val="001B6877"/>
    <w:rsid w:val="001B7B74"/>
    <w:rsid w:val="001C0120"/>
    <w:rsid w:val="001C3E62"/>
    <w:rsid w:val="001C42C9"/>
    <w:rsid w:val="001C489A"/>
    <w:rsid w:val="001C6645"/>
    <w:rsid w:val="001C69A2"/>
    <w:rsid w:val="001C7EAA"/>
    <w:rsid w:val="001C7F37"/>
    <w:rsid w:val="001D02EC"/>
    <w:rsid w:val="001D05C0"/>
    <w:rsid w:val="001D1261"/>
    <w:rsid w:val="001D17BA"/>
    <w:rsid w:val="001D2508"/>
    <w:rsid w:val="001D29C1"/>
    <w:rsid w:val="001D3694"/>
    <w:rsid w:val="001D428C"/>
    <w:rsid w:val="001D428D"/>
    <w:rsid w:val="001D4E71"/>
    <w:rsid w:val="001D5B3A"/>
    <w:rsid w:val="001D5C4A"/>
    <w:rsid w:val="001D60B7"/>
    <w:rsid w:val="001D6230"/>
    <w:rsid w:val="001D65C1"/>
    <w:rsid w:val="001D7724"/>
    <w:rsid w:val="001D7CDB"/>
    <w:rsid w:val="001E06AC"/>
    <w:rsid w:val="001E0AE7"/>
    <w:rsid w:val="001E331B"/>
    <w:rsid w:val="001E4BFF"/>
    <w:rsid w:val="001E4F4F"/>
    <w:rsid w:val="001E5329"/>
    <w:rsid w:val="001E6189"/>
    <w:rsid w:val="001E6A94"/>
    <w:rsid w:val="001E7725"/>
    <w:rsid w:val="001E7A40"/>
    <w:rsid w:val="001F0154"/>
    <w:rsid w:val="001F0B82"/>
    <w:rsid w:val="001F101F"/>
    <w:rsid w:val="001F17EB"/>
    <w:rsid w:val="001F1BA1"/>
    <w:rsid w:val="001F2A5E"/>
    <w:rsid w:val="001F3873"/>
    <w:rsid w:val="001F3990"/>
    <w:rsid w:val="001F44FF"/>
    <w:rsid w:val="001F459F"/>
    <w:rsid w:val="001F4862"/>
    <w:rsid w:val="001F4F69"/>
    <w:rsid w:val="001F61A5"/>
    <w:rsid w:val="001F6CCF"/>
    <w:rsid w:val="001F77BF"/>
    <w:rsid w:val="00200584"/>
    <w:rsid w:val="00202511"/>
    <w:rsid w:val="00203002"/>
    <w:rsid w:val="00203097"/>
    <w:rsid w:val="002050D5"/>
    <w:rsid w:val="00205A37"/>
    <w:rsid w:val="00206142"/>
    <w:rsid w:val="00206226"/>
    <w:rsid w:val="00206461"/>
    <w:rsid w:val="00210C00"/>
    <w:rsid w:val="002114D2"/>
    <w:rsid w:val="00211BF4"/>
    <w:rsid w:val="002124E5"/>
    <w:rsid w:val="0021262F"/>
    <w:rsid w:val="0021300E"/>
    <w:rsid w:val="00213BF2"/>
    <w:rsid w:val="00215228"/>
    <w:rsid w:val="002168CE"/>
    <w:rsid w:val="002169EF"/>
    <w:rsid w:val="00216C3B"/>
    <w:rsid w:val="00217637"/>
    <w:rsid w:val="0021791D"/>
    <w:rsid w:val="0022001F"/>
    <w:rsid w:val="00220379"/>
    <w:rsid w:val="00220440"/>
    <w:rsid w:val="00220505"/>
    <w:rsid w:val="00221E40"/>
    <w:rsid w:val="00222BFD"/>
    <w:rsid w:val="00222DA3"/>
    <w:rsid w:val="00224473"/>
    <w:rsid w:val="00224C72"/>
    <w:rsid w:val="002251FB"/>
    <w:rsid w:val="00225B46"/>
    <w:rsid w:val="00225F8B"/>
    <w:rsid w:val="00226590"/>
    <w:rsid w:val="00226A5A"/>
    <w:rsid w:val="00226AB3"/>
    <w:rsid w:val="00227748"/>
    <w:rsid w:val="00227E18"/>
    <w:rsid w:val="002305CC"/>
    <w:rsid w:val="00230B60"/>
    <w:rsid w:val="002310B0"/>
    <w:rsid w:val="002319FB"/>
    <w:rsid w:val="00231D36"/>
    <w:rsid w:val="002329FC"/>
    <w:rsid w:val="00232F10"/>
    <w:rsid w:val="0023326C"/>
    <w:rsid w:val="00233DD7"/>
    <w:rsid w:val="00233EC5"/>
    <w:rsid w:val="002352A4"/>
    <w:rsid w:val="0023546E"/>
    <w:rsid w:val="00235D57"/>
    <w:rsid w:val="00237DCB"/>
    <w:rsid w:val="00241054"/>
    <w:rsid w:val="00241FAF"/>
    <w:rsid w:val="00242235"/>
    <w:rsid w:val="00242C30"/>
    <w:rsid w:val="00243B48"/>
    <w:rsid w:val="00243D92"/>
    <w:rsid w:val="002442B1"/>
    <w:rsid w:val="00244D8A"/>
    <w:rsid w:val="00245663"/>
    <w:rsid w:val="00246196"/>
    <w:rsid w:val="00246918"/>
    <w:rsid w:val="00247079"/>
    <w:rsid w:val="00250BD6"/>
    <w:rsid w:val="00250D78"/>
    <w:rsid w:val="00250F6E"/>
    <w:rsid w:val="00252A4D"/>
    <w:rsid w:val="00254BAF"/>
    <w:rsid w:val="00255770"/>
    <w:rsid w:val="00257E17"/>
    <w:rsid w:val="002612F7"/>
    <w:rsid w:val="002631B4"/>
    <w:rsid w:val="002634CF"/>
    <w:rsid w:val="00263BEA"/>
    <w:rsid w:val="002640AC"/>
    <w:rsid w:val="002640FD"/>
    <w:rsid w:val="00264ECD"/>
    <w:rsid w:val="00265D03"/>
    <w:rsid w:val="00266C4D"/>
    <w:rsid w:val="00266DE9"/>
    <w:rsid w:val="002673E2"/>
    <w:rsid w:val="00267CBE"/>
    <w:rsid w:val="0027136C"/>
    <w:rsid w:val="002715C0"/>
    <w:rsid w:val="002737BF"/>
    <w:rsid w:val="00273FD3"/>
    <w:rsid w:val="00274356"/>
    <w:rsid w:val="00274630"/>
    <w:rsid w:val="00275031"/>
    <w:rsid w:val="00276048"/>
    <w:rsid w:val="00276264"/>
    <w:rsid w:val="00281550"/>
    <w:rsid w:val="00283265"/>
    <w:rsid w:val="00283A5D"/>
    <w:rsid w:val="00283ABD"/>
    <w:rsid w:val="00284150"/>
    <w:rsid w:val="002843B3"/>
    <w:rsid w:val="00284E45"/>
    <w:rsid w:val="00285911"/>
    <w:rsid w:val="00285A61"/>
    <w:rsid w:val="0028620A"/>
    <w:rsid w:val="00286618"/>
    <w:rsid w:val="0028673F"/>
    <w:rsid w:val="002867D3"/>
    <w:rsid w:val="00287104"/>
    <w:rsid w:val="00287996"/>
    <w:rsid w:val="002902F5"/>
    <w:rsid w:val="0029061C"/>
    <w:rsid w:val="002907FD"/>
    <w:rsid w:val="00291082"/>
    <w:rsid w:val="002923D5"/>
    <w:rsid w:val="002929B1"/>
    <w:rsid w:val="00292A46"/>
    <w:rsid w:val="002937AF"/>
    <w:rsid w:val="002947FE"/>
    <w:rsid w:val="00297365"/>
    <w:rsid w:val="0029788E"/>
    <w:rsid w:val="00297E14"/>
    <w:rsid w:val="002A053D"/>
    <w:rsid w:val="002A0E04"/>
    <w:rsid w:val="002A129C"/>
    <w:rsid w:val="002A1322"/>
    <w:rsid w:val="002A141B"/>
    <w:rsid w:val="002A16EB"/>
    <w:rsid w:val="002A20F1"/>
    <w:rsid w:val="002A2363"/>
    <w:rsid w:val="002A245E"/>
    <w:rsid w:val="002A259E"/>
    <w:rsid w:val="002A283D"/>
    <w:rsid w:val="002A2D01"/>
    <w:rsid w:val="002A3A18"/>
    <w:rsid w:val="002A4FDA"/>
    <w:rsid w:val="002B022C"/>
    <w:rsid w:val="002B030E"/>
    <w:rsid w:val="002B0703"/>
    <w:rsid w:val="002B0B23"/>
    <w:rsid w:val="002B11EF"/>
    <w:rsid w:val="002B1BC8"/>
    <w:rsid w:val="002B28E2"/>
    <w:rsid w:val="002B43E9"/>
    <w:rsid w:val="002B49E3"/>
    <w:rsid w:val="002B672E"/>
    <w:rsid w:val="002B6D0B"/>
    <w:rsid w:val="002B7058"/>
    <w:rsid w:val="002B7308"/>
    <w:rsid w:val="002C1745"/>
    <w:rsid w:val="002C20DD"/>
    <w:rsid w:val="002C234B"/>
    <w:rsid w:val="002C2366"/>
    <w:rsid w:val="002C25E2"/>
    <w:rsid w:val="002C2662"/>
    <w:rsid w:val="002C2825"/>
    <w:rsid w:val="002C3C6F"/>
    <w:rsid w:val="002C4913"/>
    <w:rsid w:val="002C4AB1"/>
    <w:rsid w:val="002C6361"/>
    <w:rsid w:val="002D11E8"/>
    <w:rsid w:val="002D2D7E"/>
    <w:rsid w:val="002D40A6"/>
    <w:rsid w:val="002D4ED9"/>
    <w:rsid w:val="002D55F0"/>
    <w:rsid w:val="002D5DAB"/>
    <w:rsid w:val="002D602A"/>
    <w:rsid w:val="002D6C16"/>
    <w:rsid w:val="002D6D2D"/>
    <w:rsid w:val="002D6D8A"/>
    <w:rsid w:val="002D7C2A"/>
    <w:rsid w:val="002E0E5A"/>
    <w:rsid w:val="002E15CC"/>
    <w:rsid w:val="002E3037"/>
    <w:rsid w:val="002E350B"/>
    <w:rsid w:val="002E41F8"/>
    <w:rsid w:val="002E493E"/>
    <w:rsid w:val="002E4D08"/>
    <w:rsid w:val="002E525B"/>
    <w:rsid w:val="002E54A8"/>
    <w:rsid w:val="002E54D9"/>
    <w:rsid w:val="002E553D"/>
    <w:rsid w:val="002E58CD"/>
    <w:rsid w:val="002E7508"/>
    <w:rsid w:val="002E79F8"/>
    <w:rsid w:val="002E7CB9"/>
    <w:rsid w:val="002F0028"/>
    <w:rsid w:val="002F20AB"/>
    <w:rsid w:val="002F4853"/>
    <w:rsid w:val="002F4955"/>
    <w:rsid w:val="002F5C5E"/>
    <w:rsid w:val="002F5C8B"/>
    <w:rsid w:val="002F6DA6"/>
    <w:rsid w:val="002F73B3"/>
    <w:rsid w:val="002F762E"/>
    <w:rsid w:val="002F79A8"/>
    <w:rsid w:val="002F7C66"/>
    <w:rsid w:val="002F7F4F"/>
    <w:rsid w:val="00300700"/>
    <w:rsid w:val="00301119"/>
    <w:rsid w:val="0030116F"/>
    <w:rsid w:val="00303DA2"/>
    <w:rsid w:val="00304491"/>
    <w:rsid w:val="00304D42"/>
    <w:rsid w:val="0030622A"/>
    <w:rsid w:val="0031099D"/>
    <w:rsid w:val="003123FC"/>
    <w:rsid w:val="00313958"/>
    <w:rsid w:val="0031395D"/>
    <w:rsid w:val="00313BF3"/>
    <w:rsid w:val="0031428E"/>
    <w:rsid w:val="00314687"/>
    <w:rsid w:val="00314F07"/>
    <w:rsid w:val="0031677F"/>
    <w:rsid w:val="003169FB"/>
    <w:rsid w:val="00316D2C"/>
    <w:rsid w:val="0032077F"/>
    <w:rsid w:val="00320F02"/>
    <w:rsid w:val="00320F3F"/>
    <w:rsid w:val="00320F60"/>
    <w:rsid w:val="00321391"/>
    <w:rsid w:val="003228AA"/>
    <w:rsid w:val="003231C7"/>
    <w:rsid w:val="00323894"/>
    <w:rsid w:val="00323B58"/>
    <w:rsid w:val="0032404B"/>
    <w:rsid w:val="00325860"/>
    <w:rsid w:val="0032737B"/>
    <w:rsid w:val="0032787A"/>
    <w:rsid w:val="003302EB"/>
    <w:rsid w:val="0033053A"/>
    <w:rsid w:val="00330E6F"/>
    <w:rsid w:val="00331A33"/>
    <w:rsid w:val="003327F6"/>
    <w:rsid w:val="00332F2D"/>
    <w:rsid w:val="00333F6C"/>
    <w:rsid w:val="003355C2"/>
    <w:rsid w:val="00335787"/>
    <w:rsid w:val="00335E95"/>
    <w:rsid w:val="003407D3"/>
    <w:rsid w:val="00340812"/>
    <w:rsid w:val="00340AC5"/>
    <w:rsid w:val="0034176D"/>
    <w:rsid w:val="00342318"/>
    <w:rsid w:val="00342F59"/>
    <w:rsid w:val="0034404A"/>
    <w:rsid w:val="003442B9"/>
    <w:rsid w:val="00344E96"/>
    <w:rsid w:val="00345386"/>
    <w:rsid w:val="00345851"/>
    <w:rsid w:val="003459A5"/>
    <w:rsid w:val="0034651C"/>
    <w:rsid w:val="003465D9"/>
    <w:rsid w:val="0034668D"/>
    <w:rsid w:val="003466CA"/>
    <w:rsid w:val="003466F5"/>
    <w:rsid w:val="00346AB7"/>
    <w:rsid w:val="0034773E"/>
    <w:rsid w:val="00347BD1"/>
    <w:rsid w:val="0035082A"/>
    <w:rsid w:val="003509A6"/>
    <w:rsid w:val="00350D04"/>
    <w:rsid w:val="00351A44"/>
    <w:rsid w:val="0035235B"/>
    <w:rsid w:val="003529DB"/>
    <w:rsid w:val="00352D35"/>
    <w:rsid w:val="00354DCB"/>
    <w:rsid w:val="00355475"/>
    <w:rsid w:val="00355946"/>
    <w:rsid w:val="00355CCF"/>
    <w:rsid w:val="00355E28"/>
    <w:rsid w:val="00356C04"/>
    <w:rsid w:val="00356EE9"/>
    <w:rsid w:val="003575D6"/>
    <w:rsid w:val="00357C75"/>
    <w:rsid w:val="00357F04"/>
    <w:rsid w:val="003609BD"/>
    <w:rsid w:val="003619EC"/>
    <w:rsid w:val="0036274A"/>
    <w:rsid w:val="003632CD"/>
    <w:rsid w:val="00363310"/>
    <w:rsid w:val="00363634"/>
    <w:rsid w:val="003643A1"/>
    <w:rsid w:val="00364BA5"/>
    <w:rsid w:val="00365A5C"/>
    <w:rsid w:val="00366D6D"/>
    <w:rsid w:val="00366DA6"/>
    <w:rsid w:val="003670DB"/>
    <w:rsid w:val="00371EF8"/>
    <w:rsid w:val="003725BA"/>
    <w:rsid w:val="00374783"/>
    <w:rsid w:val="00374A27"/>
    <w:rsid w:val="00374A6D"/>
    <w:rsid w:val="003771A7"/>
    <w:rsid w:val="00377759"/>
    <w:rsid w:val="00380D69"/>
    <w:rsid w:val="00381082"/>
    <w:rsid w:val="00381723"/>
    <w:rsid w:val="0038207E"/>
    <w:rsid w:val="0038209B"/>
    <w:rsid w:val="00382510"/>
    <w:rsid w:val="0038272A"/>
    <w:rsid w:val="003833C8"/>
    <w:rsid w:val="003835F7"/>
    <w:rsid w:val="00383B30"/>
    <w:rsid w:val="003848EC"/>
    <w:rsid w:val="00384FAF"/>
    <w:rsid w:val="0038561F"/>
    <w:rsid w:val="00385FCA"/>
    <w:rsid w:val="003865DA"/>
    <w:rsid w:val="0038725F"/>
    <w:rsid w:val="00387C9A"/>
    <w:rsid w:val="00390103"/>
    <w:rsid w:val="00390608"/>
    <w:rsid w:val="0039216C"/>
    <w:rsid w:val="003931D1"/>
    <w:rsid w:val="00393395"/>
    <w:rsid w:val="0039356E"/>
    <w:rsid w:val="0039438B"/>
    <w:rsid w:val="00395DB5"/>
    <w:rsid w:val="003969FA"/>
    <w:rsid w:val="00397046"/>
    <w:rsid w:val="00397736"/>
    <w:rsid w:val="00397E64"/>
    <w:rsid w:val="003A1498"/>
    <w:rsid w:val="003A1A05"/>
    <w:rsid w:val="003A1CC8"/>
    <w:rsid w:val="003A29AF"/>
    <w:rsid w:val="003A2C8E"/>
    <w:rsid w:val="003A46A8"/>
    <w:rsid w:val="003A586C"/>
    <w:rsid w:val="003A58F8"/>
    <w:rsid w:val="003B029C"/>
    <w:rsid w:val="003B0302"/>
    <w:rsid w:val="003B063A"/>
    <w:rsid w:val="003B0C8A"/>
    <w:rsid w:val="003B1F61"/>
    <w:rsid w:val="003B37C7"/>
    <w:rsid w:val="003B4A90"/>
    <w:rsid w:val="003B4FCC"/>
    <w:rsid w:val="003B6397"/>
    <w:rsid w:val="003B7331"/>
    <w:rsid w:val="003B7ECA"/>
    <w:rsid w:val="003C0F24"/>
    <w:rsid w:val="003C2466"/>
    <w:rsid w:val="003C29BE"/>
    <w:rsid w:val="003C396D"/>
    <w:rsid w:val="003C55AE"/>
    <w:rsid w:val="003C5D98"/>
    <w:rsid w:val="003C7A6A"/>
    <w:rsid w:val="003C7C68"/>
    <w:rsid w:val="003D01D5"/>
    <w:rsid w:val="003D171F"/>
    <w:rsid w:val="003D17F5"/>
    <w:rsid w:val="003D1BA9"/>
    <w:rsid w:val="003D28AE"/>
    <w:rsid w:val="003D2A5B"/>
    <w:rsid w:val="003D3B37"/>
    <w:rsid w:val="003D58A3"/>
    <w:rsid w:val="003D59A2"/>
    <w:rsid w:val="003D6456"/>
    <w:rsid w:val="003D69A2"/>
    <w:rsid w:val="003D741E"/>
    <w:rsid w:val="003D7614"/>
    <w:rsid w:val="003D7AB7"/>
    <w:rsid w:val="003E0116"/>
    <w:rsid w:val="003E1303"/>
    <w:rsid w:val="003E176B"/>
    <w:rsid w:val="003E1A11"/>
    <w:rsid w:val="003E20C1"/>
    <w:rsid w:val="003E27D1"/>
    <w:rsid w:val="003E2BBE"/>
    <w:rsid w:val="003E41E6"/>
    <w:rsid w:val="003E4B67"/>
    <w:rsid w:val="003E5112"/>
    <w:rsid w:val="003E681A"/>
    <w:rsid w:val="003E6986"/>
    <w:rsid w:val="003E6BA2"/>
    <w:rsid w:val="003E7A78"/>
    <w:rsid w:val="003F078F"/>
    <w:rsid w:val="003F21A6"/>
    <w:rsid w:val="003F24F7"/>
    <w:rsid w:val="003F3096"/>
    <w:rsid w:val="003F33CD"/>
    <w:rsid w:val="003F33D4"/>
    <w:rsid w:val="003F3F5B"/>
    <w:rsid w:val="003F49BB"/>
    <w:rsid w:val="003F4E82"/>
    <w:rsid w:val="003F76A2"/>
    <w:rsid w:val="003F7FFE"/>
    <w:rsid w:val="004002E8"/>
    <w:rsid w:val="00400C3C"/>
    <w:rsid w:val="00400D26"/>
    <w:rsid w:val="00401004"/>
    <w:rsid w:val="00401CB7"/>
    <w:rsid w:val="004020DC"/>
    <w:rsid w:val="004022C2"/>
    <w:rsid w:val="00402B2D"/>
    <w:rsid w:val="00404329"/>
    <w:rsid w:val="0040579C"/>
    <w:rsid w:val="004057AB"/>
    <w:rsid w:val="0040723D"/>
    <w:rsid w:val="00407EFE"/>
    <w:rsid w:val="0041003A"/>
    <w:rsid w:val="00410B13"/>
    <w:rsid w:val="00412284"/>
    <w:rsid w:val="00413510"/>
    <w:rsid w:val="004148B5"/>
    <w:rsid w:val="00415381"/>
    <w:rsid w:val="00415D22"/>
    <w:rsid w:val="00416AA0"/>
    <w:rsid w:val="00416FA9"/>
    <w:rsid w:val="0042060D"/>
    <w:rsid w:val="00420699"/>
    <w:rsid w:val="004211E0"/>
    <w:rsid w:val="00421DDC"/>
    <w:rsid w:val="004226F0"/>
    <w:rsid w:val="00422F28"/>
    <w:rsid w:val="00422F91"/>
    <w:rsid w:val="00422FC4"/>
    <w:rsid w:val="0042337B"/>
    <w:rsid w:val="0042372F"/>
    <w:rsid w:val="00423732"/>
    <w:rsid w:val="004257C3"/>
    <w:rsid w:val="004261DB"/>
    <w:rsid w:val="0042778D"/>
    <w:rsid w:val="00430292"/>
    <w:rsid w:val="004303C8"/>
    <w:rsid w:val="004308FF"/>
    <w:rsid w:val="00430B10"/>
    <w:rsid w:val="00432239"/>
    <w:rsid w:val="00432AEA"/>
    <w:rsid w:val="00434209"/>
    <w:rsid w:val="00434555"/>
    <w:rsid w:val="00435637"/>
    <w:rsid w:val="00435F9B"/>
    <w:rsid w:val="00436378"/>
    <w:rsid w:val="004367F0"/>
    <w:rsid w:val="00436BB4"/>
    <w:rsid w:val="00437990"/>
    <w:rsid w:val="00441154"/>
    <w:rsid w:val="00443058"/>
    <w:rsid w:val="00443303"/>
    <w:rsid w:val="0044424F"/>
    <w:rsid w:val="00444CA0"/>
    <w:rsid w:val="00444F8C"/>
    <w:rsid w:val="004451A4"/>
    <w:rsid w:val="00445B03"/>
    <w:rsid w:val="00445C36"/>
    <w:rsid w:val="00447105"/>
    <w:rsid w:val="004472C8"/>
    <w:rsid w:val="00447635"/>
    <w:rsid w:val="00451089"/>
    <w:rsid w:val="00451FDC"/>
    <w:rsid w:val="004521B1"/>
    <w:rsid w:val="00452EDB"/>
    <w:rsid w:val="0045475D"/>
    <w:rsid w:val="00455271"/>
    <w:rsid w:val="0045538C"/>
    <w:rsid w:val="004563AC"/>
    <w:rsid w:val="004567C5"/>
    <w:rsid w:val="00456A82"/>
    <w:rsid w:val="00456F23"/>
    <w:rsid w:val="00457292"/>
    <w:rsid w:val="00457F44"/>
    <w:rsid w:val="00460105"/>
    <w:rsid w:val="00460646"/>
    <w:rsid w:val="00460F89"/>
    <w:rsid w:val="004625F6"/>
    <w:rsid w:val="00463515"/>
    <w:rsid w:val="00463E9F"/>
    <w:rsid w:val="00464A90"/>
    <w:rsid w:val="00465F86"/>
    <w:rsid w:val="0046608F"/>
    <w:rsid w:val="00467C17"/>
    <w:rsid w:val="00467D4F"/>
    <w:rsid w:val="00471003"/>
    <w:rsid w:val="004714E7"/>
    <w:rsid w:val="00471FED"/>
    <w:rsid w:val="0047219B"/>
    <w:rsid w:val="00473341"/>
    <w:rsid w:val="00473A3F"/>
    <w:rsid w:val="0047438A"/>
    <w:rsid w:val="0047460A"/>
    <w:rsid w:val="00475771"/>
    <w:rsid w:val="00477204"/>
    <w:rsid w:val="0048063E"/>
    <w:rsid w:val="00480E34"/>
    <w:rsid w:val="00480E8F"/>
    <w:rsid w:val="00481076"/>
    <w:rsid w:val="00481396"/>
    <w:rsid w:val="0048341F"/>
    <w:rsid w:val="00484707"/>
    <w:rsid w:val="00485301"/>
    <w:rsid w:val="0048695A"/>
    <w:rsid w:val="004869DE"/>
    <w:rsid w:val="00486A98"/>
    <w:rsid w:val="00486EB8"/>
    <w:rsid w:val="00490045"/>
    <w:rsid w:val="00490062"/>
    <w:rsid w:val="00490299"/>
    <w:rsid w:val="00490D70"/>
    <w:rsid w:val="004912A6"/>
    <w:rsid w:val="00491513"/>
    <w:rsid w:val="00491ACF"/>
    <w:rsid w:val="00491BFC"/>
    <w:rsid w:val="00491DF8"/>
    <w:rsid w:val="004920EE"/>
    <w:rsid w:val="00492833"/>
    <w:rsid w:val="00492AA4"/>
    <w:rsid w:val="00492F78"/>
    <w:rsid w:val="00494B26"/>
    <w:rsid w:val="004960F7"/>
    <w:rsid w:val="004965C2"/>
    <w:rsid w:val="004968DA"/>
    <w:rsid w:val="00497727"/>
    <w:rsid w:val="0049785D"/>
    <w:rsid w:val="004A0283"/>
    <w:rsid w:val="004A13F3"/>
    <w:rsid w:val="004A27E1"/>
    <w:rsid w:val="004A3391"/>
    <w:rsid w:val="004A3455"/>
    <w:rsid w:val="004A38B3"/>
    <w:rsid w:val="004A39C4"/>
    <w:rsid w:val="004A4BC5"/>
    <w:rsid w:val="004A5890"/>
    <w:rsid w:val="004A5975"/>
    <w:rsid w:val="004A601C"/>
    <w:rsid w:val="004A6F83"/>
    <w:rsid w:val="004B019B"/>
    <w:rsid w:val="004B090B"/>
    <w:rsid w:val="004B0CF3"/>
    <w:rsid w:val="004B1D12"/>
    <w:rsid w:val="004B1F8E"/>
    <w:rsid w:val="004B206C"/>
    <w:rsid w:val="004B2252"/>
    <w:rsid w:val="004B3CAD"/>
    <w:rsid w:val="004B4629"/>
    <w:rsid w:val="004B5084"/>
    <w:rsid w:val="004B6863"/>
    <w:rsid w:val="004B6CF6"/>
    <w:rsid w:val="004B6F52"/>
    <w:rsid w:val="004B7131"/>
    <w:rsid w:val="004C0214"/>
    <w:rsid w:val="004C12B1"/>
    <w:rsid w:val="004C13EC"/>
    <w:rsid w:val="004C1683"/>
    <w:rsid w:val="004C305D"/>
    <w:rsid w:val="004C3EF9"/>
    <w:rsid w:val="004C44F1"/>
    <w:rsid w:val="004C4665"/>
    <w:rsid w:val="004C473B"/>
    <w:rsid w:val="004C6D61"/>
    <w:rsid w:val="004D0656"/>
    <w:rsid w:val="004D1D58"/>
    <w:rsid w:val="004D2A21"/>
    <w:rsid w:val="004D300A"/>
    <w:rsid w:val="004D3AD4"/>
    <w:rsid w:val="004D5458"/>
    <w:rsid w:val="004D5E27"/>
    <w:rsid w:val="004E00CC"/>
    <w:rsid w:val="004E0ADD"/>
    <w:rsid w:val="004E0F43"/>
    <w:rsid w:val="004E1680"/>
    <w:rsid w:val="004E1735"/>
    <w:rsid w:val="004E3BC3"/>
    <w:rsid w:val="004E3C52"/>
    <w:rsid w:val="004E53D9"/>
    <w:rsid w:val="004E5682"/>
    <w:rsid w:val="004E59DE"/>
    <w:rsid w:val="004E6262"/>
    <w:rsid w:val="004E63F5"/>
    <w:rsid w:val="004E6BBE"/>
    <w:rsid w:val="004E7CB9"/>
    <w:rsid w:val="004F04D3"/>
    <w:rsid w:val="004F09E9"/>
    <w:rsid w:val="004F0FBA"/>
    <w:rsid w:val="004F1426"/>
    <w:rsid w:val="004F316D"/>
    <w:rsid w:val="004F356B"/>
    <w:rsid w:val="004F46F7"/>
    <w:rsid w:val="004F5412"/>
    <w:rsid w:val="004F55CA"/>
    <w:rsid w:val="004F7D7E"/>
    <w:rsid w:val="00500662"/>
    <w:rsid w:val="0050471D"/>
    <w:rsid w:val="0050521C"/>
    <w:rsid w:val="005053C8"/>
    <w:rsid w:val="0050557F"/>
    <w:rsid w:val="00505B69"/>
    <w:rsid w:val="00505EEC"/>
    <w:rsid w:val="00507009"/>
    <w:rsid w:val="00507AC5"/>
    <w:rsid w:val="005112CC"/>
    <w:rsid w:val="005117DE"/>
    <w:rsid w:val="00511D46"/>
    <w:rsid w:val="00513226"/>
    <w:rsid w:val="00513E34"/>
    <w:rsid w:val="005142AA"/>
    <w:rsid w:val="00514319"/>
    <w:rsid w:val="005163F4"/>
    <w:rsid w:val="00516628"/>
    <w:rsid w:val="005169C9"/>
    <w:rsid w:val="0051741D"/>
    <w:rsid w:val="00517701"/>
    <w:rsid w:val="00520E85"/>
    <w:rsid w:val="00521119"/>
    <w:rsid w:val="00521299"/>
    <w:rsid w:val="005218C9"/>
    <w:rsid w:val="005219B0"/>
    <w:rsid w:val="005220EB"/>
    <w:rsid w:val="00522320"/>
    <w:rsid w:val="005234D7"/>
    <w:rsid w:val="00524118"/>
    <w:rsid w:val="00527633"/>
    <w:rsid w:val="00531987"/>
    <w:rsid w:val="00531E82"/>
    <w:rsid w:val="00532477"/>
    <w:rsid w:val="00532AEE"/>
    <w:rsid w:val="00532B0A"/>
    <w:rsid w:val="0053471A"/>
    <w:rsid w:val="00534E6E"/>
    <w:rsid w:val="00534F2D"/>
    <w:rsid w:val="0053502B"/>
    <w:rsid w:val="005351C2"/>
    <w:rsid w:val="00535890"/>
    <w:rsid w:val="0053594D"/>
    <w:rsid w:val="005368F0"/>
    <w:rsid w:val="00536CED"/>
    <w:rsid w:val="0053704B"/>
    <w:rsid w:val="005370B3"/>
    <w:rsid w:val="00537B74"/>
    <w:rsid w:val="005408AA"/>
    <w:rsid w:val="00541A6A"/>
    <w:rsid w:val="00541A9B"/>
    <w:rsid w:val="00541A9E"/>
    <w:rsid w:val="0054218A"/>
    <w:rsid w:val="00542B58"/>
    <w:rsid w:val="00543341"/>
    <w:rsid w:val="00543A51"/>
    <w:rsid w:val="00543C40"/>
    <w:rsid w:val="00544D6D"/>
    <w:rsid w:val="00544DD1"/>
    <w:rsid w:val="00545118"/>
    <w:rsid w:val="0054522A"/>
    <w:rsid w:val="005466C1"/>
    <w:rsid w:val="00547765"/>
    <w:rsid w:val="00551092"/>
    <w:rsid w:val="005533BE"/>
    <w:rsid w:val="005543DC"/>
    <w:rsid w:val="005544DE"/>
    <w:rsid w:val="005546B6"/>
    <w:rsid w:val="00554F22"/>
    <w:rsid w:val="0055565B"/>
    <w:rsid w:val="00555778"/>
    <w:rsid w:val="00555D33"/>
    <w:rsid w:val="005566E7"/>
    <w:rsid w:val="00556EA8"/>
    <w:rsid w:val="00556EB1"/>
    <w:rsid w:val="00557D9C"/>
    <w:rsid w:val="00560325"/>
    <w:rsid w:val="00561285"/>
    <w:rsid w:val="00561323"/>
    <w:rsid w:val="00561FBA"/>
    <w:rsid w:val="0056253F"/>
    <w:rsid w:val="00562680"/>
    <w:rsid w:val="005627A4"/>
    <w:rsid w:val="00562FF6"/>
    <w:rsid w:val="005635B3"/>
    <w:rsid w:val="0056400F"/>
    <w:rsid w:val="0056418A"/>
    <w:rsid w:val="00564334"/>
    <w:rsid w:val="00565117"/>
    <w:rsid w:val="00565C7B"/>
    <w:rsid w:val="00567F09"/>
    <w:rsid w:val="0057001E"/>
    <w:rsid w:val="00570B57"/>
    <w:rsid w:val="00570D0F"/>
    <w:rsid w:val="00571283"/>
    <w:rsid w:val="005715D1"/>
    <w:rsid w:val="005728BF"/>
    <w:rsid w:val="00572FB9"/>
    <w:rsid w:val="00573784"/>
    <w:rsid w:val="00573E3F"/>
    <w:rsid w:val="0057403E"/>
    <w:rsid w:val="005740D9"/>
    <w:rsid w:val="00574C94"/>
    <w:rsid w:val="00575ED8"/>
    <w:rsid w:val="005764D6"/>
    <w:rsid w:val="005765B7"/>
    <w:rsid w:val="005771BD"/>
    <w:rsid w:val="0057787D"/>
    <w:rsid w:val="0058036C"/>
    <w:rsid w:val="00580DCC"/>
    <w:rsid w:val="00581DC0"/>
    <w:rsid w:val="0058214C"/>
    <w:rsid w:val="0058229A"/>
    <w:rsid w:val="005838CA"/>
    <w:rsid w:val="005843AD"/>
    <w:rsid w:val="0058446B"/>
    <w:rsid w:val="00584F4C"/>
    <w:rsid w:val="0058526C"/>
    <w:rsid w:val="00585D64"/>
    <w:rsid w:val="00585D87"/>
    <w:rsid w:val="00587F6E"/>
    <w:rsid w:val="0059018A"/>
    <w:rsid w:val="0059177A"/>
    <w:rsid w:val="00592B27"/>
    <w:rsid w:val="00592E1A"/>
    <w:rsid w:val="00593381"/>
    <w:rsid w:val="005936FA"/>
    <w:rsid w:val="00593835"/>
    <w:rsid w:val="00593E41"/>
    <w:rsid w:val="00594790"/>
    <w:rsid w:val="00596EB2"/>
    <w:rsid w:val="005A0E36"/>
    <w:rsid w:val="005A12F1"/>
    <w:rsid w:val="005A14BE"/>
    <w:rsid w:val="005A1951"/>
    <w:rsid w:val="005A1BA3"/>
    <w:rsid w:val="005A3387"/>
    <w:rsid w:val="005A447F"/>
    <w:rsid w:val="005A4694"/>
    <w:rsid w:val="005A711F"/>
    <w:rsid w:val="005B12AE"/>
    <w:rsid w:val="005B1411"/>
    <w:rsid w:val="005B1ED2"/>
    <w:rsid w:val="005B24FB"/>
    <w:rsid w:val="005B32C5"/>
    <w:rsid w:val="005B34A0"/>
    <w:rsid w:val="005B38FE"/>
    <w:rsid w:val="005B3BD6"/>
    <w:rsid w:val="005B4AEC"/>
    <w:rsid w:val="005B5385"/>
    <w:rsid w:val="005B6EC4"/>
    <w:rsid w:val="005B6F89"/>
    <w:rsid w:val="005B75E6"/>
    <w:rsid w:val="005C1391"/>
    <w:rsid w:val="005C17A4"/>
    <w:rsid w:val="005C1DA7"/>
    <w:rsid w:val="005C2613"/>
    <w:rsid w:val="005C48CE"/>
    <w:rsid w:val="005C4A1C"/>
    <w:rsid w:val="005C649E"/>
    <w:rsid w:val="005C71B2"/>
    <w:rsid w:val="005C77B0"/>
    <w:rsid w:val="005D0250"/>
    <w:rsid w:val="005D06AA"/>
    <w:rsid w:val="005D08FF"/>
    <w:rsid w:val="005D2BC0"/>
    <w:rsid w:val="005D2C8E"/>
    <w:rsid w:val="005D2ED1"/>
    <w:rsid w:val="005D3090"/>
    <w:rsid w:val="005D3F1D"/>
    <w:rsid w:val="005D4E24"/>
    <w:rsid w:val="005D5147"/>
    <w:rsid w:val="005D587F"/>
    <w:rsid w:val="005D5AEE"/>
    <w:rsid w:val="005D69ED"/>
    <w:rsid w:val="005D7C6F"/>
    <w:rsid w:val="005D7D6B"/>
    <w:rsid w:val="005D7F55"/>
    <w:rsid w:val="005E05FE"/>
    <w:rsid w:val="005E0FC6"/>
    <w:rsid w:val="005E1964"/>
    <w:rsid w:val="005E1E61"/>
    <w:rsid w:val="005E3E5F"/>
    <w:rsid w:val="005E3F32"/>
    <w:rsid w:val="005E45CF"/>
    <w:rsid w:val="005E47AE"/>
    <w:rsid w:val="005E4F67"/>
    <w:rsid w:val="005E7147"/>
    <w:rsid w:val="005E7CDE"/>
    <w:rsid w:val="005E7FFE"/>
    <w:rsid w:val="005F090F"/>
    <w:rsid w:val="005F0FB5"/>
    <w:rsid w:val="005F1546"/>
    <w:rsid w:val="005F21CD"/>
    <w:rsid w:val="005F3B59"/>
    <w:rsid w:val="005F3F02"/>
    <w:rsid w:val="005F40C9"/>
    <w:rsid w:val="005F4A13"/>
    <w:rsid w:val="005F4F2D"/>
    <w:rsid w:val="005F5177"/>
    <w:rsid w:val="005F6BCB"/>
    <w:rsid w:val="005F7323"/>
    <w:rsid w:val="005F7B84"/>
    <w:rsid w:val="00600FDD"/>
    <w:rsid w:val="00601993"/>
    <w:rsid w:val="0060209B"/>
    <w:rsid w:val="00602225"/>
    <w:rsid w:val="00602C60"/>
    <w:rsid w:val="00602D3F"/>
    <w:rsid w:val="00605AE6"/>
    <w:rsid w:val="006064F7"/>
    <w:rsid w:val="00606F60"/>
    <w:rsid w:val="0060730C"/>
    <w:rsid w:val="0060770F"/>
    <w:rsid w:val="00607C23"/>
    <w:rsid w:val="00610E88"/>
    <w:rsid w:val="0061158E"/>
    <w:rsid w:val="006119AC"/>
    <w:rsid w:val="0061277A"/>
    <w:rsid w:val="00612EFF"/>
    <w:rsid w:val="00614096"/>
    <w:rsid w:val="00614BA1"/>
    <w:rsid w:val="00615FDD"/>
    <w:rsid w:val="00616097"/>
    <w:rsid w:val="0061625C"/>
    <w:rsid w:val="00616A24"/>
    <w:rsid w:val="00616A9D"/>
    <w:rsid w:val="006200D7"/>
    <w:rsid w:val="006208C3"/>
    <w:rsid w:val="00620D95"/>
    <w:rsid w:val="00620E3A"/>
    <w:rsid w:val="00622E48"/>
    <w:rsid w:val="00623223"/>
    <w:rsid w:val="006237FF"/>
    <w:rsid w:val="00623B23"/>
    <w:rsid w:val="00624ADE"/>
    <w:rsid w:val="00625809"/>
    <w:rsid w:val="006258FD"/>
    <w:rsid w:val="00625BE1"/>
    <w:rsid w:val="00625C14"/>
    <w:rsid w:val="00626A98"/>
    <w:rsid w:val="00627AEB"/>
    <w:rsid w:val="00630436"/>
    <w:rsid w:val="006308E7"/>
    <w:rsid w:val="00631352"/>
    <w:rsid w:val="00633BB1"/>
    <w:rsid w:val="00633D99"/>
    <w:rsid w:val="00633E3B"/>
    <w:rsid w:val="006347D0"/>
    <w:rsid w:val="006347E4"/>
    <w:rsid w:val="006351DB"/>
    <w:rsid w:val="0063670B"/>
    <w:rsid w:val="00636C8B"/>
    <w:rsid w:val="00636F29"/>
    <w:rsid w:val="00637070"/>
    <w:rsid w:val="0063709D"/>
    <w:rsid w:val="006374E6"/>
    <w:rsid w:val="00637564"/>
    <w:rsid w:val="0064058E"/>
    <w:rsid w:val="00640AFB"/>
    <w:rsid w:val="00644F70"/>
    <w:rsid w:val="006454C5"/>
    <w:rsid w:val="00645551"/>
    <w:rsid w:val="00646C94"/>
    <w:rsid w:val="006518ED"/>
    <w:rsid w:val="00652543"/>
    <w:rsid w:val="006533DF"/>
    <w:rsid w:val="00653411"/>
    <w:rsid w:val="006542F3"/>
    <w:rsid w:val="0065477A"/>
    <w:rsid w:val="00654F88"/>
    <w:rsid w:val="0065609A"/>
    <w:rsid w:val="006564C7"/>
    <w:rsid w:val="0065723E"/>
    <w:rsid w:val="00657A5C"/>
    <w:rsid w:val="006607FD"/>
    <w:rsid w:val="00661574"/>
    <w:rsid w:val="00661961"/>
    <w:rsid w:val="00661A44"/>
    <w:rsid w:val="0066320B"/>
    <w:rsid w:val="0066391B"/>
    <w:rsid w:val="006639CA"/>
    <w:rsid w:val="00664492"/>
    <w:rsid w:val="006646E3"/>
    <w:rsid w:val="00664775"/>
    <w:rsid w:val="006661B6"/>
    <w:rsid w:val="006664AC"/>
    <w:rsid w:val="00667159"/>
    <w:rsid w:val="00667651"/>
    <w:rsid w:val="00667815"/>
    <w:rsid w:val="00667D6A"/>
    <w:rsid w:val="0067013E"/>
    <w:rsid w:val="00671161"/>
    <w:rsid w:val="006725CF"/>
    <w:rsid w:val="00672811"/>
    <w:rsid w:val="00672B0F"/>
    <w:rsid w:val="00672CBF"/>
    <w:rsid w:val="00673C0E"/>
    <w:rsid w:val="00673E30"/>
    <w:rsid w:val="00675572"/>
    <w:rsid w:val="00676119"/>
    <w:rsid w:val="00677203"/>
    <w:rsid w:val="00682FAF"/>
    <w:rsid w:val="0068367A"/>
    <w:rsid w:val="0068488E"/>
    <w:rsid w:val="00686160"/>
    <w:rsid w:val="00686555"/>
    <w:rsid w:val="00686B8E"/>
    <w:rsid w:val="006876BA"/>
    <w:rsid w:val="006878DE"/>
    <w:rsid w:val="00687DB9"/>
    <w:rsid w:val="006917E9"/>
    <w:rsid w:val="00691A93"/>
    <w:rsid w:val="00692A14"/>
    <w:rsid w:val="006942D0"/>
    <w:rsid w:val="006949CD"/>
    <w:rsid w:val="006949F6"/>
    <w:rsid w:val="00696F58"/>
    <w:rsid w:val="00697100"/>
    <w:rsid w:val="00697729"/>
    <w:rsid w:val="00697E28"/>
    <w:rsid w:val="00697FE7"/>
    <w:rsid w:val="006A0639"/>
    <w:rsid w:val="006A0904"/>
    <w:rsid w:val="006A210E"/>
    <w:rsid w:val="006A381B"/>
    <w:rsid w:val="006A5068"/>
    <w:rsid w:val="006A5952"/>
    <w:rsid w:val="006A6592"/>
    <w:rsid w:val="006A67B7"/>
    <w:rsid w:val="006A70A6"/>
    <w:rsid w:val="006A7973"/>
    <w:rsid w:val="006A7F94"/>
    <w:rsid w:val="006B0DA9"/>
    <w:rsid w:val="006B16C3"/>
    <w:rsid w:val="006B1B6F"/>
    <w:rsid w:val="006B23F2"/>
    <w:rsid w:val="006B4253"/>
    <w:rsid w:val="006B48B5"/>
    <w:rsid w:val="006B5233"/>
    <w:rsid w:val="006B587E"/>
    <w:rsid w:val="006B668E"/>
    <w:rsid w:val="006B7FD2"/>
    <w:rsid w:val="006C07A4"/>
    <w:rsid w:val="006C091E"/>
    <w:rsid w:val="006C13E7"/>
    <w:rsid w:val="006C19AD"/>
    <w:rsid w:val="006C1B16"/>
    <w:rsid w:val="006C200A"/>
    <w:rsid w:val="006C2049"/>
    <w:rsid w:val="006C21F6"/>
    <w:rsid w:val="006C2ADA"/>
    <w:rsid w:val="006C358B"/>
    <w:rsid w:val="006C46FD"/>
    <w:rsid w:val="006C4BE1"/>
    <w:rsid w:val="006C4E72"/>
    <w:rsid w:val="006C6054"/>
    <w:rsid w:val="006C608D"/>
    <w:rsid w:val="006C6405"/>
    <w:rsid w:val="006C6E2C"/>
    <w:rsid w:val="006C74F5"/>
    <w:rsid w:val="006D0748"/>
    <w:rsid w:val="006D0C83"/>
    <w:rsid w:val="006D1674"/>
    <w:rsid w:val="006D1CEB"/>
    <w:rsid w:val="006D34D9"/>
    <w:rsid w:val="006D4BE4"/>
    <w:rsid w:val="006D5468"/>
    <w:rsid w:val="006D5D57"/>
    <w:rsid w:val="006D60D1"/>
    <w:rsid w:val="006D64B6"/>
    <w:rsid w:val="006D6756"/>
    <w:rsid w:val="006D6D93"/>
    <w:rsid w:val="006D6DBF"/>
    <w:rsid w:val="006D74C8"/>
    <w:rsid w:val="006D7A74"/>
    <w:rsid w:val="006E009E"/>
    <w:rsid w:val="006E0457"/>
    <w:rsid w:val="006E0A97"/>
    <w:rsid w:val="006E0BF0"/>
    <w:rsid w:val="006E12A0"/>
    <w:rsid w:val="006E1F4B"/>
    <w:rsid w:val="006E2C28"/>
    <w:rsid w:val="006E2F53"/>
    <w:rsid w:val="006E3425"/>
    <w:rsid w:val="006E3C06"/>
    <w:rsid w:val="006E4367"/>
    <w:rsid w:val="006E4AB8"/>
    <w:rsid w:val="006E5D18"/>
    <w:rsid w:val="006E744E"/>
    <w:rsid w:val="006F0649"/>
    <w:rsid w:val="006F1B1B"/>
    <w:rsid w:val="006F3561"/>
    <w:rsid w:val="006F3717"/>
    <w:rsid w:val="006F40C8"/>
    <w:rsid w:val="006F41EB"/>
    <w:rsid w:val="006F4F5F"/>
    <w:rsid w:val="006F564E"/>
    <w:rsid w:val="006F6975"/>
    <w:rsid w:val="006F7399"/>
    <w:rsid w:val="00700938"/>
    <w:rsid w:val="00700D56"/>
    <w:rsid w:val="00704636"/>
    <w:rsid w:val="00705A4D"/>
    <w:rsid w:val="00705EA8"/>
    <w:rsid w:val="00705EF2"/>
    <w:rsid w:val="00706FB7"/>
    <w:rsid w:val="00707338"/>
    <w:rsid w:val="00707740"/>
    <w:rsid w:val="00707E9D"/>
    <w:rsid w:val="00712720"/>
    <w:rsid w:val="00712A27"/>
    <w:rsid w:val="0071327A"/>
    <w:rsid w:val="00713F42"/>
    <w:rsid w:val="00714678"/>
    <w:rsid w:val="00715A83"/>
    <w:rsid w:val="00717736"/>
    <w:rsid w:val="00717EB2"/>
    <w:rsid w:val="00720C8B"/>
    <w:rsid w:val="007218F4"/>
    <w:rsid w:val="00721DA6"/>
    <w:rsid w:val="00721E1F"/>
    <w:rsid w:val="0072313A"/>
    <w:rsid w:val="007233B2"/>
    <w:rsid w:val="00724029"/>
    <w:rsid w:val="0072437A"/>
    <w:rsid w:val="00724C70"/>
    <w:rsid w:val="00724EC1"/>
    <w:rsid w:val="00725585"/>
    <w:rsid w:val="007262E6"/>
    <w:rsid w:val="007266AF"/>
    <w:rsid w:val="007272BD"/>
    <w:rsid w:val="00727872"/>
    <w:rsid w:val="007317E8"/>
    <w:rsid w:val="00731E1E"/>
    <w:rsid w:val="00731E9B"/>
    <w:rsid w:val="007321AA"/>
    <w:rsid w:val="007322A3"/>
    <w:rsid w:val="007327E2"/>
    <w:rsid w:val="00733549"/>
    <w:rsid w:val="00734E37"/>
    <w:rsid w:val="007350A9"/>
    <w:rsid w:val="0073535D"/>
    <w:rsid w:val="007358D9"/>
    <w:rsid w:val="00736073"/>
    <w:rsid w:val="00737221"/>
    <w:rsid w:val="00737CB2"/>
    <w:rsid w:val="00737F1F"/>
    <w:rsid w:val="00740142"/>
    <w:rsid w:val="00740EE4"/>
    <w:rsid w:val="00741B36"/>
    <w:rsid w:val="00741BDE"/>
    <w:rsid w:val="00743CF9"/>
    <w:rsid w:val="007441CC"/>
    <w:rsid w:val="00744563"/>
    <w:rsid w:val="00744719"/>
    <w:rsid w:val="00744DF0"/>
    <w:rsid w:val="00744F02"/>
    <w:rsid w:val="007468FC"/>
    <w:rsid w:val="00746E00"/>
    <w:rsid w:val="00747571"/>
    <w:rsid w:val="00747813"/>
    <w:rsid w:val="007502C6"/>
    <w:rsid w:val="00750A59"/>
    <w:rsid w:val="00751507"/>
    <w:rsid w:val="00751646"/>
    <w:rsid w:val="00751B9F"/>
    <w:rsid w:val="00751EB3"/>
    <w:rsid w:val="00752637"/>
    <w:rsid w:val="007526F8"/>
    <w:rsid w:val="007533EF"/>
    <w:rsid w:val="00753EB5"/>
    <w:rsid w:val="00754EE7"/>
    <w:rsid w:val="007555D3"/>
    <w:rsid w:val="00756530"/>
    <w:rsid w:val="00756F73"/>
    <w:rsid w:val="00757999"/>
    <w:rsid w:val="00757EF1"/>
    <w:rsid w:val="00760E5B"/>
    <w:rsid w:val="00760EA6"/>
    <w:rsid w:val="00760FD9"/>
    <w:rsid w:val="00762DAA"/>
    <w:rsid w:val="00762F37"/>
    <w:rsid w:val="007630E0"/>
    <w:rsid w:val="0076393D"/>
    <w:rsid w:val="00764F3F"/>
    <w:rsid w:val="00765559"/>
    <w:rsid w:val="00765EED"/>
    <w:rsid w:val="00766E6B"/>
    <w:rsid w:val="0077071D"/>
    <w:rsid w:val="00771E14"/>
    <w:rsid w:val="00772355"/>
    <w:rsid w:val="00773C14"/>
    <w:rsid w:val="00773CF2"/>
    <w:rsid w:val="00774376"/>
    <w:rsid w:val="00774B9C"/>
    <w:rsid w:val="00774D45"/>
    <w:rsid w:val="00775890"/>
    <w:rsid w:val="00775B1E"/>
    <w:rsid w:val="00776309"/>
    <w:rsid w:val="00776482"/>
    <w:rsid w:val="007769B1"/>
    <w:rsid w:val="00776B3B"/>
    <w:rsid w:val="007779B6"/>
    <w:rsid w:val="00777D6B"/>
    <w:rsid w:val="0078089D"/>
    <w:rsid w:val="00780C42"/>
    <w:rsid w:val="00780FE3"/>
    <w:rsid w:val="00781826"/>
    <w:rsid w:val="00782342"/>
    <w:rsid w:val="007823A0"/>
    <w:rsid w:val="00782498"/>
    <w:rsid w:val="00782DC6"/>
    <w:rsid w:val="007840A2"/>
    <w:rsid w:val="00784261"/>
    <w:rsid w:val="00784383"/>
    <w:rsid w:val="00785558"/>
    <w:rsid w:val="00785E02"/>
    <w:rsid w:val="0078608D"/>
    <w:rsid w:val="007863AC"/>
    <w:rsid w:val="00787467"/>
    <w:rsid w:val="0078758F"/>
    <w:rsid w:val="00787796"/>
    <w:rsid w:val="00787D77"/>
    <w:rsid w:val="00787F8F"/>
    <w:rsid w:val="00790E5A"/>
    <w:rsid w:val="00791376"/>
    <w:rsid w:val="00791418"/>
    <w:rsid w:val="0079190C"/>
    <w:rsid w:val="00791E93"/>
    <w:rsid w:val="00793578"/>
    <w:rsid w:val="007937BF"/>
    <w:rsid w:val="007939E5"/>
    <w:rsid w:val="00793E7B"/>
    <w:rsid w:val="00794236"/>
    <w:rsid w:val="007944C2"/>
    <w:rsid w:val="007947A7"/>
    <w:rsid w:val="00794A07"/>
    <w:rsid w:val="00796952"/>
    <w:rsid w:val="007970E7"/>
    <w:rsid w:val="0079728E"/>
    <w:rsid w:val="00797AAA"/>
    <w:rsid w:val="00797EF4"/>
    <w:rsid w:val="007A0768"/>
    <w:rsid w:val="007A0997"/>
    <w:rsid w:val="007A1A00"/>
    <w:rsid w:val="007A1B26"/>
    <w:rsid w:val="007A26F6"/>
    <w:rsid w:val="007A4016"/>
    <w:rsid w:val="007A43F3"/>
    <w:rsid w:val="007A46AD"/>
    <w:rsid w:val="007A4EF7"/>
    <w:rsid w:val="007B0324"/>
    <w:rsid w:val="007B04FE"/>
    <w:rsid w:val="007B2F50"/>
    <w:rsid w:val="007B3616"/>
    <w:rsid w:val="007B3C61"/>
    <w:rsid w:val="007B3E85"/>
    <w:rsid w:val="007B4E93"/>
    <w:rsid w:val="007B51D4"/>
    <w:rsid w:val="007B6358"/>
    <w:rsid w:val="007B64C3"/>
    <w:rsid w:val="007B6B38"/>
    <w:rsid w:val="007B7FC5"/>
    <w:rsid w:val="007C0A3D"/>
    <w:rsid w:val="007C12E3"/>
    <w:rsid w:val="007C1AED"/>
    <w:rsid w:val="007C2013"/>
    <w:rsid w:val="007C245E"/>
    <w:rsid w:val="007C2ABF"/>
    <w:rsid w:val="007C30A3"/>
    <w:rsid w:val="007C314C"/>
    <w:rsid w:val="007C362D"/>
    <w:rsid w:val="007C3802"/>
    <w:rsid w:val="007C3A86"/>
    <w:rsid w:val="007C3CDA"/>
    <w:rsid w:val="007C432A"/>
    <w:rsid w:val="007C5166"/>
    <w:rsid w:val="007C6309"/>
    <w:rsid w:val="007C7761"/>
    <w:rsid w:val="007D0EB4"/>
    <w:rsid w:val="007D1093"/>
    <w:rsid w:val="007D1C67"/>
    <w:rsid w:val="007D23C9"/>
    <w:rsid w:val="007D2EAA"/>
    <w:rsid w:val="007D3007"/>
    <w:rsid w:val="007D3416"/>
    <w:rsid w:val="007D34F9"/>
    <w:rsid w:val="007D520D"/>
    <w:rsid w:val="007D5744"/>
    <w:rsid w:val="007D5BE6"/>
    <w:rsid w:val="007D69EC"/>
    <w:rsid w:val="007D6E87"/>
    <w:rsid w:val="007D7438"/>
    <w:rsid w:val="007E0D1E"/>
    <w:rsid w:val="007E16A2"/>
    <w:rsid w:val="007E3363"/>
    <w:rsid w:val="007E34BC"/>
    <w:rsid w:val="007E34D7"/>
    <w:rsid w:val="007E3BAB"/>
    <w:rsid w:val="007E4A1B"/>
    <w:rsid w:val="007E4F1F"/>
    <w:rsid w:val="007E50C9"/>
    <w:rsid w:val="007E5424"/>
    <w:rsid w:val="007E6230"/>
    <w:rsid w:val="007E6C68"/>
    <w:rsid w:val="007E7B02"/>
    <w:rsid w:val="007F109C"/>
    <w:rsid w:val="007F11D6"/>
    <w:rsid w:val="007F1380"/>
    <w:rsid w:val="007F1B23"/>
    <w:rsid w:val="007F1E6F"/>
    <w:rsid w:val="007F251C"/>
    <w:rsid w:val="007F27DC"/>
    <w:rsid w:val="007F430B"/>
    <w:rsid w:val="007F436C"/>
    <w:rsid w:val="007F4731"/>
    <w:rsid w:val="007F498A"/>
    <w:rsid w:val="007F4DBB"/>
    <w:rsid w:val="007F4E33"/>
    <w:rsid w:val="007F5648"/>
    <w:rsid w:val="007F5B54"/>
    <w:rsid w:val="007F6ED9"/>
    <w:rsid w:val="007F6F86"/>
    <w:rsid w:val="007F737C"/>
    <w:rsid w:val="00800555"/>
    <w:rsid w:val="008011B2"/>
    <w:rsid w:val="008015FE"/>
    <w:rsid w:val="00802319"/>
    <w:rsid w:val="008030C5"/>
    <w:rsid w:val="008060E1"/>
    <w:rsid w:val="008070A6"/>
    <w:rsid w:val="00807D0F"/>
    <w:rsid w:val="00810A08"/>
    <w:rsid w:val="00810C4D"/>
    <w:rsid w:val="00810F99"/>
    <w:rsid w:val="00811254"/>
    <w:rsid w:val="00812120"/>
    <w:rsid w:val="00813064"/>
    <w:rsid w:val="0081428C"/>
    <w:rsid w:val="0081460C"/>
    <w:rsid w:val="00817228"/>
    <w:rsid w:val="00817BF0"/>
    <w:rsid w:val="00817C63"/>
    <w:rsid w:val="00820ACF"/>
    <w:rsid w:val="0082118E"/>
    <w:rsid w:val="0082121A"/>
    <w:rsid w:val="00821387"/>
    <w:rsid w:val="00823002"/>
    <w:rsid w:val="008231A1"/>
    <w:rsid w:val="00824A4C"/>
    <w:rsid w:val="00825131"/>
    <w:rsid w:val="00827206"/>
    <w:rsid w:val="00827FBD"/>
    <w:rsid w:val="0083154C"/>
    <w:rsid w:val="0083236D"/>
    <w:rsid w:val="0083252A"/>
    <w:rsid w:val="00832990"/>
    <w:rsid w:val="00832C22"/>
    <w:rsid w:val="00832D13"/>
    <w:rsid w:val="0083362E"/>
    <w:rsid w:val="00833CA3"/>
    <w:rsid w:val="00834461"/>
    <w:rsid w:val="008344B0"/>
    <w:rsid w:val="0083681E"/>
    <w:rsid w:val="00836A10"/>
    <w:rsid w:val="008372AF"/>
    <w:rsid w:val="00837C67"/>
    <w:rsid w:val="00840616"/>
    <w:rsid w:val="008426D8"/>
    <w:rsid w:val="00842ED3"/>
    <w:rsid w:val="00843705"/>
    <w:rsid w:val="0084374C"/>
    <w:rsid w:val="008440CA"/>
    <w:rsid w:val="0084475C"/>
    <w:rsid w:val="00844DEF"/>
    <w:rsid w:val="008451BB"/>
    <w:rsid w:val="00845374"/>
    <w:rsid w:val="00845884"/>
    <w:rsid w:val="00846301"/>
    <w:rsid w:val="00846435"/>
    <w:rsid w:val="0084650B"/>
    <w:rsid w:val="00846CED"/>
    <w:rsid w:val="00846E5A"/>
    <w:rsid w:val="0084722B"/>
    <w:rsid w:val="00847503"/>
    <w:rsid w:val="008476A8"/>
    <w:rsid w:val="00850A60"/>
    <w:rsid w:val="008511A6"/>
    <w:rsid w:val="00851983"/>
    <w:rsid w:val="0085281F"/>
    <w:rsid w:val="00854CF8"/>
    <w:rsid w:val="00855E23"/>
    <w:rsid w:val="0085609B"/>
    <w:rsid w:val="00856B20"/>
    <w:rsid w:val="00856ED4"/>
    <w:rsid w:val="008576FB"/>
    <w:rsid w:val="00857FDB"/>
    <w:rsid w:val="0086018C"/>
    <w:rsid w:val="00860AD4"/>
    <w:rsid w:val="00860B72"/>
    <w:rsid w:val="00861DD2"/>
    <w:rsid w:val="00862182"/>
    <w:rsid w:val="00862668"/>
    <w:rsid w:val="00862793"/>
    <w:rsid w:val="00862EA3"/>
    <w:rsid w:val="008632F2"/>
    <w:rsid w:val="00863DBA"/>
    <w:rsid w:val="008646CD"/>
    <w:rsid w:val="00864F11"/>
    <w:rsid w:val="00865588"/>
    <w:rsid w:val="008667F0"/>
    <w:rsid w:val="00867D3B"/>
    <w:rsid w:val="00870546"/>
    <w:rsid w:val="00870DF5"/>
    <w:rsid w:val="00871144"/>
    <w:rsid w:val="008721DA"/>
    <w:rsid w:val="00872306"/>
    <w:rsid w:val="008728DC"/>
    <w:rsid w:val="00875232"/>
    <w:rsid w:val="008765CA"/>
    <w:rsid w:val="00877E6B"/>
    <w:rsid w:val="00877E76"/>
    <w:rsid w:val="0087A75D"/>
    <w:rsid w:val="008800ED"/>
    <w:rsid w:val="0088024B"/>
    <w:rsid w:val="008811C7"/>
    <w:rsid w:val="00882A4D"/>
    <w:rsid w:val="00882D1B"/>
    <w:rsid w:val="0088365A"/>
    <w:rsid w:val="008839F1"/>
    <w:rsid w:val="00884420"/>
    <w:rsid w:val="00885447"/>
    <w:rsid w:val="008866B4"/>
    <w:rsid w:val="008866B6"/>
    <w:rsid w:val="008868B6"/>
    <w:rsid w:val="00886F83"/>
    <w:rsid w:val="008910FF"/>
    <w:rsid w:val="00891658"/>
    <w:rsid w:val="008934D4"/>
    <w:rsid w:val="00893767"/>
    <w:rsid w:val="00893E16"/>
    <w:rsid w:val="0089458B"/>
    <w:rsid w:val="00894A4C"/>
    <w:rsid w:val="008950ED"/>
    <w:rsid w:val="008954C4"/>
    <w:rsid w:val="00895ADD"/>
    <w:rsid w:val="00896624"/>
    <w:rsid w:val="00896952"/>
    <w:rsid w:val="00896BAC"/>
    <w:rsid w:val="00896F6B"/>
    <w:rsid w:val="008A0B7B"/>
    <w:rsid w:val="008A1254"/>
    <w:rsid w:val="008A16E2"/>
    <w:rsid w:val="008A226C"/>
    <w:rsid w:val="008A3BEC"/>
    <w:rsid w:val="008A3D9D"/>
    <w:rsid w:val="008A4697"/>
    <w:rsid w:val="008A5CBE"/>
    <w:rsid w:val="008A5D14"/>
    <w:rsid w:val="008A603A"/>
    <w:rsid w:val="008A671D"/>
    <w:rsid w:val="008A6EFA"/>
    <w:rsid w:val="008B0410"/>
    <w:rsid w:val="008B0F8C"/>
    <w:rsid w:val="008B12B7"/>
    <w:rsid w:val="008B2A22"/>
    <w:rsid w:val="008B2DBC"/>
    <w:rsid w:val="008B350C"/>
    <w:rsid w:val="008B3932"/>
    <w:rsid w:val="008B409E"/>
    <w:rsid w:val="008C0F90"/>
    <w:rsid w:val="008C2511"/>
    <w:rsid w:val="008C3C9C"/>
    <w:rsid w:val="008C520F"/>
    <w:rsid w:val="008C5D30"/>
    <w:rsid w:val="008C61D0"/>
    <w:rsid w:val="008C6379"/>
    <w:rsid w:val="008C7912"/>
    <w:rsid w:val="008D0181"/>
    <w:rsid w:val="008D2F6F"/>
    <w:rsid w:val="008D370C"/>
    <w:rsid w:val="008D3E7A"/>
    <w:rsid w:val="008D3FD5"/>
    <w:rsid w:val="008D4B67"/>
    <w:rsid w:val="008D5C8D"/>
    <w:rsid w:val="008D76A2"/>
    <w:rsid w:val="008D7920"/>
    <w:rsid w:val="008E0051"/>
    <w:rsid w:val="008E051D"/>
    <w:rsid w:val="008E09BD"/>
    <w:rsid w:val="008E2336"/>
    <w:rsid w:val="008E48DE"/>
    <w:rsid w:val="008E5691"/>
    <w:rsid w:val="008E5C5B"/>
    <w:rsid w:val="008E6226"/>
    <w:rsid w:val="008E6E8B"/>
    <w:rsid w:val="008E7816"/>
    <w:rsid w:val="008F01DB"/>
    <w:rsid w:val="008F03F7"/>
    <w:rsid w:val="008F0698"/>
    <w:rsid w:val="008F0A46"/>
    <w:rsid w:val="008F0ADC"/>
    <w:rsid w:val="008F0BBB"/>
    <w:rsid w:val="008F0BD2"/>
    <w:rsid w:val="008F111C"/>
    <w:rsid w:val="008F2CD6"/>
    <w:rsid w:val="008F3239"/>
    <w:rsid w:val="008F3F8E"/>
    <w:rsid w:val="008F5854"/>
    <w:rsid w:val="008F65BD"/>
    <w:rsid w:val="008F7173"/>
    <w:rsid w:val="008F7FA2"/>
    <w:rsid w:val="0090060E"/>
    <w:rsid w:val="0090286E"/>
    <w:rsid w:val="00902CF4"/>
    <w:rsid w:val="009034A6"/>
    <w:rsid w:val="0090385F"/>
    <w:rsid w:val="00903FCD"/>
    <w:rsid w:val="00904175"/>
    <w:rsid w:val="0090435E"/>
    <w:rsid w:val="00904861"/>
    <w:rsid w:val="009054E7"/>
    <w:rsid w:val="00905C21"/>
    <w:rsid w:val="00905E64"/>
    <w:rsid w:val="00905F36"/>
    <w:rsid w:val="00906468"/>
    <w:rsid w:val="00907B01"/>
    <w:rsid w:val="00910A2E"/>
    <w:rsid w:val="0091270A"/>
    <w:rsid w:val="00912BCB"/>
    <w:rsid w:val="00914697"/>
    <w:rsid w:val="009148F3"/>
    <w:rsid w:val="00914F89"/>
    <w:rsid w:val="00915A4A"/>
    <w:rsid w:val="00916403"/>
    <w:rsid w:val="009164CD"/>
    <w:rsid w:val="009165EC"/>
    <w:rsid w:val="00916AA1"/>
    <w:rsid w:val="00920344"/>
    <w:rsid w:val="009203C7"/>
    <w:rsid w:val="009211BE"/>
    <w:rsid w:val="00921D41"/>
    <w:rsid w:val="00922713"/>
    <w:rsid w:val="009235E2"/>
    <w:rsid w:val="00923807"/>
    <w:rsid w:val="009244D6"/>
    <w:rsid w:val="00924D20"/>
    <w:rsid w:val="00926322"/>
    <w:rsid w:val="0092645C"/>
    <w:rsid w:val="00926465"/>
    <w:rsid w:val="009267B7"/>
    <w:rsid w:val="00927422"/>
    <w:rsid w:val="00927643"/>
    <w:rsid w:val="0093014E"/>
    <w:rsid w:val="00930340"/>
    <w:rsid w:val="009320A7"/>
    <w:rsid w:val="00932423"/>
    <w:rsid w:val="00932760"/>
    <w:rsid w:val="00932D72"/>
    <w:rsid w:val="009331CD"/>
    <w:rsid w:val="00933817"/>
    <w:rsid w:val="00934B99"/>
    <w:rsid w:val="009357FC"/>
    <w:rsid w:val="00936ABF"/>
    <w:rsid w:val="00936C9C"/>
    <w:rsid w:val="00940031"/>
    <w:rsid w:val="0094011B"/>
    <w:rsid w:val="00941B10"/>
    <w:rsid w:val="009420C4"/>
    <w:rsid w:val="00942620"/>
    <w:rsid w:val="00942D42"/>
    <w:rsid w:val="009438DD"/>
    <w:rsid w:val="00944DFE"/>
    <w:rsid w:val="009456FD"/>
    <w:rsid w:val="00945AE5"/>
    <w:rsid w:val="00946319"/>
    <w:rsid w:val="0094714F"/>
    <w:rsid w:val="0095029E"/>
    <w:rsid w:val="00951D72"/>
    <w:rsid w:val="009524E0"/>
    <w:rsid w:val="00952564"/>
    <w:rsid w:val="0095274C"/>
    <w:rsid w:val="00952AC6"/>
    <w:rsid w:val="00953A51"/>
    <w:rsid w:val="00953B3C"/>
    <w:rsid w:val="00954456"/>
    <w:rsid w:val="00954755"/>
    <w:rsid w:val="0095486E"/>
    <w:rsid w:val="00954E92"/>
    <w:rsid w:val="00954F29"/>
    <w:rsid w:val="00955644"/>
    <w:rsid w:val="009570AC"/>
    <w:rsid w:val="00960592"/>
    <w:rsid w:val="009607B6"/>
    <w:rsid w:val="00961E94"/>
    <w:rsid w:val="009628BB"/>
    <w:rsid w:val="00963367"/>
    <w:rsid w:val="00963917"/>
    <w:rsid w:val="0096396F"/>
    <w:rsid w:val="00964408"/>
    <w:rsid w:val="009655E4"/>
    <w:rsid w:val="00967711"/>
    <w:rsid w:val="009708AC"/>
    <w:rsid w:val="009719EB"/>
    <w:rsid w:val="009722CE"/>
    <w:rsid w:val="009724E3"/>
    <w:rsid w:val="009728DB"/>
    <w:rsid w:val="00972EBB"/>
    <w:rsid w:val="00974916"/>
    <w:rsid w:val="0097509B"/>
    <w:rsid w:val="00976644"/>
    <w:rsid w:val="00976F83"/>
    <w:rsid w:val="009770DC"/>
    <w:rsid w:val="0097744E"/>
    <w:rsid w:val="00977875"/>
    <w:rsid w:val="00980C0D"/>
    <w:rsid w:val="00981520"/>
    <w:rsid w:val="00981959"/>
    <w:rsid w:val="00981E6B"/>
    <w:rsid w:val="00982256"/>
    <w:rsid w:val="0098279F"/>
    <w:rsid w:val="0098288A"/>
    <w:rsid w:val="00982B95"/>
    <w:rsid w:val="00982D20"/>
    <w:rsid w:val="00983426"/>
    <w:rsid w:val="00985668"/>
    <w:rsid w:val="00985EE4"/>
    <w:rsid w:val="00986264"/>
    <w:rsid w:val="00986AF5"/>
    <w:rsid w:val="00987929"/>
    <w:rsid w:val="00992715"/>
    <w:rsid w:val="00992C21"/>
    <w:rsid w:val="00994124"/>
    <w:rsid w:val="0099583A"/>
    <w:rsid w:val="00995D30"/>
    <w:rsid w:val="00996C95"/>
    <w:rsid w:val="00996E26"/>
    <w:rsid w:val="009A0440"/>
    <w:rsid w:val="009A0514"/>
    <w:rsid w:val="009A2885"/>
    <w:rsid w:val="009A2972"/>
    <w:rsid w:val="009A2AA9"/>
    <w:rsid w:val="009A3146"/>
    <w:rsid w:val="009A37A5"/>
    <w:rsid w:val="009A49AE"/>
    <w:rsid w:val="009A4D45"/>
    <w:rsid w:val="009A5172"/>
    <w:rsid w:val="009A5544"/>
    <w:rsid w:val="009A55F6"/>
    <w:rsid w:val="009A5FC9"/>
    <w:rsid w:val="009A6070"/>
    <w:rsid w:val="009A63BC"/>
    <w:rsid w:val="009A6E8B"/>
    <w:rsid w:val="009A767D"/>
    <w:rsid w:val="009B0882"/>
    <w:rsid w:val="009B191A"/>
    <w:rsid w:val="009B376D"/>
    <w:rsid w:val="009B3A43"/>
    <w:rsid w:val="009B3AFD"/>
    <w:rsid w:val="009B3E6B"/>
    <w:rsid w:val="009B5020"/>
    <w:rsid w:val="009B502E"/>
    <w:rsid w:val="009B5BCC"/>
    <w:rsid w:val="009B5F11"/>
    <w:rsid w:val="009B600B"/>
    <w:rsid w:val="009B6510"/>
    <w:rsid w:val="009B67C9"/>
    <w:rsid w:val="009B7888"/>
    <w:rsid w:val="009C120A"/>
    <w:rsid w:val="009C1CFA"/>
    <w:rsid w:val="009C22DC"/>
    <w:rsid w:val="009C2339"/>
    <w:rsid w:val="009C316F"/>
    <w:rsid w:val="009C3C70"/>
    <w:rsid w:val="009C3D8A"/>
    <w:rsid w:val="009C4002"/>
    <w:rsid w:val="009C43F0"/>
    <w:rsid w:val="009C4DE4"/>
    <w:rsid w:val="009C68F5"/>
    <w:rsid w:val="009C758A"/>
    <w:rsid w:val="009C7F91"/>
    <w:rsid w:val="009D13D7"/>
    <w:rsid w:val="009D24A5"/>
    <w:rsid w:val="009D3AC4"/>
    <w:rsid w:val="009D5E51"/>
    <w:rsid w:val="009D667B"/>
    <w:rsid w:val="009D6CDE"/>
    <w:rsid w:val="009E1592"/>
    <w:rsid w:val="009E1AE3"/>
    <w:rsid w:val="009E20A0"/>
    <w:rsid w:val="009E2962"/>
    <w:rsid w:val="009E2A3C"/>
    <w:rsid w:val="009E3C20"/>
    <w:rsid w:val="009E3DFF"/>
    <w:rsid w:val="009E49AC"/>
    <w:rsid w:val="009E4C32"/>
    <w:rsid w:val="009E6F6A"/>
    <w:rsid w:val="009F02FD"/>
    <w:rsid w:val="009F04BA"/>
    <w:rsid w:val="009F129D"/>
    <w:rsid w:val="009F1DFA"/>
    <w:rsid w:val="009F28E0"/>
    <w:rsid w:val="009F28FD"/>
    <w:rsid w:val="009F342F"/>
    <w:rsid w:val="009F37BA"/>
    <w:rsid w:val="009F3E26"/>
    <w:rsid w:val="009F50DC"/>
    <w:rsid w:val="009F59F2"/>
    <w:rsid w:val="009F6162"/>
    <w:rsid w:val="009F7148"/>
    <w:rsid w:val="009F727D"/>
    <w:rsid w:val="00A0056E"/>
    <w:rsid w:val="00A019C4"/>
    <w:rsid w:val="00A01D6E"/>
    <w:rsid w:val="00A0204F"/>
    <w:rsid w:val="00A03066"/>
    <w:rsid w:val="00A0316B"/>
    <w:rsid w:val="00A032F8"/>
    <w:rsid w:val="00A03948"/>
    <w:rsid w:val="00A03999"/>
    <w:rsid w:val="00A04C12"/>
    <w:rsid w:val="00A05088"/>
    <w:rsid w:val="00A0613B"/>
    <w:rsid w:val="00A06598"/>
    <w:rsid w:val="00A065F0"/>
    <w:rsid w:val="00A0769E"/>
    <w:rsid w:val="00A10498"/>
    <w:rsid w:val="00A111AF"/>
    <w:rsid w:val="00A117E4"/>
    <w:rsid w:val="00A120B6"/>
    <w:rsid w:val="00A12F7D"/>
    <w:rsid w:val="00A1316A"/>
    <w:rsid w:val="00A148CF"/>
    <w:rsid w:val="00A165AC"/>
    <w:rsid w:val="00A17AED"/>
    <w:rsid w:val="00A20501"/>
    <w:rsid w:val="00A20603"/>
    <w:rsid w:val="00A20B81"/>
    <w:rsid w:val="00A21A0D"/>
    <w:rsid w:val="00A21E11"/>
    <w:rsid w:val="00A22BB4"/>
    <w:rsid w:val="00A2376A"/>
    <w:rsid w:val="00A239DE"/>
    <w:rsid w:val="00A23CC3"/>
    <w:rsid w:val="00A2600F"/>
    <w:rsid w:val="00A306DD"/>
    <w:rsid w:val="00A313B2"/>
    <w:rsid w:val="00A31E54"/>
    <w:rsid w:val="00A33159"/>
    <w:rsid w:val="00A33410"/>
    <w:rsid w:val="00A33A11"/>
    <w:rsid w:val="00A33D7C"/>
    <w:rsid w:val="00A34043"/>
    <w:rsid w:val="00A34665"/>
    <w:rsid w:val="00A34BDC"/>
    <w:rsid w:val="00A34E47"/>
    <w:rsid w:val="00A35B41"/>
    <w:rsid w:val="00A361B4"/>
    <w:rsid w:val="00A363CB"/>
    <w:rsid w:val="00A3684E"/>
    <w:rsid w:val="00A37E65"/>
    <w:rsid w:val="00A4001E"/>
    <w:rsid w:val="00A40D08"/>
    <w:rsid w:val="00A41708"/>
    <w:rsid w:val="00A41998"/>
    <w:rsid w:val="00A43B97"/>
    <w:rsid w:val="00A44FA7"/>
    <w:rsid w:val="00A466BF"/>
    <w:rsid w:val="00A46C2E"/>
    <w:rsid w:val="00A46D54"/>
    <w:rsid w:val="00A47100"/>
    <w:rsid w:val="00A475DA"/>
    <w:rsid w:val="00A47A79"/>
    <w:rsid w:val="00A50668"/>
    <w:rsid w:val="00A515CA"/>
    <w:rsid w:val="00A51C1C"/>
    <w:rsid w:val="00A53EF7"/>
    <w:rsid w:val="00A54252"/>
    <w:rsid w:val="00A54771"/>
    <w:rsid w:val="00A54D02"/>
    <w:rsid w:val="00A55259"/>
    <w:rsid w:val="00A552A9"/>
    <w:rsid w:val="00A5572B"/>
    <w:rsid w:val="00A55ED3"/>
    <w:rsid w:val="00A577D6"/>
    <w:rsid w:val="00A60B75"/>
    <w:rsid w:val="00A60CD4"/>
    <w:rsid w:val="00A6150B"/>
    <w:rsid w:val="00A618F3"/>
    <w:rsid w:val="00A61C08"/>
    <w:rsid w:val="00A623FC"/>
    <w:rsid w:val="00A6284C"/>
    <w:rsid w:val="00A62B5F"/>
    <w:rsid w:val="00A63AFA"/>
    <w:rsid w:val="00A649F4"/>
    <w:rsid w:val="00A64C31"/>
    <w:rsid w:val="00A653AE"/>
    <w:rsid w:val="00A656AA"/>
    <w:rsid w:val="00A662A1"/>
    <w:rsid w:val="00A66370"/>
    <w:rsid w:val="00A66521"/>
    <w:rsid w:val="00A66B78"/>
    <w:rsid w:val="00A66BA9"/>
    <w:rsid w:val="00A66D00"/>
    <w:rsid w:val="00A66E6E"/>
    <w:rsid w:val="00A700A9"/>
    <w:rsid w:val="00A70787"/>
    <w:rsid w:val="00A70833"/>
    <w:rsid w:val="00A71050"/>
    <w:rsid w:val="00A710E4"/>
    <w:rsid w:val="00A71E0B"/>
    <w:rsid w:val="00A733E0"/>
    <w:rsid w:val="00A73BF3"/>
    <w:rsid w:val="00A73C52"/>
    <w:rsid w:val="00A7402C"/>
    <w:rsid w:val="00A75DE5"/>
    <w:rsid w:val="00A7631E"/>
    <w:rsid w:val="00A765FC"/>
    <w:rsid w:val="00A7704A"/>
    <w:rsid w:val="00A77704"/>
    <w:rsid w:val="00A80C03"/>
    <w:rsid w:val="00A81010"/>
    <w:rsid w:val="00A83E04"/>
    <w:rsid w:val="00A85E2C"/>
    <w:rsid w:val="00A862D9"/>
    <w:rsid w:val="00A866E2"/>
    <w:rsid w:val="00A86C55"/>
    <w:rsid w:val="00A86CB7"/>
    <w:rsid w:val="00A902A4"/>
    <w:rsid w:val="00A90B9C"/>
    <w:rsid w:val="00A91CB1"/>
    <w:rsid w:val="00A91E2F"/>
    <w:rsid w:val="00A91FC9"/>
    <w:rsid w:val="00A9248A"/>
    <w:rsid w:val="00A92E78"/>
    <w:rsid w:val="00A936E2"/>
    <w:rsid w:val="00A938EB"/>
    <w:rsid w:val="00A9417A"/>
    <w:rsid w:val="00A943B6"/>
    <w:rsid w:val="00A94624"/>
    <w:rsid w:val="00A94741"/>
    <w:rsid w:val="00A95254"/>
    <w:rsid w:val="00A95AD1"/>
    <w:rsid w:val="00A961E5"/>
    <w:rsid w:val="00A96750"/>
    <w:rsid w:val="00A969CE"/>
    <w:rsid w:val="00A96A80"/>
    <w:rsid w:val="00A97E08"/>
    <w:rsid w:val="00AA07E5"/>
    <w:rsid w:val="00AA29B1"/>
    <w:rsid w:val="00AA3598"/>
    <w:rsid w:val="00AA584F"/>
    <w:rsid w:val="00AA5DED"/>
    <w:rsid w:val="00AA67D3"/>
    <w:rsid w:val="00AA7669"/>
    <w:rsid w:val="00AA7D15"/>
    <w:rsid w:val="00AB24BA"/>
    <w:rsid w:val="00AB27E5"/>
    <w:rsid w:val="00AB2D0D"/>
    <w:rsid w:val="00AB35AC"/>
    <w:rsid w:val="00AB3820"/>
    <w:rsid w:val="00AB3D40"/>
    <w:rsid w:val="00AB4A89"/>
    <w:rsid w:val="00AB531E"/>
    <w:rsid w:val="00AB589C"/>
    <w:rsid w:val="00AB6098"/>
    <w:rsid w:val="00AB73DB"/>
    <w:rsid w:val="00AB7575"/>
    <w:rsid w:val="00AB78BA"/>
    <w:rsid w:val="00AB7D08"/>
    <w:rsid w:val="00AC00B0"/>
    <w:rsid w:val="00AC00CB"/>
    <w:rsid w:val="00AC086F"/>
    <w:rsid w:val="00AC0F68"/>
    <w:rsid w:val="00AC106C"/>
    <w:rsid w:val="00AC2DC2"/>
    <w:rsid w:val="00AC6058"/>
    <w:rsid w:val="00AC6C55"/>
    <w:rsid w:val="00AC73C8"/>
    <w:rsid w:val="00AD26BF"/>
    <w:rsid w:val="00AD3049"/>
    <w:rsid w:val="00AD339E"/>
    <w:rsid w:val="00AD414A"/>
    <w:rsid w:val="00AD5CBC"/>
    <w:rsid w:val="00AD5FF7"/>
    <w:rsid w:val="00AE00A9"/>
    <w:rsid w:val="00AE077B"/>
    <w:rsid w:val="00AE0AA3"/>
    <w:rsid w:val="00AE196F"/>
    <w:rsid w:val="00AE1A64"/>
    <w:rsid w:val="00AE2983"/>
    <w:rsid w:val="00AE3254"/>
    <w:rsid w:val="00AE3824"/>
    <w:rsid w:val="00AE403F"/>
    <w:rsid w:val="00AE45F1"/>
    <w:rsid w:val="00AE4745"/>
    <w:rsid w:val="00AE65EF"/>
    <w:rsid w:val="00AE776A"/>
    <w:rsid w:val="00AF11AD"/>
    <w:rsid w:val="00AF1618"/>
    <w:rsid w:val="00AF2FC0"/>
    <w:rsid w:val="00AF3568"/>
    <w:rsid w:val="00AF3AEA"/>
    <w:rsid w:val="00AF41BF"/>
    <w:rsid w:val="00AF4C89"/>
    <w:rsid w:val="00AF6090"/>
    <w:rsid w:val="00AF6625"/>
    <w:rsid w:val="00B0139B"/>
    <w:rsid w:val="00B01F21"/>
    <w:rsid w:val="00B02230"/>
    <w:rsid w:val="00B059F7"/>
    <w:rsid w:val="00B05B39"/>
    <w:rsid w:val="00B06500"/>
    <w:rsid w:val="00B06BD7"/>
    <w:rsid w:val="00B078CB"/>
    <w:rsid w:val="00B103E0"/>
    <w:rsid w:val="00B10B2C"/>
    <w:rsid w:val="00B10DCC"/>
    <w:rsid w:val="00B11133"/>
    <w:rsid w:val="00B115A9"/>
    <w:rsid w:val="00B12F4B"/>
    <w:rsid w:val="00B13687"/>
    <w:rsid w:val="00B14203"/>
    <w:rsid w:val="00B15982"/>
    <w:rsid w:val="00B16406"/>
    <w:rsid w:val="00B166B0"/>
    <w:rsid w:val="00B1710D"/>
    <w:rsid w:val="00B17240"/>
    <w:rsid w:val="00B17C5F"/>
    <w:rsid w:val="00B2034F"/>
    <w:rsid w:val="00B2106C"/>
    <w:rsid w:val="00B21CAF"/>
    <w:rsid w:val="00B21FCF"/>
    <w:rsid w:val="00B23E34"/>
    <w:rsid w:val="00B24537"/>
    <w:rsid w:val="00B2535C"/>
    <w:rsid w:val="00B26375"/>
    <w:rsid w:val="00B267CC"/>
    <w:rsid w:val="00B26F3D"/>
    <w:rsid w:val="00B273F7"/>
    <w:rsid w:val="00B27D31"/>
    <w:rsid w:val="00B27DFC"/>
    <w:rsid w:val="00B30A9F"/>
    <w:rsid w:val="00B310A1"/>
    <w:rsid w:val="00B311A0"/>
    <w:rsid w:val="00B312D5"/>
    <w:rsid w:val="00B31BBF"/>
    <w:rsid w:val="00B32DE2"/>
    <w:rsid w:val="00B33745"/>
    <w:rsid w:val="00B3399E"/>
    <w:rsid w:val="00B344BA"/>
    <w:rsid w:val="00B34793"/>
    <w:rsid w:val="00B34F2B"/>
    <w:rsid w:val="00B35D8C"/>
    <w:rsid w:val="00B372C6"/>
    <w:rsid w:val="00B37B47"/>
    <w:rsid w:val="00B37FA4"/>
    <w:rsid w:val="00B40D55"/>
    <w:rsid w:val="00B4108B"/>
    <w:rsid w:val="00B4285C"/>
    <w:rsid w:val="00B42F81"/>
    <w:rsid w:val="00B434C8"/>
    <w:rsid w:val="00B43FEA"/>
    <w:rsid w:val="00B4448C"/>
    <w:rsid w:val="00B46400"/>
    <w:rsid w:val="00B4749C"/>
    <w:rsid w:val="00B47711"/>
    <w:rsid w:val="00B47EBE"/>
    <w:rsid w:val="00B51EDF"/>
    <w:rsid w:val="00B52204"/>
    <w:rsid w:val="00B52987"/>
    <w:rsid w:val="00B53500"/>
    <w:rsid w:val="00B53DCB"/>
    <w:rsid w:val="00B5468B"/>
    <w:rsid w:val="00B552D1"/>
    <w:rsid w:val="00B554FE"/>
    <w:rsid w:val="00B5587D"/>
    <w:rsid w:val="00B562FE"/>
    <w:rsid w:val="00B56587"/>
    <w:rsid w:val="00B60A1D"/>
    <w:rsid w:val="00B60C86"/>
    <w:rsid w:val="00B6190C"/>
    <w:rsid w:val="00B619D3"/>
    <w:rsid w:val="00B621E1"/>
    <w:rsid w:val="00B63B50"/>
    <w:rsid w:val="00B6438A"/>
    <w:rsid w:val="00B65D24"/>
    <w:rsid w:val="00B66189"/>
    <w:rsid w:val="00B66225"/>
    <w:rsid w:val="00B6649B"/>
    <w:rsid w:val="00B701C4"/>
    <w:rsid w:val="00B70362"/>
    <w:rsid w:val="00B71831"/>
    <w:rsid w:val="00B723A8"/>
    <w:rsid w:val="00B72A59"/>
    <w:rsid w:val="00B72BEF"/>
    <w:rsid w:val="00B7375D"/>
    <w:rsid w:val="00B737A3"/>
    <w:rsid w:val="00B73825"/>
    <w:rsid w:val="00B7434D"/>
    <w:rsid w:val="00B75719"/>
    <w:rsid w:val="00B758D0"/>
    <w:rsid w:val="00B75AF7"/>
    <w:rsid w:val="00B75D07"/>
    <w:rsid w:val="00B76F6A"/>
    <w:rsid w:val="00B7716D"/>
    <w:rsid w:val="00B7721B"/>
    <w:rsid w:val="00B77A23"/>
    <w:rsid w:val="00B80199"/>
    <w:rsid w:val="00B81857"/>
    <w:rsid w:val="00B82843"/>
    <w:rsid w:val="00B82E22"/>
    <w:rsid w:val="00B8359A"/>
    <w:rsid w:val="00B83684"/>
    <w:rsid w:val="00B83A1A"/>
    <w:rsid w:val="00B83DC3"/>
    <w:rsid w:val="00B83EAA"/>
    <w:rsid w:val="00B845E1"/>
    <w:rsid w:val="00B854D5"/>
    <w:rsid w:val="00B859DF"/>
    <w:rsid w:val="00B87138"/>
    <w:rsid w:val="00B876B9"/>
    <w:rsid w:val="00B902B0"/>
    <w:rsid w:val="00B9072B"/>
    <w:rsid w:val="00B92FC9"/>
    <w:rsid w:val="00B9309B"/>
    <w:rsid w:val="00B93C88"/>
    <w:rsid w:val="00B9501C"/>
    <w:rsid w:val="00B9576D"/>
    <w:rsid w:val="00B95BE6"/>
    <w:rsid w:val="00B96BFD"/>
    <w:rsid w:val="00B96C77"/>
    <w:rsid w:val="00B975EB"/>
    <w:rsid w:val="00B9F6AA"/>
    <w:rsid w:val="00BA0099"/>
    <w:rsid w:val="00BA0EF9"/>
    <w:rsid w:val="00BA18F1"/>
    <w:rsid w:val="00BA1FA3"/>
    <w:rsid w:val="00BA25D2"/>
    <w:rsid w:val="00BA4044"/>
    <w:rsid w:val="00BA459F"/>
    <w:rsid w:val="00BA4853"/>
    <w:rsid w:val="00BA5052"/>
    <w:rsid w:val="00BA515C"/>
    <w:rsid w:val="00BA516D"/>
    <w:rsid w:val="00BA5C6A"/>
    <w:rsid w:val="00BA6705"/>
    <w:rsid w:val="00BA750B"/>
    <w:rsid w:val="00BA7530"/>
    <w:rsid w:val="00BB11FB"/>
    <w:rsid w:val="00BB1443"/>
    <w:rsid w:val="00BB152F"/>
    <w:rsid w:val="00BB158C"/>
    <w:rsid w:val="00BB16F5"/>
    <w:rsid w:val="00BB2BE6"/>
    <w:rsid w:val="00BB2FB9"/>
    <w:rsid w:val="00BB34A8"/>
    <w:rsid w:val="00BB3E15"/>
    <w:rsid w:val="00BB404D"/>
    <w:rsid w:val="00BB42FF"/>
    <w:rsid w:val="00BB4BBC"/>
    <w:rsid w:val="00BB4CCF"/>
    <w:rsid w:val="00BB54C7"/>
    <w:rsid w:val="00BB5944"/>
    <w:rsid w:val="00BB5E59"/>
    <w:rsid w:val="00BB63AB"/>
    <w:rsid w:val="00BB7FD6"/>
    <w:rsid w:val="00BC0E8D"/>
    <w:rsid w:val="00BC1AE0"/>
    <w:rsid w:val="00BC47C3"/>
    <w:rsid w:val="00BC4CBA"/>
    <w:rsid w:val="00BC5650"/>
    <w:rsid w:val="00BC6FFC"/>
    <w:rsid w:val="00BC739C"/>
    <w:rsid w:val="00BC7E4F"/>
    <w:rsid w:val="00BD22E2"/>
    <w:rsid w:val="00BD28C2"/>
    <w:rsid w:val="00BD33B3"/>
    <w:rsid w:val="00BD5781"/>
    <w:rsid w:val="00BD5953"/>
    <w:rsid w:val="00BD6DC0"/>
    <w:rsid w:val="00BD7943"/>
    <w:rsid w:val="00BE0545"/>
    <w:rsid w:val="00BE1606"/>
    <w:rsid w:val="00BE2534"/>
    <w:rsid w:val="00BE2CBC"/>
    <w:rsid w:val="00BE4874"/>
    <w:rsid w:val="00BE4B0E"/>
    <w:rsid w:val="00BE5FC5"/>
    <w:rsid w:val="00BE5FE7"/>
    <w:rsid w:val="00BE65E8"/>
    <w:rsid w:val="00BE6AD9"/>
    <w:rsid w:val="00BE6FCA"/>
    <w:rsid w:val="00BE7339"/>
    <w:rsid w:val="00BF03D7"/>
    <w:rsid w:val="00BF03F2"/>
    <w:rsid w:val="00BF05E8"/>
    <w:rsid w:val="00BF0A3A"/>
    <w:rsid w:val="00BF103A"/>
    <w:rsid w:val="00BF10D7"/>
    <w:rsid w:val="00BF168E"/>
    <w:rsid w:val="00BF280B"/>
    <w:rsid w:val="00BF3158"/>
    <w:rsid w:val="00BF32A3"/>
    <w:rsid w:val="00BF41E8"/>
    <w:rsid w:val="00BF4320"/>
    <w:rsid w:val="00BF4822"/>
    <w:rsid w:val="00BF5B9F"/>
    <w:rsid w:val="00BF5C94"/>
    <w:rsid w:val="00BF612A"/>
    <w:rsid w:val="00BF68D0"/>
    <w:rsid w:val="00BF6BB2"/>
    <w:rsid w:val="00BF73E1"/>
    <w:rsid w:val="00C01E3F"/>
    <w:rsid w:val="00C0226C"/>
    <w:rsid w:val="00C0292B"/>
    <w:rsid w:val="00C02B9F"/>
    <w:rsid w:val="00C02DDF"/>
    <w:rsid w:val="00C03101"/>
    <w:rsid w:val="00C034BB"/>
    <w:rsid w:val="00C03EFE"/>
    <w:rsid w:val="00C04199"/>
    <w:rsid w:val="00C0524F"/>
    <w:rsid w:val="00C065EA"/>
    <w:rsid w:val="00C06943"/>
    <w:rsid w:val="00C07138"/>
    <w:rsid w:val="00C079BC"/>
    <w:rsid w:val="00C07D59"/>
    <w:rsid w:val="00C10AFF"/>
    <w:rsid w:val="00C10C2C"/>
    <w:rsid w:val="00C11086"/>
    <w:rsid w:val="00C11176"/>
    <w:rsid w:val="00C12078"/>
    <w:rsid w:val="00C12F1B"/>
    <w:rsid w:val="00C13ECE"/>
    <w:rsid w:val="00C1406D"/>
    <w:rsid w:val="00C14720"/>
    <w:rsid w:val="00C15D6E"/>
    <w:rsid w:val="00C1742F"/>
    <w:rsid w:val="00C20047"/>
    <w:rsid w:val="00C20557"/>
    <w:rsid w:val="00C209A3"/>
    <w:rsid w:val="00C212E3"/>
    <w:rsid w:val="00C219D2"/>
    <w:rsid w:val="00C2211F"/>
    <w:rsid w:val="00C22E6E"/>
    <w:rsid w:val="00C23BFE"/>
    <w:rsid w:val="00C23E2F"/>
    <w:rsid w:val="00C250B9"/>
    <w:rsid w:val="00C2563C"/>
    <w:rsid w:val="00C2582B"/>
    <w:rsid w:val="00C25E13"/>
    <w:rsid w:val="00C26043"/>
    <w:rsid w:val="00C26A51"/>
    <w:rsid w:val="00C30679"/>
    <w:rsid w:val="00C30EEC"/>
    <w:rsid w:val="00C31867"/>
    <w:rsid w:val="00C32708"/>
    <w:rsid w:val="00C32780"/>
    <w:rsid w:val="00C3360A"/>
    <w:rsid w:val="00C33B26"/>
    <w:rsid w:val="00C340FB"/>
    <w:rsid w:val="00C34CE7"/>
    <w:rsid w:val="00C3524E"/>
    <w:rsid w:val="00C3546C"/>
    <w:rsid w:val="00C35917"/>
    <w:rsid w:val="00C35B32"/>
    <w:rsid w:val="00C364D7"/>
    <w:rsid w:val="00C364E6"/>
    <w:rsid w:val="00C3ED48"/>
    <w:rsid w:val="00C40320"/>
    <w:rsid w:val="00C405CE"/>
    <w:rsid w:val="00C406C4"/>
    <w:rsid w:val="00C40760"/>
    <w:rsid w:val="00C41987"/>
    <w:rsid w:val="00C419E4"/>
    <w:rsid w:val="00C42251"/>
    <w:rsid w:val="00C42D52"/>
    <w:rsid w:val="00C432D2"/>
    <w:rsid w:val="00C439AF"/>
    <w:rsid w:val="00C43F2D"/>
    <w:rsid w:val="00C46314"/>
    <w:rsid w:val="00C46D41"/>
    <w:rsid w:val="00C47990"/>
    <w:rsid w:val="00C47DC2"/>
    <w:rsid w:val="00C47F85"/>
    <w:rsid w:val="00C504AB"/>
    <w:rsid w:val="00C51D50"/>
    <w:rsid w:val="00C52A31"/>
    <w:rsid w:val="00C52E5B"/>
    <w:rsid w:val="00C537A1"/>
    <w:rsid w:val="00C543BC"/>
    <w:rsid w:val="00C552ED"/>
    <w:rsid w:val="00C566A8"/>
    <w:rsid w:val="00C56E57"/>
    <w:rsid w:val="00C60552"/>
    <w:rsid w:val="00C60EBF"/>
    <w:rsid w:val="00C61AA3"/>
    <w:rsid w:val="00C61EDA"/>
    <w:rsid w:val="00C62638"/>
    <w:rsid w:val="00C629A8"/>
    <w:rsid w:val="00C62ABC"/>
    <w:rsid w:val="00C636F6"/>
    <w:rsid w:val="00C63C33"/>
    <w:rsid w:val="00C63EFD"/>
    <w:rsid w:val="00C6409D"/>
    <w:rsid w:val="00C643BE"/>
    <w:rsid w:val="00C64556"/>
    <w:rsid w:val="00C6509F"/>
    <w:rsid w:val="00C65616"/>
    <w:rsid w:val="00C65AD0"/>
    <w:rsid w:val="00C65EFE"/>
    <w:rsid w:val="00C66D79"/>
    <w:rsid w:val="00C7003E"/>
    <w:rsid w:val="00C71428"/>
    <w:rsid w:val="00C71FEB"/>
    <w:rsid w:val="00C73296"/>
    <w:rsid w:val="00C7379F"/>
    <w:rsid w:val="00C74C80"/>
    <w:rsid w:val="00C74FDD"/>
    <w:rsid w:val="00C7697C"/>
    <w:rsid w:val="00C774A2"/>
    <w:rsid w:val="00C77C19"/>
    <w:rsid w:val="00C80236"/>
    <w:rsid w:val="00C8057A"/>
    <w:rsid w:val="00C80D1D"/>
    <w:rsid w:val="00C827EF"/>
    <w:rsid w:val="00C836D7"/>
    <w:rsid w:val="00C838BB"/>
    <w:rsid w:val="00C83C18"/>
    <w:rsid w:val="00C83DAB"/>
    <w:rsid w:val="00C84046"/>
    <w:rsid w:val="00C84D43"/>
    <w:rsid w:val="00C85347"/>
    <w:rsid w:val="00C853E2"/>
    <w:rsid w:val="00C85EB6"/>
    <w:rsid w:val="00C875E4"/>
    <w:rsid w:val="00C9025B"/>
    <w:rsid w:val="00C916F0"/>
    <w:rsid w:val="00C9203C"/>
    <w:rsid w:val="00C928A9"/>
    <w:rsid w:val="00C92E9B"/>
    <w:rsid w:val="00C965DB"/>
    <w:rsid w:val="00C96841"/>
    <w:rsid w:val="00C96CB8"/>
    <w:rsid w:val="00C96E8C"/>
    <w:rsid w:val="00CA0CCF"/>
    <w:rsid w:val="00CA10D9"/>
    <w:rsid w:val="00CA1306"/>
    <w:rsid w:val="00CA22A4"/>
    <w:rsid w:val="00CA30EE"/>
    <w:rsid w:val="00CA33D6"/>
    <w:rsid w:val="00CA3CAD"/>
    <w:rsid w:val="00CA435B"/>
    <w:rsid w:val="00CA5D3D"/>
    <w:rsid w:val="00CA7654"/>
    <w:rsid w:val="00CA77D1"/>
    <w:rsid w:val="00CB0CFD"/>
    <w:rsid w:val="00CB0DAD"/>
    <w:rsid w:val="00CB10D8"/>
    <w:rsid w:val="00CB1908"/>
    <w:rsid w:val="00CB1D84"/>
    <w:rsid w:val="00CB2DBC"/>
    <w:rsid w:val="00CB2F38"/>
    <w:rsid w:val="00CB34E8"/>
    <w:rsid w:val="00CB3CFC"/>
    <w:rsid w:val="00CB41AD"/>
    <w:rsid w:val="00CB4537"/>
    <w:rsid w:val="00CB657F"/>
    <w:rsid w:val="00CB67C2"/>
    <w:rsid w:val="00CB6877"/>
    <w:rsid w:val="00CB6B92"/>
    <w:rsid w:val="00CB7648"/>
    <w:rsid w:val="00CB76DA"/>
    <w:rsid w:val="00CB785A"/>
    <w:rsid w:val="00CC01DE"/>
    <w:rsid w:val="00CC0C9B"/>
    <w:rsid w:val="00CC0D4F"/>
    <w:rsid w:val="00CC1034"/>
    <w:rsid w:val="00CC22A8"/>
    <w:rsid w:val="00CC278E"/>
    <w:rsid w:val="00CC3DE2"/>
    <w:rsid w:val="00CD2017"/>
    <w:rsid w:val="00CD2849"/>
    <w:rsid w:val="00CD3051"/>
    <w:rsid w:val="00CD31C7"/>
    <w:rsid w:val="00CD3F77"/>
    <w:rsid w:val="00CD41D2"/>
    <w:rsid w:val="00CD7CD4"/>
    <w:rsid w:val="00CE007A"/>
    <w:rsid w:val="00CE1A28"/>
    <w:rsid w:val="00CE2106"/>
    <w:rsid w:val="00CE27F8"/>
    <w:rsid w:val="00CE43C0"/>
    <w:rsid w:val="00CE4B33"/>
    <w:rsid w:val="00CE52D9"/>
    <w:rsid w:val="00CE5C32"/>
    <w:rsid w:val="00CE7C75"/>
    <w:rsid w:val="00CF05B5"/>
    <w:rsid w:val="00CF05FA"/>
    <w:rsid w:val="00CF0A31"/>
    <w:rsid w:val="00CF1571"/>
    <w:rsid w:val="00CF17C3"/>
    <w:rsid w:val="00CF1858"/>
    <w:rsid w:val="00CF1871"/>
    <w:rsid w:val="00CF25CB"/>
    <w:rsid w:val="00CF26C4"/>
    <w:rsid w:val="00CF2E10"/>
    <w:rsid w:val="00CF30EE"/>
    <w:rsid w:val="00CF423D"/>
    <w:rsid w:val="00CF45C3"/>
    <w:rsid w:val="00CF46BF"/>
    <w:rsid w:val="00CF4874"/>
    <w:rsid w:val="00CF48AA"/>
    <w:rsid w:val="00CF4EBD"/>
    <w:rsid w:val="00CF62E8"/>
    <w:rsid w:val="00CF7170"/>
    <w:rsid w:val="00CF79FE"/>
    <w:rsid w:val="00CF7D8C"/>
    <w:rsid w:val="00CFE4AE"/>
    <w:rsid w:val="00D008F3"/>
    <w:rsid w:val="00D016D6"/>
    <w:rsid w:val="00D01BE9"/>
    <w:rsid w:val="00D01EC1"/>
    <w:rsid w:val="00D01FC7"/>
    <w:rsid w:val="00D0266A"/>
    <w:rsid w:val="00D03A55"/>
    <w:rsid w:val="00D03D93"/>
    <w:rsid w:val="00D0472C"/>
    <w:rsid w:val="00D04958"/>
    <w:rsid w:val="00D05253"/>
    <w:rsid w:val="00D05439"/>
    <w:rsid w:val="00D05962"/>
    <w:rsid w:val="00D05986"/>
    <w:rsid w:val="00D05E20"/>
    <w:rsid w:val="00D06472"/>
    <w:rsid w:val="00D07D42"/>
    <w:rsid w:val="00D07E74"/>
    <w:rsid w:val="00D07FAB"/>
    <w:rsid w:val="00D10070"/>
    <w:rsid w:val="00D11A4C"/>
    <w:rsid w:val="00D11CF4"/>
    <w:rsid w:val="00D1211B"/>
    <w:rsid w:val="00D12E90"/>
    <w:rsid w:val="00D13769"/>
    <w:rsid w:val="00D1378E"/>
    <w:rsid w:val="00D13C29"/>
    <w:rsid w:val="00D13DF0"/>
    <w:rsid w:val="00D150DA"/>
    <w:rsid w:val="00D15489"/>
    <w:rsid w:val="00D16619"/>
    <w:rsid w:val="00D17165"/>
    <w:rsid w:val="00D17CA8"/>
    <w:rsid w:val="00D2061E"/>
    <w:rsid w:val="00D210BD"/>
    <w:rsid w:val="00D21DAB"/>
    <w:rsid w:val="00D22D83"/>
    <w:rsid w:val="00D230CD"/>
    <w:rsid w:val="00D24E54"/>
    <w:rsid w:val="00D250E9"/>
    <w:rsid w:val="00D26C39"/>
    <w:rsid w:val="00D27740"/>
    <w:rsid w:val="00D30457"/>
    <w:rsid w:val="00D30553"/>
    <w:rsid w:val="00D30B77"/>
    <w:rsid w:val="00D31902"/>
    <w:rsid w:val="00D31A43"/>
    <w:rsid w:val="00D32AC5"/>
    <w:rsid w:val="00D33102"/>
    <w:rsid w:val="00D339A6"/>
    <w:rsid w:val="00D364E8"/>
    <w:rsid w:val="00D36980"/>
    <w:rsid w:val="00D36EFC"/>
    <w:rsid w:val="00D36F4F"/>
    <w:rsid w:val="00D371C4"/>
    <w:rsid w:val="00D37ED3"/>
    <w:rsid w:val="00D40D02"/>
    <w:rsid w:val="00D41044"/>
    <w:rsid w:val="00D4153A"/>
    <w:rsid w:val="00D4227D"/>
    <w:rsid w:val="00D42619"/>
    <w:rsid w:val="00D42797"/>
    <w:rsid w:val="00D427A4"/>
    <w:rsid w:val="00D432AC"/>
    <w:rsid w:val="00D43C53"/>
    <w:rsid w:val="00D4425D"/>
    <w:rsid w:val="00D46888"/>
    <w:rsid w:val="00D47575"/>
    <w:rsid w:val="00D47CD1"/>
    <w:rsid w:val="00D500F3"/>
    <w:rsid w:val="00D512CD"/>
    <w:rsid w:val="00D51F34"/>
    <w:rsid w:val="00D523CE"/>
    <w:rsid w:val="00D538E7"/>
    <w:rsid w:val="00D547A8"/>
    <w:rsid w:val="00D55783"/>
    <w:rsid w:val="00D56062"/>
    <w:rsid w:val="00D57233"/>
    <w:rsid w:val="00D57B10"/>
    <w:rsid w:val="00D60003"/>
    <w:rsid w:val="00D60408"/>
    <w:rsid w:val="00D605BB"/>
    <w:rsid w:val="00D608F3"/>
    <w:rsid w:val="00D60B22"/>
    <w:rsid w:val="00D60DCC"/>
    <w:rsid w:val="00D6110E"/>
    <w:rsid w:val="00D61C2F"/>
    <w:rsid w:val="00D61E41"/>
    <w:rsid w:val="00D62098"/>
    <w:rsid w:val="00D637E0"/>
    <w:rsid w:val="00D63C27"/>
    <w:rsid w:val="00D646DD"/>
    <w:rsid w:val="00D66ED2"/>
    <w:rsid w:val="00D7141C"/>
    <w:rsid w:val="00D714CE"/>
    <w:rsid w:val="00D715BC"/>
    <w:rsid w:val="00D72510"/>
    <w:rsid w:val="00D725C8"/>
    <w:rsid w:val="00D730F1"/>
    <w:rsid w:val="00D7442E"/>
    <w:rsid w:val="00D745B9"/>
    <w:rsid w:val="00D7519A"/>
    <w:rsid w:val="00D75265"/>
    <w:rsid w:val="00D752C8"/>
    <w:rsid w:val="00D75603"/>
    <w:rsid w:val="00D7638B"/>
    <w:rsid w:val="00D76B7E"/>
    <w:rsid w:val="00D77703"/>
    <w:rsid w:val="00D77FB7"/>
    <w:rsid w:val="00D808B0"/>
    <w:rsid w:val="00D82A54"/>
    <w:rsid w:val="00D837D3"/>
    <w:rsid w:val="00D84B09"/>
    <w:rsid w:val="00D84DBC"/>
    <w:rsid w:val="00D85712"/>
    <w:rsid w:val="00D870CE"/>
    <w:rsid w:val="00D87661"/>
    <w:rsid w:val="00D87B1B"/>
    <w:rsid w:val="00D87B25"/>
    <w:rsid w:val="00D87D23"/>
    <w:rsid w:val="00D87F7F"/>
    <w:rsid w:val="00D900CB"/>
    <w:rsid w:val="00D916CA"/>
    <w:rsid w:val="00D918A9"/>
    <w:rsid w:val="00D9390B"/>
    <w:rsid w:val="00D956D2"/>
    <w:rsid w:val="00D95F8C"/>
    <w:rsid w:val="00D968B4"/>
    <w:rsid w:val="00D97F1E"/>
    <w:rsid w:val="00DA066D"/>
    <w:rsid w:val="00DA17B3"/>
    <w:rsid w:val="00DA29A4"/>
    <w:rsid w:val="00DA2F1B"/>
    <w:rsid w:val="00DA309E"/>
    <w:rsid w:val="00DA35DC"/>
    <w:rsid w:val="00DA3C01"/>
    <w:rsid w:val="00DA4601"/>
    <w:rsid w:val="00DA4744"/>
    <w:rsid w:val="00DA596E"/>
    <w:rsid w:val="00DA6007"/>
    <w:rsid w:val="00DA6024"/>
    <w:rsid w:val="00DA755E"/>
    <w:rsid w:val="00DA767F"/>
    <w:rsid w:val="00DB0184"/>
    <w:rsid w:val="00DB08EB"/>
    <w:rsid w:val="00DB0A5A"/>
    <w:rsid w:val="00DB13E9"/>
    <w:rsid w:val="00DB14C5"/>
    <w:rsid w:val="00DB1FD8"/>
    <w:rsid w:val="00DB2DF5"/>
    <w:rsid w:val="00DB3E54"/>
    <w:rsid w:val="00DB454A"/>
    <w:rsid w:val="00DB59A9"/>
    <w:rsid w:val="00DB5F54"/>
    <w:rsid w:val="00DB6096"/>
    <w:rsid w:val="00DB671C"/>
    <w:rsid w:val="00DB6A24"/>
    <w:rsid w:val="00DB70E9"/>
    <w:rsid w:val="00DB760D"/>
    <w:rsid w:val="00DB77FE"/>
    <w:rsid w:val="00DC0135"/>
    <w:rsid w:val="00DC0231"/>
    <w:rsid w:val="00DC0B59"/>
    <w:rsid w:val="00DC0E1B"/>
    <w:rsid w:val="00DC10AC"/>
    <w:rsid w:val="00DC12B3"/>
    <w:rsid w:val="00DC1655"/>
    <w:rsid w:val="00DC258B"/>
    <w:rsid w:val="00DC2618"/>
    <w:rsid w:val="00DC316E"/>
    <w:rsid w:val="00DC330E"/>
    <w:rsid w:val="00DC3FA2"/>
    <w:rsid w:val="00DC48C8"/>
    <w:rsid w:val="00DC5DDF"/>
    <w:rsid w:val="00DC6BC8"/>
    <w:rsid w:val="00DC7175"/>
    <w:rsid w:val="00DC7ACB"/>
    <w:rsid w:val="00DC7B09"/>
    <w:rsid w:val="00DD01BC"/>
    <w:rsid w:val="00DD07C9"/>
    <w:rsid w:val="00DD11C1"/>
    <w:rsid w:val="00DD1AA4"/>
    <w:rsid w:val="00DD1DCD"/>
    <w:rsid w:val="00DD1F09"/>
    <w:rsid w:val="00DD442C"/>
    <w:rsid w:val="00DD44EF"/>
    <w:rsid w:val="00DD4582"/>
    <w:rsid w:val="00DD5A2B"/>
    <w:rsid w:val="00DD5AA4"/>
    <w:rsid w:val="00DD5D8A"/>
    <w:rsid w:val="00DD5F8F"/>
    <w:rsid w:val="00DD6472"/>
    <w:rsid w:val="00DD6792"/>
    <w:rsid w:val="00DD6E81"/>
    <w:rsid w:val="00DD7718"/>
    <w:rsid w:val="00DD7FB0"/>
    <w:rsid w:val="00DE004C"/>
    <w:rsid w:val="00DE00BF"/>
    <w:rsid w:val="00DE0A5A"/>
    <w:rsid w:val="00DE0B31"/>
    <w:rsid w:val="00DE0B32"/>
    <w:rsid w:val="00DE3186"/>
    <w:rsid w:val="00DE5580"/>
    <w:rsid w:val="00DE5A6B"/>
    <w:rsid w:val="00DE746C"/>
    <w:rsid w:val="00DE7817"/>
    <w:rsid w:val="00DF17A0"/>
    <w:rsid w:val="00DF192C"/>
    <w:rsid w:val="00DF1BFA"/>
    <w:rsid w:val="00DF1D55"/>
    <w:rsid w:val="00DF22E6"/>
    <w:rsid w:val="00DF280C"/>
    <w:rsid w:val="00DF3012"/>
    <w:rsid w:val="00DF3723"/>
    <w:rsid w:val="00DF3C0A"/>
    <w:rsid w:val="00DF3D6E"/>
    <w:rsid w:val="00DF4667"/>
    <w:rsid w:val="00DF6330"/>
    <w:rsid w:val="00DF7020"/>
    <w:rsid w:val="00DF78A7"/>
    <w:rsid w:val="00DF79EE"/>
    <w:rsid w:val="00E0037F"/>
    <w:rsid w:val="00E010FC"/>
    <w:rsid w:val="00E01E2C"/>
    <w:rsid w:val="00E02977"/>
    <w:rsid w:val="00E02A25"/>
    <w:rsid w:val="00E0306B"/>
    <w:rsid w:val="00E039CE"/>
    <w:rsid w:val="00E03E57"/>
    <w:rsid w:val="00E0434D"/>
    <w:rsid w:val="00E04849"/>
    <w:rsid w:val="00E0492C"/>
    <w:rsid w:val="00E05448"/>
    <w:rsid w:val="00E06C10"/>
    <w:rsid w:val="00E06C70"/>
    <w:rsid w:val="00E07384"/>
    <w:rsid w:val="00E075C1"/>
    <w:rsid w:val="00E07CAE"/>
    <w:rsid w:val="00E10016"/>
    <w:rsid w:val="00E104EF"/>
    <w:rsid w:val="00E1075B"/>
    <w:rsid w:val="00E11A1F"/>
    <w:rsid w:val="00E11A54"/>
    <w:rsid w:val="00E1210B"/>
    <w:rsid w:val="00E12641"/>
    <w:rsid w:val="00E1429E"/>
    <w:rsid w:val="00E1460F"/>
    <w:rsid w:val="00E14E80"/>
    <w:rsid w:val="00E15087"/>
    <w:rsid w:val="00E15800"/>
    <w:rsid w:val="00E166C1"/>
    <w:rsid w:val="00E172A8"/>
    <w:rsid w:val="00E22138"/>
    <w:rsid w:val="00E22476"/>
    <w:rsid w:val="00E23184"/>
    <w:rsid w:val="00E248C3"/>
    <w:rsid w:val="00E248DC"/>
    <w:rsid w:val="00E249F6"/>
    <w:rsid w:val="00E24BD5"/>
    <w:rsid w:val="00E26630"/>
    <w:rsid w:val="00E2683F"/>
    <w:rsid w:val="00E26CAA"/>
    <w:rsid w:val="00E27B33"/>
    <w:rsid w:val="00E30233"/>
    <w:rsid w:val="00E30FF3"/>
    <w:rsid w:val="00E31485"/>
    <w:rsid w:val="00E31A38"/>
    <w:rsid w:val="00E31D0F"/>
    <w:rsid w:val="00E31EF6"/>
    <w:rsid w:val="00E328A4"/>
    <w:rsid w:val="00E337EC"/>
    <w:rsid w:val="00E33C98"/>
    <w:rsid w:val="00E34D9E"/>
    <w:rsid w:val="00E352A6"/>
    <w:rsid w:val="00E35BD9"/>
    <w:rsid w:val="00E363E8"/>
    <w:rsid w:val="00E36CAE"/>
    <w:rsid w:val="00E37C94"/>
    <w:rsid w:val="00E40AE4"/>
    <w:rsid w:val="00E40C2C"/>
    <w:rsid w:val="00E4200D"/>
    <w:rsid w:val="00E42596"/>
    <w:rsid w:val="00E43151"/>
    <w:rsid w:val="00E432EF"/>
    <w:rsid w:val="00E43D8C"/>
    <w:rsid w:val="00E446E1"/>
    <w:rsid w:val="00E452F0"/>
    <w:rsid w:val="00E45937"/>
    <w:rsid w:val="00E45CB8"/>
    <w:rsid w:val="00E5017C"/>
    <w:rsid w:val="00E52B07"/>
    <w:rsid w:val="00E52D23"/>
    <w:rsid w:val="00E531EE"/>
    <w:rsid w:val="00E53709"/>
    <w:rsid w:val="00E539BE"/>
    <w:rsid w:val="00E5450E"/>
    <w:rsid w:val="00E548D0"/>
    <w:rsid w:val="00E54E4C"/>
    <w:rsid w:val="00E5633A"/>
    <w:rsid w:val="00E57B1A"/>
    <w:rsid w:val="00E600A7"/>
    <w:rsid w:val="00E61132"/>
    <w:rsid w:val="00E6222E"/>
    <w:rsid w:val="00E6265F"/>
    <w:rsid w:val="00E64088"/>
    <w:rsid w:val="00E648A5"/>
    <w:rsid w:val="00E661F4"/>
    <w:rsid w:val="00E66AE9"/>
    <w:rsid w:val="00E66C7A"/>
    <w:rsid w:val="00E673FA"/>
    <w:rsid w:val="00E70282"/>
    <w:rsid w:val="00E70629"/>
    <w:rsid w:val="00E7118D"/>
    <w:rsid w:val="00E72C7F"/>
    <w:rsid w:val="00E72CFB"/>
    <w:rsid w:val="00E73095"/>
    <w:rsid w:val="00E730AA"/>
    <w:rsid w:val="00E7353B"/>
    <w:rsid w:val="00E737AF"/>
    <w:rsid w:val="00E74721"/>
    <w:rsid w:val="00E7485C"/>
    <w:rsid w:val="00E74DBA"/>
    <w:rsid w:val="00E75198"/>
    <w:rsid w:val="00E75ADB"/>
    <w:rsid w:val="00E75B91"/>
    <w:rsid w:val="00E7678B"/>
    <w:rsid w:val="00E76A07"/>
    <w:rsid w:val="00E771F9"/>
    <w:rsid w:val="00E77C52"/>
    <w:rsid w:val="00E80040"/>
    <w:rsid w:val="00E800A5"/>
    <w:rsid w:val="00E80C46"/>
    <w:rsid w:val="00E81EFE"/>
    <w:rsid w:val="00E826D8"/>
    <w:rsid w:val="00E848B7"/>
    <w:rsid w:val="00E86249"/>
    <w:rsid w:val="00E865C4"/>
    <w:rsid w:val="00E86C17"/>
    <w:rsid w:val="00E86CAD"/>
    <w:rsid w:val="00E87043"/>
    <w:rsid w:val="00E87303"/>
    <w:rsid w:val="00E873D5"/>
    <w:rsid w:val="00E90562"/>
    <w:rsid w:val="00E945D8"/>
    <w:rsid w:val="00E94900"/>
    <w:rsid w:val="00E96F04"/>
    <w:rsid w:val="00E9729D"/>
    <w:rsid w:val="00E97B8E"/>
    <w:rsid w:val="00EA0643"/>
    <w:rsid w:val="00EA0805"/>
    <w:rsid w:val="00EA0DAB"/>
    <w:rsid w:val="00EA14D3"/>
    <w:rsid w:val="00EA1742"/>
    <w:rsid w:val="00EA1E3B"/>
    <w:rsid w:val="00EA26F4"/>
    <w:rsid w:val="00EA3495"/>
    <w:rsid w:val="00EA37B9"/>
    <w:rsid w:val="00EA4232"/>
    <w:rsid w:val="00EA467E"/>
    <w:rsid w:val="00EA4DF2"/>
    <w:rsid w:val="00EA5816"/>
    <w:rsid w:val="00EA6E18"/>
    <w:rsid w:val="00EA783B"/>
    <w:rsid w:val="00EA7BBA"/>
    <w:rsid w:val="00EA7FB0"/>
    <w:rsid w:val="00EB063E"/>
    <w:rsid w:val="00EB09FB"/>
    <w:rsid w:val="00EB0CC2"/>
    <w:rsid w:val="00EB1176"/>
    <w:rsid w:val="00EB11B2"/>
    <w:rsid w:val="00EB16AE"/>
    <w:rsid w:val="00EB1737"/>
    <w:rsid w:val="00EB27AC"/>
    <w:rsid w:val="00EB3367"/>
    <w:rsid w:val="00EB33C5"/>
    <w:rsid w:val="00EB45A6"/>
    <w:rsid w:val="00EB5059"/>
    <w:rsid w:val="00EB5115"/>
    <w:rsid w:val="00EB517D"/>
    <w:rsid w:val="00EB6BC3"/>
    <w:rsid w:val="00EB76B2"/>
    <w:rsid w:val="00EB7D4D"/>
    <w:rsid w:val="00EC02BC"/>
    <w:rsid w:val="00EC0F22"/>
    <w:rsid w:val="00EC1229"/>
    <w:rsid w:val="00EC1F21"/>
    <w:rsid w:val="00EC272B"/>
    <w:rsid w:val="00EC2C21"/>
    <w:rsid w:val="00EC3755"/>
    <w:rsid w:val="00EC3C2B"/>
    <w:rsid w:val="00EC4662"/>
    <w:rsid w:val="00EC4D0D"/>
    <w:rsid w:val="00EC505F"/>
    <w:rsid w:val="00EC584F"/>
    <w:rsid w:val="00EC6864"/>
    <w:rsid w:val="00EC737F"/>
    <w:rsid w:val="00EC756F"/>
    <w:rsid w:val="00ED074C"/>
    <w:rsid w:val="00ED1205"/>
    <w:rsid w:val="00ED150B"/>
    <w:rsid w:val="00ED1BC3"/>
    <w:rsid w:val="00ED277F"/>
    <w:rsid w:val="00ED395D"/>
    <w:rsid w:val="00ED3B4D"/>
    <w:rsid w:val="00ED4C0D"/>
    <w:rsid w:val="00ED6D23"/>
    <w:rsid w:val="00ED79D0"/>
    <w:rsid w:val="00ED7CE5"/>
    <w:rsid w:val="00EE094F"/>
    <w:rsid w:val="00EE1889"/>
    <w:rsid w:val="00EE19DC"/>
    <w:rsid w:val="00EE1B2E"/>
    <w:rsid w:val="00EE2B1D"/>
    <w:rsid w:val="00EE2B5C"/>
    <w:rsid w:val="00EE32FE"/>
    <w:rsid w:val="00EE342E"/>
    <w:rsid w:val="00EE3CCA"/>
    <w:rsid w:val="00EE4D77"/>
    <w:rsid w:val="00EE5463"/>
    <w:rsid w:val="00EE54FD"/>
    <w:rsid w:val="00EE6952"/>
    <w:rsid w:val="00EE6BFE"/>
    <w:rsid w:val="00EF0E0F"/>
    <w:rsid w:val="00EF1299"/>
    <w:rsid w:val="00EF12FE"/>
    <w:rsid w:val="00EF1921"/>
    <w:rsid w:val="00EF24DC"/>
    <w:rsid w:val="00EF2F44"/>
    <w:rsid w:val="00EF3A30"/>
    <w:rsid w:val="00EF3BFE"/>
    <w:rsid w:val="00EF49A3"/>
    <w:rsid w:val="00EF4B25"/>
    <w:rsid w:val="00EF510B"/>
    <w:rsid w:val="00EF5417"/>
    <w:rsid w:val="00EF5AAB"/>
    <w:rsid w:val="00EF63BA"/>
    <w:rsid w:val="00F01365"/>
    <w:rsid w:val="00F01810"/>
    <w:rsid w:val="00F02446"/>
    <w:rsid w:val="00F03AA7"/>
    <w:rsid w:val="00F04486"/>
    <w:rsid w:val="00F0477E"/>
    <w:rsid w:val="00F0495F"/>
    <w:rsid w:val="00F04CF2"/>
    <w:rsid w:val="00F051CE"/>
    <w:rsid w:val="00F056F0"/>
    <w:rsid w:val="00F05EA6"/>
    <w:rsid w:val="00F1012A"/>
    <w:rsid w:val="00F1060B"/>
    <w:rsid w:val="00F10A80"/>
    <w:rsid w:val="00F10C19"/>
    <w:rsid w:val="00F119EF"/>
    <w:rsid w:val="00F137DB"/>
    <w:rsid w:val="00F138DA"/>
    <w:rsid w:val="00F14A97"/>
    <w:rsid w:val="00F1570A"/>
    <w:rsid w:val="00F158B8"/>
    <w:rsid w:val="00F165C9"/>
    <w:rsid w:val="00F1702C"/>
    <w:rsid w:val="00F171A6"/>
    <w:rsid w:val="00F176D6"/>
    <w:rsid w:val="00F178EC"/>
    <w:rsid w:val="00F179D4"/>
    <w:rsid w:val="00F20A28"/>
    <w:rsid w:val="00F21503"/>
    <w:rsid w:val="00F22203"/>
    <w:rsid w:val="00F238AB"/>
    <w:rsid w:val="00F23A06"/>
    <w:rsid w:val="00F23A2C"/>
    <w:rsid w:val="00F24940"/>
    <w:rsid w:val="00F251B5"/>
    <w:rsid w:val="00F264EF"/>
    <w:rsid w:val="00F26C4D"/>
    <w:rsid w:val="00F27123"/>
    <w:rsid w:val="00F278E8"/>
    <w:rsid w:val="00F27EBD"/>
    <w:rsid w:val="00F327DC"/>
    <w:rsid w:val="00F328DA"/>
    <w:rsid w:val="00F32D49"/>
    <w:rsid w:val="00F32D8B"/>
    <w:rsid w:val="00F32D92"/>
    <w:rsid w:val="00F33A4D"/>
    <w:rsid w:val="00F33B0C"/>
    <w:rsid w:val="00F33FD6"/>
    <w:rsid w:val="00F3437F"/>
    <w:rsid w:val="00F348C3"/>
    <w:rsid w:val="00F367EF"/>
    <w:rsid w:val="00F3681E"/>
    <w:rsid w:val="00F400C0"/>
    <w:rsid w:val="00F41196"/>
    <w:rsid w:val="00F411E9"/>
    <w:rsid w:val="00F42439"/>
    <w:rsid w:val="00F43358"/>
    <w:rsid w:val="00F43EC9"/>
    <w:rsid w:val="00F44044"/>
    <w:rsid w:val="00F45A8B"/>
    <w:rsid w:val="00F466DE"/>
    <w:rsid w:val="00F5014D"/>
    <w:rsid w:val="00F5195D"/>
    <w:rsid w:val="00F52FA3"/>
    <w:rsid w:val="00F53EE9"/>
    <w:rsid w:val="00F54117"/>
    <w:rsid w:val="00F54F79"/>
    <w:rsid w:val="00F553FD"/>
    <w:rsid w:val="00F55AF3"/>
    <w:rsid w:val="00F55BB1"/>
    <w:rsid w:val="00F56714"/>
    <w:rsid w:val="00F57CF3"/>
    <w:rsid w:val="00F57DD4"/>
    <w:rsid w:val="00F60337"/>
    <w:rsid w:val="00F60C25"/>
    <w:rsid w:val="00F6114A"/>
    <w:rsid w:val="00F6156D"/>
    <w:rsid w:val="00F62CAC"/>
    <w:rsid w:val="00F63247"/>
    <w:rsid w:val="00F632C1"/>
    <w:rsid w:val="00F63549"/>
    <w:rsid w:val="00F6376E"/>
    <w:rsid w:val="00F64447"/>
    <w:rsid w:val="00F64FC0"/>
    <w:rsid w:val="00F65AF3"/>
    <w:rsid w:val="00F65FE7"/>
    <w:rsid w:val="00F66248"/>
    <w:rsid w:val="00F66704"/>
    <w:rsid w:val="00F7097B"/>
    <w:rsid w:val="00F71200"/>
    <w:rsid w:val="00F7145E"/>
    <w:rsid w:val="00F7177E"/>
    <w:rsid w:val="00F71D2E"/>
    <w:rsid w:val="00F71FF3"/>
    <w:rsid w:val="00F7234B"/>
    <w:rsid w:val="00F725BF"/>
    <w:rsid w:val="00F734ED"/>
    <w:rsid w:val="00F73E36"/>
    <w:rsid w:val="00F74B43"/>
    <w:rsid w:val="00F75A7D"/>
    <w:rsid w:val="00F778C2"/>
    <w:rsid w:val="00F77F05"/>
    <w:rsid w:val="00F8026A"/>
    <w:rsid w:val="00F81F18"/>
    <w:rsid w:val="00F834A2"/>
    <w:rsid w:val="00F835F5"/>
    <w:rsid w:val="00F842E3"/>
    <w:rsid w:val="00F848AC"/>
    <w:rsid w:val="00F84AA5"/>
    <w:rsid w:val="00F85B1D"/>
    <w:rsid w:val="00F86502"/>
    <w:rsid w:val="00F86F2E"/>
    <w:rsid w:val="00F877A5"/>
    <w:rsid w:val="00F90DB5"/>
    <w:rsid w:val="00F91197"/>
    <w:rsid w:val="00F91920"/>
    <w:rsid w:val="00F92292"/>
    <w:rsid w:val="00F932B9"/>
    <w:rsid w:val="00F94671"/>
    <w:rsid w:val="00F946DC"/>
    <w:rsid w:val="00F95E33"/>
    <w:rsid w:val="00F97116"/>
    <w:rsid w:val="00F97A87"/>
    <w:rsid w:val="00FA12E1"/>
    <w:rsid w:val="00FA3A5D"/>
    <w:rsid w:val="00FA4633"/>
    <w:rsid w:val="00FA5276"/>
    <w:rsid w:val="00FA62AE"/>
    <w:rsid w:val="00FA6341"/>
    <w:rsid w:val="00FA65B4"/>
    <w:rsid w:val="00FA756F"/>
    <w:rsid w:val="00FB12A6"/>
    <w:rsid w:val="00FB1DCF"/>
    <w:rsid w:val="00FB218B"/>
    <w:rsid w:val="00FB27D8"/>
    <w:rsid w:val="00FB286F"/>
    <w:rsid w:val="00FB35CB"/>
    <w:rsid w:val="00FB4397"/>
    <w:rsid w:val="00FB4FCF"/>
    <w:rsid w:val="00FB50A8"/>
    <w:rsid w:val="00FB579D"/>
    <w:rsid w:val="00FB5C66"/>
    <w:rsid w:val="00FB710E"/>
    <w:rsid w:val="00FB7E0C"/>
    <w:rsid w:val="00FB7E46"/>
    <w:rsid w:val="00FC0C69"/>
    <w:rsid w:val="00FC1236"/>
    <w:rsid w:val="00FC183C"/>
    <w:rsid w:val="00FC1F4D"/>
    <w:rsid w:val="00FC2A25"/>
    <w:rsid w:val="00FC3C16"/>
    <w:rsid w:val="00FC3FFF"/>
    <w:rsid w:val="00FC4C7C"/>
    <w:rsid w:val="00FC6C20"/>
    <w:rsid w:val="00FC6C44"/>
    <w:rsid w:val="00FC78D1"/>
    <w:rsid w:val="00FD0293"/>
    <w:rsid w:val="00FD10FF"/>
    <w:rsid w:val="00FD1F5D"/>
    <w:rsid w:val="00FD2231"/>
    <w:rsid w:val="00FD26CE"/>
    <w:rsid w:val="00FD2B40"/>
    <w:rsid w:val="00FD2E76"/>
    <w:rsid w:val="00FD3358"/>
    <w:rsid w:val="00FD3479"/>
    <w:rsid w:val="00FD5875"/>
    <w:rsid w:val="00FD6378"/>
    <w:rsid w:val="00FD6FC3"/>
    <w:rsid w:val="00FE2750"/>
    <w:rsid w:val="00FE309B"/>
    <w:rsid w:val="00FE35A0"/>
    <w:rsid w:val="00FE47EF"/>
    <w:rsid w:val="00FE7559"/>
    <w:rsid w:val="00FE7922"/>
    <w:rsid w:val="00FF139C"/>
    <w:rsid w:val="00FF1448"/>
    <w:rsid w:val="00FF2250"/>
    <w:rsid w:val="00FF262A"/>
    <w:rsid w:val="00FF2C7D"/>
    <w:rsid w:val="00FF2CDE"/>
    <w:rsid w:val="00FF34A7"/>
    <w:rsid w:val="00FF3640"/>
    <w:rsid w:val="00FF3B2D"/>
    <w:rsid w:val="00FF3E13"/>
    <w:rsid w:val="00FF4863"/>
    <w:rsid w:val="00FF5A2C"/>
    <w:rsid w:val="00FF65B8"/>
    <w:rsid w:val="00FF6F1E"/>
    <w:rsid w:val="00FF7341"/>
    <w:rsid w:val="00FF7C4B"/>
    <w:rsid w:val="0100DCCE"/>
    <w:rsid w:val="011EDD8D"/>
    <w:rsid w:val="01240174"/>
    <w:rsid w:val="01489EE8"/>
    <w:rsid w:val="016EFD2F"/>
    <w:rsid w:val="017215FD"/>
    <w:rsid w:val="01AF711F"/>
    <w:rsid w:val="01B3CC80"/>
    <w:rsid w:val="01E0D814"/>
    <w:rsid w:val="0287B2BF"/>
    <w:rsid w:val="0288B927"/>
    <w:rsid w:val="02BFD1D5"/>
    <w:rsid w:val="02CF1BC0"/>
    <w:rsid w:val="02EE205A"/>
    <w:rsid w:val="033C7E3D"/>
    <w:rsid w:val="036D68DA"/>
    <w:rsid w:val="0394907A"/>
    <w:rsid w:val="03BF481F"/>
    <w:rsid w:val="03CB9278"/>
    <w:rsid w:val="0443C277"/>
    <w:rsid w:val="04636089"/>
    <w:rsid w:val="047F60AE"/>
    <w:rsid w:val="048DECDB"/>
    <w:rsid w:val="0542C58D"/>
    <w:rsid w:val="05476D47"/>
    <w:rsid w:val="05B62548"/>
    <w:rsid w:val="05D1D7B9"/>
    <w:rsid w:val="0635B316"/>
    <w:rsid w:val="0651280F"/>
    <w:rsid w:val="06549C69"/>
    <w:rsid w:val="06A22A5E"/>
    <w:rsid w:val="071674EA"/>
    <w:rsid w:val="074523AE"/>
    <w:rsid w:val="076E5229"/>
    <w:rsid w:val="076F3136"/>
    <w:rsid w:val="07948070"/>
    <w:rsid w:val="07C35341"/>
    <w:rsid w:val="07D43267"/>
    <w:rsid w:val="0869CC86"/>
    <w:rsid w:val="08894DEC"/>
    <w:rsid w:val="08C25422"/>
    <w:rsid w:val="08C79C24"/>
    <w:rsid w:val="09A7991F"/>
    <w:rsid w:val="09E95B59"/>
    <w:rsid w:val="0A186DEF"/>
    <w:rsid w:val="0A450060"/>
    <w:rsid w:val="0A49CB47"/>
    <w:rsid w:val="0A919862"/>
    <w:rsid w:val="0AAB5BDF"/>
    <w:rsid w:val="0ACAE3BA"/>
    <w:rsid w:val="0B0CD196"/>
    <w:rsid w:val="0B2A9DB6"/>
    <w:rsid w:val="0BC24E53"/>
    <w:rsid w:val="0BC66C18"/>
    <w:rsid w:val="0BD1D77A"/>
    <w:rsid w:val="0BE59BA8"/>
    <w:rsid w:val="0C608DAD"/>
    <w:rsid w:val="0C66B41B"/>
    <w:rsid w:val="0C6EA1A1"/>
    <w:rsid w:val="0C710127"/>
    <w:rsid w:val="0C7584DB"/>
    <w:rsid w:val="0C7E6A20"/>
    <w:rsid w:val="0C8083CB"/>
    <w:rsid w:val="0C92AC74"/>
    <w:rsid w:val="0D327D03"/>
    <w:rsid w:val="0D426DF5"/>
    <w:rsid w:val="0DF5FE43"/>
    <w:rsid w:val="0E02847C"/>
    <w:rsid w:val="0E89946B"/>
    <w:rsid w:val="0EAFF91A"/>
    <w:rsid w:val="0F9E54DD"/>
    <w:rsid w:val="0FD0533C"/>
    <w:rsid w:val="100BDCFD"/>
    <w:rsid w:val="1097D2AF"/>
    <w:rsid w:val="10F0ADC1"/>
    <w:rsid w:val="1121DF86"/>
    <w:rsid w:val="116E7EED"/>
    <w:rsid w:val="11FF9114"/>
    <w:rsid w:val="120B8CE1"/>
    <w:rsid w:val="1231C772"/>
    <w:rsid w:val="1253D94A"/>
    <w:rsid w:val="125665A2"/>
    <w:rsid w:val="1280B318"/>
    <w:rsid w:val="129BAEA2"/>
    <w:rsid w:val="12AC16A1"/>
    <w:rsid w:val="12B63147"/>
    <w:rsid w:val="12D755EE"/>
    <w:rsid w:val="130D5720"/>
    <w:rsid w:val="13621D9C"/>
    <w:rsid w:val="137B8668"/>
    <w:rsid w:val="13805004"/>
    <w:rsid w:val="138614E6"/>
    <w:rsid w:val="13F9C8DB"/>
    <w:rsid w:val="146A0535"/>
    <w:rsid w:val="146C0AD4"/>
    <w:rsid w:val="14803277"/>
    <w:rsid w:val="14898556"/>
    <w:rsid w:val="14B0454D"/>
    <w:rsid w:val="14F4F1F1"/>
    <w:rsid w:val="15227879"/>
    <w:rsid w:val="15535D29"/>
    <w:rsid w:val="155BC440"/>
    <w:rsid w:val="157F15CA"/>
    <w:rsid w:val="1594B184"/>
    <w:rsid w:val="15B853DA"/>
    <w:rsid w:val="15C2B2C5"/>
    <w:rsid w:val="15F6734C"/>
    <w:rsid w:val="15FDE68B"/>
    <w:rsid w:val="165809D0"/>
    <w:rsid w:val="16A4DF33"/>
    <w:rsid w:val="16ED4BE8"/>
    <w:rsid w:val="16FCBC11"/>
    <w:rsid w:val="1700CFF2"/>
    <w:rsid w:val="174E92AA"/>
    <w:rsid w:val="174FB35F"/>
    <w:rsid w:val="17964684"/>
    <w:rsid w:val="1797EC3A"/>
    <w:rsid w:val="17A4A29F"/>
    <w:rsid w:val="17A4EB73"/>
    <w:rsid w:val="17B291C0"/>
    <w:rsid w:val="17EF94C7"/>
    <w:rsid w:val="1807533D"/>
    <w:rsid w:val="1823B7E9"/>
    <w:rsid w:val="182BA56D"/>
    <w:rsid w:val="18CBB2F3"/>
    <w:rsid w:val="18D804A0"/>
    <w:rsid w:val="18E394B1"/>
    <w:rsid w:val="1900DFEC"/>
    <w:rsid w:val="19150593"/>
    <w:rsid w:val="193216E5"/>
    <w:rsid w:val="194E6221"/>
    <w:rsid w:val="198A8337"/>
    <w:rsid w:val="19E3B78F"/>
    <w:rsid w:val="1A2B5682"/>
    <w:rsid w:val="1A32E23B"/>
    <w:rsid w:val="1A4121F4"/>
    <w:rsid w:val="1A8410B6"/>
    <w:rsid w:val="1A928BF9"/>
    <w:rsid w:val="1AB84228"/>
    <w:rsid w:val="1AEEADF0"/>
    <w:rsid w:val="1AF9F6C5"/>
    <w:rsid w:val="1B00EDAD"/>
    <w:rsid w:val="1B7A3359"/>
    <w:rsid w:val="1BB71589"/>
    <w:rsid w:val="1BCEB29C"/>
    <w:rsid w:val="1BED62C1"/>
    <w:rsid w:val="1BEE129D"/>
    <w:rsid w:val="1C1B3573"/>
    <w:rsid w:val="1C4BDC5D"/>
    <w:rsid w:val="1C8365C5"/>
    <w:rsid w:val="1C8F1277"/>
    <w:rsid w:val="1CC305EA"/>
    <w:rsid w:val="1CCA9EFC"/>
    <w:rsid w:val="1CCFB02A"/>
    <w:rsid w:val="1CDD6537"/>
    <w:rsid w:val="1CE488DD"/>
    <w:rsid w:val="1D2955A6"/>
    <w:rsid w:val="1D2A41FD"/>
    <w:rsid w:val="1D30E365"/>
    <w:rsid w:val="1D36D5C2"/>
    <w:rsid w:val="1D65B65E"/>
    <w:rsid w:val="1D78DF2A"/>
    <w:rsid w:val="1D87997C"/>
    <w:rsid w:val="1DAB272C"/>
    <w:rsid w:val="1DC136F6"/>
    <w:rsid w:val="1DCD114E"/>
    <w:rsid w:val="1DD650EB"/>
    <w:rsid w:val="1E2B24CB"/>
    <w:rsid w:val="1E722A69"/>
    <w:rsid w:val="1E995EF1"/>
    <w:rsid w:val="1EB14E74"/>
    <w:rsid w:val="1F289FDB"/>
    <w:rsid w:val="1F677650"/>
    <w:rsid w:val="1FA482B6"/>
    <w:rsid w:val="2014AB8E"/>
    <w:rsid w:val="20279C08"/>
    <w:rsid w:val="20AE9707"/>
    <w:rsid w:val="20EA1621"/>
    <w:rsid w:val="20F9D037"/>
    <w:rsid w:val="21215A1F"/>
    <w:rsid w:val="212FF08E"/>
    <w:rsid w:val="2165183D"/>
    <w:rsid w:val="2170F3E7"/>
    <w:rsid w:val="2196770D"/>
    <w:rsid w:val="21BE0606"/>
    <w:rsid w:val="21C116AF"/>
    <w:rsid w:val="21EEC974"/>
    <w:rsid w:val="2216791C"/>
    <w:rsid w:val="226D85CE"/>
    <w:rsid w:val="229EEEE8"/>
    <w:rsid w:val="22C5DB63"/>
    <w:rsid w:val="22EC3CB3"/>
    <w:rsid w:val="23063FE7"/>
    <w:rsid w:val="230EB83D"/>
    <w:rsid w:val="2351E3E4"/>
    <w:rsid w:val="2355C2C7"/>
    <w:rsid w:val="23B4EA5F"/>
    <w:rsid w:val="23D2ADA4"/>
    <w:rsid w:val="23E110BB"/>
    <w:rsid w:val="24076E68"/>
    <w:rsid w:val="241B29F1"/>
    <w:rsid w:val="2456706A"/>
    <w:rsid w:val="248CE59F"/>
    <w:rsid w:val="249F1843"/>
    <w:rsid w:val="2501D321"/>
    <w:rsid w:val="2510EDF0"/>
    <w:rsid w:val="251244C0"/>
    <w:rsid w:val="251F9BAE"/>
    <w:rsid w:val="252F68BE"/>
    <w:rsid w:val="25506233"/>
    <w:rsid w:val="2550BAC0"/>
    <w:rsid w:val="259A70D6"/>
    <w:rsid w:val="25C927A1"/>
    <w:rsid w:val="2622F498"/>
    <w:rsid w:val="262A22A2"/>
    <w:rsid w:val="2660EFE5"/>
    <w:rsid w:val="267D3C4E"/>
    <w:rsid w:val="26AEA6C9"/>
    <w:rsid w:val="26E12470"/>
    <w:rsid w:val="2707796A"/>
    <w:rsid w:val="2726AF60"/>
    <w:rsid w:val="27424BB0"/>
    <w:rsid w:val="2775C0FD"/>
    <w:rsid w:val="2825648D"/>
    <w:rsid w:val="287DDBE2"/>
    <w:rsid w:val="28BA8C0F"/>
    <w:rsid w:val="29886095"/>
    <w:rsid w:val="29AF8B56"/>
    <w:rsid w:val="29C134EE"/>
    <w:rsid w:val="29EEE3A7"/>
    <w:rsid w:val="2A0A0226"/>
    <w:rsid w:val="2A51E1E3"/>
    <w:rsid w:val="2A65FBDB"/>
    <w:rsid w:val="2A73A5A7"/>
    <w:rsid w:val="2AA0E608"/>
    <w:rsid w:val="2ABC14C9"/>
    <w:rsid w:val="2AEE34C9"/>
    <w:rsid w:val="2B2430F6"/>
    <w:rsid w:val="2B3F25C9"/>
    <w:rsid w:val="2B54027F"/>
    <w:rsid w:val="2B943B04"/>
    <w:rsid w:val="2BC897E4"/>
    <w:rsid w:val="2C27780B"/>
    <w:rsid w:val="2C391898"/>
    <w:rsid w:val="2C3A26B1"/>
    <w:rsid w:val="2CB8C8AE"/>
    <w:rsid w:val="2CCE0B59"/>
    <w:rsid w:val="2CE0B830"/>
    <w:rsid w:val="2CFCBF32"/>
    <w:rsid w:val="2D212334"/>
    <w:rsid w:val="2D75A64F"/>
    <w:rsid w:val="2D809B43"/>
    <w:rsid w:val="2D84AF27"/>
    <w:rsid w:val="2D975ACA"/>
    <w:rsid w:val="2DBF624F"/>
    <w:rsid w:val="2E200BE9"/>
    <w:rsid w:val="2E25D58B"/>
    <w:rsid w:val="2E5BD1B8"/>
    <w:rsid w:val="2E6946BE"/>
    <w:rsid w:val="2E82D5D6"/>
    <w:rsid w:val="2EB286C5"/>
    <w:rsid w:val="2EBE6E8A"/>
    <w:rsid w:val="2ECDEC8A"/>
    <w:rsid w:val="2F1EBD85"/>
    <w:rsid w:val="2F8F9E04"/>
    <w:rsid w:val="2FD917D7"/>
    <w:rsid w:val="302C522A"/>
    <w:rsid w:val="302D39E2"/>
    <w:rsid w:val="306C3946"/>
    <w:rsid w:val="31134EDF"/>
    <w:rsid w:val="313B4D88"/>
    <w:rsid w:val="3160C530"/>
    <w:rsid w:val="31FF9B81"/>
    <w:rsid w:val="32427F05"/>
    <w:rsid w:val="32DCC54D"/>
    <w:rsid w:val="3384E355"/>
    <w:rsid w:val="34210A96"/>
    <w:rsid w:val="3433A1C9"/>
    <w:rsid w:val="346EAAAA"/>
    <w:rsid w:val="347CB1FC"/>
    <w:rsid w:val="3495170F"/>
    <w:rsid w:val="34B0A38D"/>
    <w:rsid w:val="3501939F"/>
    <w:rsid w:val="3521E17C"/>
    <w:rsid w:val="3547CD03"/>
    <w:rsid w:val="35B58749"/>
    <w:rsid w:val="36074A69"/>
    <w:rsid w:val="360819C7"/>
    <w:rsid w:val="36B27B9A"/>
    <w:rsid w:val="3727C458"/>
    <w:rsid w:val="37365A5D"/>
    <w:rsid w:val="373C28BB"/>
    <w:rsid w:val="37494EF9"/>
    <w:rsid w:val="375590CE"/>
    <w:rsid w:val="37B03670"/>
    <w:rsid w:val="382A7EE4"/>
    <w:rsid w:val="385215FF"/>
    <w:rsid w:val="3918C69D"/>
    <w:rsid w:val="3920EEB6"/>
    <w:rsid w:val="39646263"/>
    <w:rsid w:val="39688832"/>
    <w:rsid w:val="396DEA4C"/>
    <w:rsid w:val="398E19F3"/>
    <w:rsid w:val="3A1FD0B2"/>
    <w:rsid w:val="3A4E44D5"/>
    <w:rsid w:val="3ABCCEBA"/>
    <w:rsid w:val="3AE5941B"/>
    <w:rsid w:val="3B41109F"/>
    <w:rsid w:val="3B44DD1D"/>
    <w:rsid w:val="3B4F1396"/>
    <w:rsid w:val="3B58B114"/>
    <w:rsid w:val="3BD977C7"/>
    <w:rsid w:val="3BDE0D94"/>
    <w:rsid w:val="3C9050AA"/>
    <w:rsid w:val="3C927794"/>
    <w:rsid w:val="3CC7B7F2"/>
    <w:rsid w:val="3CF99CB8"/>
    <w:rsid w:val="3D339634"/>
    <w:rsid w:val="3D7CCC44"/>
    <w:rsid w:val="3D821323"/>
    <w:rsid w:val="3DFF4CAC"/>
    <w:rsid w:val="3E135C89"/>
    <w:rsid w:val="3E421DEE"/>
    <w:rsid w:val="3E6DEF9D"/>
    <w:rsid w:val="3E7557B2"/>
    <w:rsid w:val="3EAB856E"/>
    <w:rsid w:val="3EC54E04"/>
    <w:rsid w:val="3EC738E8"/>
    <w:rsid w:val="3F189CA5"/>
    <w:rsid w:val="3F5CDB23"/>
    <w:rsid w:val="3F5E77C6"/>
    <w:rsid w:val="3FA4E27F"/>
    <w:rsid w:val="3FB4FC53"/>
    <w:rsid w:val="3FD4C342"/>
    <w:rsid w:val="3FF4013C"/>
    <w:rsid w:val="4052101D"/>
    <w:rsid w:val="40C1C348"/>
    <w:rsid w:val="40EF1DF2"/>
    <w:rsid w:val="413282F0"/>
    <w:rsid w:val="414D7B52"/>
    <w:rsid w:val="4159DB3D"/>
    <w:rsid w:val="4181FFEA"/>
    <w:rsid w:val="41BE5C13"/>
    <w:rsid w:val="41F820A2"/>
    <w:rsid w:val="4204A30C"/>
    <w:rsid w:val="4284B23D"/>
    <w:rsid w:val="42AC0074"/>
    <w:rsid w:val="42B0AD55"/>
    <w:rsid w:val="42B3C068"/>
    <w:rsid w:val="43B63052"/>
    <w:rsid w:val="43C663B3"/>
    <w:rsid w:val="43E1B0EE"/>
    <w:rsid w:val="43F60E6E"/>
    <w:rsid w:val="4445BB46"/>
    <w:rsid w:val="44656FD4"/>
    <w:rsid w:val="4498E401"/>
    <w:rsid w:val="44CB4715"/>
    <w:rsid w:val="44D35398"/>
    <w:rsid w:val="4526AF70"/>
    <w:rsid w:val="45351708"/>
    <w:rsid w:val="454176F3"/>
    <w:rsid w:val="45BE7B57"/>
    <w:rsid w:val="45DA8179"/>
    <w:rsid w:val="45DF66CC"/>
    <w:rsid w:val="464571AE"/>
    <w:rsid w:val="4658AA7B"/>
    <w:rsid w:val="46A9DAAD"/>
    <w:rsid w:val="47991401"/>
    <w:rsid w:val="47DECD54"/>
    <w:rsid w:val="47EAC921"/>
    <w:rsid w:val="47EF911B"/>
    <w:rsid w:val="48065CEE"/>
    <w:rsid w:val="4874F729"/>
    <w:rsid w:val="48F2E203"/>
    <w:rsid w:val="4970C4A7"/>
    <w:rsid w:val="49B9104D"/>
    <w:rsid w:val="49BC95AF"/>
    <w:rsid w:val="4A21D0D5"/>
    <w:rsid w:val="4A45D895"/>
    <w:rsid w:val="4A4A94DA"/>
    <w:rsid w:val="4A844406"/>
    <w:rsid w:val="4AC4A688"/>
    <w:rsid w:val="4ADE19ED"/>
    <w:rsid w:val="4AE79526"/>
    <w:rsid w:val="4B064A1B"/>
    <w:rsid w:val="4B4B4511"/>
    <w:rsid w:val="4BA4588C"/>
    <w:rsid w:val="4BA5C0C5"/>
    <w:rsid w:val="4BC5D4A1"/>
    <w:rsid w:val="4BEDBC41"/>
    <w:rsid w:val="4BEE5F8F"/>
    <w:rsid w:val="4BFD4909"/>
    <w:rsid w:val="4C79EA4E"/>
    <w:rsid w:val="4CB23E77"/>
    <w:rsid w:val="4CE1D30C"/>
    <w:rsid w:val="4CF43671"/>
    <w:rsid w:val="4DCF4808"/>
    <w:rsid w:val="4DD2E314"/>
    <w:rsid w:val="4E48DEC9"/>
    <w:rsid w:val="4E60DFB7"/>
    <w:rsid w:val="4E64B7D8"/>
    <w:rsid w:val="4E7A98CC"/>
    <w:rsid w:val="4E965A41"/>
    <w:rsid w:val="4F6AA168"/>
    <w:rsid w:val="4F6CCE8B"/>
    <w:rsid w:val="4F9114A8"/>
    <w:rsid w:val="4FA95F89"/>
    <w:rsid w:val="4FD8977C"/>
    <w:rsid w:val="500918B3"/>
    <w:rsid w:val="502023DC"/>
    <w:rsid w:val="508389AF"/>
    <w:rsid w:val="50E5323E"/>
    <w:rsid w:val="51041766"/>
    <w:rsid w:val="512328EF"/>
    <w:rsid w:val="515EC430"/>
    <w:rsid w:val="516170D6"/>
    <w:rsid w:val="517C92FF"/>
    <w:rsid w:val="519F9C35"/>
    <w:rsid w:val="51BBF43D"/>
    <w:rsid w:val="51E41700"/>
    <w:rsid w:val="51E9C0E3"/>
    <w:rsid w:val="5287333F"/>
    <w:rsid w:val="536A33D4"/>
    <w:rsid w:val="5382A65F"/>
    <w:rsid w:val="53D22C42"/>
    <w:rsid w:val="53F0B469"/>
    <w:rsid w:val="53FB8E26"/>
    <w:rsid w:val="543270BC"/>
    <w:rsid w:val="54362505"/>
    <w:rsid w:val="54436E0B"/>
    <w:rsid w:val="54D587CE"/>
    <w:rsid w:val="54F394FF"/>
    <w:rsid w:val="551A2B2E"/>
    <w:rsid w:val="555702D0"/>
    <w:rsid w:val="55B42BC2"/>
    <w:rsid w:val="55BB0099"/>
    <w:rsid w:val="55CF6E56"/>
    <w:rsid w:val="55E975F9"/>
    <w:rsid w:val="560200E3"/>
    <w:rsid w:val="5608297E"/>
    <w:rsid w:val="5619F2E3"/>
    <w:rsid w:val="562F72CC"/>
    <w:rsid w:val="5646CBB4"/>
    <w:rsid w:val="566A7139"/>
    <w:rsid w:val="56815FFF"/>
    <w:rsid w:val="568F6560"/>
    <w:rsid w:val="5699C8A3"/>
    <w:rsid w:val="56EAC673"/>
    <w:rsid w:val="5707AA2F"/>
    <w:rsid w:val="5738B046"/>
    <w:rsid w:val="5741BFDA"/>
    <w:rsid w:val="576DC5C7"/>
    <w:rsid w:val="57D8501F"/>
    <w:rsid w:val="57FE831B"/>
    <w:rsid w:val="580FD999"/>
    <w:rsid w:val="58778062"/>
    <w:rsid w:val="587EDAC3"/>
    <w:rsid w:val="58926DE7"/>
    <w:rsid w:val="589AF1D5"/>
    <w:rsid w:val="58DAE882"/>
    <w:rsid w:val="58FD78D8"/>
    <w:rsid w:val="59099628"/>
    <w:rsid w:val="590FD28F"/>
    <w:rsid w:val="591AFE72"/>
    <w:rsid w:val="5924D7CC"/>
    <w:rsid w:val="5928A98D"/>
    <w:rsid w:val="59742080"/>
    <w:rsid w:val="599000B3"/>
    <w:rsid w:val="5A43B471"/>
    <w:rsid w:val="5A5BFABA"/>
    <w:rsid w:val="5A6993E7"/>
    <w:rsid w:val="5AA56689"/>
    <w:rsid w:val="5AAA046F"/>
    <w:rsid w:val="5AF9468B"/>
    <w:rsid w:val="5B4C146E"/>
    <w:rsid w:val="5BC2217C"/>
    <w:rsid w:val="5BDAB687"/>
    <w:rsid w:val="5C7619CC"/>
    <w:rsid w:val="5CB6C7A5"/>
    <w:rsid w:val="5D03B61A"/>
    <w:rsid w:val="5D10E140"/>
    <w:rsid w:val="5D3BB000"/>
    <w:rsid w:val="5DC119C9"/>
    <w:rsid w:val="5DE4F4D1"/>
    <w:rsid w:val="5DECE4DA"/>
    <w:rsid w:val="5E05C27E"/>
    <w:rsid w:val="5E11EA2D"/>
    <w:rsid w:val="5E17D5E4"/>
    <w:rsid w:val="5E18AFC8"/>
    <w:rsid w:val="5E29B36A"/>
    <w:rsid w:val="5E4967E7"/>
    <w:rsid w:val="5EA971AB"/>
    <w:rsid w:val="5EB83091"/>
    <w:rsid w:val="5EE385F7"/>
    <w:rsid w:val="5EFBF2D2"/>
    <w:rsid w:val="5F02CD40"/>
    <w:rsid w:val="5F206AB5"/>
    <w:rsid w:val="5F28CB87"/>
    <w:rsid w:val="5F4353BC"/>
    <w:rsid w:val="5F4AC905"/>
    <w:rsid w:val="5F883F30"/>
    <w:rsid w:val="5FAE869A"/>
    <w:rsid w:val="5FCA39A7"/>
    <w:rsid w:val="5FD4DF16"/>
    <w:rsid w:val="6015B690"/>
    <w:rsid w:val="603647A6"/>
    <w:rsid w:val="6060DA1F"/>
    <w:rsid w:val="60731FC0"/>
    <w:rsid w:val="609349C5"/>
    <w:rsid w:val="60C2911E"/>
    <w:rsid w:val="60D7E9DB"/>
    <w:rsid w:val="61820B2E"/>
    <w:rsid w:val="6199F8F1"/>
    <w:rsid w:val="61A6D167"/>
    <w:rsid w:val="61B46A47"/>
    <w:rsid w:val="61D21807"/>
    <w:rsid w:val="61D6D159"/>
    <w:rsid w:val="61D6DF72"/>
    <w:rsid w:val="620B3268"/>
    <w:rsid w:val="620B6831"/>
    <w:rsid w:val="627792D5"/>
    <w:rsid w:val="627BC598"/>
    <w:rsid w:val="6285417A"/>
    <w:rsid w:val="6285FD26"/>
    <w:rsid w:val="62F34582"/>
    <w:rsid w:val="6335C952"/>
    <w:rsid w:val="636DE868"/>
    <w:rsid w:val="6393008A"/>
    <w:rsid w:val="64208177"/>
    <w:rsid w:val="6447E641"/>
    <w:rsid w:val="645838C6"/>
    <w:rsid w:val="64D199B3"/>
    <w:rsid w:val="6509B8C9"/>
    <w:rsid w:val="652ED0EB"/>
    <w:rsid w:val="65731A14"/>
    <w:rsid w:val="658EC280"/>
    <w:rsid w:val="65913CE0"/>
    <w:rsid w:val="65BA0A89"/>
    <w:rsid w:val="65DC257A"/>
    <w:rsid w:val="6616899F"/>
    <w:rsid w:val="661746DB"/>
    <w:rsid w:val="6669F52E"/>
    <w:rsid w:val="66BC8336"/>
    <w:rsid w:val="66CAA14C"/>
    <w:rsid w:val="6723E18A"/>
    <w:rsid w:val="676AF500"/>
    <w:rsid w:val="676BA970"/>
    <w:rsid w:val="67C9F9A1"/>
    <w:rsid w:val="67D7C993"/>
    <w:rsid w:val="67FF88E4"/>
    <w:rsid w:val="681F3E45"/>
    <w:rsid w:val="68499DDD"/>
    <w:rsid w:val="697399F4"/>
    <w:rsid w:val="69BCC8C2"/>
    <w:rsid w:val="69F8C98A"/>
    <w:rsid w:val="6AC6AD9A"/>
    <w:rsid w:val="6ADEB97D"/>
    <w:rsid w:val="6AE878FD"/>
    <w:rsid w:val="6AF424FE"/>
    <w:rsid w:val="6B01CE2F"/>
    <w:rsid w:val="6B023681"/>
    <w:rsid w:val="6B1E84A1"/>
    <w:rsid w:val="6B4DA711"/>
    <w:rsid w:val="6B82E60F"/>
    <w:rsid w:val="6B8EC461"/>
    <w:rsid w:val="6B9E126F"/>
    <w:rsid w:val="6BA0AD46"/>
    <w:rsid w:val="6BFD2B6F"/>
    <w:rsid w:val="6C176541"/>
    <w:rsid w:val="6C3F18A2"/>
    <w:rsid w:val="6D15969D"/>
    <w:rsid w:val="6D1C4237"/>
    <w:rsid w:val="6D722E6D"/>
    <w:rsid w:val="6D8F72B0"/>
    <w:rsid w:val="6DB21B2F"/>
    <w:rsid w:val="6DEF3CB4"/>
    <w:rsid w:val="6E0B9980"/>
    <w:rsid w:val="6E242665"/>
    <w:rsid w:val="6E4EA765"/>
    <w:rsid w:val="6E4EF89D"/>
    <w:rsid w:val="6E739B05"/>
    <w:rsid w:val="6F0BA865"/>
    <w:rsid w:val="6F2E0598"/>
    <w:rsid w:val="6F37CE5B"/>
    <w:rsid w:val="6F79C06B"/>
    <w:rsid w:val="70F9D2B8"/>
    <w:rsid w:val="711900A5"/>
    <w:rsid w:val="71542A6F"/>
    <w:rsid w:val="715D58FF"/>
    <w:rsid w:val="718F696C"/>
    <w:rsid w:val="71AB83DC"/>
    <w:rsid w:val="71D96080"/>
    <w:rsid w:val="71F8AE9B"/>
    <w:rsid w:val="72A30745"/>
    <w:rsid w:val="7385B80D"/>
    <w:rsid w:val="738CBEDD"/>
    <w:rsid w:val="73BC7872"/>
    <w:rsid w:val="74304FAB"/>
    <w:rsid w:val="74330A0C"/>
    <w:rsid w:val="74F0FB72"/>
    <w:rsid w:val="75500A58"/>
    <w:rsid w:val="756DA214"/>
    <w:rsid w:val="75E3FCCF"/>
    <w:rsid w:val="7612A87A"/>
    <w:rsid w:val="7618EDDD"/>
    <w:rsid w:val="7646329C"/>
    <w:rsid w:val="764F2EA9"/>
    <w:rsid w:val="76A3EB8D"/>
    <w:rsid w:val="7767F06D"/>
    <w:rsid w:val="77704008"/>
    <w:rsid w:val="779D9853"/>
    <w:rsid w:val="77CD6FED"/>
    <w:rsid w:val="77ED95DB"/>
    <w:rsid w:val="78FA5FBD"/>
    <w:rsid w:val="799A6DE6"/>
    <w:rsid w:val="79B02EC5"/>
    <w:rsid w:val="79D5A734"/>
    <w:rsid w:val="79E54ADC"/>
    <w:rsid w:val="7A43D921"/>
    <w:rsid w:val="7AD2CF91"/>
    <w:rsid w:val="7ADC6BE1"/>
    <w:rsid w:val="7AFC9B8C"/>
    <w:rsid w:val="7B278DF4"/>
    <w:rsid w:val="7B3F4DAA"/>
    <w:rsid w:val="7B556C63"/>
    <w:rsid w:val="7B6B6A7F"/>
    <w:rsid w:val="7BF45BFC"/>
    <w:rsid w:val="7C226DC7"/>
    <w:rsid w:val="7C509050"/>
    <w:rsid w:val="7CCAE702"/>
    <w:rsid w:val="7CCE640A"/>
    <w:rsid w:val="7D187D16"/>
    <w:rsid w:val="7D50069A"/>
    <w:rsid w:val="7D6FB296"/>
    <w:rsid w:val="7D8CA129"/>
    <w:rsid w:val="7DEC60B1"/>
    <w:rsid w:val="7E408B03"/>
    <w:rsid w:val="7E7A03AF"/>
    <w:rsid w:val="7EB9E8E8"/>
    <w:rsid w:val="7EF6F54E"/>
    <w:rsid w:val="7F3114AB"/>
    <w:rsid w:val="7F371E26"/>
    <w:rsid w:val="7F58944B"/>
    <w:rsid w:val="7F65BD97"/>
    <w:rsid w:val="7F6D234E"/>
    <w:rsid w:val="7F883112"/>
    <w:rsid w:val="7F980E66"/>
    <w:rsid w:val="7FA5640F"/>
    <w:rsid w:val="7FABE86E"/>
    <w:rsid w:val="7FBEA71B"/>
    <w:rsid w:val="7FC8DA5F"/>
    <w:rsid w:val="7FCEB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12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30"/>
    <w:pPr>
      <w:spacing w:before="160" w:after="160" w:line="259" w:lineRule="auto"/>
    </w:pPr>
    <w:rPr>
      <w:rFonts w:asciiTheme="majorHAnsi" w:hAnsiTheme="majorHAnsi"/>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eastAsiaTheme="majorEastAsia" w:cstheme="majorBidi"/>
      <w:color w:val="2B4152" w:themeColor="accent1" w:themeShade="BF"/>
      <w:sz w:val="32"/>
      <w:szCs w:val="32"/>
    </w:rPr>
  </w:style>
  <w:style w:type="paragraph" w:styleId="Heading2">
    <w:name w:val="heading 2"/>
    <w:basedOn w:val="Normal"/>
    <w:next w:val="Normal"/>
    <w:link w:val="Heading2Char"/>
    <w:uiPriority w:val="9"/>
    <w:unhideWhenUsed/>
    <w:qFormat/>
    <w:rsid w:val="00667651"/>
    <w:pPr>
      <w:keepNext/>
      <w:keepLines/>
      <w:spacing w:before="40" w:after="0"/>
      <w:outlineLvl w:val="1"/>
    </w:pPr>
    <w:rPr>
      <w:rFonts w:eastAsiaTheme="majorEastAsia" w:cstheme="majorBidi"/>
      <w:color w:val="2B4152" w:themeColor="accent1" w:themeShade="BF"/>
      <w:sz w:val="26"/>
      <w:szCs w:val="26"/>
    </w:rPr>
  </w:style>
  <w:style w:type="paragraph" w:styleId="Heading3">
    <w:name w:val="heading 3"/>
    <w:basedOn w:val="Normal"/>
    <w:next w:val="Normal"/>
    <w:link w:val="Heading3Char"/>
    <w:uiPriority w:val="9"/>
    <w:unhideWhenUsed/>
    <w:qFormat/>
    <w:rsid w:val="00667651"/>
    <w:pPr>
      <w:keepNext/>
      <w:keepLines/>
      <w:spacing w:before="40" w:after="0"/>
      <w:outlineLvl w:val="2"/>
    </w:pPr>
    <w:rPr>
      <w:rFonts w:eastAsiaTheme="majorEastAsia"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eastAsiaTheme="majorEastAsia"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1B6539"/>
    <w:pPr>
      <w:spacing w:before="0"/>
      <w:ind w:left="1560"/>
    </w:pPr>
    <w:rPr>
      <w:b/>
      <w:bCs/>
      <w:caps/>
      <w:color w:val="313E48"/>
      <w:sz w:val="56"/>
      <w:szCs w:val="56"/>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C504AB"/>
    <w:pPr>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5A0E36"/>
    <w:pPr>
      <w:spacing w:before="240" w:after="120"/>
    </w:pPr>
    <w:rPr>
      <w:rFonts w:cstheme="minorHAnsi"/>
      <w:b/>
      <w:bCs/>
      <w:i w:val="0"/>
      <w:color w:val="auto"/>
      <w:sz w:val="24"/>
      <w:szCs w:val="24"/>
    </w:rPr>
  </w:style>
  <w:style w:type="paragraph" w:customStyle="1" w:styleId="H3-Heading3">
    <w:name w:val="H3 - Heading 3"/>
    <w:basedOn w:val="Heading3"/>
    <w:qFormat/>
    <w:rsid w:val="00667651"/>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2"/>
      </w:numPr>
    </w:pPr>
  </w:style>
  <w:style w:type="paragraph" w:customStyle="1" w:styleId="BodyCopyPrebulletsandnumberedbullets">
    <w:name w:val="Body Copy Pre bullets and numbered bullets"/>
    <w:basedOn w:val="BodyCopy"/>
    <w:qFormat/>
    <w:rsid w:val="00A73C52"/>
    <w:pPr>
      <w:spacing w:before="240"/>
    </w:pPr>
  </w:style>
  <w:style w:type="paragraph" w:customStyle="1" w:styleId="NormalBullets-L2">
    <w:name w:val="Normal Bullets - L2"/>
    <w:basedOn w:val="BodyCopy"/>
    <w:qFormat/>
    <w:rsid w:val="00F54F79"/>
    <w:pPr>
      <w:numPr>
        <w:numId w:val="27"/>
      </w:numPr>
      <w:spacing w:before="0" w:after="0"/>
      <w:ind w:left="993" w:hanging="284"/>
    </w:pPr>
    <w:rPr>
      <w:color w:val="auto"/>
      <w:lang w:eastAsia="en-AU"/>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967711"/>
    <w:pPr>
      <w:spacing w:before="240" w:after="240"/>
    </w:pPr>
    <w:rPr>
      <w:rFonts w:asciiTheme="majorHAnsi" w:hAnsiTheme="majorHAnsi" w:cstheme="minorHAnsi"/>
      <w:b/>
      <w:bCs/>
      <w:color w:val="FFFFFF" w:themeColor="background1"/>
      <w:sz w:val="20"/>
    </w:rPr>
  </w:style>
  <w:style w:type="paragraph" w:customStyle="1" w:styleId="TableBodyCopy">
    <w:name w:val="Table Body Copy"/>
    <w:basedOn w:val="BodyCopy"/>
    <w:qFormat/>
    <w:rsid w:val="005A0E36"/>
    <w:pPr>
      <w:spacing w:before="120" w:after="40"/>
    </w:pPr>
    <w:rPr>
      <w:color w:val="auto"/>
      <w:sz w:val="20"/>
    </w:r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390608"/>
    <w:pPr>
      <w:tabs>
        <w:tab w:val="center" w:pos="4513"/>
        <w:tab w:val="right" w:pos="9026"/>
      </w:tabs>
      <w:spacing w:after="0" w:line="240" w:lineRule="auto"/>
    </w:pPr>
    <w:rPr>
      <w:spacing w:val="20"/>
      <w:kern w:val="22"/>
    </w:rPr>
  </w:style>
  <w:style w:type="character" w:customStyle="1" w:styleId="FooterChar">
    <w:name w:val="Footer Char"/>
    <w:basedOn w:val="DefaultParagraphFont"/>
    <w:link w:val="Footer"/>
    <w:uiPriority w:val="99"/>
    <w:rsid w:val="00390608"/>
    <w:rPr>
      <w:rFonts w:asciiTheme="majorHAnsi" w:hAnsiTheme="majorHAnsi"/>
      <w:spacing w:val="20"/>
      <w:kern w:val="22"/>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1B6539"/>
    <w:rPr>
      <w:rFonts w:asciiTheme="majorHAnsi" w:eastAsiaTheme="majorEastAsia" w:hAnsiTheme="majorHAnsi" w:cstheme="majorBidi"/>
      <w:b/>
      <w:bCs/>
      <w:caps/>
      <w:color w:val="313E48"/>
      <w:sz w:val="56"/>
      <w:szCs w:val="56"/>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rsid w:val="00667651"/>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rsid w:val="00667651"/>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14429"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aliases w:val="Table text,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Box1Bullet">
    <w:name w:val="Box 1 Bullet"/>
    <w:basedOn w:val="Normal"/>
    <w:qFormat/>
    <w:rsid w:val="0099583A"/>
    <w:pPr>
      <w:numPr>
        <w:numId w:val="11"/>
      </w:numPr>
      <w:pBdr>
        <w:top w:val="single" w:sz="4" w:space="14" w:color="3A586E" w:themeColor="accent1"/>
        <w:left w:val="single" w:sz="4" w:space="14" w:color="3A586E" w:themeColor="accent1"/>
        <w:bottom w:val="single" w:sz="4" w:space="14" w:color="3A586E" w:themeColor="accent1"/>
        <w:right w:val="single" w:sz="4" w:space="14" w:color="3A586E"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313E48" w:themeColor="text2"/>
      <w:sz w:val="20"/>
    </w:rPr>
  </w:style>
  <w:style w:type="table" w:styleId="TableGridLight">
    <w:name w:val="Grid Table Light"/>
    <w:basedOn w:val="TableNormal"/>
    <w:uiPriority w:val="40"/>
    <w:rsid w:val="00995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58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708AC"/>
    <w:rPr>
      <w:sz w:val="22"/>
      <w:szCs w:val="22"/>
      <w:lang w:eastAsia="en-US"/>
    </w:rPr>
  </w:style>
  <w:style w:type="character" w:styleId="CommentReference">
    <w:name w:val="annotation reference"/>
    <w:basedOn w:val="DefaultParagraphFont"/>
    <w:uiPriority w:val="99"/>
    <w:semiHidden/>
    <w:unhideWhenUsed/>
    <w:rsid w:val="009708AC"/>
    <w:rPr>
      <w:sz w:val="16"/>
      <w:szCs w:val="16"/>
    </w:rPr>
  </w:style>
  <w:style w:type="paragraph" w:styleId="CommentText">
    <w:name w:val="annotation text"/>
    <w:basedOn w:val="Normal"/>
    <w:link w:val="CommentTextChar"/>
    <w:uiPriority w:val="99"/>
    <w:unhideWhenUsed/>
    <w:rsid w:val="009708AC"/>
    <w:pPr>
      <w:spacing w:line="240" w:lineRule="auto"/>
    </w:pPr>
    <w:rPr>
      <w:sz w:val="20"/>
      <w:szCs w:val="20"/>
    </w:rPr>
  </w:style>
  <w:style w:type="character" w:customStyle="1" w:styleId="CommentTextChar">
    <w:name w:val="Comment Text Char"/>
    <w:basedOn w:val="DefaultParagraphFont"/>
    <w:link w:val="CommentText"/>
    <w:uiPriority w:val="99"/>
    <w:rsid w:val="009708AC"/>
    <w:rPr>
      <w:lang w:eastAsia="en-US"/>
    </w:rPr>
  </w:style>
  <w:style w:type="paragraph" w:styleId="CommentSubject">
    <w:name w:val="annotation subject"/>
    <w:basedOn w:val="CommentText"/>
    <w:next w:val="CommentText"/>
    <w:link w:val="CommentSubjectChar"/>
    <w:uiPriority w:val="99"/>
    <w:semiHidden/>
    <w:unhideWhenUsed/>
    <w:rsid w:val="009708AC"/>
    <w:rPr>
      <w:b/>
      <w:bCs/>
    </w:rPr>
  </w:style>
  <w:style w:type="character" w:customStyle="1" w:styleId="CommentSubjectChar">
    <w:name w:val="Comment Subject Char"/>
    <w:basedOn w:val="CommentTextChar"/>
    <w:link w:val="CommentSubject"/>
    <w:uiPriority w:val="99"/>
    <w:semiHidden/>
    <w:rsid w:val="009708AC"/>
    <w:rPr>
      <w:b/>
      <w:bCs/>
      <w:lang w:eastAsia="en-US"/>
    </w:rPr>
  </w:style>
  <w:style w:type="paragraph" w:styleId="NormalWeb">
    <w:name w:val="Normal (Web)"/>
    <w:basedOn w:val="Normal"/>
    <w:uiPriority w:val="99"/>
    <w:semiHidden/>
    <w:unhideWhenUsed/>
    <w:rsid w:val="00862182"/>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7D0EB4"/>
    <w:rPr>
      <w:color w:val="3F0D00" w:themeColor="followedHyperlink"/>
      <w:u w:val="single"/>
    </w:rPr>
  </w:style>
  <w:style w:type="character" w:styleId="UnresolvedMention">
    <w:name w:val="Unresolved Mention"/>
    <w:basedOn w:val="DefaultParagraphFont"/>
    <w:uiPriority w:val="99"/>
    <w:semiHidden/>
    <w:unhideWhenUsed/>
    <w:rsid w:val="006C6054"/>
    <w:rPr>
      <w:color w:val="605E5C"/>
      <w:shd w:val="clear" w:color="auto" w:fill="E1DFDD"/>
    </w:rPr>
  </w:style>
  <w:style w:type="paragraph" w:customStyle="1" w:styleId="NormalBullets-L3">
    <w:name w:val="Normal Bullets - L3"/>
    <w:basedOn w:val="NormalBullets-L2"/>
    <w:qFormat/>
    <w:rsid w:val="00700938"/>
    <w:pPr>
      <w:numPr>
        <w:numId w:val="26"/>
      </w:numPr>
      <w:ind w:left="1134" w:hanging="357"/>
    </w:pPr>
  </w:style>
  <w:style w:type="paragraph" w:customStyle="1" w:styleId="NormalBullets-L1">
    <w:name w:val="Normal Bullets - L1"/>
    <w:basedOn w:val="Normal"/>
    <w:qFormat/>
    <w:rsid w:val="00DD1DCD"/>
    <w:pPr>
      <w:numPr>
        <w:numId w:val="8"/>
      </w:numPr>
      <w:spacing w:before="240" w:after="240" w:line="240" w:lineRule="auto"/>
      <w:textAlignment w:val="baseline"/>
    </w:pPr>
    <w:rPr>
      <w:rFonts w:ascii="Calibri Light" w:hAnsi="Calibri Light" w:cs="Calibri Light"/>
      <w:lang w:eastAsia="en-AU"/>
    </w:rPr>
  </w:style>
  <w:style w:type="table" w:styleId="PlainTable4">
    <w:name w:val="Plain Table 4"/>
    <w:basedOn w:val="TableNormal"/>
    <w:uiPriority w:val="44"/>
    <w:rsid w:val="00AC60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NormalBullets-L1"/>
    <w:qFormat/>
    <w:rsid w:val="002907FD"/>
    <w:pPr>
      <w:spacing w:before="0" w:after="0"/>
    </w:pPr>
  </w:style>
  <w:style w:type="paragraph" w:customStyle="1" w:styleId="Tablebullet">
    <w:name w:val="Table bullet"/>
    <w:basedOn w:val="NormalBullets-L1"/>
    <w:qFormat/>
    <w:rsid w:val="00D432AC"/>
    <w:pPr>
      <w:spacing w:before="120" w:after="0"/>
      <w:ind w:left="357" w:hanging="357"/>
    </w:pPr>
    <w:rPr>
      <w:sz w:val="20"/>
    </w:rPr>
  </w:style>
  <w:style w:type="table" w:customStyle="1" w:styleId="DFATPaddock">
    <w:name w:val="DFAT Paddock"/>
    <w:basedOn w:val="TableNormal"/>
    <w:uiPriority w:val="99"/>
    <w:rsid w:val="000B04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6E8D2" w:themeFill="accent3"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Wattle">
    <w:name w:val="DFAT Wattle"/>
    <w:basedOn w:val="DFATPaddock"/>
    <w:uiPriority w:val="99"/>
    <w:rsid w:val="000B04E1"/>
    <w:tblPr/>
    <w:tcPr>
      <w:shd w:val="clear" w:color="auto" w:fill="FBEED2" w:themeFill="accent4"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Ochre">
    <w:name w:val="DFAT Ochre"/>
    <w:basedOn w:val="DFATWattle"/>
    <w:uiPriority w:val="99"/>
    <w:rsid w:val="000B04E1"/>
    <w:tblPr/>
    <w:tcPr>
      <w:shd w:val="clear" w:color="auto" w:fill="F0DBD4" w:themeFill="accent5" w:themeFillTint="33"/>
    </w:tcPr>
    <w:tblStylePr w:type="firstRow">
      <w:pPr>
        <w:jc w:val="left"/>
      </w:pPr>
      <w:rPr>
        <w:rFonts w:ascii="Calibri" w:hAnsi="Calibri"/>
        <w:b w:val="0"/>
        <w:color w:val="FFFFFF" w:themeColor="background1"/>
        <w:sz w:val="20"/>
      </w:rPr>
      <w:tblPr/>
      <w:trPr>
        <w:tblHeader/>
      </w:trPr>
      <w:tcPr>
        <w:shd w:val="clear" w:color="auto" w:fill="3A586E" w:themeFill="accent1"/>
      </w:tcPr>
    </w:tblStylePr>
  </w:style>
  <w:style w:type="table" w:customStyle="1" w:styleId="DFATBluegum">
    <w:name w:val="DFAT Bluegum"/>
    <w:basedOn w:val="DFATWattle"/>
    <w:uiPriority w:val="99"/>
    <w:rsid w:val="000B04E1"/>
    <w:tblPr/>
    <w:tcPr>
      <w:shd w:val="clear" w:color="auto" w:fill="D2DEE7" w:themeFill="accent1"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paragraph" w:styleId="FootnoteText">
    <w:name w:val="footnote text"/>
    <w:basedOn w:val="Normal"/>
    <w:link w:val="FootnoteTextChar"/>
    <w:uiPriority w:val="99"/>
    <w:semiHidden/>
    <w:unhideWhenUsed/>
    <w:rsid w:val="0042372F"/>
    <w:pPr>
      <w:spacing w:before="0" w:after="0" w:line="240" w:lineRule="auto"/>
    </w:pPr>
    <w:rPr>
      <w:rFonts w:ascii="Calibri Light" w:hAnsi="Calibri Light"/>
      <w:sz w:val="20"/>
      <w:szCs w:val="20"/>
    </w:rPr>
  </w:style>
  <w:style w:type="character" w:customStyle="1" w:styleId="FootnoteTextChar">
    <w:name w:val="Footnote Text Char"/>
    <w:basedOn w:val="DefaultParagraphFont"/>
    <w:link w:val="FootnoteText"/>
    <w:uiPriority w:val="99"/>
    <w:semiHidden/>
    <w:rsid w:val="0042372F"/>
    <w:rPr>
      <w:rFonts w:ascii="Calibri Light" w:hAnsi="Calibri Light"/>
      <w:lang w:eastAsia="en-US"/>
    </w:rPr>
  </w:style>
  <w:style w:type="character" w:styleId="FootnoteReference">
    <w:name w:val="footnote reference"/>
    <w:basedOn w:val="DefaultParagraphFont"/>
    <w:uiPriority w:val="99"/>
    <w:semiHidden/>
    <w:unhideWhenUsed/>
    <w:rsid w:val="0042372F"/>
    <w:rPr>
      <w:vertAlign w:val="superscript"/>
    </w:rPr>
  </w:style>
  <w:style w:type="character" w:customStyle="1" w:styleId="ListParagraphChar">
    <w:name w:val="List Paragraph Char"/>
    <w:aliases w:val="Table text Char,Recommendation Char,List Paragraph1 Char,List Paragraph11 Char,L Char,F5 List Paragraph Char,Dot pt Char,CV text Char,List Paragraph111 Char,Medium Grid 1 - Accent 21 Char,Numbered Paragraph Char,List Paragraph2 Char"/>
    <w:basedOn w:val="DefaultParagraphFont"/>
    <w:link w:val="ListParagraph"/>
    <w:uiPriority w:val="34"/>
    <w:qFormat/>
    <w:locked/>
    <w:rsid w:val="007A46AD"/>
    <w:rPr>
      <w:rFonts w:asciiTheme="majorHAnsi" w:hAnsiTheme="majorHAnsi"/>
      <w:sz w:val="22"/>
      <w:szCs w:val="22"/>
      <w:lang w:eastAsia="en-US"/>
    </w:rPr>
  </w:style>
  <w:style w:type="character" w:styleId="Strong">
    <w:name w:val="Strong"/>
    <w:aliases w:val="Introduction"/>
    <w:basedOn w:val="DefaultParagraphFont"/>
    <w:uiPriority w:val="22"/>
    <w:qFormat/>
    <w:rsid w:val="003835F7"/>
    <w:rPr>
      <w:rFonts w:asciiTheme="minorHAnsi" w:hAnsiTheme="minorHAnsi"/>
      <w:b/>
      <w:bCs/>
    </w:rPr>
  </w:style>
  <w:style w:type="character" w:customStyle="1" w:styleId="cf01">
    <w:name w:val="cf01"/>
    <w:basedOn w:val="DefaultParagraphFont"/>
    <w:rsid w:val="005C649E"/>
    <w:rPr>
      <w:rFonts w:ascii="Segoe UI" w:hAnsi="Segoe UI" w:cs="Segoe UI" w:hint="default"/>
      <w:sz w:val="18"/>
      <w:szCs w:val="18"/>
    </w:rPr>
  </w:style>
  <w:style w:type="paragraph" w:customStyle="1" w:styleId="pf0">
    <w:name w:val="pf0"/>
    <w:basedOn w:val="Normal"/>
    <w:rsid w:val="00DC330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896952"/>
  </w:style>
  <w:style w:type="paragraph" w:styleId="EndnoteText">
    <w:name w:val="endnote text"/>
    <w:basedOn w:val="Normal"/>
    <w:link w:val="EndnoteTextChar"/>
    <w:uiPriority w:val="99"/>
    <w:semiHidden/>
    <w:unhideWhenUsed/>
    <w:rsid w:val="00F65FE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65FE7"/>
    <w:rPr>
      <w:rFonts w:asciiTheme="majorHAnsi" w:hAnsiTheme="majorHAnsi"/>
      <w:lang w:eastAsia="en-US"/>
    </w:rPr>
  </w:style>
  <w:style w:type="character" w:styleId="EndnoteReference">
    <w:name w:val="endnote reference"/>
    <w:basedOn w:val="DefaultParagraphFont"/>
    <w:uiPriority w:val="99"/>
    <w:semiHidden/>
    <w:unhideWhenUsed/>
    <w:rsid w:val="00F65FE7"/>
    <w:rPr>
      <w:vertAlign w:val="superscript"/>
    </w:rPr>
  </w:style>
  <w:style w:type="paragraph" w:customStyle="1" w:styleId="Tabletitle">
    <w:name w:val="Table title"/>
    <w:basedOn w:val="H4-Heading4"/>
    <w:qFormat/>
    <w:rsid w:val="00F842E3"/>
    <w:pPr>
      <w:spacing w:line="240" w:lineRule="auto"/>
      <w:outlineLvl w:val="9"/>
    </w:pPr>
    <w:rPr>
      <w:rFonts w:eastAsia="Times New Roman"/>
      <w:lang w:eastAsia="en-AU"/>
    </w:rPr>
  </w:style>
  <w:style w:type="paragraph" w:customStyle="1" w:styleId="Endnotes">
    <w:name w:val="Endnotes"/>
    <w:basedOn w:val="EndnoteText"/>
    <w:qFormat/>
    <w:rsid w:val="00BF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0571">
      <w:bodyDiv w:val="1"/>
      <w:marLeft w:val="0"/>
      <w:marRight w:val="0"/>
      <w:marTop w:val="0"/>
      <w:marBottom w:val="0"/>
      <w:divBdr>
        <w:top w:val="none" w:sz="0" w:space="0" w:color="auto"/>
        <w:left w:val="none" w:sz="0" w:space="0" w:color="auto"/>
        <w:bottom w:val="none" w:sz="0" w:space="0" w:color="auto"/>
        <w:right w:val="none" w:sz="0" w:space="0" w:color="auto"/>
      </w:divBdr>
    </w:div>
    <w:div w:id="363332142">
      <w:bodyDiv w:val="1"/>
      <w:marLeft w:val="0"/>
      <w:marRight w:val="0"/>
      <w:marTop w:val="0"/>
      <w:marBottom w:val="0"/>
      <w:divBdr>
        <w:top w:val="none" w:sz="0" w:space="0" w:color="auto"/>
        <w:left w:val="none" w:sz="0" w:space="0" w:color="auto"/>
        <w:bottom w:val="none" w:sz="0" w:space="0" w:color="auto"/>
        <w:right w:val="none" w:sz="0" w:space="0" w:color="auto"/>
      </w:divBdr>
    </w:div>
    <w:div w:id="641934577">
      <w:bodyDiv w:val="1"/>
      <w:marLeft w:val="0"/>
      <w:marRight w:val="0"/>
      <w:marTop w:val="0"/>
      <w:marBottom w:val="0"/>
      <w:divBdr>
        <w:top w:val="none" w:sz="0" w:space="0" w:color="auto"/>
        <w:left w:val="none" w:sz="0" w:space="0" w:color="auto"/>
        <w:bottom w:val="none" w:sz="0" w:space="0" w:color="auto"/>
        <w:right w:val="none" w:sz="0" w:space="0" w:color="auto"/>
      </w:divBdr>
    </w:div>
    <w:div w:id="791289639">
      <w:bodyDiv w:val="1"/>
      <w:marLeft w:val="0"/>
      <w:marRight w:val="0"/>
      <w:marTop w:val="0"/>
      <w:marBottom w:val="0"/>
      <w:divBdr>
        <w:top w:val="none" w:sz="0" w:space="0" w:color="auto"/>
        <w:left w:val="none" w:sz="0" w:space="0" w:color="auto"/>
        <w:bottom w:val="none" w:sz="0" w:space="0" w:color="auto"/>
        <w:right w:val="none" w:sz="0" w:space="0" w:color="auto"/>
      </w:divBdr>
    </w:div>
    <w:div w:id="864758696">
      <w:bodyDiv w:val="1"/>
      <w:marLeft w:val="0"/>
      <w:marRight w:val="0"/>
      <w:marTop w:val="0"/>
      <w:marBottom w:val="0"/>
      <w:divBdr>
        <w:top w:val="none" w:sz="0" w:space="0" w:color="auto"/>
        <w:left w:val="none" w:sz="0" w:space="0" w:color="auto"/>
        <w:bottom w:val="none" w:sz="0" w:space="0" w:color="auto"/>
        <w:right w:val="none" w:sz="0" w:space="0" w:color="auto"/>
      </w:divBdr>
    </w:div>
    <w:div w:id="866260061">
      <w:bodyDiv w:val="1"/>
      <w:marLeft w:val="0"/>
      <w:marRight w:val="0"/>
      <w:marTop w:val="0"/>
      <w:marBottom w:val="0"/>
      <w:divBdr>
        <w:top w:val="none" w:sz="0" w:space="0" w:color="auto"/>
        <w:left w:val="none" w:sz="0" w:space="0" w:color="auto"/>
        <w:bottom w:val="none" w:sz="0" w:space="0" w:color="auto"/>
        <w:right w:val="none" w:sz="0" w:space="0" w:color="auto"/>
      </w:divBdr>
    </w:div>
    <w:div w:id="1380517358">
      <w:bodyDiv w:val="1"/>
      <w:marLeft w:val="0"/>
      <w:marRight w:val="0"/>
      <w:marTop w:val="0"/>
      <w:marBottom w:val="0"/>
      <w:divBdr>
        <w:top w:val="none" w:sz="0" w:space="0" w:color="auto"/>
        <w:left w:val="none" w:sz="0" w:space="0" w:color="auto"/>
        <w:bottom w:val="none" w:sz="0" w:space="0" w:color="auto"/>
        <w:right w:val="none" w:sz="0" w:space="0" w:color="auto"/>
      </w:divBdr>
    </w:div>
    <w:div w:id="1405447643">
      <w:bodyDiv w:val="1"/>
      <w:marLeft w:val="0"/>
      <w:marRight w:val="0"/>
      <w:marTop w:val="0"/>
      <w:marBottom w:val="0"/>
      <w:divBdr>
        <w:top w:val="none" w:sz="0" w:space="0" w:color="auto"/>
        <w:left w:val="none" w:sz="0" w:space="0" w:color="auto"/>
        <w:bottom w:val="none" w:sz="0" w:space="0" w:color="auto"/>
        <w:right w:val="none" w:sz="0" w:space="0" w:color="auto"/>
      </w:divBdr>
    </w:div>
    <w:div w:id="1435713775">
      <w:bodyDiv w:val="1"/>
      <w:marLeft w:val="0"/>
      <w:marRight w:val="0"/>
      <w:marTop w:val="0"/>
      <w:marBottom w:val="0"/>
      <w:divBdr>
        <w:top w:val="none" w:sz="0" w:space="0" w:color="auto"/>
        <w:left w:val="none" w:sz="0" w:space="0" w:color="auto"/>
        <w:bottom w:val="none" w:sz="0" w:space="0" w:color="auto"/>
        <w:right w:val="none" w:sz="0" w:space="0" w:color="auto"/>
      </w:divBdr>
    </w:div>
    <w:div w:id="1529105440">
      <w:bodyDiv w:val="1"/>
      <w:marLeft w:val="0"/>
      <w:marRight w:val="0"/>
      <w:marTop w:val="0"/>
      <w:marBottom w:val="0"/>
      <w:divBdr>
        <w:top w:val="none" w:sz="0" w:space="0" w:color="auto"/>
        <w:left w:val="none" w:sz="0" w:space="0" w:color="auto"/>
        <w:bottom w:val="none" w:sz="0" w:space="0" w:color="auto"/>
        <w:right w:val="none" w:sz="0" w:space="0" w:color="auto"/>
      </w:divBdr>
    </w:div>
    <w:div w:id="1532035073">
      <w:bodyDiv w:val="1"/>
      <w:marLeft w:val="0"/>
      <w:marRight w:val="0"/>
      <w:marTop w:val="0"/>
      <w:marBottom w:val="0"/>
      <w:divBdr>
        <w:top w:val="none" w:sz="0" w:space="0" w:color="auto"/>
        <w:left w:val="none" w:sz="0" w:space="0" w:color="auto"/>
        <w:bottom w:val="none" w:sz="0" w:space="0" w:color="auto"/>
        <w:right w:val="none" w:sz="0" w:space="0" w:color="auto"/>
      </w:divBdr>
    </w:div>
    <w:div w:id="1651519000">
      <w:bodyDiv w:val="1"/>
      <w:marLeft w:val="0"/>
      <w:marRight w:val="0"/>
      <w:marTop w:val="0"/>
      <w:marBottom w:val="0"/>
      <w:divBdr>
        <w:top w:val="none" w:sz="0" w:space="0" w:color="auto"/>
        <w:left w:val="none" w:sz="0" w:space="0" w:color="auto"/>
        <w:bottom w:val="none" w:sz="0" w:space="0" w:color="auto"/>
        <w:right w:val="none" w:sz="0" w:space="0" w:color="auto"/>
      </w:divBdr>
    </w:div>
    <w:div w:id="1705322673">
      <w:bodyDiv w:val="1"/>
      <w:marLeft w:val="0"/>
      <w:marRight w:val="0"/>
      <w:marTop w:val="0"/>
      <w:marBottom w:val="0"/>
      <w:divBdr>
        <w:top w:val="none" w:sz="0" w:space="0" w:color="auto"/>
        <w:left w:val="none" w:sz="0" w:space="0" w:color="auto"/>
        <w:bottom w:val="none" w:sz="0" w:space="0" w:color="auto"/>
        <w:right w:val="none" w:sz="0" w:space="0" w:color="auto"/>
      </w:divBdr>
    </w:div>
    <w:div w:id="1881236958">
      <w:bodyDiv w:val="1"/>
      <w:marLeft w:val="0"/>
      <w:marRight w:val="0"/>
      <w:marTop w:val="0"/>
      <w:marBottom w:val="0"/>
      <w:divBdr>
        <w:top w:val="none" w:sz="0" w:space="0" w:color="auto"/>
        <w:left w:val="none" w:sz="0" w:space="0" w:color="auto"/>
        <w:bottom w:val="none" w:sz="0" w:space="0" w:color="auto"/>
        <w:right w:val="none" w:sz="0" w:space="0" w:color="auto"/>
      </w:divBdr>
    </w:div>
    <w:div w:id="1986542156">
      <w:bodyDiv w:val="1"/>
      <w:marLeft w:val="0"/>
      <w:marRight w:val="0"/>
      <w:marTop w:val="0"/>
      <w:marBottom w:val="0"/>
      <w:divBdr>
        <w:top w:val="none" w:sz="0" w:space="0" w:color="auto"/>
        <w:left w:val="none" w:sz="0" w:space="0" w:color="auto"/>
        <w:bottom w:val="none" w:sz="0" w:space="0" w:color="auto"/>
        <w:right w:val="none" w:sz="0" w:space="0" w:color="auto"/>
      </w:divBdr>
    </w:div>
    <w:div w:id="20087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fat.gov.au/people-to-people/australia-awards/Pages/australia-awards-scholarships.aspx"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dfat.gov.au/publications/development/australias-international-development-policy"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13623</Words>
  <Characters>84349</Characters>
  <Application>Microsoft Office Word</Application>
  <DocSecurity>0</DocSecurity>
  <Lines>2397</Lines>
  <Paragraphs>803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97205</CharactersWithSpaces>
  <SharedDoc>false</SharedDoc>
  <HLinks>
    <vt:vector size="90" baseType="variant">
      <vt:variant>
        <vt:i4>5570586</vt:i4>
      </vt:variant>
      <vt:variant>
        <vt:i4>18</vt:i4>
      </vt:variant>
      <vt:variant>
        <vt:i4>0</vt:i4>
      </vt:variant>
      <vt:variant>
        <vt:i4>5</vt:i4>
      </vt:variant>
      <vt:variant>
        <vt:lpwstr/>
      </vt:variant>
      <vt:variant>
        <vt:lpwstr>T3nf</vt:lpwstr>
      </vt:variant>
      <vt:variant>
        <vt:i4>5636122</vt:i4>
      </vt:variant>
      <vt:variant>
        <vt:i4>15</vt:i4>
      </vt:variant>
      <vt:variant>
        <vt:i4>0</vt:i4>
      </vt:variant>
      <vt:variant>
        <vt:i4>5</vt:i4>
      </vt:variant>
      <vt:variant>
        <vt:lpwstr/>
      </vt:variant>
      <vt:variant>
        <vt:lpwstr>T3ne</vt:lpwstr>
      </vt:variant>
      <vt:variant>
        <vt:i4>5242906</vt:i4>
      </vt:variant>
      <vt:variant>
        <vt:i4>12</vt:i4>
      </vt:variant>
      <vt:variant>
        <vt:i4>0</vt:i4>
      </vt:variant>
      <vt:variant>
        <vt:i4>5</vt:i4>
      </vt:variant>
      <vt:variant>
        <vt:lpwstr/>
      </vt:variant>
      <vt:variant>
        <vt:lpwstr>T3nc</vt:lpwstr>
      </vt:variant>
      <vt:variant>
        <vt:i4>5308442</vt:i4>
      </vt:variant>
      <vt:variant>
        <vt:i4>9</vt:i4>
      </vt:variant>
      <vt:variant>
        <vt:i4>0</vt:i4>
      </vt:variant>
      <vt:variant>
        <vt:i4>5</vt:i4>
      </vt:variant>
      <vt:variant>
        <vt:lpwstr/>
      </vt:variant>
      <vt:variant>
        <vt:lpwstr>T3nb</vt:lpwstr>
      </vt:variant>
      <vt:variant>
        <vt:i4>5373978</vt:i4>
      </vt:variant>
      <vt:variant>
        <vt:i4>6</vt:i4>
      </vt:variant>
      <vt:variant>
        <vt:i4>0</vt:i4>
      </vt:variant>
      <vt:variant>
        <vt:i4>5</vt:i4>
      </vt:variant>
      <vt:variant>
        <vt:lpwstr/>
      </vt:variant>
      <vt:variant>
        <vt:lpwstr>T3na</vt:lpwstr>
      </vt:variant>
      <vt:variant>
        <vt:i4>3866677</vt:i4>
      </vt:variant>
      <vt:variant>
        <vt:i4>3</vt:i4>
      </vt:variant>
      <vt:variant>
        <vt:i4>0</vt:i4>
      </vt:variant>
      <vt:variant>
        <vt:i4>5</vt:i4>
      </vt:variant>
      <vt:variant>
        <vt:lpwstr>https://www.dfat.gov.au/people-to-people/australia-awards/Pages/australia-awards-scholarships.aspx</vt:lpwstr>
      </vt:variant>
      <vt:variant>
        <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ariant>
        <vt:i4>6422608</vt:i4>
      </vt:variant>
      <vt:variant>
        <vt:i4>21</vt:i4>
      </vt:variant>
      <vt:variant>
        <vt:i4>0</vt:i4>
      </vt:variant>
      <vt:variant>
        <vt:i4>5</vt:i4>
      </vt:variant>
      <vt:variant>
        <vt:lpwstr>https://www.stylemanual.gov.au/accessible-and-inclusive-content/inclusive-language/aboriginal-and-torres-strait-islander-peoples</vt:lpwstr>
      </vt:variant>
      <vt:variant>
        <vt:lpwstr>release_notes</vt:lpwstr>
      </vt:variant>
      <vt:variant>
        <vt:i4>1900571</vt:i4>
      </vt:variant>
      <vt:variant>
        <vt:i4>18</vt:i4>
      </vt:variant>
      <vt:variant>
        <vt:i4>0</vt:i4>
      </vt:variant>
      <vt:variant>
        <vt:i4>5</vt:i4>
      </vt:variant>
      <vt:variant>
        <vt:lpwstr>https://mtdp.gov.pg/MTDP IV/MTDP IV 2023-2027.pdf</vt:lpwstr>
      </vt:variant>
      <vt:variant>
        <vt:lpwstr/>
      </vt:variant>
      <vt:variant>
        <vt:i4>786513</vt:i4>
      </vt:variant>
      <vt:variant>
        <vt:i4>15</vt:i4>
      </vt:variant>
      <vt:variant>
        <vt:i4>0</vt:i4>
      </vt:variant>
      <vt:variant>
        <vt:i4>5</vt:i4>
      </vt:variant>
      <vt:variant>
        <vt:lpwstr>https://pmnec.gov.pg/prime-minister-hon-james-marape-acknowledges-frances-unprecedented-us100-million-country-package-for-nature-forests-and-climate/</vt:lpwstr>
      </vt:variant>
      <vt:variant>
        <vt:lpwstr/>
      </vt:variant>
      <vt:variant>
        <vt:i4>917535</vt:i4>
      </vt:variant>
      <vt:variant>
        <vt:i4>12</vt:i4>
      </vt:variant>
      <vt:variant>
        <vt:i4>0</vt:i4>
      </vt:variant>
      <vt:variant>
        <vt:i4>5</vt:i4>
      </vt:variant>
      <vt:variant>
        <vt:lpwstr>https://www.elysee.fr/en/emmanuel-macron/2023/07/28/joint-statement-on-a-country-package-for-forests-nature-and-climate-with-papua-new-guinea</vt:lpwstr>
      </vt:variant>
      <vt:variant>
        <vt:lpwstr/>
      </vt:variant>
      <vt:variant>
        <vt:i4>1900571</vt:i4>
      </vt:variant>
      <vt:variant>
        <vt:i4>9</vt:i4>
      </vt:variant>
      <vt:variant>
        <vt:i4>0</vt:i4>
      </vt:variant>
      <vt:variant>
        <vt:i4>5</vt:i4>
      </vt:variant>
      <vt:variant>
        <vt:lpwstr>https://mtdp.gov.pg/MTDP IV/MTDP IV 2023-2027.pdf</vt:lpwstr>
      </vt:variant>
      <vt:variant>
        <vt:lpwstr/>
      </vt:variant>
      <vt:variant>
        <vt:i4>4849763</vt:i4>
      </vt:variant>
      <vt:variant>
        <vt:i4>6</vt:i4>
      </vt:variant>
      <vt:variant>
        <vt:i4>0</vt:i4>
      </vt:variant>
      <vt:variant>
        <vt:i4>5</vt:i4>
      </vt:variant>
      <vt:variant>
        <vt:lpwstr>https://www.businessadvantagepng.com/wp-content/uploads/2020/09/DOW-The-Connect-PNG-A4-Text_jjm.pdf</vt:lpwstr>
      </vt:variant>
      <vt:variant>
        <vt:lpwstr/>
      </vt:variant>
      <vt:variant>
        <vt:i4>2490474</vt:i4>
      </vt:variant>
      <vt:variant>
        <vt:i4>3</vt:i4>
      </vt:variant>
      <vt:variant>
        <vt:i4>0</vt:i4>
      </vt:variant>
      <vt:variant>
        <vt:i4>5</vt:i4>
      </vt:variant>
      <vt:variant>
        <vt:lpwstr>https://hdr.undp.org/data-center/thematic-composite-indices/gender-inequality-index</vt:lpwstr>
      </vt:variant>
      <vt:variant>
        <vt:lpwstr>/indicies/GII</vt:lpwstr>
      </vt:variant>
      <vt:variant>
        <vt:i4>5374038</vt:i4>
      </vt:variant>
      <vt:variant>
        <vt:i4>0</vt:i4>
      </vt:variant>
      <vt:variant>
        <vt:i4>0</vt:i4>
      </vt:variant>
      <vt:variant>
        <vt:i4>5</vt:i4>
      </vt:variant>
      <vt:variant>
        <vt:lpwstr>https://hdr.undp.org/data-center/human-development-index</vt:lpwstr>
      </vt:variant>
      <vt:variant>
        <vt:lpwstr>/indicies/HDI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PNG Development Partnership Plan 2024 - 2029</dc:title>
  <dc:subject/>
  <dc:creator/>
  <cp:keywords>[SEC=OFFICIAL]</cp:keywords>
  <dc:description/>
  <cp:lastModifiedBy/>
  <cp:revision>1</cp:revision>
  <dcterms:created xsi:type="dcterms:W3CDTF">2024-08-02T06:09:00Z</dcterms:created>
  <dcterms:modified xsi:type="dcterms:W3CDTF">2024-08-02T06:09:00Z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v=2022.1;a=SHA256;h=E95FA358F6CDD9D34A7A918BBC2F2D2130FF025A5406F835439B4765772CB39C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2024-06-21T08:55:13Z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57C4CDB39F66493F916F061CA946A661</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1DA1D369A9A92E18DBC231F6C3FFDBDA</vt:lpwstr>
  </property>
  <property fmtid="{D5CDD505-2E9C-101B-9397-08002B2CF9AE}" pid="26" name="PM_Hash_Salt">
    <vt:lpwstr>094F7FD464E14D9D95CB448FCDD1F750</vt:lpwstr>
  </property>
  <property fmtid="{D5CDD505-2E9C-101B-9397-08002B2CF9AE}" pid="27" name="PM_Hash_SHA1">
    <vt:lpwstr>1B7128E95E77568E161F71B38105A9F596D41472</vt:lpwstr>
  </property>
  <property fmtid="{D5CDD505-2E9C-101B-9397-08002B2CF9AE}" pid="28" name="PM_Caveats_Count">
    <vt:lpwstr>0</vt:lpwstr>
  </property>
</Properties>
</file>