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1F63" w14:textId="103FF228" w:rsidR="00450CA3" w:rsidRDefault="00751646" w:rsidP="001D7CD5">
      <w:pPr>
        <w:pStyle w:val="H1-Heading1"/>
        <w:spacing w:before="10800"/>
        <w:ind w:left="1701"/>
      </w:pPr>
      <w:r w:rsidRPr="00CB5E91">
        <w:t>A</w:t>
      </w:r>
      <w:r w:rsidR="003D5EE6">
        <w:t>u</w:t>
      </w:r>
      <w:r w:rsidRPr="00CB5E91">
        <w:t>stralia</w:t>
      </w:r>
      <w:r w:rsidR="00EE4A2B">
        <w:t xml:space="preserve"> </w:t>
      </w:r>
      <w:r w:rsidR="00576296">
        <w:t>–</w:t>
      </w:r>
      <w:r w:rsidR="00EE4A2B">
        <w:t xml:space="preserve"> </w:t>
      </w:r>
      <w:r w:rsidR="00AB41FF" w:rsidRPr="00736C59">
        <w:t>Philippines</w:t>
      </w:r>
    </w:p>
    <w:p w14:paraId="2E6920A1" w14:textId="00399352" w:rsidR="006C6405" w:rsidRPr="00CB5E91" w:rsidRDefault="00751646" w:rsidP="00450CA3">
      <w:pPr>
        <w:pStyle w:val="H1-Heading1"/>
        <w:ind w:left="1701"/>
      </w:pPr>
      <w:r w:rsidRPr="00305356">
        <w:rPr>
          <w:b w:val="0"/>
          <w:bCs w:val="0"/>
        </w:rPr>
        <w:t>Development Partnership</w:t>
      </w:r>
      <w:r w:rsidR="003844F2">
        <w:rPr>
          <w:b w:val="0"/>
          <w:bCs w:val="0"/>
        </w:rPr>
        <w:t xml:space="preserve"> </w:t>
      </w:r>
      <w:r w:rsidRPr="00305356">
        <w:rPr>
          <w:b w:val="0"/>
          <w:bCs w:val="0"/>
        </w:rPr>
        <w:t>Plan</w:t>
      </w:r>
      <w:r w:rsidR="003844F2">
        <w:rPr>
          <w:b w:val="0"/>
          <w:bCs w:val="0"/>
        </w:rPr>
        <w:t> </w:t>
      </w:r>
      <w:r w:rsidRPr="00305356">
        <w:rPr>
          <w:b w:val="0"/>
          <w:bCs w:val="0"/>
        </w:rPr>
        <w:t>2024</w:t>
      </w:r>
      <w:r w:rsidR="00E3139B">
        <w:rPr>
          <w:b w:val="0"/>
          <w:bCs w:val="0"/>
        </w:rPr>
        <w:t>–</w:t>
      </w:r>
      <w:r w:rsidR="00865B48">
        <w:rPr>
          <w:b w:val="0"/>
          <w:bCs w:val="0"/>
        </w:rPr>
        <w:t>20</w:t>
      </w:r>
      <w:r w:rsidR="00AB41FF" w:rsidRPr="00305356">
        <w:rPr>
          <w:b w:val="0"/>
          <w:bCs w:val="0"/>
        </w:rPr>
        <w:t>29</w:t>
      </w:r>
    </w:p>
    <w:p w14:paraId="51EC80DB" w14:textId="3BD55967" w:rsidR="00631AC4" w:rsidRDefault="0021791D" w:rsidP="00D16611">
      <w:pPr>
        <w:pStyle w:val="H2-Heading2"/>
        <w:spacing w:before="0" w:line="240" w:lineRule="auto"/>
        <w:ind w:right="-425"/>
        <w:rPr>
          <w:color w:val="313E48" w:themeColor="text2"/>
        </w:rPr>
      </w:pPr>
      <w:r w:rsidRPr="00CB5E91">
        <w:br w:type="page"/>
      </w:r>
      <w:r w:rsidR="004F6A9A" w:rsidRPr="00CB5E91">
        <w:rPr>
          <w:color w:val="313E48" w:themeColor="text2"/>
        </w:rPr>
        <w:lastRenderedPageBreak/>
        <w:t>S</w:t>
      </w:r>
      <w:r w:rsidR="004F6A9A">
        <w:rPr>
          <w:color w:val="313E48" w:themeColor="text2"/>
        </w:rPr>
        <w:t>ection</w:t>
      </w:r>
      <w:r w:rsidR="004F6A9A" w:rsidRPr="00CB5E91">
        <w:rPr>
          <w:color w:val="313E48" w:themeColor="text2"/>
        </w:rPr>
        <w:t xml:space="preserve"> </w:t>
      </w:r>
      <w:r w:rsidR="00AB41FF" w:rsidRPr="00CB5E91">
        <w:rPr>
          <w:color w:val="313E48" w:themeColor="text2"/>
        </w:rPr>
        <w:t xml:space="preserve">1: </w:t>
      </w:r>
      <w:r w:rsidR="00631AC4">
        <w:rPr>
          <w:color w:val="313E48" w:themeColor="text2"/>
        </w:rPr>
        <w:t>Introduction</w:t>
      </w:r>
    </w:p>
    <w:p w14:paraId="7D85DECD" w14:textId="3B79FD05" w:rsidR="00AB41FF" w:rsidRPr="00CB5E91" w:rsidRDefault="00AB41FF" w:rsidP="008B700F">
      <w:pPr>
        <w:pStyle w:val="H3-Heading3"/>
        <w:rPr>
          <w:rFonts w:ascii="Calibri Light" w:hAnsi="Calibri Light" w:cs="Calibri Light"/>
          <w:lang w:eastAsia="en-AU"/>
        </w:rPr>
      </w:pPr>
      <w:r w:rsidRPr="00CB5E91">
        <w:rPr>
          <w:lang w:eastAsia="en-AU"/>
        </w:rPr>
        <w:t>Australia’s partnership with the Philippines</w:t>
      </w:r>
    </w:p>
    <w:p w14:paraId="13C152C4" w14:textId="0CDBA8B4" w:rsidR="00AB41FF" w:rsidRPr="00CB5E91" w:rsidRDefault="00AB41FF" w:rsidP="00A554BE">
      <w:pPr>
        <w:rPr>
          <w:lang w:eastAsia="en-AU"/>
        </w:rPr>
      </w:pPr>
      <w:r w:rsidRPr="00CB5E91">
        <w:rPr>
          <w:lang w:eastAsia="en-AU"/>
        </w:rPr>
        <w:t xml:space="preserve">Australia and the Philippines have a strong and enduring partnership built </w:t>
      </w:r>
      <w:r w:rsidR="003D391F">
        <w:rPr>
          <w:lang w:eastAsia="en-AU"/>
        </w:rPr>
        <w:t>on more than</w:t>
      </w:r>
      <w:r w:rsidR="003D391F" w:rsidRPr="00CB5E91">
        <w:rPr>
          <w:lang w:eastAsia="en-AU"/>
        </w:rPr>
        <w:t xml:space="preserve"> </w:t>
      </w:r>
      <w:r w:rsidRPr="00CB5E91">
        <w:rPr>
          <w:lang w:eastAsia="en-AU"/>
        </w:rPr>
        <w:t>75</w:t>
      </w:r>
      <w:r w:rsidR="0056686F">
        <w:rPr>
          <w:lang w:eastAsia="en-AU"/>
        </w:rPr>
        <w:t> </w:t>
      </w:r>
      <w:r w:rsidRPr="00CB5E91">
        <w:rPr>
          <w:lang w:eastAsia="en-AU"/>
        </w:rPr>
        <w:t>years of bilateral cooperation</w:t>
      </w:r>
      <w:r w:rsidR="00A346BE">
        <w:rPr>
          <w:lang w:eastAsia="en-AU"/>
        </w:rPr>
        <w:t>,</w:t>
      </w:r>
      <w:r w:rsidR="00E210E8" w:rsidRPr="00CB5E91">
        <w:rPr>
          <w:lang w:eastAsia="en-AU"/>
        </w:rPr>
        <w:t xml:space="preserve"> including 50</w:t>
      </w:r>
      <w:r w:rsidR="00684231">
        <w:rPr>
          <w:lang w:eastAsia="en-AU"/>
        </w:rPr>
        <w:t> </w:t>
      </w:r>
      <w:r w:rsidR="00E210E8" w:rsidRPr="00CB5E91">
        <w:rPr>
          <w:lang w:eastAsia="en-AU"/>
        </w:rPr>
        <w:t>years of development cooperation</w:t>
      </w:r>
      <w:r w:rsidRPr="00CB5E91">
        <w:rPr>
          <w:lang w:eastAsia="en-AU"/>
        </w:rPr>
        <w:t>. In September</w:t>
      </w:r>
      <w:r w:rsidR="00FD3BA8">
        <w:rPr>
          <w:lang w:eastAsia="en-AU"/>
        </w:rPr>
        <w:t> </w:t>
      </w:r>
      <w:r w:rsidRPr="00CB5E91">
        <w:rPr>
          <w:lang w:eastAsia="en-AU"/>
        </w:rPr>
        <w:t xml:space="preserve">2023, </w:t>
      </w:r>
      <w:r w:rsidR="00E210E8" w:rsidRPr="00CB5E91">
        <w:rPr>
          <w:lang w:eastAsia="en-AU"/>
        </w:rPr>
        <w:t>this partnership was formally</w:t>
      </w:r>
      <w:r w:rsidRPr="00CB5E91">
        <w:rPr>
          <w:lang w:eastAsia="en-AU"/>
        </w:rPr>
        <w:t xml:space="preserve"> elevated to a Strategic Partnership.</w:t>
      </w:r>
      <w:r w:rsidR="007A7768">
        <w:rPr>
          <w:rStyle w:val="EndnoteReference"/>
          <w:lang w:eastAsia="en-AU"/>
        </w:rPr>
        <w:endnoteReference w:id="2"/>
      </w:r>
      <w:r w:rsidRPr="00CB5E91">
        <w:rPr>
          <w:lang w:eastAsia="en-AU"/>
        </w:rPr>
        <w:t xml:space="preserve"> Our Strategic Partnership is founded on shared democratic principles and a common vision for </w:t>
      </w:r>
      <w:r w:rsidR="00F40174">
        <w:rPr>
          <w:lang w:eastAsia="en-AU"/>
        </w:rPr>
        <w:t xml:space="preserve">a </w:t>
      </w:r>
      <w:r w:rsidR="009B7A07">
        <w:rPr>
          <w:lang w:eastAsia="en-AU"/>
        </w:rPr>
        <w:t xml:space="preserve">peaceful, stable and prosperous </w:t>
      </w:r>
      <w:r w:rsidRPr="00CB5E91">
        <w:rPr>
          <w:lang w:eastAsia="en-AU"/>
        </w:rPr>
        <w:t>region. It highlights the scope to build on our strong diplomatic and security cooperation, economic relations, and people</w:t>
      </w:r>
      <w:r w:rsidR="00D4124E">
        <w:rPr>
          <w:lang w:eastAsia="en-AU"/>
        </w:rPr>
        <w:noBreakHyphen/>
      </w:r>
      <w:r w:rsidRPr="00CB5E91">
        <w:rPr>
          <w:lang w:eastAsia="en-AU"/>
        </w:rPr>
        <w:t>to</w:t>
      </w:r>
      <w:r w:rsidR="00D4124E">
        <w:rPr>
          <w:lang w:eastAsia="en-AU"/>
        </w:rPr>
        <w:noBreakHyphen/>
      </w:r>
      <w:r w:rsidRPr="00CB5E91">
        <w:rPr>
          <w:lang w:eastAsia="en-AU"/>
        </w:rPr>
        <w:t xml:space="preserve">people links. </w:t>
      </w:r>
      <w:r w:rsidR="003000D5" w:rsidRPr="00CB5E91">
        <w:rPr>
          <w:lang w:eastAsia="en-AU"/>
        </w:rPr>
        <w:t>It</w:t>
      </w:r>
      <w:r w:rsidRPr="00CB5E91">
        <w:rPr>
          <w:lang w:eastAsia="en-AU"/>
        </w:rPr>
        <w:t xml:space="preserve"> lays the foundation for our two countries to </w:t>
      </w:r>
      <w:r w:rsidR="00F217DA" w:rsidRPr="00CB5E91">
        <w:rPr>
          <w:lang w:eastAsia="en-AU"/>
        </w:rPr>
        <w:t>increase</w:t>
      </w:r>
      <w:r w:rsidR="009B7A07">
        <w:rPr>
          <w:lang w:eastAsia="en-AU"/>
        </w:rPr>
        <w:t xml:space="preserve"> </w:t>
      </w:r>
      <w:r w:rsidR="00F217DA" w:rsidRPr="00CB5E91">
        <w:rPr>
          <w:lang w:eastAsia="en-AU"/>
        </w:rPr>
        <w:t>and refine our</w:t>
      </w:r>
      <w:r w:rsidR="00093EF0" w:rsidRPr="00CB5E91">
        <w:rPr>
          <w:lang w:eastAsia="en-AU"/>
        </w:rPr>
        <w:t xml:space="preserve"> development cooperation</w:t>
      </w:r>
      <w:r w:rsidR="009B7A07">
        <w:rPr>
          <w:lang w:eastAsia="en-AU"/>
        </w:rPr>
        <w:t xml:space="preserve">, continuing our longstanding support for the </w:t>
      </w:r>
      <w:r w:rsidRPr="00CB5E91">
        <w:rPr>
          <w:lang w:eastAsia="en-AU"/>
        </w:rPr>
        <w:t>Philippines</w:t>
      </w:r>
      <w:r w:rsidR="009B7A07">
        <w:rPr>
          <w:lang w:eastAsia="en-AU"/>
        </w:rPr>
        <w:t>’ development priorities.</w:t>
      </w:r>
    </w:p>
    <w:p w14:paraId="7A90D914" w14:textId="61E3A7FA" w:rsidR="00AB41FF" w:rsidRPr="00CB5E91" w:rsidRDefault="00AB41FF" w:rsidP="00951F86">
      <w:pPr>
        <w:pStyle w:val="H3-Heading3"/>
        <w:rPr>
          <w:lang w:eastAsia="en-AU"/>
        </w:rPr>
      </w:pPr>
      <w:r w:rsidRPr="00CB5E91">
        <w:rPr>
          <w:lang w:eastAsia="en-AU"/>
        </w:rPr>
        <w:t>Purpose of the Development Partnership Plan</w:t>
      </w:r>
    </w:p>
    <w:p w14:paraId="21E4D718" w14:textId="2229F178" w:rsidR="00AB41FF" w:rsidRPr="00CB5E91" w:rsidRDefault="00AB41FF" w:rsidP="00A554BE">
      <w:pPr>
        <w:rPr>
          <w:lang w:eastAsia="en-AU"/>
        </w:rPr>
      </w:pPr>
      <w:r w:rsidRPr="00CB5E91">
        <w:rPr>
          <w:lang w:eastAsia="en-AU"/>
        </w:rPr>
        <w:t xml:space="preserve">Australia’s </w:t>
      </w:r>
      <w:hyperlink r:id="rId11">
        <w:r w:rsidR="00C36F29">
          <w:rPr>
            <w:rStyle w:val="Hyperlink"/>
            <w:rFonts w:ascii="Calibri Light" w:hAnsi="Calibri Light" w:cs="Calibri Light"/>
            <w:lang w:eastAsia="en-AU"/>
          </w:rPr>
          <w:t>I</w:t>
        </w:r>
        <w:r w:rsidRPr="00CB5E91">
          <w:rPr>
            <w:rStyle w:val="Hyperlink"/>
            <w:rFonts w:ascii="Calibri Light" w:hAnsi="Calibri Light" w:cs="Calibri Light"/>
            <w:lang w:eastAsia="en-AU"/>
          </w:rPr>
          <w:t xml:space="preserve">nternational </w:t>
        </w:r>
        <w:r w:rsidR="00C36F29">
          <w:rPr>
            <w:rStyle w:val="Hyperlink"/>
            <w:rFonts w:ascii="Calibri Light" w:hAnsi="Calibri Light" w:cs="Calibri Light"/>
            <w:lang w:eastAsia="en-AU"/>
          </w:rPr>
          <w:t>D</w:t>
        </w:r>
        <w:r w:rsidRPr="00CB5E91">
          <w:rPr>
            <w:rStyle w:val="Hyperlink"/>
            <w:rFonts w:ascii="Calibri Light" w:hAnsi="Calibri Light" w:cs="Calibri Light"/>
            <w:lang w:eastAsia="en-AU"/>
          </w:rPr>
          <w:t xml:space="preserve">evelopment </w:t>
        </w:r>
        <w:r w:rsidR="00C36F29">
          <w:rPr>
            <w:rStyle w:val="Hyperlink"/>
            <w:rFonts w:ascii="Calibri Light" w:hAnsi="Calibri Light" w:cs="Calibri Light"/>
            <w:lang w:eastAsia="en-AU"/>
          </w:rPr>
          <w:t>P</w:t>
        </w:r>
        <w:r w:rsidRPr="00CB5E91">
          <w:rPr>
            <w:rStyle w:val="Hyperlink"/>
            <w:rFonts w:ascii="Calibri Light" w:hAnsi="Calibri Light" w:cs="Calibri Light"/>
            <w:lang w:eastAsia="en-AU"/>
          </w:rPr>
          <w:t>olicy</w:t>
        </w:r>
      </w:hyperlink>
      <w:r w:rsidRPr="00CB5E91">
        <w:rPr>
          <w:lang w:eastAsia="en-AU"/>
        </w:rPr>
        <w:t xml:space="preserve"> presents a long-term vision for how the development program will meet the critical needs of our partners</w:t>
      </w:r>
      <w:r w:rsidRPr="00CB5E91">
        <w:rPr>
          <w:rFonts w:eastAsia="Calibri Light"/>
        </w:rPr>
        <w:t>, support sustainable development and help lift people out of poverty</w:t>
      </w:r>
      <w:r w:rsidRPr="00CB5E91">
        <w:rPr>
          <w:lang w:eastAsia="en-AU"/>
        </w:rPr>
        <w:t>. Australia seeks relationships based on respect and partnerships that create economic and social value for us all. To achieve this, Australia supports our partners to:</w:t>
      </w:r>
    </w:p>
    <w:p w14:paraId="631C6CE3" w14:textId="1E887381" w:rsidR="00AB41FF" w:rsidRPr="00CB5E91" w:rsidRDefault="00E3139B" w:rsidP="00A554BE">
      <w:pPr>
        <w:pStyle w:val="NormalBullets-L1"/>
      </w:pPr>
      <w:r>
        <w:t>b</w:t>
      </w:r>
      <w:r w:rsidR="00AB41FF" w:rsidRPr="00CB5E91">
        <w:t>uild effective, accountable states that drive their own development</w:t>
      </w:r>
    </w:p>
    <w:p w14:paraId="548A3102" w14:textId="3AC504F7" w:rsidR="00AB41FF" w:rsidRPr="00CB5E91" w:rsidRDefault="00E3139B" w:rsidP="00A554BE">
      <w:pPr>
        <w:pStyle w:val="NormalBullets-L1"/>
      </w:pPr>
      <w:r>
        <w:t>e</w:t>
      </w:r>
      <w:r w:rsidR="00AB41FF" w:rsidRPr="00CB5E91">
        <w:t>nhance state and community resilience to external pressures and shocks</w:t>
      </w:r>
    </w:p>
    <w:p w14:paraId="5486ECD2" w14:textId="792D8EA3" w:rsidR="00AB41FF" w:rsidRPr="00CB5E91" w:rsidRDefault="00E3139B" w:rsidP="00A554BE">
      <w:pPr>
        <w:pStyle w:val="NormalBullets-L1"/>
      </w:pPr>
      <w:r>
        <w:t>c</w:t>
      </w:r>
      <w:r w:rsidR="00AB41FF" w:rsidRPr="00CB5E91">
        <w:t>onnect with Australia and regional architecture</w:t>
      </w:r>
    </w:p>
    <w:p w14:paraId="57381EFC" w14:textId="63C5FC13" w:rsidR="00AB41FF" w:rsidRPr="00CB5E91" w:rsidRDefault="00E3139B" w:rsidP="00A554BE">
      <w:pPr>
        <w:pStyle w:val="NormalBullets-L1"/>
      </w:pPr>
      <w:r>
        <w:t>g</w:t>
      </w:r>
      <w:r w:rsidR="00AB41FF" w:rsidRPr="00CB5E91">
        <w:t>enerate collective action on global challenges that impact us and our region.</w:t>
      </w:r>
    </w:p>
    <w:p w14:paraId="1F099C90" w14:textId="75B01090" w:rsidR="00AB41FF" w:rsidRPr="00CB5E91" w:rsidRDefault="00AB41FF" w:rsidP="00A554BE">
      <w:pPr>
        <w:rPr>
          <w:lang w:eastAsia="en-AU"/>
        </w:rPr>
      </w:pPr>
      <w:r w:rsidRPr="00CB5E91">
        <w:rPr>
          <w:lang w:eastAsia="en-AU"/>
        </w:rPr>
        <w:t xml:space="preserve">The </w:t>
      </w:r>
      <w:r w:rsidRPr="008B700F">
        <w:rPr>
          <w:lang w:eastAsia="en-AU"/>
        </w:rPr>
        <w:t>Australia</w:t>
      </w:r>
      <w:r w:rsidR="00FE1C3F">
        <w:rPr>
          <w:lang w:eastAsia="en-AU"/>
        </w:rPr>
        <w:t xml:space="preserve"> </w:t>
      </w:r>
      <w:r w:rsidR="003438B0" w:rsidRPr="008B700F">
        <w:rPr>
          <w:lang w:eastAsia="en-AU"/>
        </w:rPr>
        <w:t>–</w:t>
      </w:r>
      <w:r w:rsidR="00FE1C3F">
        <w:rPr>
          <w:lang w:eastAsia="en-AU"/>
        </w:rPr>
        <w:t xml:space="preserve"> </w:t>
      </w:r>
      <w:r w:rsidRPr="008B700F">
        <w:rPr>
          <w:lang w:eastAsia="en-AU"/>
        </w:rPr>
        <w:t>Philippines Development Partnership Plan 2024</w:t>
      </w:r>
      <w:r w:rsidR="00E3139B" w:rsidRPr="008B700F">
        <w:rPr>
          <w:lang w:eastAsia="en-AU"/>
        </w:rPr>
        <w:t>–</w:t>
      </w:r>
      <w:r w:rsidRPr="008B700F">
        <w:rPr>
          <w:lang w:eastAsia="en-AU"/>
        </w:rPr>
        <w:t>2029</w:t>
      </w:r>
      <w:r w:rsidRPr="00867602">
        <w:rPr>
          <w:lang w:eastAsia="en-AU"/>
        </w:rPr>
        <w:t xml:space="preserve"> </w:t>
      </w:r>
      <w:r w:rsidRPr="008B700F">
        <w:rPr>
          <w:lang w:eastAsia="en-AU"/>
        </w:rPr>
        <w:t>(DPP)</w:t>
      </w:r>
      <w:r w:rsidRPr="00CB5E91">
        <w:rPr>
          <w:b/>
          <w:bCs/>
          <w:lang w:eastAsia="en-AU"/>
        </w:rPr>
        <w:t xml:space="preserve"> </w:t>
      </w:r>
      <w:r w:rsidRPr="00CB5E91">
        <w:rPr>
          <w:lang w:eastAsia="en-AU"/>
        </w:rPr>
        <w:t xml:space="preserve">translates into action the development priorities Australia shares with the Philippines. The DPP sets out agreed objectives, how we will work together to deliver </w:t>
      </w:r>
      <w:r w:rsidR="004F53F0">
        <w:rPr>
          <w:lang w:eastAsia="en-AU"/>
        </w:rPr>
        <w:t xml:space="preserve">shared </w:t>
      </w:r>
      <w:r w:rsidRPr="00CB5E91">
        <w:rPr>
          <w:lang w:eastAsia="en-AU"/>
        </w:rPr>
        <w:t>outcomes, and how progress</w:t>
      </w:r>
      <w:r w:rsidR="00B3456F">
        <w:rPr>
          <w:lang w:eastAsia="en-AU"/>
        </w:rPr>
        <w:t xml:space="preserve"> will be monitored</w:t>
      </w:r>
      <w:r w:rsidRPr="00CB5E91">
        <w:rPr>
          <w:lang w:eastAsia="en-AU"/>
        </w:rPr>
        <w:t xml:space="preserve">. It </w:t>
      </w:r>
      <w:r w:rsidR="00B3456F">
        <w:rPr>
          <w:lang w:eastAsia="en-AU"/>
        </w:rPr>
        <w:t xml:space="preserve">also </w:t>
      </w:r>
      <w:r w:rsidRPr="00CB5E91">
        <w:rPr>
          <w:lang w:eastAsia="en-AU"/>
        </w:rPr>
        <w:t xml:space="preserve">identifies where Australia can add value to the Philippines’ national development priorities and how Australia will work with other development actors, ensuring </w:t>
      </w:r>
      <w:r w:rsidR="00DA3782">
        <w:rPr>
          <w:lang w:eastAsia="en-AU"/>
        </w:rPr>
        <w:t xml:space="preserve">the </w:t>
      </w:r>
      <w:r w:rsidRPr="00CB5E91">
        <w:rPr>
          <w:lang w:eastAsia="en-AU"/>
        </w:rPr>
        <w:t>Australia</w:t>
      </w:r>
      <w:r w:rsidR="00DA3782">
        <w:rPr>
          <w:lang w:eastAsia="en-AU"/>
        </w:rPr>
        <w:t>n</w:t>
      </w:r>
      <w:r w:rsidR="002A0FF0">
        <w:rPr>
          <w:lang w:eastAsia="en-AU"/>
        </w:rPr>
        <w:t xml:space="preserve"> G</w:t>
      </w:r>
      <w:r w:rsidRPr="00CB5E91">
        <w:rPr>
          <w:lang w:eastAsia="en-AU"/>
        </w:rPr>
        <w:t>overnment contribution to the Philippines’ development ambitions is well</w:t>
      </w:r>
      <w:r w:rsidR="009D7076">
        <w:rPr>
          <w:lang w:eastAsia="en-AU"/>
        </w:rPr>
        <w:t xml:space="preserve"> </w:t>
      </w:r>
      <w:r w:rsidRPr="00CB5E91">
        <w:rPr>
          <w:lang w:eastAsia="en-AU"/>
        </w:rPr>
        <w:t>coordinated.</w:t>
      </w:r>
    </w:p>
    <w:p w14:paraId="4EC8132F" w14:textId="23651916" w:rsidR="00AB41FF" w:rsidRDefault="00AB41FF" w:rsidP="00D62B4E">
      <w:pPr>
        <w:rPr>
          <w:lang w:eastAsia="en-AU"/>
        </w:rPr>
      </w:pPr>
      <w:r w:rsidRPr="00CB5E91">
        <w:rPr>
          <w:lang w:eastAsia="en-AU"/>
        </w:rPr>
        <w:t xml:space="preserve">The </w:t>
      </w:r>
      <w:r w:rsidRPr="008B700F">
        <w:t xml:space="preserve">DPP reflects </w:t>
      </w:r>
      <w:r w:rsidRPr="00D62B4E">
        <w:t xml:space="preserve">the full spectrum of Australia’s development support – </w:t>
      </w:r>
      <w:r w:rsidR="00D26F14">
        <w:t xml:space="preserve">Australian Government bilateral </w:t>
      </w:r>
      <w:r w:rsidRPr="008B700F">
        <w:t>Official Development Assistance (ODA)</w:t>
      </w:r>
      <w:r w:rsidR="006574BE" w:rsidRPr="008B700F">
        <w:t xml:space="preserve"> </w:t>
      </w:r>
      <w:r w:rsidR="00555A5D" w:rsidRPr="008B700F">
        <w:t>as well as significant regional and global ODA and non</w:t>
      </w:r>
      <w:r w:rsidR="007B53DE">
        <w:noBreakHyphen/>
      </w:r>
      <w:r w:rsidR="00555A5D" w:rsidRPr="008B700F">
        <w:t>ODA development activities. A commitment to ongoing dialogue and engagement with government and non</w:t>
      </w:r>
      <w:r w:rsidR="007B53DE">
        <w:noBreakHyphen/>
      </w:r>
      <w:r w:rsidR="00D26F14">
        <w:t>government</w:t>
      </w:r>
      <w:r w:rsidR="00D26F14" w:rsidRPr="008B700F">
        <w:t xml:space="preserve"> </w:t>
      </w:r>
      <w:r w:rsidR="00555A5D" w:rsidRPr="008B700F">
        <w:t>actors in support of a genuine and respectful partnership underpins this DPP. A mid</w:t>
      </w:r>
      <w:r w:rsidR="007B53DE">
        <w:noBreakHyphen/>
      </w:r>
      <w:r w:rsidR="00555A5D" w:rsidRPr="008B700F">
        <w:t>cycle review of the DPP will be</w:t>
      </w:r>
      <w:r w:rsidR="004F18E5">
        <w:t> </w:t>
      </w:r>
      <w:r w:rsidR="00555A5D" w:rsidRPr="008B700F">
        <w:t>undertaken.</w:t>
      </w:r>
    </w:p>
    <w:p w14:paraId="4A1A820E" w14:textId="64FA2E34" w:rsidR="00220D47" w:rsidRPr="00A97E9F" w:rsidRDefault="00220D47" w:rsidP="00220D47">
      <w:pPr>
        <w:rPr>
          <w:rFonts w:ascii="Calibri" w:hAnsi="Calibri"/>
          <w:lang w:eastAsia="en-AU"/>
        </w:rPr>
      </w:pPr>
      <w:r w:rsidRPr="00A97E9F">
        <w:t>The DPP explains how the Australia</w:t>
      </w:r>
      <w:r w:rsidR="009D7076" w:rsidRPr="00A97E9F">
        <w:t xml:space="preserve"> </w:t>
      </w:r>
      <w:r w:rsidRPr="00A97E9F">
        <w:t>–</w:t>
      </w:r>
      <w:r w:rsidR="009D7076" w:rsidRPr="00A97E9F">
        <w:t xml:space="preserve"> </w:t>
      </w:r>
      <w:r w:rsidRPr="00A97E9F">
        <w:t xml:space="preserve">Philippines development partnership </w:t>
      </w:r>
      <w:r w:rsidR="00CB3919">
        <w:t xml:space="preserve">will adapt to </w:t>
      </w:r>
      <w:r w:rsidR="005978DC" w:rsidRPr="00A97E9F">
        <w:t>support</w:t>
      </w:r>
      <w:r w:rsidR="007716BC" w:rsidRPr="00A97E9F">
        <w:t xml:space="preserve"> </w:t>
      </w:r>
      <w:r w:rsidRPr="00A97E9F">
        <w:t>our shared ambitions, including by:</w:t>
      </w:r>
    </w:p>
    <w:p w14:paraId="23FA9C9C" w14:textId="08417597" w:rsidR="009914E3" w:rsidRPr="00A97E9F" w:rsidRDefault="00711051" w:rsidP="00FE73AA">
      <w:pPr>
        <w:pStyle w:val="NormalBullets-L1"/>
      </w:pPr>
      <w:r w:rsidRPr="00A97E9F">
        <w:t>establishing a new</w:t>
      </w:r>
      <w:r w:rsidR="009914E3" w:rsidRPr="00A97E9F">
        <w:t xml:space="preserve"> economic growth and private sector development </w:t>
      </w:r>
      <w:r w:rsidRPr="00A97E9F">
        <w:t>program</w:t>
      </w:r>
    </w:p>
    <w:p w14:paraId="035A91D5" w14:textId="015911F0" w:rsidR="004E5986" w:rsidRPr="00A97E9F" w:rsidRDefault="004E5986" w:rsidP="00FE73AA">
      <w:pPr>
        <w:pStyle w:val="NormalBullets-L1"/>
      </w:pPr>
      <w:r w:rsidRPr="00A97E9F">
        <w:t>reorientating our longstanding education partnership towards developing skills and improving the job</w:t>
      </w:r>
      <w:r w:rsidR="008859B4" w:rsidRPr="00A97E9F">
        <w:t xml:space="preserve"> </w:t>
      </w:r>
      <w:r w:rsidRPr="00A97E9F">
        <w:t>readiness of young Filipinos</w:t>
      </w:r>
    </w:p>
    <w:p w14:paraId="68F4F381" w14:textId="09E6F8C9" w:rsidR="00220D47" w:rsidRPr="00A97E9F" w:rsidRDefault="00711051" w:rsidP="00FE73AA">
      <w:pPr>
        <w:pStyle w:val="NormalBullets-L1"/>
      </w:pPr>
      <w:r w:rsidRPr="00A97E9F">
        <w:t>shifting the emphasis of our stability-focused programming toward</w:t>
      </w:r>
      <w:r w:rsidR="00764264" w:rsidRPr="00A97E9F">
        <w:t>s</w:t>
      </w:r>
      <w:r w:rsidRPr="00A97E9F">
        <w:t xml:space="preserve"> </w:t>
      </w:r>
      <w:r w:rsidR="00220D47" w:rsidRPr="00A97E9F">
        <w:t>civil</w:t>
      </w:r>
      <w:r w:rsidR="00A97E9F" w:rsidRPr="00A97E9F">
        <w:t xml:space="preserve"> </w:t>
      </w:r>
      <w:r w:rsidR="00220D47" w:rsidRPr="00A97E9F">
        <w:t>maritime cooperation</w:t>
      </w:r>
    </w:p>
    <w:p w14:paraId="10372F2A" w14:textId="555F6ACA" w:rsidR="003E2FCA" w:rsidRPr="00A97E9F" w:rsidRDefault="003E2FCA" w:rsidP="00FE73AA">
      <w:pPr>
        <w:pStyle w:val="NormalBullets-L1"/>
      </w:pPr>
      <w:r w:rsidRPr="00A97E9F">
        <w:t>continuing to support peacebuilding in the Bangsamoro Autonomous Region of Muslim Mindanao (BARMM) until conditions allow this work to be integrated into our other programs</w:t>
      </w:r>
    </w:p>
    <w:p w14:paraId="423E4464" w14:textId="676D49E3" w:rsidR="00B93F89" w:rsidRPr="00A97E9F" w:rsidRDefault="00B93F89" w:rsidP="00FE73AA">
      <w:pPr>
        <w:pStyle w:val="NormalBullets-L1"/>
      </w:pPr>
      <w:r w:rsidRPr="00A97E9F">
        <w:t>significantly growing our investment in climate change adaptation and mitigation</w:t>
      </w:r>
    </w:p>
    <w:p w14:paraId="2C5EC086" w14:textId="58FBD3D3" w:rsidR="00220D47" w:rsidRPr="00A97E9F" w:rsidRDefault="00EC274D" w:rsidP="00FE73AA">
      <w:pPr>
        <w:pStyle w:val="NormalBullets-L1"/>
      </w:pPr>
      <w:r w:rsidRPr="00A97E9F">
        <w:t xml:space="preserve">establishing a new program to </w:t>
      </w:r>
      <w:r w:rsidR="00220D47" w:rsidRPr="00A97E9F">
        <w:t xml:space="preserve">step up our </w:t>
      </w:r>
      <w:r w:rsidR="005C13A4">
        <w:t xml:space="preserve">contribution to </w:t>
      </w:r>
      <w:r w:rsidR="00220D47" w:rsidRPr="00A97E9F">
        <w:t xml:space="preserve">social protection </w:t>
      </w:r>
      <w:r w:rsidRPr="00A97E9F">
        <w:t>and gender equality</w:t>
      </w:r>
    </w:p>
    <w:p w14:paraId="4A0C9F88" w14:textId="4FFA3D89" w:rsidR="00220D47" w:rsidRPr="00A97E9F" w:rsidRDefault="00220D47" w:rsidP="00FE73AA">
      <w:pPr>
        <w:pStyle w:val="NormalBullets-L1"/>
      </w:pPr>
      <w:r w:rsidRPr="00A97E9F">
        <w:t>intensifying efforts to promote gender equality, disability equity</w:t>
      </w:r>
      <w:r w:rsidR="000440C4" w:rsidRPr="00A97E9F">
        <w:t xml:space="preserve">, the rights of </w:t>
      </w:r>
      <w:r w:rsidR="00244B1D" w:rsidRPr="00A97E9F">
        <w:t>I</w:t>
      </w:r>
      <w:r w:rsidR="000440C4" w:rsidRPr="00A97E9F">
        <w:t>ndigenous peoples</w:t>
      </w:r>
      <w:r w:rsidRPr="00A97E9F">
        <w:t xml:space="preserve"> and social inclusion in all facets of our development cooperation</w:t>
      </w:r>
    </w:p>
    <w:p w14:paraId="68D1638F" w14:textId="1F51E522" w:rsidR="00672A6D" w:rsidRPr="00E47DA4" w:rsidRDefault="00220D47" w:rsidP="00FE73AA">
      <w:pPr>
        <w:pStyle w:val="NormalBullets-L1"/>
        <w:rPr>
          <w:lang w:eastAsia="en-US"/>
        </w:rPr>
      </w:pPr>
      <w:r w:rsidRPr="00A97E9F">
        <w:lastRenderedPageBreak/>
        <w:t>renewing and elevating our commitment to locally led development.</w:t>
      </w:r>
    </w:p>
    <w:p w14:paraId="6C94C7DD" w14:textId="77777777" w:rsidR="00AB41FF" w:rsidRPr="00CB5E91" w:rsidRDefault="00AB41FF" w:rsidP="00A554BE">
      <w:pPr>
        <w:pStyle w:val="H3-Heading3"/>
        <w:rPr>
          <w:lang w:eastAsia="en-AU"/>
        </w:rPr>
      </w:pPr>
      <w:r w:rsidRPr="00CB5E91">
        <w:rPr>
          <w:lang w:eastAsia="en-AU"/>
        </w:rPr>
        <w:t xml:space="preserve">Preparing the Development </w:t>
      </w:r>
      <w:r w:rsidRPr="00A554BE">
        <w:t>Partnership</w:t>
      </w:r>
      <w:r w:rsidRPr="00CB5E91">
        <w:rPr>
          <w:lang w:eastAsia="en-AU"/>
        </w:rPr>
        <w:t xml:space="preserve"> Plan</w:t>
      </w:r>
    </w:p>
    <w:p w14:paraId="53082118" w14:textId="44AAE2C0" w:rsidR="000A0E17" w:rsidRDefault="00AB41FF" w:rsidP="00A554BE">
      <w:pPr>
        <w:rPr>
          <w:lang w:eastAsia="en-AU"/>
        </w:rPr>
      </w:pPr>
      <w:r w:rsidRPr="00CB5E91">
        <w:rPr>
          <w:lang w:eastAsia="en-AU"/>
        </w:rPr>
        <w:t xml:space="preserve">Australia has prepared </w:t>
      </w:r>
      <w:r w:rsidR="00C633D5">
        <w:rPr>
          <w:lang w:eastAsia="en-AU"/>
        </w:rPr>
        <w:t>this</w:t>
      </w:r>
      <w:r w:rsidRPr="00CB5E91">
        <w:rPr>
          <w:lang w:eastAsia="en-AU"/>
        </w:rPr>
        <w:t xml:space="preserve"> DPP through consultation with a wide variety of stakeholders. As the key Philippine Government partner and counterpart</w:t>
      </w:r>
      <w:r w:rsidR="00394F15">
        <w:rPr>
          <w:lang w:eastAsia="en-AU"/>
        </w:rPr>
        <w:t xml:space="preserve"> to </w:t>
      </w:r>
      <w:r w:rsidR="002C7A66">
        <w:rPr>
          <w:lang w:eastAsia="en-AU"/>
        </w:rPr>
        <w:t>the Australian Government Department of Foreign Affairs and Trade (</w:t>
      </w:r>
      <w:r w:rsidR="00394F15">
        <w:rPr>
          <w:lang w:eastAsia="en-AU"/>
        </w:rPr>
        <w:t>DFAT</w:t>
      </w:r>
      <w:r w:rsidR="002C7A66">
        <w:rPr>
          <w:lang w:eastAsia="en-AU"/>
        </w:rPr>
        <w:t>)</w:t>
      </w:r>
      <w:r w:rsidRPr="00CB5E91">
        <w:rPr>
          <w:lang w:eastAsia="en-AU"/>
        </w:rPr>
        <w:t xml:space="preserve">, the National Economic and Development Authority (NEDA) has played a central role in analysing proposed DPP objectives and </w:t>
      </w:r>
      <w:r w:rsidR="0002489D">
        <w:rPr>
          <w:lang w:eastAsia="en-AU"/>
        </w:rPr>
        <w:t>coordinating</w:t>
      </w:r>
      <w:r w:rsidR="0002489D" w:rsidRPr="00CB5E91">
        <w:rPr>
          <w:lang w:eastAsia="en-AU"/>
        </w:rPr>
        <w:t xml:space="preserve"> </w:t>
      </w:r>
      <w:r w:rsidRPr="00CB5E91">
        <w:rPr>
          <w:lang w:eastAsia="en-AU"/>
        </w:rPr>
        <w:t>Philippine Government inputs. In November</w:t>
      </w:r>
      <w:r w:rsidR="00C633D5">
        <w:rPr>
          <w:lang w:eastAsia="en-AU"/>
        </w:rPr>
        <w:t> </w:t>
      </w:r>
      <w:r w:rsidRPr="00CB5E91">
        <w:rPr>
          <w:lang w:eastAsia="en-AU"/>
        </w:rPr>
        <w:t>2023, we held a Philippine Government consultation workshop with representation from 27</w:t>
      </w:r>
      <w:r w:rsidR="00001450">
        <w:rPr>
          <w:lang w:eastAsia="en-AU"/>
        </w:rPr>
        <w:t> </w:t>
      </w:r>
      <w:r w:rsidRPr="00CB5E91">
        <w:rPr>
          <w:lang w:eastAsia="en-AU"/>
        </w:rPr>
        <w:t>national government agencies.</w:t>
      </w:r>
    </w:p>
    <w:p w14:paraId="22C468AA" w14:textId="5796EAE3" w:rsidR="00AB41FF" w:rsidRPr="00CB5E91" w:rsidRDefault="00AB41FF" w:rsidP="00A554BE">
      <w:pPr>
        <w:rPr>
          <w:color w:val="313D47"/>
          <w:lang w:eastAsia="en-AU"/>
        </w:rPr>
      </w:pPr>
      <w:r w:rsidRPr="00CB5E91">
        <w:rPr>
          <w:lang w:eastAsia="en-AU"/>
        </w:rPr>
        <w:t>In December</w:t>
      </w:r>
      <w:r w:rsidR="00001450">
        <w:rPr>
          <w:lang w:eastAsia="en-AU"/>
        </w:rPr>
        <w:t> </w:t>
      </w:r>
      <w:r w:rsidRPr="00CB5E91">
        <w:rPr>
          <w:lang w:eastAsia="en-AU"/>
        </w:rPr>
        <w:t xml:space="preserve">2023, we held consultations with </w:t>
      </w:r>
      <w:r w:rsidR="000A0E17">
        <w:rPr>
          <w:lang w:eastAsia="en-AU"/>
        </w:rPr>
        <w:t xml:space="preserve">more than </w:t>
      </w:r>
      <w:r w:rsidRPr="00CB5E91">
        <w:rPr>
          <w:lang w:eastAsia="en-AU"/>
        </w:rPr>
        <w:t>50</w:t>
      </w:r>
      <w:r w:rsidR="00001450">
        <w:rPr>
          <w:lang w:eastAsia="en-AU"/>
        </w:rPr>
        <w:t> </w:t>
      </w:r>
      <w:r w:rsidRPr="00CB5E91">
        <w:rPr>
          <w:lang w:eastAsia="en-AU"/>
        </w:rPr>
        <w:t xml:space="preserve">stakeholders across civil society organisations, development partners including the World Bank and </w:t>
      </w:r>
      <w:r w:rsidR="000A0E17">
        <w:rPr>
          <w:lang w:eastAsia="en-AU"/>
        </w:rPr>
        <w:t xml:space="preserve">United Nations </w:t>
      </w:r>
      <w:r w:rsidRPr="00CB5E91">
        <w:rPr>
          <w:lang w:eastAsia="en-AU"/>
        </w:rPr>
        <w:t xml:space="preserve">agencies, private sector partners, academia and development implementing organisations. We </w:t>
      </w:r>
      <w:r w:rsidR="007E3005">
        <w:rPr>
          <w:lang w:eastAsia="en-AU"/>
        </w:rPr>
        <w:t>consulted</w:t>
      </w:r>
      <w:r w:rsidRPr="00CB5E91">
        <w:rPr>
          <w:lang w:eastAsia="en-AU"/>
        </w:rPr>
        <w:t xml:space="preserve"> with the Mindanao Development Authority and the Bangsamoro Planning and Development Authority</w:t>
      </w:r>
      <w:r w:rsidRPr="00CB5E91">
        <w:rPr>
          <w:color w:val="313D47"/>
          <w:lang w:eastAsia="en-AU"/>
        </w:rPr>
        <w:t>.</w:t>
      </w:r>
    </w:p>
    <w:p w14:paraId="63F01381" w14:textId="38F814A7" w:rsidR="00831FB8" w:rsidRDefault="00AB41FF" w:rsidP="00D62B4E">
      <w:pPr>
        <w:rPr>
          <w:lang w:eastAsia="en-AU"/>
        </w:rPr>
      </w:pPr>
      <w:r w:rsidRPr="00CB5E91">
        <w:rPr>
          <w:lang w:eastAsia="en-AU"/>
        </w:rPr>
        <w:t xml:space="preserve">The </w:t>
      </w:r>
      <w:r w:rsidR="007E3005">
        <w:rPr>
          <w:lang w:eastAsia="en-AU"/>
        </w:rPr>
        <w:t>analysis</w:t>
      </w:r>
      <w:r w:rsidRPr="00CB5E91">
        <w:rPr>
          <w:lang w:eastAsia="en-AU"/>
        </w:rPr>
        <w:t xml:space="preserve"> underpinning the DPP was also informed by a stakeholder survey,</w:t>
      </w:r>
      <w:r w:rsidR="00A07826">
        <w:rPr>
          <w:rStyle w:val="EndnoteReference"/>
          <w:lang w:eastAsia="en-AU"/>
        </w:rPr>
        <w:endnoteReference w:id="3"/>
      </w:r>
      <w:r w:rsidRPr="00CB5E91">
        <w:rPr>
          <w:lang w:eastAsia="en-AU"/>
        </w:rPr>
        <w:t xml:space="preserve"> conducted by the Development Intelligence Lab, and consultation by DFAT’s Office of Southeast Asia</w:t>
      </w:r>
      <w:r w:rsidR="00741BC7" w:rsidRPr="00CB5E91">
        <w:rPr>
          <w:lang w:eastAsia="en-AU"/>
        </w:rPr>
        <w:t xml:space="preserve"> </w:t>
      </w:r>
      <w:r w:rsidRPr="00CB5E91">
        <w:rPr>
          <w:lang w:eastAsia="en-AU"/>
        </w:rPr>
        <w:t>with Australian Government agencies, civil society organisations and development partners.</w:t>
      </w:r>
    </w:p>
    <w:p w14:paraId="5BB9D99E" w14:textId="77777777" w:rsidR="00831FB8" w:rsidRDefault="00831FB8">
      <w:pPr>
        <w:spacing w:before="0" w:after="0" w:line="240" w:lineRule="auto"/>
        <w:rPr>
          <w:rFonts w:ascii="Calibri Light" w:hAnsi="Calibri Light" w:cs="Calibri Light"/>
          <w:color w:val="313D47"/>
          <w:lang w:eastAsia="en-AU"/>
        </w:rPr>
      </w:pPr>
      <w:r>
        <w:rPr>
          <w:rFonts w:ascii="Calibri Light" w:hAnsi="Calibri Light" w:cs="Calibri Light"/>
          <w:color w:val="313D47"/>
          <w:lang w:eastAsia="en-AU"/>
        </w:rPr>
        <w:br w:type="page"/>
      </w:r>
    </w:p>
    <w:p w14:paraId="0C291C39" w14:textId="203D1EF7" w:rsidR="00AB41FF" w:rsidRPr="00CB5E91" w:rsidRDefault="00AB41FF" w:rsidP="00A554BE">
      <w:pPr>
        <w:pStyle w:val="H2-Heading2"/>
        <w:rPr>
          <w:rFonts w:ascii="Segoe UI" w:hAnsi="Segoe UI" w:cs="Segoe UI"/>
          <w:sz w:val="18"/>
          <w:szCs w:val="18"/>
          <w:lang w:eastAsia="en-AU"/>
        </w:rPr>
      </w:pPr>
      <w:r w:rsidRPr="00CB5E91">
        <w:rPr>
          <w:lang w:eastAsia="en-AU"/>
        </w:rPr>
        <w:lastRenderedPageBreak/>
        <w:t>Section 2: P</w:t>
      </w:r>
      <w:r w:rsidR="00410C72" w:rsidRPr="00CB5E91">
        <w:rPr>
          <w:lang w:eastAsia="en-AU"/>
        </w:rPr>
        <w:t>hilippines</w:t>
      </w:r>
      <w:r w:rsidRPr="00CB5E91">
        <w:rPr>
          <w:lang w:eastAsia="en-AU"/>
        </w:rPr>
        <w:t xml:space="preserve"> development context </w:t>
      </w:r>
      <w:r w:rsidR="00410C72">
        <w:rPr>
          <w:lang w:eastAsia="en-AU"/>
        </w:rPr>
        <w:t>and Australian</w:t>
      </w:r>
      <w:r w:rsidR="00FF5FFF">
        <w:rPr>
          <w:lang w:eastAsia="en-AU"/>
        </w:rPr>
        <w:t> </w:t>
      </w:r>
      <w:r w:rsidR="00410C72">
        <w:rPr>
          <w:lang w:eastAsia="en-AU"/>
        </w:rPr>
        <w:t>partnership</w:t>
      </w:r>
    </w:p>
    <w:p w14:paraId="6283046E" w14:textId="1D0D6870" w:rsidR="006574BE" w:rsidRPr="00CB5E91" w:rsidRDefault="00AB41FF" w:rsidP="00B028C4">
      <w:pPr>
        <w:rPr>
          <w:lang w:eastAsia="en-AU"/>
        </w:rPr>
      </w:pPr>
      <w:r w:rsidRPr="00CB5E91">
        <w:rPr>
          <w:lang w:eastAsia="en-AU"/>
        </w:rPr>
        <w:t xml:space="preserve">The Philippines has made significant progress on poverty reduction, economic growth and human </w:t>
      </w:r>
      <w:r w:rsidR="003C7D4B">
        <w:rPr>
          <w:lang w:eastAsia="en-AU"/>
        </w:rPr>
        <w:t>development</w:t>
      </w:r>
      <w:r w:rsidR="00DA66AC" w:rsidRPr="00CB5E91">
        <w:rPr>
          <w:lang w:eastAsia="en-AU"/>
        </w:rPr>
        <w:t xml:space="preserve"> </w:t>
      </w:r>
      <w:r w:rsidRPr="00CB5E91">
        <w:rPr>
          <w:lang w:eastAsia="en-AU"/>
        </w:rPr>
        <w:t xml:space="preserve">in recent decades, but the after-effects of the COVID-19 pandemic and underlying structural challenges risk undermining development efforts. The </w:t>
      </w:r>
      <w:r w:rsidR="00DC77AF" w:rsidRPr="00DC77AF">
        <w:rPr>
          <w:rFonts w:ascii="Calibri Light" w:hAnsi="Calibri Light" w:cs="Calibri Light"/>
          <w:i/>
          <w:iCs/>
          <w:szCs w:val="21"/>
          <w:lang w:eastAsia="en-AU"/>
        </w:rPr>
        <w:t>Philippine Development Plan 2023–2028</w:t>
      </w:r>
      <w:r w:rsidRPr="00CB5E91">
        <w:rPr>
          <w:lang w:eastAsia="en-AU"/>
        </w:rPr>
        <w:t xml:space="preserve"> lays the foundations for </w:t>
      </w:r>
      <w:r w:rsidR="003225DE">
        <w:rPr>
          <w:lang w:eastAsia="en-AU"/>
        </w:rPr>
        <w:t>‘</w:t>
      </w:r>
      <w:r w:rsidRPr="00CB5E91">
        <w:rPr>
          <w:lang w:eastAsia="en-AU"/>
        </w:rPr>
        <w:t>economic and social transformation for a prosperous, inclusive and resilient society</w:t>
      </w:r>
      <w:r w:rsidR="003225DE">
        <w:rPr>
          <w:lang w:eastAsia="en-AU"/>
        </w:rPr>
        <w:t>’</w:t>
      </w:r>
      <w:r w:rsidRPr="00CB5E91">
        <w:rPr>
          <w:lang w:eastAsia="en-AU"/>
        </w:rPr>
        <w:t xml:space="preserve"> and sets out the country’s development priorities</w:t>
      </w:r>
      <w:r w:rsidR="00044947">
        <w:rPr>
          <w:lang w:eastAsia="en-AU"/>
        </w:rPr>
        <w:t xml:space="preserve"> to</w:t>
      </w:r>
      <w:r w:rsidRPr="00CB5E91">
        <w:rPr>
          <w:lang w:eastAsia="en-AU"/>
        </w:rPr>
        <w:t xml:space="preserve"> </w:t>
      </w:r>
      <w:r w:rsidR="003225DE">
        <w:rPr>
          <w:lang w:eastAsia="en-AU"/>
        </w:rPr>
        <w:t>‘</w:t>
      </w:r>
      <w:r w:rsidRPr="00CB5E91">
        <w:rPr>
          <w:lang w:eastAsia="en-AU"/>
        </w:rPr>
        <w:t>develop and protect capabilities of individuals and families</w:t>
      </w:r>
      <w:r w:rsidR="00044947">
        <w:rPr>
          <w:lang w:eastAsia="en-AU"/>
        </w:rPr>
        <w:t>’</w:t>
      </w:r>
      <w:r w:rsidRPr="00CB5E91">
        <w:rPr>
          <w:lang w:eastAsia="en-AU"/>
        </w:rPr>
        <w:t xml:space="preserve"> and </w:t>
      </w:r>
      <w:r w:rsidR="00044947">
        <w:rPr>
          <w:lang w:eastAsia="en-AU"/>
        </w:rPr>
        <w:t>‘</w:t>
      </w:r>
      <w:r w:rsidRPr="00CB5E91">
        <w:rPr>
          <w:lang w:eastAsia="en-AU"/>
        </w:rPr>
        <w:t>transform production sectors to generate more quality jobs and competitive products</w:t>
      </w:r>
      <w:r w:rsidR="003225DE">
        <w:rPr>
          <w:lang w:eastAsia="en-AU"/>
        </w:rPr>
        <w:t>’</w:t>
      </w:r>
      <w:r w:rsidRPr="00CB5E91">
        <w:rPr>
          <w:lang w:eastAsia="en-AU"/>
        </w:rPr>
        <w:t>.</w:t>
      </w:r>
      <w:r w:rsidR="006C62E0">
        <w:rPr>
          <w:rStyle w:val="EndnoteReference"/>
          <w:lang w:eastAsia="en-AU"/>
        </w:rPr>
        <w:endnoteReference w:id="4"/>
      </w:r>
      <w:r w:rsidRPr="00CB5E91">
        <w:rPr>
          <w:lang w:eastAsia="en-AU"/>
        </w:rPr>
        <w:t xml:space="preserve"> </w:t>
      </w:r>
      <w:r w:rsidR="00064EB5">
        <w:rPr>
          <w:lang w:eastAsia="en-AU"/>
        </w:rPr>
        <w:t>This section</w:t>
      </w:r>
      <w:r w:rsidR="00121137">
        <w:rPr>
          <w:lang w:eastAsia="en-AU"/>
        </w:rPr>
        <w:t xml:space="preserve"> of the DPP</w:t>
      </w:r>
      <w:r w:rsidR="00064EB5">
        <w:rPr>
          <w:lang w:eastAsia="en-AU"/>
        </w:rPr>
        <w:t xml:space="preserve"> provides a</w:t>
      </w:r>
      <w:r w:rsidR="00084B2A">
        <w:rPr>
          <w:lang w:eastAsia="en-AU"/>
        </w:rPr>
        <w:t xml:space="preserve"> discussion of t</w:t>
      </w:r>
      <w:r w:rsidR="00A72DC3" w:rsidRPr="00CB5E91">
        <w:rPr>
          <w:lang w:eastAsia="en-AU"/>
        </w:rPr>
        <w:t xml:space="preserve">he Philippines’ development context, grouped by topics of particular </w:t>
      </w:r>
      <w:r w:rsidR="00444782">
        <w:rPr>
          <w:lang w:eastAsia="en-AU"/>
        </w:rPr>
        <w:t xml:space="preserve">relevance </w:t>
      </w:r>
      <w:r w:rsidR="00A72DC3" w:rsidRPr="00CB5E91">
        <w:rPr>
          <w:lang w:eastAsia="en-AU"/>
        </w:rPr>
        <w:t xml:space="preserve">to </w:t>
      </w:r>
      <w:r w:rsidR="00444782">
        <w:rPr>
          <w:lang w:eastAsia="en-AU"/>
        </w:rPr>
        <w:t xml:space="preserve">the partnership with </w:t>
      </w:r>
      <w:r w:rsidR="00A72DC3" w:rsidRPr="00CB5E91">
        <w:rPr>
          <w:lang w:eastAsia="en-AU"/>
        </w:rPr>
        <w:t>Australia and guided by our International Development Policy.</w:t>
      </w:r>
    </w:p>
    <w:p w14:paraId="665677B0" w14:textId="1FE10148" w:rsidR="00AB41FF" w:rsidRPr="00CB5E91" w:rsidRDefault="00AB41FF" w:rsidP="00BA333D">
      <w:pPr>
        <w:pStyle w:val="H3-Heading3"/>
        <w:rPr>
          <w:lang w:eastAsia="en-AU"/>
        </w:rPr>
      </w:pPr>
      <w:r w:rsidRPr="00CB5E91">
        <w:rPr>
          <w:lang w:eastAsia="en-AU"/>
        </w:rPr>
        <w:t xml:space="preserve">Economic </w:t>
      </w:r>
      <w:r w:rsidR="00160B4B">
        <w:rPr>
          <w:lang w:eastAsia="en-AU"/>
        </w:rPr>
        <w:t>g</w:t>
      </w:r>
      <w:r w:rsidRPr="00CB5E91">
        <w:rPr>
          <w:lang w:eastAsia="en-AU"/>
        </w:rPr>
        <w:t>rowth</w:t>
      </w:r>
    </w:p>
    <w:p w14:paraId="1E3A89C2" w14:textId="266C5972" w:rsidR="00AB41FF" w:rsidRPr="00CB5E91" w:rsidRDefault="00AB41FF" w:rsidP="00A554BE">
      <w:pPr>
        <w:rPr>
          <w:lang w:eastAsia="en-AU"/>
        </w:rPr>
      </w:pPr>
      <w:r w:rsidRPr="00CB5E91">
        <w:rPr>
          <w:lang w:eastAsia="en-AU"/>
        </w:rPr>
        <w:t xml:space="preserve">The Philippine economy is on a recovery path post-COVID-19, with significant reforms driving strong growth prospects. </w:t>
      </w:r>
      <w:r w:rsidR="00E85E25">
        <w:rPr>
          <w:lang w:eastAsia="en-AU"/>
        </w:rPr>
        <w:t>Gross domestic product (</w:t>
      </w:r>
      <w:r w:rsidRPr="00CB5E91">
        <w:rPr>
          <w:lang w:eastAsia="en-AU"/>
        </w:rPr>
        <w:t>GDP</w:t>
      </w:r>
      <w:r w:rsidR="00E85E25">
        <w:rPr>
          <w:lang w:eastAsia="en-AU"/>
        </w:rPr>
        <w:t>)</w:t>
      </w:r>
      <w:r w:rsidRPr="00CB5E91">
        <w:rPr>
          <w:lang w:eastAsia="en-AU"/>
        </w:rPr>
        <w:t xml:space="preserve"> growth reached a high of 7.6</w:t>
      </w:r>
      <w:r w:rsidR="0072033D">
        <w:rPr>
          <w:lang w:eastAsia="en-AU"/>
        </w:rPr>
        <w:t> per cent</w:t>
      </w:r>
      <w:r w:rsidRPr="00CB5E91">
        <w:rPr>
          <w:lang w:eastAsia="en-AU"/>
        </w:rPr>
        <w:t xml:space="preserve"> in 2022 and moderated to 5.6</w:t>
      </w:r>
      <w:r w:rsidR="0072033D">
        <w:rPr>
          <w:lang w:eastAsia="en-AU"/>
        </w:rPr>
        <w:t> per cent</w:t>
      </w:r>
      <w:r w:rsidRPr="00CB5E91">
        <w:rPr>
          <w:lang w:eastAsia="en-AU"/>
        </w:rPr>
        <w:t xml:space="preserve"> in 2023. Investment and consumption have driven economic growth, but food prices have kept inflation high, which risks eroding the gains of GDP growth and disproportionately impacting the poor. The </w:t>
      </w:r>
      <w:r w:rsidR="00577049" w:rsidRPr="008B700F">
        <w:rPr>
          <w:lang w:eastAsia="en-AU"/>
        </w:rPr>
        <w:t>Philippine Government’</w:t>
      </w:r>
      <w:r w:rsidRPr="00291264">
        <w:rPr>
          <w:lang w:eastAsia="en-AU"/>
        </w:rPr>
        <w:t>s</w:t>
      </w:r>
      <w:r w:rsidRPr="00CB5E91">
        <w:rPr>
          <w:lang w:eastAsia="en-AU"/>
        </w:rPr>
        <w:t xml:space="preserve"> efforts to liberalise investment and develop the country’s infrastructure, including by establishing the Maharlika Investment Fund, signal a lift in financing strategies and economic management.</w:t>
      </w:r>
    </w:p>
    <w:p w14:paraId="46C3A3C1" w14:textId="7FA13B2D" w:rsidR="00AB41FF" w:rsidRPr="00CB5E91" w:rsidRDefault="00AB41FF" w:rsidP="00A554BE">
      <w:pPr>
        <w:rPr>
          <w:lang w:eastAsia="en-AU"/>
        </w:rPr>
      </w:pPr>
      <w:r w:rsidRPr="00CB5E91">
        <w:rPr>
          <w:lang w:eastAsia="en-AU"/>
        </w:rPr>
        <w:t xml:space="preserve">Reforms in key sectors will be necessary to unlock economic development and growth. The Philippine Government’s efforts to tackle the accessibility, quality and safety of infrastructure are positive. </w:t>
      </w:r>
      <w:r w:rsidR="003B5B63">
        <w:rPr>
          <w:lang w:eastAsia="en-AU"/>
        </w:rPr>
        <w:t>However,</w:t>
      </w:r>
      <w:r w:rsidRPr="00CB5E91">
        <w:rPr>
          <w:lang w:eastAsia="en-AU"/>
        </w:rPr>
        <w:t xml:space="preserve"> bottlenecks remain in infrastructure planning, procurement and construction. Digital and telecommunications infrastructure is poorly regulated, with high barriers to entry for investors, and internet access and affordability </w:t>
      </w:r>
      <w:r w:rsidR="00E41EB0">
        <w:rPr>
          <w:lang w:eastAsia="en-AU"/>
        </w:rPr>
        <w:t xml:space="preserve">are </w:t>
      </w:r>
      <w:r w:rsidRPr="00CB5E91">
        <w:rPr>
          <w:lang w:eastAsia="en-AU"/>
        </w:rPr>
        <w:t xml:space="preserve">problematic. While agriculture contributes only </w:t>
      </w:r>
      <w:r w:rsidR="00CA1745">
        <w:rPr>
          <w:lang w:eastAsia="en-AU"/>
        </w:rPr>
        <w:t>9 </w:t>
      </w:r>
      <w:r w:rsidRPr="00CB5E91">
        <w:rPr>
          <w:lang w:eastAsia="en-AU"/>
        </w:rPr>
        <w:t>per</w:t>
      </w:r>
      <w:r w:rsidR="00033A63">
        <w:rPr>
          <w:lang w:eastAsia="en-AU"/>
        </w:rPr>
        <w:t> </w:t>
      </w:r>
      <w:r w:rsidRPr="00CB5E91">
        <w:rPr>
          <w:lang w:eastAsia="en-AU"/>
        </w:rPr>
        <w:t>cent to GDP, it represents one</w:t>
      </w:r>
      <w:r w:rsidR="00033A63">
        <w:rPr>
          <w:lang w:eastAsia="en-AU"/>
        </w:rPr>
        <w:noBreakHyphen/>
      </w:r>
      <w:r w:rsidRPr="00CB5E91">
        <w:rPr>
          <w:lang w:eastAsia="en-AU"/>
        </w:rPr>
        <w:t xml:space="preserve">fifth of employment, demonstrating productivity shortfalls. </w:t>
      </w:r>
      <w:r w:rsidR="003B5B63">
        <w:rPr>
          <w:lang w:eastAsia="en-AU"/>
        </w:rPr>
        <w:t>Eleven million people currently have no electricity access, and t</w:t>
      </w:r>
      <w:r w:rsidRPr="00CB5E91">
        <w:rPr>
          <w:lang w:eastAsia="en-AU"/>
        </w:rPr>
        <w:t>he Philippines’ energy sector needs to triple over the next two decades to support access to power. The renewable energy and mineral resource sectors are growing, but public investment and improved ease of doing business is needed to foster investor confidence.</w:t>
      </w:r>
    </w:p>
    <w:p w14:paraId="5A6DF981" w14:textId="5480637F" w:rsidR="00AB41FF" w:rsidRPr="00CB5E91" w:rsidRDefault="00AB41FF" w:rsidP="00BA333D">
      <w:pPr>
        <w:pStyle w:val="H3-Heading3"/>
        <w:rPr>
          <w:lang w:eastAsia="en-AU"/>
        </w:rPr>
      </w:pPr>
      <w:r w:rsidRPr="00CB5E91">
        <w:rPr>
          <w:lang w:eastAsia="en-AU"/>
        </w:rPr>
        <w:t xml:space="preserve">Poverty and </w:t>
      </w:r>
      <w:r w:rsidR="00160B4B">
        <w:rPr>
          <w:lang w:eastAsia="en-AU"/>
        </w:rPr>
        <w:t>i</w:t>
      </w:r>
      <w:r w:rsidRPr="00CB5E91">
        <w:rPr>
          <w:lang w:eastAsia="en-AU"/>
        </w:rPr>
        <w:t>nequality</w:t>
      </w:r>
    </w:p>
    <w:p w14:paraId="4809B443" w14:textId="3491AC62" w:rsidR="00AB41FF" w:rsidRPr="00CB5E91" w:rsidRDefault="00AB41FF" w:rsidP="00A554BE">
      <w:pPr>
        <w:rPr>
          <w:lang w:eastAsia="en-AU"/>
        </w:rPr>
      </w:pPr>
      <w:r w:rsidRPr="00CB5E91">
        <w:rPr>
          <w:lang w:eastAsia="en-AU"/>
        </w:rPr>
        <w:t>Progress in reducing poverty reflects the Philippines</w:t>
      </w:r>
      <w:r w:rsidR="00B1609B">
        <w:rPr>
          <w:lang w:eastAsia="en-AU"/>
        </w:rPr>
        <w:t>’</w:t>
      </w:r>
      <w:r w:rsidRPr="00CB5E91">
        <w:rPr>
          <w:lang w:eastAsia="en-AU"/>
        </w:rPr>
        <w:t xml:space="preserve"> commitment to improving Filipinos’ wellbeing and living standards</w:t>
      </w:r>
      <w:r w:rsidR="00556C86">
        <w:rPr>
          <w:lang w:eastAsia="en-AU"/>
        </w:rPr>
        <w:t>.</w:t>
      </w:r>
      <w:r w:rsidRPr="00CB5E91">
        <w:rPr>
          <w:lang w:eastAsia="en-AU"/>
        </w:rPr>
        <w:t xml:space="preserve"> </w:t>
      </w:r>
      <w:r w:rsidR="00556C86">
        <w:rPr>
          <w:lang w:eastAsia="en-AU"/>
        </w:rPr>
        <w:t>P</w:t>
      </w:r>
      <w:r w:rsidRPr="00CB5E91">
        <w:rPr>
          <w:lang w:eastAsia="en-AU"/>
        </w:rPr>
        <w:t>overty rates declin</w:t>
      </w:r>
      <w:r w:rsidR="00556C86">
        <w:rPr>
          <w:lang w:eastAsia="en-AU"/>
        </w:rPr>
        <w:t>ed</w:t>
      </w:r>
      <w:r w:rsidRPr="00CB5E91">
        <w:rPr>
          <w:lang w:eastAsia="en-AU"/>
        </w:rPr>
        <w:t xml:space="preserve"> from 23.3</w:t>
      </w:r>
      <w:r w:rsidR="00033A63">
        <w:rPr>
          <w:lang w:eastAsia="en-AU"/>
        </w:rPr>
        <w:t> </w:t>
      </w:r>
      <w:r w:rsidRPr="00CB5E91">
        <w:rPr>
          <w:lang w:eastAsia="en-AU"/>
        </w:rPr>
        <w:t>per</w:t>
      </w:r>
      <w:r w:rsidR="00033A63">
        <w:rPr>
          <w:lang w:eastAsia="en-AU"/>
        </w:rPr>
        <w:t> </w:t>
      </w:r>
      <w:r w:rsidRPr="00CB5E91">
        <w:rPr>
          <w:lang w:eastAsia="en-AU"/>
        </w:rPr>
        <w:t>cent in 2015 to</w:t>
      </w:r>
      <w:r w:rsidR="001A3A3B">
        <w:rPr>
          <w:lang w:eastAsia="en-AU"/>
        </w:rPr>
        <w:t xml:space="preserve"> </w:t>
      </w:r>
      <w:r w:rsidR="009F3411">
        <w:rPr>
          <w:lang w:eastAsia="en-AU"/>
        </w:rPr>
        <w:t>16.7</w:t>
      </w:r>
      <w:r w:rsidR="00033A63">
        <w:rPr>
          <w:lang w:eastAsia="en-AU"/>
        </w:rPr>
        <w:t> </w:t>
      </w:r>
      <w:r w:rsidR="009F3411">
        <w:rPr>
          <w:lang w:eastAsia="en-AU"/>
        </w:rPr>
        <w:t>per</w:t>
      </w:r>
      <w:r w:rsidR="00033A63">
        <w:rPr>
          <w:lang w:eastAsia="en-AU"/>
        </w:rPr>
        <w:t> </w:t>
      </w:r>
      <w:r w:rsidR="009F3411">
        <w:rPr>
          <w:lang w:eastAsia="en-AU"/>
        </w:rPr>
        <w:t>cent in 2018</w:t>
      </w:r>
      <w:r w:rsidR="001A3A3B">
        <w:rPr>
          <w:lang w:eastAsia="en-AU"/>
        </w:rPr>
        <w:t xml:space="preserve">, but </w:t>
      </w:r>
      <w:r w:rsidR="00437B06">
        <w:rPr>
          <w:lang w:eastAsia="en-AU"/>
        </w:rPr>
        <w:t>rose</w:t>
      </w:r>
      <w:r w:rsidR="001A3A3B">
        <w:rPr>
          <w:lang w:eastAsia="en-AU"/>
        </w:rPr>
        <w:t xml:space="preserve"> to</w:t>
      </w:r>
      <w:r w:rsidRPr="00CB5E91">
        <w:rPr>
          <w:lang w:eastAsia="en-AU"/>
        </w:rPr>
        <w:t xml:space="preserve"> </w:t>
      </w:r>
      <w:r w:rsidR="009F3411">
        <w:rPr>
          <w:lang w:eastAsia="en-AU"/>
        </w:rPr>
        <w:t>22.4</w:t>
      </w:r>
      <w:r w:rsidR="00033A63">
        <w:rPr>
          <w:lang w:eastAsia="en-AU"/>
        </w:rPr>
        <w:t> </w:t>
      </w:r>
      <w:r w:rsidRPr="00B207C3">
        <w:rPr>
          <w:lang w:eastAsia="en-AU"/>
        </w:rPr>
        <w:t>per</w:t>
      </w:r>
      <w:r w:rsidR="00030257">
        <w:rPr>
          <w:lang w:eastAsia="en-AU"/>
        </w:rPr>
        <w:t> </w:t>
      </w:r>
      <w:r w:rsidRPr="00CB5E91">
        <w:rPr>
          <w:lang w:eastAsia="en-AU"/>
        </w:rPr>
        <w:t xml:space="preserve">cent in early 2023, </w:t>
      </w:r>
      <w:r w:rsidR="00E72603">
        <w:rPr>
          <w:lang w:eastAsia="en-AU"/>
        </w:rPr>
        <w:t xml:space="preserve">reflecting </w:t>
      </w:r>
      <w:r w:rsidRPr="00CB5E91">
        <w:rPr>
          <w:lang w:eastAsia="en-AU"/>
        </w:rPr>
        <w:t xml:space="preserve">an increase during the </w:t>
      </w:r>
      <w:r w:rsidR="00E72603">
        <w:rPr>
          <w:lang w:eastAsia="en-AU"/>
        </w:rPr>
        <w:t xml:space="preserve">COVID-19 </w:t>
      </w:r>
      <w:r w:rsidRPr="00CB5E91">
        <w:rPr>
          <w:lang w:eastAsia="en-AU"/>
        </w:rPr>
        <w:t xml:space="preserve">pandemic. </w:t>
      </w:r>
      <w:r w:rsidR="004335B4" w:rsidRPr="00692F7C">
        <w:rPr>
          <w:lang w:eastAsia="en-AU"/>
        </w:rPr>
        <w:t>The poverty rate at the end of 2023 was 15.5</w:t>
      </w:r>
      <w:r w:rsidR="00030257">
        <w:rPr>
          <w:lang w:eastAsia="en-AU"/>
        </w:rPr>
        <w:t> </w:t>
      </w:r>
      <w:r w:rsidR="004335B4" w:rsidRPr="00692F7C">
        <w:rPr>
          <w:lang w:eastAsia="en-AU"/>
        </w:rPr>
        <w:t>per</w:t>
      </w:r>
      <w:r w:rsidR="00030257">
        <w:rPr>
          <w:lang w:eastAsia="en-AU"/>
        </w:rPr>
        <w:t> </w:t>
      </w:r>
      <w:r w:rsidR="004335B4" w:rsidRPr="00692F7C">
        <w:rPr>
          <w:lang w:eastAsia="en-AU"/>
        </w:rPr>
        <w:t xml:space="preserve">cent, back below pre-pandemic figures. </w:t>
      </w:r>
      <w:r w:rsidRPr="00CB5E91">
        <w:rPr>
          <w:lang w:eastAsia="en-AU"/>
        </w:rPr>
        <w:t xml:space="preserve">There </w:t>
      </w:r>
      <w:r w:rsidR="004335B4">
        <w:rPr>
          <w:lang w:eastAsia="en-AU"/>
        </w:rPr>
        <w:t>is</w:t>
      </w:r>
      <w:r w:rsidR="004335B4" w:rsidRPr="00CB5E91">
        <w:rPr>
          <w:lang w:eastAsia="en-AU"/>
        </w:rPr>
        <w:t xml:space="preserve"> </w:t>
      </w:r>
      <w:r w:rsidR="0004545A" w:rsidRPr="00CB5E91">
        <w:rPr>
          <w:lang w:eastAsia="en-AU"/>
        </w:rPr>
        <w:t>also</w:t>
      </w:r>
      <w:r w:rsidRPr="00CB5E91">
        <w:rPr>
          <w:lang w:eastAsia="en-AU"/>
        </w:rPr>
        <w:t xml:space="preserve"> </w:t>
      </w:r>
      <w:r w:rsidR="00F41896">
        <w:rPr>
          <w:lang w:eastAsia="en-AU"/>
        </w:rPr>
        <w:t xml:space="preserve">variation across different </w:t>
      </w:r>
      <w:r w:rsidRPr="00CB5E91">
        <w:rPr>
          <w:lang w:eastAsia="en-AU"/>
        </w:rPr>
        <w:t xml:space="preserve">geographic </w:t>
      </w:r>
      <w:r w:rsidR="00F41896">
        <w:rPr>
          <w:lang w:eastAsia="en-AU"/>
        </w:rPr>
        <w:t>areas</w:t>
      </w:r>
      <w:r w:rsidRPr="00CB5E91">
        <w:rPr>
          <w:lang w:eastAsia="en-AU"/>
        </w:rPr>
        <w:t>,</w:t>
      </w:r>
      <w:r w:rsidR="00F41896">
        <w:rPr>
          <w:lang w:eastAsia="en-AU"/>
        </w:rPr>
        <w:t xml:space="preserve"> for example</w:t>
      </w:r>
      <w:r w:rsidRPr="00CB5E91">
        <w:rPr>
          <w:lang w:eastAsia="en-AU"/>
        </w:rPr>
        <w:t xml:space="preserve"> </w:t>
      </w:r>
      <w:r w:rsidR="00D03D95">
        <w:rPr>
          <w:lang w:eastAsia="en-AU"/>
        </w:rPr>
        <w:t xml:space="preserve">with </w:t>
      </w:r>
      <w:r w:rsidR="006309B0">
        <w:rPr>
          <w:lang w:eastAsia="en-AU"/>
        </w:rPr>
        <w:t xml:space="preserve">the </w:t>
      </w:r>
      <w:r w:rsidRPr="00CB5E91">
        <w:rPr>
          <w:lang w:eastAsia="en-AU"/>
        </w:rPr>
        <w:t>poverty rate in the Bangsamoro Autonomous Region in Muslim Mindanao (BARMM) at 34.8</w:t>
      </w:r>
      <w:r w:rsidR="00EA756D">
        <w:rPr>
          <w:lang w:eastAsia="en-AU"/>
        </w:rPr>
        <w:t> </w:t>
      </w:r>
      <w:r w:rsidRPr="00CB5E91">
        <w:rPr>
          <w:lang w:eastAsia="en-AU"/>
        </w:rPr>
        <w:t>per</w:t>
      </w:r>
      <w:r w:rsidR="00EA756D">
        <w:rPr>
          <w:lang w:eastAsia="en-AU"/>
        </w:rPr>
        <w:t> </w:t>
      </w:r>
      <w:r w:rsidRPr="00CB5E91">
        <w:rPr>
          <w:lang w:eastAsia="en-AU"/>
        </w:rPr>
        <w:t xml:space="preserve">cent. </w:t>
      </w:r>
      <w:r w:rsidR="00F7089E">
        <w:rPr>
          <w:lang w:eastAsia="en-AU"/>
        </w:rPr>
        <w:t xml:space="preserve">President Ferdinand </w:t>
      </w:r>
      <w:r w:rsidRPr="00291264">
        <w:rPr>
          <w:lang w:eastAsia="en-AU"/>
        </w:rPr>
        <w:t>Marcos</w:t>
      </w:r>
      <w:r w:rsidR="00282420" w:rsidRPr="008B700F">
        <w:rPr>
          <w:lang w:eastAsia="en-AU"/>
        </w:rPr>
        <w:t xml:space="preserve"> Jr’s</w:t>
      </w:r>
      <w:r w:rsidRPr="00291264">
        <w:rPr>
          <w:lang w:eastAsia="en-AU"/>
        </w:rPr>
        <w:t xml:space="preserve"> </w:t>
      </w:r>
      <w:r w:rsidR="00A230FC">
        <w:rPr>
          <w:lang w:eastAsia="en-AU"/>
        </w:rPr>
        <w:t>a</w:t>
      </w:r>
      <w:r w:rsidRPr="00291264">
        <w:rPr>
          <w:lang w:eastAsia="en-AU"/>
        </w:rPr>
        <w:t>dministration</w:t>
      </w:r>
      <w:r w:rsidRPr="00CB5E91">
        <w:rPr>
          <w:lang w:eastAsia="en-AU"/>
        </w:rPr>
        <w:t xml:space="preserve"> </w:t>
      </w:r>
      <w:r w:rsidR="00B10E1C">
        <w:rPr>
          <w:lang w:eastAsia="en-AU"/>
        </w:rPr>
        <w:t xml:space="preserve">established the goal of </w:t>
      </w:r>
      <w:r w:rsidR="00B10E1C" w:rsidRPr="00CB5E91">
        <w:rPr>
          <w:lang w:eastAsia="en-AU"/>
        </w:rPr>
        <w:t>reduc</w:t>
      </w:r>
      <w:r w:rsidR="00B10E1C">
        <w:rPr>
          <w:lang w:eastAsia="en-AU"/>
        </w:rPr>
        <w:t>ing</w:t>
      </w:r>
      <w:r w:rsidR="00B10E1C" w:rsidRPr="00CB5E91">
        <w:rPr>
          <w:lang w:eastAsia="en-AU"/>
        </w:rPr>
        <w:t xml:space="preserve"> </w:t>
      </w:r>
      <w:r w:rsidRPr="00CB5E91">
        <w:rPr>
          <w:lang w:eastAsia="en-AU"/>
        </w:rPr>
        <w:t xml:space="preserve">the poverty rate to </w:t>
      </w:r>
      <w:r w:rsidR="005B5B26">
        <w:rPr>
          <w:lang w:eastAsia="en-AU"/>
        </w:rPr>
        <w:t>9 </w:t>
      </w:r>
      <w:r w:rsidRPr="00CB5E91">
        <w:rPr>
          <w:lang w:eastAsia="en-AU"/>
        </w:rPr>
        <w:t>per</w:t>
      </w:r>
      <w:r w:rsidR="00EA756D">
        <w:rPr>
          <w:lang w:eastAsia="en-AU"/>
        </w:rPr>
        <w:t> </w:t>
      </w:r>
      <w:r w:rsidRPr="00CB5E91">
        <w:rPr>
          <w:lang w:eastAsia="en-AU"/>
        </w:rPr>
        <w:t xml:space="preserve">cent by 2028. Income inequality has remained high, with the wealthiest </w:t>
      </w:r>
      <w:r w:rsidR="002902BA">
        <w:rPr>
          <w:lang w:eastAsia="en-AU"/>
        </w:rPr>
        <w:t>1 </w:t>
      </w:r>
      <w:r w:rsidRPr="00CB5E91">
        <w:rPr>
          <w:lang w:eastAsia="en-AU"/>
        </w:rPr>
        <w:t>per</w:t>
      </w:r>
      <w:r w:rsidR="00EA756D">
        <w:rPr>
          <w:lang w:eastAsia="en-AU"/>
        </w:rPr>
        <w:t> </w:t>
      </w:r>
      <w:r w:rsidRPr="00CB5E91">
        <w:rPr>
          <w:lang w:eastAsia="en-AU"/>
        </w:rPr>
        <w:t>cent of the population capturing 17</w:t>
      </w:r>
      <w:r w:rsidR="00EA756D">
        <w:rPr>
          <w:lang w:eastAsia="en-AU"/>
        </w:rPr>
        <w:t> </w:t>
      </w:r>
      <w:r w:rsidRPr="00CB5E91">
        <w:rPr>
          <w:lang w:eastAsia="en-AU"/>
        </w:rPr>
        <w:t>per</w:t>
      </w:r>
      <w:r w:rsidR="00EA756D">
        <w:rPr>
          <w:lang w:eastAsia="en-AU"/>
        </w:rPr>
        <w:t> </w:t>
      </w:r>
      <w:r w:rsidRPr="00CB5E91">
        <w:rPr>
          <w:lang w:eastAsia="en-AU"/>
        </w:rPr>
        <w:t xml:space="preserve">cent of national income </w:t>
      </w:r>
      <w:r w:rsidR="002902BA">
        <w:rPr>
          <w:lang w:eastAsia="en-AU"/>
        </w:rPr>
        <w:t xml:space="preserve">while </w:t>
      </w:r>
      <w:r w:rsidRPr="00CB5E91">
        <w:rPr>
          <w:lang w:eastAsia="en-AU"/>
        </w:rPr>
        <w:t xml:space="preserve">half of all earners </w:t>
      </w:r>
      <w:r w:rsidR="002902BA" w:rsidRPr="00CB5E91">
        <w:rPr>
          <w:lang w:eastAsia="en-AU"/>
        </w:rPr>
        <w:t>receiv</w:t>
      </w:r>
      <w:r w:rsidR="002902BA">
        <w:rPr>
          <w:lang w:eastAsia="en-AU"/>
        </w:rPr>
        <w:t>e</w:t>
      </w:r>
      <w:r w:rsidR="002902BA" w:rsidRPr="00CB5E91">
        <w:rPr>
          <w:lang w:eastAsia="en-AU"/>
        </w:rPr>
        <w:t xml:space="preserve"> </w:t>
      </w:r>
      <w:r w:rsidRPr="00CB5E91">
        <w:rPr>
          <w:lang w:eastAsia="en-AU"/>
        </w:rPr>
        <w:t>only 14</w:t>
      </w:r>
      <w:r w:rsidR="00EA756D">
        <w:rPr>
          <w:lang w:eastAsia="en-AU"/>
        </w:rPr>
        <w:t> </w:t>
      </w:r>
      <w:r w:rsidRPr="00CB5E91">
        <w:rPr>
          <w:lang w:eastAsia="en-AU"/>
        </w:rPr>
        <w:t>per</w:t>
      </w:r>
      <w:r w:rsidR="00EA756D">
        <w:rPr>
          <w:lang w:eastAsia="en-AU"/>
        </w:rPr>
        <w:t> </w:t>
      </w:r>
      <w:r w:rsidRPr="00CB5E91">
        <w:rPr>
          <w:lang w:eastAsia="en-AU"/>
        </w:rPr>
        <w:t>cent of national income. Inequality of opportunity also persists, with poor households and marginalised groups having no access to basic services. This limits the potential for upward mobility, reduces human capital and productivity, and keeps lower</w:t>
      </w:r>
      <w:r w:rsidR="00EA756D">
        <w:rPr>
          <w:lang w:eastAsia="en-AU"/>
        </w:rPr>
        <w:noBreakHyphen/>
      </w:r>
      <w:r w:rsidRPr="00CB5E91">
        <w:rPr>
          <w:lang w:eastAsia="en-AU"/>
        </w:rPr>
        <w:t xml:space="preserve">income households from progressing. </w:t>
      </w:r>
      <w:r w:rsidR="00E44FB7" w:rsidRPr="00CB5E91">
        <w:rPr>
          <w:lang w:eastAsia="en-AU"/>
        </w:rPr>
        <w:t xml:space="preserve">The Philippines’ social protection system is contributing to poverty reduction and human capital development, </w:t>
      </w:r>
      <w:r w:rsidR="00B5527A">
        <w:rPr>
          <w:lang w:eastAsia="en-AU"/>
        </w:rPr>
        <w:t>with programs covering children, elderly</w:t>
      </w:r>
      <w:r w:rsidR="007F79CC">
        <w:rPr>
          <w:lang w:eastAsia="en-AU"/>
        </w:rPr>
        <w:t xml:space="preserve"> people</w:t>
      </w:r>
      <w:r w:rsidR="00B5527A">
        <w:rPr>
          <w:lang w:eastAsia="en-AU"/>
        </w:rPr>
        <w:t xml:space="preserve"> </w:t>
      </w:r>
      <w:r w:rsidR="00EE3365">
        <w:rPr>
          <w:lang w:eastAsia="en-AU"/>
        </w:rPr>
        <w:t xml:space="preserve">and </w:t>
      </w:r>
      <w:r w:rsidR="00B5527A">
        <w:rPr>
          <w:lang w:eastAsia="en-AU"/>
        </w:rPr>
        <w:t xml:space="preserve">people in crisis, </w:t>
      </w:r>
      <w:r w:rsidR="00EE3365">
        <w:rPr>
          <w:lang w:eastAsia="en-AU"/>
        </w:rPr>
        <w:t xml:space="preserve">as well as </w:t>
      </w:r>
      <w:r w:rsidR="00B5527A">
        <w:rPr>
          <w:lang w:eastAsia="en-AU"/>
        </w:rPr>
        <w:t>livelihood initiatives and community-driven development programs. However, low expenditure</w:t>
      </w:r>
      <w:r w:rsidR="00E611A2">
        <w:rPr>
          <w:lang w:eastAsia="en-AU"/>
        </w:rPr>
        <w:t xml:space="preserve"> and challenges </w:t>
      </w:r>
      <w:r w:rsidR="00C367FB">
        <w:rPr>
          <w:lang w:eastAsia="en-AU"/>
        </w:rPr>
        <w:t xml:space="preserve">in </w:t>
      </w:r>
      <w:r w:rsidR="00E611A2">
        <w:rPr>
          <w:lang w:eastAsia="en-AU"/>
        </w:rPr>
        <w:t xml:space="preserve">identifying </w:t>
      </w:r>
      <w:r w:rsidR="00EE3365">
        <w:rPr>
          <w:lang w:eastAsia="en-AU"/>
        </w:rPr>
        <w:t xml:space="preserve">eligible </w:t>
      </w:r>
      <w:r w:rsidR="00E611A2">
        <w:rPr>
          <w:lang w:eastAsia="en-AU"/>
        </w:rPr>
        <w:t>people result in</w:t>
      </w:r>
      <w:r w:rsidR="00E44FB7" w:rsidRPr="00CB5E91">
        <w:rPr>
          <w:lang w:eastAsia="en-AU"/>
        </w:rPr>
        <w:t xml:space="preserve"> gaps in the current programs</w:t>
      </w:r>
      <w:r w:rsidR="00E611A2">
        <w:rPr>
          <w:lang w:eastAsia="en-AU"/>
        </w:rPr>
        <w:t>, meaning the most disadvantaged are not always reached</w:t>
      </w:r>
      <w:r w:rsidR="00E44FB7" w:rsidRPr="00CB5E91">
        <w:rPr>
          <w:lang w:eastAsia="en-AU"/>
        </w:rPr>
        <w:t>.</w:t>
      </w:r>
    </w:p>
    <w:p w14:paraId="3755457B" w14:textId="538EED76" w:rsidR="00AB41FF" w:rsidRPr="00CB5E91" w:rsidRDefault="00AB41FF" w:rsidP="00BA333D">
      <w:pPr>
        <w:pStyle w:val="H3-Heading3"/>
        <w:rPr>
          <w:lang w:eastAsia="en-AU"/>
        </w:rPr>
      </w:pPr>
      <w:r w:rsidRPr="00CB5E91">
        <w:rPr>
          <w:lang w:eastAsia="en-AU"/>
        </w:rPr>
        <w:lastRenderedPageBreak/>
        <w:t xml:space="preserve">Governance, </w:t>
      </w:r>
      <w:r w:rsidR="00160B4B">
        <w:rPr>
          <w:lang w:eastAsia="en-AU"/>
        </w:rPr>
        <w:t>l</w:t>
      </w:r>
      <w:r w:rsidRPr="00CB5E91">
        <w:rPr>
          <w:lang w:eastAsia="en-AU"/>
        </w:rPr>
        <w:t xml:space="preserve">aw and </w:t>
      </w:r>
      <w:r w:rsidR="00160B4B">
        <w:rPr>
          <w:lang w:eastAsia="en-AU"/>
        </w:rPr>
        <w:t>j</w:t>
      </w:r>
      <w:r w:rsidRPr="00CB5E91">
        <w:rPr>
          <w:lang w:eastAsia="en-AU"/>
        </w:rPr>
        <w:t>ustice</w:t>
      </w:r>
    </w:p>
    <w:p w14:paraId="5D576309" w14:textId="20D3D503" w:rsidR="00AB41FF" w:rsidRPr="00CB5E91" w:rsidRDefault="00AB41FF" w:rsidP="00A554BE">
      <w:pPr>
        <w:rPr>
          <w:lang w:eastAsia="en-AU"/>
        </w:rPr>
      </w:pPr>
      <w:r w:rsidRPr="00CB5E91">
        <w:rPr>
          <w:lang w:eastAsia="en-AU"/>
        </w:rPr>
        <w:t xml:space="preserve">In the evolving landscape of governance, the Philippines is strengthening democracy and addressing corruption. </w:t>
      </w:r>
      <w:r w:rsidR="00C11E9E">
        <w:rPr>
          <w:lang w:eastAsia="en-AU"/>
        </w:rPr>
        <w:t xml:space="preserve">In 2024, </w:t>
      </w:r>
      <w:r w:rsidR="00882016">
        <w:rPr>
          <w:lang w:eastAsia="en-AU"/>
        </w:rPr>
        <w:t>t</w:t>
      </w:r>
      <w:r w:rsidRPr="00CB5E91">
        <w:rPr>
          <w:lang w:eastAsia="en-AU"/>
        </w:rPr>
        <w:t>he nation rank</w:t>
      </w:r>
      <w:r w:rsidR="00C11E9E">
        <w:rPr>
          <w:lang w:eastAsia="en-AU"/>
        </w:rPr>
        <w:t>ed</w:t>
      </w:r>
      <w:r w:rsidRPr="00CB5E91">
        <w:rPr>
          <w:lang w:eastAsia="en-AU"/>
        </w:rPr>
        <w:t xml:space="preserve"> 6</w:t>
      </w:r>
      <w:r w:rsidR="00E157EE">
        <w:rPr>
          <w:lang w:eastAsia="en-AU"/>
        </w:rPr>
        <w:t>7</w:t>
      </w:r>
      <w:r w:rsidRPr="00CB5E91">
        <w:rPr>
          <w:lang w:eastAsia="en-AU"/>
        </w:rPr>
        <w:t>th out of 104</w:t>
      </w:r>
      <w:r w:rsidR="003C0F80">
        <w:rPr>
          <w:lang w:eastAsia="en-AU"/>
        </w:rPr>
        <w:t> </w:t>
      </w:r>
      <w:r w:rsidRPr="00CB5E91">
        <w:rPr>
          <w:lang w:eastAsia="en-AU"/>
        </w:rPr>
        <w:t xml:space="preserve">countries and </w:t>
      </w:r>
      <w:r w:rsidR="00BB1A5B">
        <w:rPr>
          <w:lang w:eastAsia="en-AU"/>
        </w:rPr>
        <w:t>sixth</w:t>
      </w:r>
      <w:r w:rsidR="00BB1A5B" w:rsidRPr="00CB5E91">
        <w:rPr>
          <w:lang w:eastAsia="en-AU"/>
        </w:rPr>
        <w:t xml:space="preserve"> </w:t>
      </w:r>
      <w:r w:rsidRPr="00CB5E91">
        <w:rPr>
          <w:lang w:eastAsia="en-AU"/>
        </w:rPr>
        <w:t xml:space="preserve">among </w:t>
      </w:r>
      <w:r w:rsidR="00F857D4">
        <w:rPr>
          <w:lang w:eastAsia="en-AU"/>
        </w:rPr>
        <w:t>Association of Southeast Asian Nations (</w:t>
      </w:r>
      <w:r w:rsidRPr="00CB5E91">
        <w:rPr>
          <w:lang w:eastAsia="en-AU"/>
        </w:rPr>
        <w:t>ASEAN</w:t>
      </w:r>
      <w:r w:rsidR="00F857D4">
        <w:rPr>
          <w:lang w:eastAsia="en-AU"/>
        </w:rPr>
        <w:t>)</w:t>
      </w:r>
      <w:r w:rsidRPr="00CB5E91">
        <w:rPr>
          <w:lang w:eastAsia="en-AU"/>
        </w:rPr>
        <w:t xml:space="preserve"> </w:t>
      </w:r>
      <w:r w:rsidR="00CD4931">
        <w:rPr>
          <w:lang w:eastAsia="en-AU"/>
        </w:rPr>
        <w:t xml:space="preserve">Member States </w:t>
      </w:r>
      <w:r w:rsidRPr="00CB5E91">
        <w:rPr>
          <w:lang w:eastAsia="en-AU"/>
        </w:rPr>
        <w:t xml:space="preserve">in </w:t>
      </w:r>
      <w:r w:rsidR="002C7A5B">
        <w:rPr>
          <w:lang w:eastAsia="en-AU"/>
        </w:rPr>
        <w:t>the Chandler G</w:t>
      </w:r>
      <w:r w:rsidRPr="00CB5E91">
        <w:rPr>
          <w:lang w:eastAsia="en-AU"/>
        </w:rPr>
        <w:t xml:space="preserve">ood </w:t>
      </w:r>
      <w:r w:rsidR="002C7A5B">
        <w:rPr>
          <w:lang w:eastAsia="en-AU"/>
        </w:rPr>
        <w:t>G</w:t>
      </w:r>
      <w:r w:rsidRPr="00CB5E91">
        <w:rPr>
          <w:lang w:eastAsia="en-AU"/>
        </w:rPr>
        <w:t>overn</w:t>
      </w:r>
      <w:r w:rsidR="002C7A5B">
        <w:rPr>
          <w:lang w:eastAsia="en-AU"/>
        </w:rPr>
        <w:t>ment</w:t>
      </w:r>
      <w:r w:rsidRPr="00CB5E91">
        <w:rPr>
          <w:lang w:eastAsia="en-AU"/>
        </w:rPr>
        <w:t xml:space="preserve"> </w:t>
      </w:r>
      <w:r w:rsidR="002C7A5B">
        <w:rPr>
          <w:lang w:eastAsia="en-AU"/>
        </w:rPr>
        <w:t>I</w:t>
      </w:r>
      <w:r w:rsidRPr="00CB5E91">
        <w:rPr>
          <w:lang w:eastAsia="en-AU"/>
        </w:rPr>
        <w:t>nd</w:t>
      </w:r>
      <w:r w:rsidR="002C7A5B">
        <w:rPr>
          <w:lang w:eastAsia="en-AU"/>
        </w:rPr>
        <w:t>ex</w:t>
      </w:r>
      <w:r w:rsidRPr="00CB5E91">
        <w:rPr>
          <w:lang w:eastAsia="en-AU"/>
        </w:rPr>
        <w:t>.</w:t>
      </w:r>
      <w:r w:rsidR="00514D90">
        <w:rPr>
          <w:rStyle w:val="EndnoteReference"/>
          <w:lang w:eastAsia="en-AU"/>
        </w:rPr>
        <w:endnoteReference w:id="5"/>
      </w:r>
      <w:r w:rsidRPr="00CB5E91">
        <w:rPr>
          <w:lang w:eastAsia="en-AU"/>
        </w:rPr>
        <w:t xml:space="preserve"> Despite a decline in the World Justice Project Rule of Law Index </w:t>
      </w:r>
      <w:r w:rsidR="00752A22">
        <w:rPr>
          <w:lang w:eastAsia="en-AU"/>
        </w:rPr>
        <w:t xml:space="preserve">from </w:t>
      </w:r>
      <w:r w:rsidR="002533B2">
        <w:rPr>
          <w:lang w:eastAsia="en-AU"/>
        </w:rPr>
        <w:t>9</w:t>
      </w:r>
      <w:r w:rsidR="000703B6">
        <w:rPr>
          <w:lang w:eastAsia="en-AU"/>
        </w:rPr>
        <w:t>7th</w:t>
      </w:r>
      <w:r w:rsidR="002533B2">
        <w:rPr>
          <w:lang w:eastAsia="en-AU"/>
        </w:rPr>
        <w:t xml:space="preserve"> out of 1</w:t>
      </w:r>
      <w:r w:rsidR="00BC2795">
        <w:rPr>
          <w:lang w:eastAsia="en-AU"/>
        </w:rPr>
        <w:t>40</w:t>
      </w:r>
      <w:r w:rsidR="00E44791">
        <w:rPr>
          <w:lang w:eastAsia="en-AU"/>
        </w:rPr>
        <w:t> </w:t>
      </w:r>
      <w:r w:rsidR="002533B2">
        <w:rPr>
          <w:lang w:eastAsia="en-AU"/>
        </w:rPr>
        <w:t>countries in 202</w:t>
      </w:r>
      <w:r w:rsidR="00BC2795">
        <w:rPr>
          <w:lang w:eastAsia="en-AU"/>
        </w:rPr>
        <w:t>2</w:t>
      </w:r>
      <w:r w:rsidR="00CC57CD">
        <w:rPr>
          <w:lang w:eastAsia="en-AU"/>
        </w:rPr>
        <w:t xml:space="preserve"> </w:t>
      </w:r>
      <w:r w:rsidRPr="00CB5E91">
        <w:rPr>
          <w:lang w:eastAsia="en-AU"/>
        </w:rPr>
        <w:t>to 10</w:t>
      </w:r>
      <w:r w:rsidR="00CC57CD">
        <w:rPr>
          <w:lang w:eastAsia="en-AU"/>
        </w:rPr>
        <w:t>0th</w:t>
      </w:r>
      <w:r w:rsidRPr="00CB5E91">
        <w:rPr>
          <w:lang w:eastAsia="en-AU"/>
        </w:rPr>
        <w:t xml:space="preserve"> out of 139</w:t>
      </w:r>
      <w:r w:rsidR="00BF6BFD">
        <w:rPr>
          <w:lang w:eastAsia="en-AU"/>
        </w:rPr>
        <w:t> </w:t>
      </w:r>
      <w:r w:rsidRPr="00CB5E91">
        <w:rPr>
          <w:lang w:eastAsia="en-AU"/>
        </w:rPr>
        <w:t>countries in 202</w:t>
      </w:r>
      <w:r w:rsidR="00CC57CD">
        <w:rPr>
          <w:lang w:eastAsia="en-AU"/>
        </w:rPr>
        <w:t>3</w:t>
      </w:r>
      <w:r w:rsidRPr="00CB5E91">
        <w:rPr>
          <w:lang w:eastAsia="en-AU"/>
        </w:rPr>
        <w:t>,</w:t>
      </w:r>
      <w:r w:rsidR="00CE2D68">
        <w:rPr>
          <w:rStyle w:val="EndnoteReference"/>
          <w:lang w:eastAsia="en-AU"/>
        </w:rPr>
        <w:endnoteReference w:id="6"/>
      </w:r>
      <w:r w:rsidRPr="00CB5E91">
        <w:rPr>
          <w:lang w:eastAsia="en-AU"/>
        </w:rPr>
        <w:t xml:space="preserve"> the commitment to policy improvement is evident. Challenges persist in policy implementation, institutional capacity and political dynamics, yet the Supreme Court and other justice agencies are making a concerted effort to enhance the justice system, improve case efficiency, and expand access to justice, especially for the underprivileged.</w:t>
      </w:r>
    </w:p>
    <w:p w14:paraId="7C7F4AEC" w14:textId="3A0C9CC8" w:rsidR="00AB41FF" w:rsidRPr="00CB5E91" w:rsidRDefault="00AB41FF" w:rsidP="00BA333D">
      <w:pPr>
        <w:pStyle w:val="H3-Heading3"/>
        <w:rPr>
          <w:lang w:eastAsia="en-AU"/>
        </w:rPr>
      </w:pPr>
      <w:r w:rsidRPr="00CB5E91">
        <w:rPr>
          <w:lang w:eastAsia="en-AU"/>
        </w:rPr>
        <w:t xml:space="preserve">Peace, </w:t>
      </w:r>
      <w:r w:rsidR="00160B4B">
        <w:rPr>
          <w:lang w:eastAsia="en-AU"/>
        </w:rPr>
        <w:t>s</w:t>
      </w:r>
      <w:r w:rsidRPr="00CB5E91">
        <w:rPr>
          <w:lang w:eastAsia="en-AU"/>
        </w:rPr>
        <w:t xml:space="preserve">tability and </w:t>
      </w:r>
      <w:r w:rsidR="00160B4B">
        <w:rPr>
          <w:lang w:eastAsia="en-AU"/>
        </w:rPr>
        <w:t>s</w:t>
      </w:r>
      <w:r w:rsidRPr="00CB5E91">
        <w:rPr>
          <w:lang w:eastAsia="en-AU"/>
        </w:rPr>
        <w:t>ecurity</w:t>
      </w:r>
    </w:p>
    <w:p w14:paraId="3A6A4D33" w14:textId="1B6302B8" w:rsidR="00AB41FF" w:rsidRPr="00CB5E91" w:rsidRDefault="00AB41FF" w:rsidP="00A554BE">
      <w:pPr>
        <w:rPr>
          <w:lang w:eastAsia="en-AU"/>
        </w:rPr>
      </w:pPr>
      <w:r w:rsidRPr="00CB5E91">
        <w:rPr>
          <w:lang w:eastAsia="en-AU"/>
        </w:rPr>
        <w:t xml:space="preserve">The Philippines has seen a significant shift in its security landscape, with violent extremism and terrorism threats </w:t>
      </w:r>
      <w:r w:rsidR="00CD55B7">
        <w:rPr>
          <w:lang w:eastAsia="en-AU"/>
        </w:rPr>
        <w:t>decreasing</w:t>
      </w:r>
      <w:r w:rsidRPr="00CB5E91">
        <w:rPr>
          <w:lang w:eastAsia="en-AU"/>
        </w:rPr>
        <w:t xml:space="preserve"> thanks to improved security measures and coordination</w:t>
      </w:r>
      <w:r w:rsidR="00F15720">
        <w:rPr>
          <w:lang w:eastAsia="en-AU"/>
        </w:rPr>
        <w:t xml:space="preserve"> across the Philippine Government</w:t>
      </w:r>
      <w:r w:rsidRPr="00CB5E91">
        <w:rPr>
          <w:lang w:eastAsia="en-AU"/>
        </w:rPr>
        <w:t xml:space="preserve">. In Muslim Mindanao, </w:t>
      </w:r>
      <w:bookmarkStart w:id="0" w:name="_Hlk173322989"/>
      <w:r w:rsidRPr="00CB5E91">
        <w:rPr>
          <w:lang w:eastAsia="en-AU"/>
        </w:rPr>
        <w:t xml:space="preserve">the peace process between the national government and the Moro Islamic Liberation Front </w:t>
      </w:r>
      <w:bookmarkEnd w:id="0"/>
      <w:r w:rsidR="006A4420">
        <w:rPr>
          <w:lang w:eastAsia="en-AU"/>
        </w:rPr>
        <w:t>re</w:t>
      </w:r>
      <w:r w:rsidR="0019429C">
        <w:rPr>
          <w:lang w:eastAsia="en-AU"/>
        </w:rPr>
        <w:t>mains intact and continues to be implemented</w:t>
      </w:r>
      <w:r w:rsidRPr="00CB5E91">
        <w:rPr>
          <w:lang w:eastAsia="en-AU"/>
        </w:rPr>
        <w:t>. The anticipated 2025 BARMM election represents a crucial test for</w:t>
      </w:r>
      <w:r w:rsidR="009217F9" w:rsidRPr="00CB5E91">
        <w:rPr>
          <w:lang w:eastAsia="en-AU"/>
        </w:rPr>
        <w:t xml:space="preserve"> the peace process in delivering lasting peace.</w:t>
      </w:r>
    </w:p>
    <w:p w14:paraId="31677117" w14:textId="7C5E06D7" w:rsidR="005B4FA8" w:rsidRDefault="00AB41FF" w:rsidP="00A554BE">
      <w:pPr>
        <w:rPr>
          <w:lang w:eastAsia="en-AU"/>
        </w:rPr>
      </w:pPr>
      <w:r w:rsidRPr="00CB5E91">
        <w:rPr>
          <w:lang w:eastAsia="en-AU"/>
        </w:rPr>
        <w:t>Turning its attention to external security challenges, the Philippine Government is strengthening its stance on sovereignty and territorial rights in the South China Sea, advocating for the U</w:t>
      </w:r>
      <w:r w:rsidR="00C42F73">
        <w:rPr>
          <w:lang w:eastAsia="en-AU"/>
        </w:rPr>
        <w:t xml:space="preserve">nited </w:t>
      </w:r>
      <w:r w:rsidRPr="00CB5E91">
        <w:rPr>
          <w:lang w:eastAsia="en-AU"/>
        </w:rPr>
        <w:t>N</w:t>
      </w:r>
      <w:r w:rsidR="00C42F73">
        <w:rPr>
          <w:lang w:eastAsia="en-AU"/>
        </w:rPr>
        <w:t>ations</w:t>
      </w:r>
      <w:r w:rsidRPr="00CB5E91">
        <w:rPr>
          <w:lang w:eastAsia="en-AU"/>
        </w:rPr>
        <w:t xml:space="preserve"> Convention on the Law of the Sea </w:t>
      </w:r>
      <w:r w:rsidR="005778AC">
        <w:rPr>
          <w:lang w:eastAsia="en-AU"/>
        </w:rPr>
        <w:t xml:space="preserve">(UNCLOS) </w:t>
      </w:r>
      <w:r w:rsidRPr="00CB5E91">
        <w:rPr>
          <w:lang w:eastAsia="en-AU"/>
        </w:rPr>
        <w:t xml:space="preserve">and the 2016 Arbitral Award to be respected. </w:t>
      </w:r>
      <w:r w:rsidR="000E3F7E" w:rsidRPr="0032281F">
        <w:rPr>
          <w:lang w:eastAsia="en-AU"/>
        </w:rPr>
        <w:t xml:space="preserve">The current </w:t>
      </w:r>
      <w:r w:rsidR="00CB0EB6" w:rsidRPr="0032281F">
        <w:rPr>
          <w:lang w:eastAsia="en-AU"/>
        </w:rPr>
        <w:t xml:space="preserve">security challenges </w:t>
      </w:r>
      <w:r w:rsidR="003C0CE1" w:rsidRPr="0032281F">
        <w:rPr>
          <w:lang w:eastAsia="en-AU"/>
        </w:rPr>
        <w:t xml:space="preserve">also curtail the </w:t>
      </w:r>
      <w:r w:rsidR="005778AC">
        <w:rPr>
          <w:lang w:eastAsia="en-AU"/>
        </w:rPr>
        <w:t xml:space="preserve">ability of the </w:t>
      </w:r>
      <w:r w:rsidR="003C0CE1" w:rsidRPr="0032281F">
        <w:rPr>
          <w:lang w:eastAsia="en-AU"/>
        </w:rPr>
        <w:t>Philippines</w:t>
      </w:r>
      <w:r w:rsidR="00004568" w:rsidRPr="0032281F">
        <w:rPr>
          <w:lang w:eastAsia="en-AU"/>
        </w:rPr>
        <w:t xml:space="preserve"> to m</w:t>
      </w:r>
      <w:r w:rsidR="005622A9" w:rsidRPr="0032281F">
        <w:rPr>
          <w:lang w:eastAsia="en-AU"/>
        </w:rPr>
        <w:t xml:space="preserve">aximise its natural resources in </w:t>
      </w:r>
      <w:r w:rsidR="00E70583" w:rsidRPr="0032281F">
        <w:rPr>
          <w:lang w:eastAsia="en-AU"/>
        </w:rPr>
        <w:t xml:space="preserve">its </w:t>
      </w:r>
      <w:r w:rsidR="00355B72">
        <w:rPr>
          <w:lang w:eastAsia="en-AU"/>
        </w:rPr>
        <w:t>e</w:t>
      </w:r>
      <w:r w:rsidR="00E70583" w:rsidRPr="0032281F">
        <w:rPr>
          <w:lang w:eastAsia="en-AU"/>
        </w:rPr>
        <w:t xml:space="preserve">xclusive </w:t>
      </w:r>
      <w:r w:rsidR="00355B72">
        <w:rPr>
          <w:lang w:eastAsia="en-AU"/>
        </w:rPr>
        <w:t>e</w:t>
      </w:r>
      <w:r w:rsidR="00E70583" w:rsidRPr="0032281F">
        <w:rPr>
          <w:lang w:eastAsia="en-AU"/>
        </w:rPr>
        <w:t xml:space="preserve">conomic </w:t>
      </w:r>
      <w:r w:rsidR="00355B72">
        <w:rPr>
          <w:lang w:eastAsia="en-AU"/>
        </w:rPr>
        <w:t>z</w:t>
      </w:r>
      <w:r w:rsidR="00E70583" w:rsidRPr="0032281F">
        <w:rPr>
          <w:lang w:eastAsia="en-AU"/>
        </w:rPr>
        <w:t>one, with implications for</w:t>
      </w:r>
      <w:r w:rsidR="00056CD0" w:rsidRPr="0032281F">
        <w:rPr>
          <w:lang w:eastAsia="en-AU"/>
        </w:rPr>
        <w:t xml:space="preserve"> livelihoods</w:t>
      </w:r>
      <w:r w:rsidR="00082145" w:rsidRPr="0032281F">
        <w:rPr>
          <w:lang w:eastAsia="en-AU"/>
        </w:rPr>
        <w:t xml:space="preserve"> and</w:t>
      </w:r>
      <w:r w:rsidR="000F22CA" w:rsidRPr="0032281F">
        <w:rPr>
          <w:lang w:eastAsia="en-AU"/>
        </w:rPr>
        <w:t xml:space="preserve"> </w:t>
      </w:r>
      <w:r w:rsidR="005D7439" w:rsidRPr="0032281F">
        <w:rPr>
          <w:lang w:eastAsia="en-AU"/>
        </w:rPr>
        <w:t>economic development</w:t>
      </w:r>
      <w:r w:rsidR="00CB0EB6" w:rsidRPr="0032281F">
        <w:rPr>
          <w:lang w:eastAsia="en-AU"/>
        </w:rPr>
        <w:t>.</w:t>
      </w:r>
    </w:p>
    <w:p w14:paraId="1B2074F9" w14:textId="1614A76B" w:rsidR="00AB41FF" w:rsidRPr="00CB5E91" w:rsidRDefault="00AB41FF" w:rsidP="00A554BE">
      <w:pPr>
        <w:rPr>
          <w:lang w:eastAsia="en-AU"/>
        </w:rPr>
      </w:pPr>
      <w:r w:rsidRPr="00CB5E91">
        <w:rPr>
          <w:lang w:eastAsia="en-AU"/>
        </w:rPr>
        <w:t>The Philippine Government’s efforts to combat transnational crime, human trafficking and illegal fishing underscore a commitment to safeguarding national security and economic interests, with an emphasis on strengthening maritime capabilities and governance.</w:t>
      </w:r>
    </w:p>
    <w:p w14:paraId="473426F5" w14:textId="14D53FFE" w:rsidR="00AB41FF" w:rsidRPr="00CB5E91" w:rsidRDefault="00AB41FF" w:rsidP="00BA333D">
      <w:pPr>
        <w:pStyle w:val="H3-Heading3"/>
        <w:rPr>
          <w:lang w:eastAsia="en-AU"/>
        </w:rPr>
      </w:pPr>
      <w:r w:rsidRPr="00CB5E91">
        <w:rPr>
          <w:lang w:eastAsia="en-AU"/>
        </w:rPr>
        <w:t xml:space="preserve">Human </w:t>
      </w:r>
      <w:r w:rsidR="006D17AD">
        <w:rPr>
          <w:lang w:eastAsia="en-AU"/>
        </w:rPr>
        <w:t>c</w:t>
      </w:r>
      <w:r w:rsidRPr="00CB5E91">
        <w:rPr>
          <w:lang w:eastAsia="en-AU"/>
        </w:rPr>
        <w:t xml:space="preserve">apital: </w:t>
      </w:r>
      <w:r w:rsidR="006D17AD">
        <w:rPr>
          <w:lang w:eastAsia="en-AU"/>
        </w:rPr>
        <w:t>e</w:t>
      </w:r>
      <w:r w:rsidRPr="00CB5E91">
        <w:rPr>
          <w:lang w:eastAsia="en-AU"/>
        </w:rPr>
        <w:t xml:space="preserve">ducation and </w:t>
      </w:r>
      <w:r w:rsidR="006D17AD">
        <w:rPr>
          <w:lang w:eastAsia="en-AU"/>
        </w:rPr>
        <w:t>h</w:t>
      </w:r>
      <w:r w:rsidRPr="00CB5E91">
        <w:rPr>
          <w:lang w:eastAsia="en-AU"/>
        </w:rPr>
        <w:t>ealth</w:t>
      </w:r>
    </w:p>
    <w:p w14:paraId="1E769748" w14:textId="21203A22" w:rsidR="00067B9E" w:rsidRDefault="00AB41FF" w:rsidP="00A554BE">
      <w:pPr>
        <w:rPr>
          <w:lang w:eastAsia="en-AU"/>
        </w:rPr>
      </w:pPr>
      <w:r w:rsidRPr="00CB5E91">
        <w:rPr>
          <w:lang w:eastAsia="en-AU"/>
        </w:rPr>
        <w:t>Increased investment in human capital will be crucial, particularly in education and health, for the Philippines’ future productivity and social development. The Philippines ranked 77</w:t>
      </w:r>
      <w:r w:rsidR="00760AE7">
        <w:rPr>
          <w:lang w:eastAsia="en-AU"/>
        </w:rPr>
        <w:t>th</w:t>
      </w:r>
      <w:r w:rsidRPr="00CB5E91">
        <w:rPr>
          <w:lang w:eastAsia="en-AU"/>
        </w:rPr>
        <w:t xml:space="preserve"> out of 81</w:t>
      </w:r>
      <w:r w:rsidR="00C60D3A">
        <w:rPr>
          <w:lang w:eastAsia="en-AU"/>
        </w:rPr>
        <w:t> </w:t>
      </w:r>
      <w:r w:rsidRPr="00CB5E91">
        <w:rPr>
          <w:lang w:eastAsia="en-AU"/>
        </w:rPr>
        <w:t xml:space="preserve">countries in the </w:t>
      </w:r>
      <w:r w:rsidR="00870111">
        <w:rPr>
          <w:lang w:eastAsia="en-AU"/>
        </w:rPr>
        <w:t>Organisation for Economic Co</w:t>
      </w:r>
      <w:r w:rsidR="007B61C3">
        <w:rPr>
          <w:lang w:eastAsia="en-AU"/>
        </w:rPr>
        <w:t>-</w:t>
      </w:r>
      <w:r w:rsidR="00870111">
        <w:rPr>
          <w:lang w:eastAsia="en-AU"/>
        </w:rPr>
        <w:t>operation and De</w:t>
      </w:r>
      <w:r w:rsidR="007B61C3">
        <w:rPr>
          <w:lang w:eastAsia="en-AU"/>
        </w:rPr>
        <w:t>v</w:t>
      </w:r>
      <w:r w:rsidR="00870111">
        <w:rPr>
          <w:lang w:eastAsia="en-AU"/>
        </w:rPr>
        <w:t>elopment</w:t>
      </w:r>
      <w:r w:rsidRPr="00CB5E91">
        <w:rPr>
          <w:lang w:eastAsia="en-AU"/>
        </w:rPr>
        <w:t>’s 2022 Program</w:t>
      </w:r>
      <w:r w:rsidR="00FF7EF1">
        <w:rPr>
          <w:lang w:eastAsia="en-AU"/>
        </w:rPr>
        <w:t>me</w:t>
      </w:r>
      <w:r w:rsidRPr="00CB5E91">
        <w:rPr>
          <w:lang w:eastAsia="en-AU"/>
        </w:rPr>
        <w:t xml:space="preserve"> for International Student Assessment (PISA),</w:t>
      </w:r>
      <w:r w:rsidR="007B61C3">
        <w:rPr>
          <w:rStyle w:val="EndnoteReference"/>
          <w:lang w:eastAsia="en-AU"/>
        </w:rPr>
        <w:endnoteReference w:id="7"/>
      </w:r>
      <w:r w:rsidRPr="00CB5E91">
        <w:rPr>
          <w:lang w:eastAsia="en-AU"/>
        </w:rPr>
        <w:t xml:space="preserve"> reflecting the impacts of </w:t>
      </w:r>
      <w:r w:rsidR="00763AA1">
        <w:rPr>
          <w:lang w:eastAsia="en-AU"/>
        </w:rPr>
        <w:t xml:space="preserve">the Philippines’ extended </w:t>
      </w:r>
      <w:r w:rsidRPr="00CB5E91">
        <w:rPr>
          <w:lang w:eastAsia="en-AU"/>
        </w:rPr>
        <w:t xml:space="preserve">school closures during the </w:t>
      </w:r>
      <w:r w:rsidR="009E73FC">
        <w:rPr>
          <w:lang w:eastAsia="en-AU"/>
        </w:rPr>
        <w:t xml:space="preserve">COVID-19 </w:t>
      </w:r>
      <w:r w:rsidRPr="00CB5E91">
        <w:rPr>
          <w:lang w:eastAsia="en-AU"/>
        </w:rPr>
        <w:t xml:space="preserve">pandemic on educational attainment. </w:t>
      </w:r>
      <w:r w:rsidR="00187BA7">
        <w:rPr>
          <w:lang w:eastAsia="en-AU"/>
        </w:rPr>
        <w:t xml:space="preserve">Addressing issues </w:t>
      </w:r>
      <w:r w:rsidR="00067B9E">
        <w:rPr>
          <w:lang w:eastAsia="en-AU"/>
        </w:rPr>
        <w:t>around</w:t>
      </w:r>
      <w:r w:rsidR="00187BA7">
        <w:rPr>
          <w:lang w:eastAsia="en-AU"/>
        </w:rPr>
        <w:t xml:space="preserve"> literacy</w:t>
      </w:r>
      <w:r w:rsidR="00C63E84">
        <w:rPr>
          <w:lang w:eastAsia="en-AU"/>
        </w:rPr>
        <w:t xml:space="preserve"> </w:t>
      </w:r>
      <w:r w:rsidR="0035626B">
        <w:rPr>
          <w:lang w:eastAsia="en-AU"/>
        </w:rPr>
        <w:t>(</w:t>
      </w:r>
      <w:r w:rsidR="00BD25BA">
        <w:rPr>
          <w:lang w:eastAsia="en-AU"/>
        </w:rPr>
        <w:t>most</w:t>
      </w:r>
      <w:r w:rsidR="00E22EF3">
        <w:rPr>
          <w:lang w:eastAsia="en-AU"/>
        </w:rPr>
        <w:t xml:space="preserve"> </w:t>
      </w:r>
      <w:r w:rsidR="00AD3463">
        <w:rPr>
          <w:lang w:eastAsia="en-AU"/>
        </w:rPr>
        <w:t>Filipino children</w:t>
      </w:r>
      <w:r w:rsidR="002E5DC4">
        <w:rPr>
          <w:lang w:eastAsia="en-AU"/>
        </w:rPr>
        <w:t xml:space="preserve"> are not meeting minimum proficiency standards</w:t>
      </w:r>
      <w:r w:rsidR="002008A5">
        <w:rPr>
          <w:lang w:eastAsia="en-AU"/>
        </w:rPr>
        <w:t xml:space="preserve">) </w:t>
      </w:r>
      <w:r w:rsidR="00927CFE">
        <w:rPr>
          <w:lang w:eastAsia="en-AU"/>
        </w:rPr>
        <w:t>while</w:t>
      </w:r>
      <w:r w:rsidR="005D5F12">
        <w:rPr>
          <w:lang w:eastAsia="en-AU"/>
        </w:rPr>
        <w:t xml:space="preserve"> </w:t>
      </w:r>
      <w:r w:rsidR="00927CFE">
        <w:rPr>
          <w:lang w:eastAsia="en-AU"/>
        </w:rPr>
        <w:t>i</w:t>
      </w:r>
      <w:r w:rsidRPr="00CB5E91">
        <w:rPr>
          <w:lang w:eastAsia="en-AU"/>
        </w:rPr>
        <w:t xml:space="preserve">mproving educational outcomes will be important for the Philippines to take advantage of </w:t>
      </w:r>
      <w:r w:rsidR="00CF3AE9" w:rsidRPr="00CB5E91">
        <w:rPr>
          <w:lang w:eastAsia="en-AU"/>
        </w:rPr>
        <w:t>its</w:t>
      </w:r>
      <w:r w:rsidRPr="00CB5E91">
        <w:rPr>
          <w:lang w:eastAsia="en-AU"/>
        </w:rPr>
        <w:t xml:space="preserve"> demographic dividend</w:t>
      </w:r>
      <w:r w:rsidR="00D41CFE" w:rsidRPr="00CB5E91">
        <w:rPr>
          <w:lang w:eastAsia="en-AU"/>
        </w:rPr>
        <w:t xml:space="preserve"> </w:t>
      </w:r>
      <w:r w:rsidR="00AD3457" w:rsidRPr="00CB5E91">
        <w:rPr>
          <w:lang w:eastAsia="en-AU"/>
        </w:rPr>
        <w:t>(</w:t>
      </w:r>
      <w:r w:rsidR="00017D41" w:rsidRPr="00CB5E91">
        <w:rPr>
          <w:lang w:eastAsia="en-AU"/>
        </w:rPr>
        <w:t>youth bulge</w:t>
      </w:r>
      <w:r w:rsidR="00AD3457" w:rsidRPr="00CB5E91">
        <w:rPr>
          <w:lang w:eastAsia="en-AU"/>
        </w:rPr>
        <w:t>)</w:t>
      </w:r>
      <w:r w:rsidRPr="00CB5E91">
        <w:rPr>
          <w:lang w:eastAsia="en-AU"/>
        </w:rPr>
        <w:t>.</w:t>
      </w:r>
    </w:p>
    <w:p w14:paraId="18F25C5B" w14:textId="648E4D52" w:rsidR="00AF280A" w:rsidRDefault="00AB41FF" w:rsidP="00A554BE">
      <w:pPr>
        <w:rPr>
          <w:b/>
          <w:bCs/>
          <w:color w:val="313E48"/>
          <w:lang w:eastAsia="en-AU"/>
        </w:rPr>
      </w:pPr>
      <w:r w:rsidRPr="00CB5E91">
        <w:rPr>
          <w:lang w:eastAsia="en-AU"/>
        </w:rPr>
        <w:t xml:space="preserve">The Philippines </w:t>
      </w:r>
      <w:r w:rsidR="00F272B2">
        <w:rPr>
          <w:lang w:eastAsia="en-AU"/>
        </w:rPr>
        <w:t>is focused on addressing</w:t>
      </w:r>
      <w:r w:rsidRPr="00CB5E91">
        <w:rPr>
          <w:lang w:eastAsia="en-AU"/>
        </w:rPr>
        <w:t xml:space="preserve"> challenges in the health sector</w:t>
      </w:r>
      <w:r w:rsidR="00F272B2">
        <w:rPr>
          <w:lang w:eastAsia="en-AU"/>
        </w:rPr>
        <w:t xml:space="preserve"> such as </w:t>
      </w:r>
      <w:r w:rsidR="003E187E">
        <w:rPr>
          <w:lang w:eastAsia="en-AU"/>
        </w:rPr>
        <w:t xml:space="preserve">universal health care, </w:t>
      </w:r>
      <w:r w:rsidR="00F272B2">
        <w:rPr>
          <w:lang w:eastAsia="en-AU"/>
        </w:rPr>
        <w:t>immunisation and stunting</w:t>
      </w:r>
      <w:r w:rsidRPr="00CB5E91">
        <w:rPr>
          <w:lang w:eastAsia="en-AU"/>
        </w:rPr>
        <w:t xml:space="preserve">. </w:t>
      </w:r>
      <w:r w:rsidR="00F272B2">
        <w:rPr>
          <w:lang w:eastAsia="en-AU"/>
        </w:rPr>
        <w:t xml:space="preserve">The Philippines </w:t>
      </w:r>
      <w:r w:rsidR="00FF5D91">
        <w:rPr>
          <w:lang w:eastAsia="en-AU"/>
        </w:rPr>
        <w:t xml:space="preserve">has the world’s fifth highest number of </w:t>
      </w:r>
      <w:r w:rsidR="00011229">
        <w:rPr>
          <w:lang w:eastAsia="en-AU"/>
        </w:rPr>
        <w:t>unvaccinated</w:t>
      </w:r>
      <w:r w:rsidR="00FF5D91">
        <w:rPr>
          <w:lang w:eastAsia="en-AU"/>
        </w:rPr>
        <w:t xml:space="preserve"> children</w:t>
      </w:r>
      <w:r w:rsidR="00415DC5">
        <w:rPr>
          <w:lang w:eastAsia="en-AU"/>
        </w:rPr>
        <w:t>,</w:t>
      </w:r>
      <w:r w:rsidR="00F272B2">
        <w:rPr>
          <w:lang w:eastAsia="en-AU"/>
        </w:rPr>
        <w:t xml:space="preserve"> one-third of Filipino children under </w:t>
      </w:r>
      <w:r w:rsidR="008B36F4">
        <w:rPr>
          <w:lang w:eastAsia="en-AU"/>
        </w:rPr>
        <w:t>5 years</w:t>
      </w:r>
      <w:r w:rsidR="00F272B2">
        <w:rPr>
          <w:lang w:eastAsia="en-AU"/>
        </w:rPr>
        <w:t xml:space="preserve"> are stunted</w:t>
      </w:r>
      <w:r w:rsidRPr="00CB5E91">
        <w:rPr>
          <w:lang w:eastAsia="en-AU"/>
        </w:rPr>
        <w:t xml:space="preserve"> and frontline</w:t>
      </w:r>
      <w:r w:rsidR="006110A1">
        <w:rPr>
          <w:lang w:eastAsia="en-AU"/>
        </w:rPr>
        <w:t xml:space="preserve"> health</w:t>
      </w:r>
      <w:r w:rsidRPr="00CB5E91">
        <w:rPr>
          <w:lang w:eastAsia="en-AU"/>
        </w:rPr>
        <w:t xml:space="preserve"> service delivery remain</w:t>
      </w:r>
      <w:r w:rsidR="00446563">
        <w:rPr>
          <w:lang w:eastAsia="en-AU"/>
        </w:rPr>
        <w:t>s</w:t>
      </w:r>
      <w:r w:rsidR="002C27AA">
        <w:rPr>
          <w:lang w:eastAsia="en-AU"/>
        </w:rPr>
        <w:t xml:space="preserve"> fragmented</w:t>
      </w:r>
      <w:r w:rsidRPr="00CB5E91">
        <w:rPr>
          <w:lang w:eastAsia="en-AU"/>
        </w:rPr>
        <w:t xml:space="preserve">. Despite challenges in the education and health sectors, the Philippines is making strides towards enhancing human capital through initiatives such as the Universal Health Care Act and </w:t>
      </w:r>
      <w:r w:rsidR="00537AD1">
        <w:rPr>
          <w:lang w:eastAsia="en-AU"/>
        </w:rPr>
        <w:t xml:space="preserve">the </w:t>
      </w:r>
      <w:r w:rsidRPr="00CB5E91">
        <w:rPr>
          <w:lang w:eastAsia="en-AU"/>
        </w:rPr>
        <w:t xml:space="preserve">rollout of </w:t>
      </w:r>
      <w:r w:rsidR="00537AD1">
        <w:rPr>
          <w:lang w:eastAsia="en-AU"/>
        </w:rPr>
        <w:t>a</w:t>
      </w:r>
      <w:r w:rsidRPr="00CB5E91">
        <w:rPr>
          <w:lang w:eastAsia="en-AU"/>
        </w:rPr>
        <w:t xml:space="preserve"> new basic education curriculum.</w:t>
      </w:r>
    </w:p>
    <w:p w14:paraId="78114AF6" w14:textId="347F7683" w:rsidR="00AF280A" w:rsidRPr="00CB5E91" w:rsidRDefault="00AF280A" w:rsidP="00BA333D">
      <w:pPr>
        <w:pStyle w:val="H3-Heading3"/>
        <w:rPr>
          <w:lang w:eastAsia="en-AU"/>
        </w:rPr>
      </w:pPr>
      <w:r w:rsidRPr="00CB5E91">
        <w:rPr>
          <w:lang w:eastAsia="en-AU"/>
        </w:rPr>
        <w:t>Climate change</w:t>
      </w:r>
    </w:p>
    <w:p w14:paraId="4A75B8D3" w14:textId="7E9B57A1" w:rsidR="00AF280A" w:rsidRPr="00CB5E91" w:rsidRDefault="00AF280A" w:rsidP="00A554BE">
      <w:pPr>
        <w:rPr>
          <w:lang w:eastAsia="en-AU"/>
        </w:rPr>
      </w:pPr>
      <w:r w:rsidRPr="00CB5E91">
        <w:rPr>
          <w:lang w:eastAsia="en-AU"/>
        </w:rPr>
        <w:t>The 2023 World Risk Report</w:t>
      </w:r>
      <w:r w:rsidR="007B6ABC">
        <w:rPr>
          <w:rStyle w:val="EndnoteReference"/>
          <w:lang w:eastAsia="en-AU"/>
        </w:rPr>
        <w:endnoteReference w:id="8"/>
      </w:r>
      <w:r w:rsidRPr="00CB5E91">
        <w:rPr>
          <w:lang w:eastAsia="en-AU"/>
        </w:rPr>
        <w:t xml:space="preserve"> ranks the Philippines first out of 193</w:t>
      </w:r>
      <w:r w:rsidR="00A26172">
        <w:rPr>
          <w:lang w:eastAsia="en-AU"/>
        </w:rPr>
        <w:t> </w:t>
      </w:r>
      <w:r w:rsidRPr="00CB5E91">
        <w:rPr>
          <w:lang w:eastAsia="en-AU"/>
        </w:rPr>
        <w:t>countries at risk from disasters, and this</w:t>
      </w:r>
      <w:r w:rsidR="00537AD1">
        <w:rPr>
          <w:lang w:eastAsia="en-AU"/>
        </w:rPr>
        <w:t xml:space="preserve"> risk</w:t>
      </w:r>
      <w:r w:rsidRPr="00CB5E91">
        <w:rPr>
          <w:lang w:eastAsia="en-AU"/>
        </w:rPr>
        <w:t xml:space="preserve"> is projected to intensify as the climate changes. Annually, an average of 20</w:t>
      </w:r>
      <w:r w:rsidR="00A26172">
        <w:rPr>
          <w:lang w:eastAsia="en-AU"/>
        </w:rPr>
        <w:t> </w:t>
      </w:r>
      <w:r w:rsidRPr="00CB5E91">
        <w:rPr>
          <w:lang w:eastAsia="en-AU"/>
        </w:rPr>
        <w:t>tropical cyclones pass through the country, and the nation remains vulnerable to earthquakes, volcanic eruptions and tsunamis. This geographical and climatic reality places a considerable strain on disaster risk management and response systems and jeopardises development progress by disproportionately impacting the poor.</w:t>
      </w:r>
    </w:p>
    <w:p w14:paraId="2140616D" w14:textId="26E35D71" w:rsidR="00AF280A" w:rsidRPr="00CB5E91" w:rsidRDefault="00AF280A" w:rsidP="00A554BE">
      <w:pPr>
        <w:rPr>
          <w:szCs w:val="21"/>
          <w:lang w:eastAsia="en-AU"/>
        </w:rPr>
      </w:pPr>
      <w:r w:rsidRPr="00CB5E91">
        <w:rPr>
          <w:szCs w:val="21"/>
          <w:lang w:eastAsia="en-AU"/>
        </w:rPr>
        <w:lastRenderedPageBreak/>
        <w:t>The Philippines has demonstrated leadership in disaster risk reduction and management, with a well</w:t>
      </w:r>
      <w:r w:rsidR="000919CA">
        <w:rPr>
          <w:szCs w:val="21"/>
          <w:lang w:eastAsia="en-AU"/>
        </w:rPr>
        <w:noBreakHyphen/>
      </w:r>
      <w:r w:rsidRPr="00CB5E91">
        <w:rPr>
          <w:szCs w:val="21"/>
          <w:lang w:eastAsia="en-AU"/>
        </w:rPr>
        <w:t>established framework enhancing resilience at both national and community levels. The country’s proactive stance on climate adaptation focuses on sustainable practices, early warning systems and robust community engagement to mitigate the impacts of climate</w:t>
      </w:r>
      <w:r w:rsidR="008B335D">
        <w:rPr>
          <w:szCs w:val="21"/>
          <w:lang w:eastAsia="en-AU"/>
        </w:rPr>
        <w:noBreakHyphen/>
      </w:r>
      <w:r w:rsidRPr="00CB5E91">
        <w:rPr>
          <w:szCs w:val="21"/>
          <w:lang w:eastAsia="en-AU"/>
        </w:rPr>
        <w:t>related events.</w:t>
      </w:r>
    </w:p>
    <w:p w14:paraId="4AEC4118" w14:textId="5A642A2D" w:rsidR="00AF280A" w:rsidRPr="00CB5E91" w:rsidRDefault="00AF280A" w:rsidP="00A554BE">
      <w:pPr>
        <w:rPr>
          <w:szCs w:val="21"/>
          <w:lang w:eastAsia="en-AU"/>
        </w:rPr>
      </w:pPr>
      <w:r w:rsidRPr="00CB5E91">
        <w:rPr>
          <w:szCs w:val="21"/>
          <w:lang w:eastAsia="en-AU"/>
        </w:rPr>
        <w:t xml:space="preserve">Implementation and coordination will be important. </w:t>
      </w:r>
      <w:r w:rsidR="00E463BF">
        <w:rPr>
          <w:szCs w:val="21"/>
          <w:lang w:eastAsia="en-AU"/>
        </w:rPr>
        <w:t>An active contributor to international climate dialogue, t</w:t>
      </w:r>
      <w:r w:rsidRPr="00CB5E91">
        <w:rPr>
          <w:szCs w:val="21"/>
          <w:lang w:eastAsia="en-AU"/>
        </w:rPr>
        <w:t>he Philippine Government’s efforts to strengthen</w:t>
      </w:r>
      <w:r w:rsidR="003978C0">
        <w:rPr>
          <w:szCs w:val="21"/>
          <w:lang w:eastAsia="en-AU"/>
        </w:rPr>
        <w:t xml:space="preserve"> climate and</w:t>
      </w:r>
      <w:r w:rsidRPr="00CB5E91">
        <w:rPr>
          <w:szCs w:val="21"/>
          <w:lang w:eastAsia="en-AU"/>
        </w:rPr>
        <w:t xml:space="preserve"> disaster </w:t>
      </w:r>
      <w:r w:rsidR="003978C0">
        <w:rPr>
          <w:szCs w:val="21"/>
          <w:lang w:eastAsia="en-AU"/>
        </w:rPr>
        <w:t>resilience</w:t>
      </w:r>
      <w:r w:rsidR="003978C0" w:rsidRPr="00CB5E91">
        <w:rPr>
          <w:szCs w:val="21"/>
          <w:lang w:eastAsia="en-AU"/>
        </w:rPr>
        <w:t xml:space="preserve"> </w:t>
      </w:r>
      <w:r w:rsidRPr="00CB5E91">
        <w:rPr>
          <w:szCs w:val="21"/>
          <w:lang w:eastAsia="en-AU"/>
        </w:rPr>
        <w:t>include promoting climate</w:t>
      </w:r>
      <w:r w:rsidR="008B335D">
        <w:rPr>
          <w:szCs w:val="21"/>
          <w:lang w:eastAsia="en-AU"/>
        </w:rPr>
        <w:noBreakHyphen/>
      </w:r>
      <w:r w:rsidRPr="00CB5E91">
        <w:rPr>
          <w:szCs w:val="21"/>
          <w:lang w:eastAsia="en-AU"/>
        </w:rPr>
        <w:t xml:space="preserve">smart agriculture, </w:t>
      </w:r>
      <w:r w:rsidR="00B62C4E">
        <w:rPr>
          <w:szCs w:val="21"/>
          <w:lang w:eastAsia="en-AU"/>
        </w:rPr>
        <w:t>investing in resilient</w:t>
      </w:r>
      <w:r w:rsidR="009D41CA" w:rsidRPr="00CB5E91">
        <w:rPr>
          <w:szCs w:val="21"/>
          <w:lang w:eastAsia="en-AU"/>
        </w:rPr>
        <w:t xml:space="preserve"> infrastructure </w:t>
      </w:r>
      <w:r w:rsidRPr="00CB5E91">
        <w:rPr>
          <w:szCs w:val="21"/>
          <w:lang w:eastAsia="en-AU"/>
        </w:rPr>
        <w:t>and investing in renewable energy to reduce emissions. These initiatives are part of a broader strategy to manage current risks and reduce future vulnerabilities.</w:t>
      </w:r>
      <w:r w:rsidR="003C0B1E">
        <w:rPr>
          <w:szCs w:val="21"/>
          <w:lang w:eastAsia="en-AU"/>
        </w:rPr>
        <w:t xml:space="preserve"> </w:t>
      </w:r>
      <w:r>
        <w:rPr>
          <w:szCs w:val="21"/>
          <w:lang w:eastAsia="en-AU"/>
        </w:rPr>
        <w:t>Australia is well-positioned to support the Philippines in climate adaptation</w:t>
      </w:r>
      <w:r w:rsidR="00527EDE" w:rsidRPr="00527EDE">
        <w:rPr>
          <w:szCs w:val="21"/>
          <w:lang w:eastAsia="en-AU"/>
        </w:rPr>
        <w:t>,</w:t>
      </w:r>
      <w:r>
        <w:rPr>
          <w:szCs w:val="21"/>
          <w:lang w:eastAsia="en-AU"/>
        </w:rPr>
        <w:t xml:space="preserve"> building on our current work on disaster preparedness, recovery, resilience</w:t>
      </w:r>
      <w:r w:rsidR="00175A9D">
        <w:rPr>
          <w:szCs w:val="21"/>
          <w:lang w:eastAsia="en-AU"/>
        </w:rPr>
        <w:t>-</w:t>
      </w:r>
      <w:r>
        <w:rPr>
          <w:szCs w:val="21"/>
          <w:lang w:eastAsia="en-AU"/>
        </w:rPr>
        <w:t>building, policy reform and maritime security, and Australia’s global and regional programs on climate financing and infrastructure.</w:t>
      </w:r>
      <w:r w:rsidR="0031726D">
        <w:rPr>
          <w:szCs w:val="21"/>
          <w:lang w:eastAsia="en-AU"/>
        </w:rPr>
        <w:t xml:space="preserve"> We will enhance our cooperation on climate change with the Philippines</w:t>
      </w:r>
      <w:r w:rsidR="002F3F2B">
        <w:rPr>
          <w:szCs w:val="21"/>
          <w:lang w:eastAsia="en-AU"/>
        </w:rPr>
        <w:t xml:space="preserve">, </w:t>
      </w:r>
      <w:r w:rsidR="00B13EFF">
        <w:rPr>
          <w:szCs w:val="21"/>
          <w:lang w:eastAsia="en-AU"/>
        </w:rPr>
        <w:t>both on adaptation</w:t>
      </w:r>
      <w:r w:rsidR="009879CB">
        <w:rPr>
          <w:szCs w:val="21"/>
          <w:lang w:eastAsia="en-AU"/>
        </w:rPr>
        <w:t xml:space="preserve"> and</w:t>
      </w:r>
      <w:r w:rsidR="00B13EFF">
        <w:rPr>
          <w:szCs w:val="21"/>
          <w:lang w:eastAsia="en-AU"/>
        </w:rPr>
        <w:t xml:space="preserve"> mitigation.</w:t>
      </w:r>
    </w:p>
    <w:p w14:paraId="648A0BE2" w14:textId="3DC8895E" w:rsidR="00AF280A" w:rsidRPr="00CB5E91" w:rsidRDefault="00AF280A" w:rsidP="00BA333D">
      <w:pPr>
        <w:pStyle w:val="H3-Heading3"/>
        <w:rPr>
          <w:lang w:eastAsia="en-AU"/>
        </w:rPr>
      </w:pPr>
      <w:r w:rsidRPr="00CB5E91">
        <w:rPr>
          <w:lang w:eastAsia="en-AU"/>
        </w:rPr>
        <w:t xml:space="preserve">Gender </w:t>
      </w:r>
      <w:r w:rsidR="006D17AD">
        <w:rPr>
          <w:lang w:eastAsia="en-AU"/>
        </w:rPr>
        <w:t>e</w:t>
      </w:r>
      <w:r w:rsidRPr="00CB5E91">
        <w:rPr>
          <w:lang w:eastAsia="en-AU"/>
        </w:rPr>
        <w:t xml:space="preserve">quality, </w:t>
      </w:r>
      <w:r w:rsidR="006D17AD">
        <w:rPr>
          <w:lang w:eastAsia="en-AU"/>
        </w:rPr>
        <w:t>d</w:t>
      </w:r>
      <w:r w:rsidRPr="00CB5E91">
        <w:rPr>
          <w:lang w:eastAsia="en-AU"/>
        </w:rPr>
        <w:t xml:space="preserve">isability and </w:t>
      </w:r>
      <w:r w:rsidR="006D17AD">
        <w:rPr>
          <w:lang w:eastAsia="en-AU"/>
        </w:rPr>
        <w:t>s</w:t>
      </w:r>
      <w:r w:rsidRPr="00CB5E91">
        <w:rPr>
          <w:lang w:eastAsia="en-AU"/>
        </w:rPr>
        <w:t xml:space="preserve">ocial </w:t>
      </w:r>
      <w:r w:rsidR="006D17AD">
        <w:rPr>
          <w:lang w:eastAsia="en-AU"/>
        </w:rPr>
        <w:t>i</w:t>
      </w:r>
      <w:r w:rsidRPr="00CB5E91">
        <w:rPr>
          <w:lang w:eastAsia="en-AU"/>
        </w:rPr>
        <w:t>nclusion (GEDSI)</w:t>
      </w:r>
    </w:p>
    <w:p w14:paraId="1EF6D8F6" w14:textId="7B848A9E" w:rsidR="00AF280A" w:rsidRPr="00CB5E91" w:rsidRDefault="00AF280A" w:rsidP="00A554BE">
      <w:pPr>
        <w:rPr>
          <w:lang w:eastAsia="en-AU"/>
        </w:rPr>
      </w:pPr>
      <w:r w:rsidRPr="00CB5E91">
        <w:rPr>
          <w:lang w:eastAsia="en-AU"/>
        </w:rPr>
        <w:t>The Philippines has historically been recognised for its achievements in gender equality, with strong institutional frameworks supporting women</w:t>
      </w:r>
      <w:r w:rsidR="00C255DB">
        <w:rPr>
          <w:lang w:eastAsia="en-AU"/>
        </w:rPr>
        <w:t>’</w:t>
      </w:r>
      <w:r w:rsidRPr="00CB5E91">
        <w:rPr>
          <w:lang w:eastAsia="en-AU"/>
        </w:rPr>
        <w:t xml:space="preserve">s rights and participation. Remaining challenges include disparities in labour force participation, social norms impacting women’s economic empowerment and lack of access to sexual and reproductive health and rights. According to </w:t>
      </w:r>
      <w:r w:rsidR="00E64CBD">
        <w:rPr>
          <w:lang w:eastAsia="en-AU"/>
        </w:rPr>
        <w:t>the United Nations Development Programme</w:t>
      </w:r>
      <w:r w:rsidRPr="00CB5E91">
        <w:rPr>
          <w:lang w:eastAsia="en-AU"/>
        </w:rPr>
        <w:t>’s Gender Social Norms Index,</w:t>
      </w:r>
      <w:r w:rsidR="00F922B5">
        <w:rPr>
          <w:rStyle w:val="EndnoteReference"/>
          <w:lang w:eastAsia="en-AU"/>
        </w:rPr>
        <w:endnoteReference w:id="9"/>
      </w:r>
      <w:r w:rsidRPr="00CB5E91">
        <w:rPr>
          <w:lang w:eastAsia="en-AU"/>
        </w:rPr>
        <w:t xml:space="preserve"> 99.5</w:t>
      </w:r>
      <w:r w:rsidR="00125962">
        <w:rPr>
          <w:lang w:eastAsia="en-AU"/>
        </w:rPr>
        <w:t> </w:t>
      </w:r>
      <w:r w:rsidRPr="00CB5E91">
        <w:rPr>
          <w:lang w:eastAsia="en-AU"/>
        </w:rPr>
        <w:t>per</w:t>
      </w:r>
      <w:r w:rsidR="00125962">
        <w:rPr>
          <w:lang w:eastAsia="en-AU"/>
        </w:rPr>
        <w:t> </w:t>
      </w:r>
      <w:r w:rsidRPr="00CB5E91">
        <w:rPr>
          <w:lang w:eastAsia="en-AU"/>
        </w:rPr>
        <w:t>cent of Filipinos hold a bias against women, particularly on political leadership, women’s right to a job, caring responsibilities and the household division of labour. Teenage pregnancy is decreasing, but the Philippines ranks second among Southeast Asian countries, at 5.4</w:t>
      </w:r>
      <w:r w:rsidR="004B6088">
        <w:rPr>
          <w:lang w:eastAsia="en-AU"/>
        </w:rPr>
        <w:t> per cent</w:t>
      </w:r>
      <w:r w:rsidRPr="00CB5E91">
        <w:rPr>
          <w:lang w:eastAsia="en-AU"/>
        </w:rPr>
        <w:t>. Women’s labour force participation is among the lowest in East Asia, at 44</w:t>
      </w:r>
      <w:r w:rsidR="00173C7F">
        <w:rPr>
          <w:lang w:eastAsia="en-AU"/>
        </w:rPr>
        <w:t> </w:t>
      </w:r>
      <w:r w:rsidRPr="00CB5E91">
        <w:rPr>
          <w:lang w:eastAsia="en-AU"/>
        </w:rPr>
        <w:t>per</w:t>
      </w:r>
      <w:r w:rsidR="00173C7F">
        <w:rPr>
          <w:lang w:eastAsia="en-AU"/>
        </w:rPr>
        <w:t> </w:t>
      </w:r>
      <w:r w:rsidRPr="00CB5E91">
        <w:rPr>
          <w:lang w:eastAsia="en-AU"/>
        </w:rPr>
        <w:t>cent in 2021, compare</w:t>
      </w:r>
      <w:r w:rsidR="00836F7C">
        <w:rPr>
          <w:lang w:eastAsia="en-AU"/>
        </w:rPr>
        <w:t>d</w:t>
      </w:r>
      <w:r w:rsidRPr="00CB5E91">
        <w:rPr>
          <w:lang w:eastAsia="en-AU"/>
        </w:rPr>
        <w:t xml:space="preserve"> to men’s participation at 68</w:t>
      </w:r>
      <w:r w:rsidR="00173C7F">
        <w:rPr>
          <w:lang w:eastAsia="en-AU"/>
        </w:rPr>
        <w:t> </w:t>
      </w:r>
      <w:r w:rsidRPr="00CB5E91">
        <w:rPr>
          <w:lang w:eastAsia="en-AU"/>
        </w:rPr>
        <w:t>per</w:t>
      </w:r>
      <w:r w:rsidR="00173C7F">
        <w:rPr>
          <w:lang w:eastAsia="en-AU"/>
        </w:rPr>
        <w:t> </w:t>
      </w:r>
      <w:r w:rsidRPr="00CB5E91">
        <w:rPr>
          <w:lang w:eastAsia="en-AU"/>
        </w:rPr>
        <w:t xml:space="preserve">cent. The </w:t>
      </w:r>
      <w:r w:rsidR="004E0C0D" w:rsidRPr="00CB5E91">
        <w:rPr>
          <w:szCs w:val="21"/>
          <w:lang w:eastAsia="en-AU"/>
        </w:rPr>
        <w:t xml:space="preserve">Philippine </w:t>
      </w:r>
      <w:r w:rsidRPr="00CB5E91">
        <w:rPr>
          <w:lang w:eastAsia="en-AU"/>
        </w:rPr>
        <w:t>Government’s efforts to overcome these challenges are ongoing, with policies and programs designed to empower women and girls in all sectors of society.</w:t>
      </w:r>
    </w:p>
    <w:p w14:paraId="7EEE1281" w14:textId="26C6D60C" w:rsidR="00AF280A" w:rsidRPr="00CB5E91" w:rsidRDefault="00AF280A" w:rsidP="00A554BE">
      <w:pPr>
        <w:rPr>
          <w:lang w:eastAsia="en-AU"/>
        </w:rPr>
      </w:pPr>
      <w:r w:rsidRPr="00CB5E91">
        <w:rPr>
          <w:lang w:eastAsia="en-AU"/>
        </w:rPr>
        <w:t xml:space="preserve">Disability inclusion and the rights of </w:t>
      </w:r>
      <w:r w:rsidR="0027028E">
        <w:rPr>
          <w:lang w:eastAsia="en-AU"/>
        </w:rPr>
        <w:t>I</w:t>
      </w:r>
      <w:r w:rsidRPr="00CB5E91">
        <w:rPr>
          <w:lang w:eastAsia="en-AU"/>
        </w:rPr>
        <w:t>ndigenous peoples are also critical aspects of the GEDSI agenda in the Philippines. The country has enacted legislation to protect and promote the rights of pe</w:t>
      </w:r>
      <w:r w:rsidR="00836F7C">
        <w:rPr>
          <w:lang w:eastAsia="en-AU"/>
        </w:rPr>
        <w:t>ople</w:t>
      </w:r>
      <w:r w:rsidRPr="00CB5E91">
        <w:rPr>
          <w:lang w:eastAsia="en-AU"/>
        </w:rPr>
        <w:t xml:space="preserve"> with disabilit</w:t>
      </w:r>
      <w:r w:rsidR="00836F7C">
        <w:rPr>
          <w:lang w:eastAsia="en-AU"/>
        </w:rPr>
        <w:t>y</w:t>
      </w:r>
      <w:r w:rsidRPr="00CB5E91">
        <w:rPr>
          <w:lang w:eastAsia="en-AU"/>
        </w:rPr>
        <w:t xml:space="preserve"> and </w:t>
      </w:r>
      <w:r w:rsidR="00C444CC">
        <w:rPr>
          <w:lang w:eastAsia="en-AU"/>
        </w:rPr>
        <w:t>I</w:t>
      </w:r>
      <w:r w:rsidRPr="00CB5E91">
        <w:rPr>
          <w:lang w:eastAsia="en-AU"/>
        </w:rPr>
        <w:t>ndigenous peoples, aiming to ensure their full participation in social, economic and political life. However, implementation gaps, limited access to services and social stigma continue to hinder progress. Addressing these challenges requires concerted efforts from government, civil society and international partners.</w:t>
      </w:r>
    </w:p>
    <w:p w14:paraId="0E48E776" w14:textId="019D2AD6" w:rsidR="00AF280A" w:rsidRDefault="00AF280A" w:rsidP="00A554BE">
      <w:pPr>
        <w:rPr>
          <w:lang w:eastAsia="en-AU"/>
        </w:rPr>
      </w:pPr>
      <w:r w:rsidRPr="00CB5E91">
        <w:rPr>
          <w:lang w:eastAsia="en-AU"/>
        </w:rPr>
        <w:t xml:space="preserve">For the </w:t>
      </w:r>
      <w:r w:rsidR="00693C8F">
        <w:rPr>
          <w:lang w:eastAsia="en-AU"/>
        </w:rPr>
        <w:t>lesbian, gay, bisexual, transgender, queer, intersex</w:t>
      </w:r>
      <w:r w:rsidR="003423BC">
        <w:rPr>
          <w:lang w:eastAsia="en-AU"/>
        </w:rPr>
        <w:t>, asexual</w:t>
      </w:r>
      <w:r w:rsidR="00582E61">
        <w:rPr>
          <w:lang w:eastAsia="en-AU"/>
        </w:rPr>
        <w:t>, or another diverse gender or sexual identity</w:t>
      </w:r>
      <w:r w:rsidR="00693C8F">
        <w:rPr>
          <w:lang w:eastAsia="en-AU"/>
        </w:rPr>
        <w:t xml:space="preserve"> </w:t>
      </w:r>
      <w:r w:rsidR="0099258A">
        <w:rPr>
          <w:lang w:eastAsia="en-AU"/>
        </w:rPr>
        <w:t>(</w:t>
      </w:r>
      <w:r w:rsidRPr="00CB5E91">
        <w:rPr>
          <w:lang w:eastAsia="en-AU"/>
        </w:rPr>
        <w:t>LGBTQIA+</w:t>
      </w:r>
      <w:r w:rsidR="0099258A">
        <w:rPr>
          <w:lang w:eastAsia="en-AU"/>
        </w:rPr>
        <w:t>)</w:t>
      </w:r>
      <w:r w:rsidRPr="00CB5E91">
        <w:rPr>
          <w:lang w:eastAsia="en-AU"/>
        </w:rPr>
        <w:t xml:space="preserve"> community, legal and social recognition remains a work in progress. Advocacy for the Sexual Orientation and Gender Identity </w:t>
      </w:r>
      <w:r w:rsidR="00561578">
        <w:rPr>
          <w:lang w:eastAsia="en-AU"/>
        </w:rPr>
        <w:t>or</w:t>
      </w:r>
      <w:r w:rsidR="00561578" w:rsidRPr="00CB5E91">
        <w:rPr>
          <w:lang w:eastAsia="en-AU"/>
        </w:rPr>
        <w:t xml:space="preserve"> </w:t>
      </w:r>
      <w:r w:rsidRPr="00CB5E91">
        <w:rPr>
          <w:lang w:eastAsia="en-AU"/>
        </w:rPr>
        <w:t xml:space="preserve">Expression (SOGIE) Bill and other measures seeks to </w:t>
      </w:r>
      <w:r w:rsidR="00DB69F9">
        <w:rPr>
          <w:lang w:eastAsia="en-AU"/>
        </w:rPr>
        <w:t>ensure</w:t>
      </w:r>
      <w:r w:rsidR="00566A0B">
        <w:rPr>
          <w:lang w:eastAsia="en-AU"/>
        </w:rPr>
        <w:t xml:space="preserve"> LGBTQIA+ individuals</w:t>
      </w:r>
      <w:r w:rsidR="00566A0B" w:rsidRPr="00CB5E91">
        <w:rPr>
          <w:lang w:eastAsia="en-AU"/>
        </w:rPr>
        <w:t xml:space="preserve"> </w:t>
      </w:r>
      <w:r w:rsidR="00DB69F9">
        <w:rPr>
          <w:lang w:eastAsia="en-AU"/>
        </w:rPr>
        <w:t xml:space="preserve">have </w:t>
      </w:r>
      <w:r w:rsidRPr="00CB5E91">
        <w:rPr>
          <w:lang w:eastAsia="en-AU"/>
        </w:rPr>
        <w:t>equal rights and protections under the law. Promoting social inclusion for LGBTQIA+ individuals involves not only legislative action but also cultural and societal shifts towards acceptance</w:t>
      </w:r>
      <w:r w:rsidR="00DD42AD">
        <w:rPr>
          <w:lang w:eastAsia="en-AU"/>
        </w:rPr>
        <w:t>,</w:t>
      </w:r>
      <w:r w:rsidRPr="00CB5E91">
        <w:rPr>
          <w:lang w:eastAsia="en-AU"/>
        </w:rPr>
        <w:t xml:space="preserve"> equality and equitable provision of services.</w:t>
      </w:r>
    </w:p>
    <w:p w14:paraId="593907BE" w14:textId="1C7EE3DF" w:rsidR="009975B1" w:rsidRDefault="00813B3B" w:rsidP="006321F9">
      <w:pPr>
        <w:rPr>
          <w:lang w:eastAsia="en-AU"/>
        </w:rPr>
      </w:pPr>
      <w:r>
        <w:rPr>
          <w:lang w:eastAsia="en-AU"/>
        </w:rPr>
        <w:t>Australia will continue our twin-track approach to supporting GEDSI in the Philippines</w:t>
      </w:r>
      <w:r w:rsidR="00DD42AD">
        <w:rPr>
          <w:lang w:eastAsia="en-AU"/>
        </w:rPr>
        <w:t>:</w:t>
      </w:r>
      <w:r>
        <w:rPr>
          <w:lang w:eastAsia="en-AU"/>
        </w:rPr>
        <w:t xml:space="preserve"> engaging targeted programming to respond to critical issues and deliberately mainstreaming to ensure we are maximising opportunities across the breadth of our partnership. </w:t>
      </w:r>
      <w:r w:rsidR="003D73F2">
        <w:rPr>
          <w:lang w:eastAsia="en-AU"/>
        </w:rPr>
        <w:t xml:space="preserve">We will </w:t>
      </w:r>
      <w:r w:rsidR="00E15C36">
        <w:rPr>
          <w:lang w:eastAsia="en-AU"/>
        </w:rPr>
        <w:t xml:space="preserve">particularly </w:t>
      </w:r>
      <w:r w:rsidR="003D73F2">
        <w:rPr>
          <w:lang w:eastAsia="en-AU"/>
        </w:rPr>
        <w:t xml:space="preserve">build on our </w:t>
      </w:r>
      <w:r w:rsidR="008C5E6F">
        <w:rPr>
          <w:lang w:eastAsia="en-AU"/>
        </w:rPr>
        <w:t>partnerships with the Philippine Government to address gender inequality</w:t>
      </w:r>
      <w:r w:rsidR="006076BA">
        <w:rPr>
          <w:lang w:eastAsia="en-AU"/>
        </w:rPr>
        <w:t xml:space="preserve"> </w:t>
      </w:r>
      <w:r w:rsidR="00DD42AD">
        <w:rPr>
          <w:lang w:eastAsia="en-AU"/>
        </w:rPr>
        <w:t xml:space="preserve">by </w:t>
      </w:r>
      <w:r w:rsidR="006076BA">
        <w:rPr>
          <w:lang w:eastAsia="en-AU"/>
        </w:rPr>
        <w:t xml:space="preserve">strengthening the Philippines’ own gender budgeting systems, </w:t>
      </w:r>
      <w:r w:rsidR="00011229">
        <w:rPr>
          <w:lang w:eastAsia="en-AU"/>
        </w:rPr>
        <w:t xml:space="preserve">promoting </w:t>
      </w:r>
      <w:r w:rsidR="006076BA">
        <w:rPr>
          <w:lang w:eastAsia="en-AU"/>
        </w:rPr>
        <w:t xml:space="preserve">women’s economic empowerment and </w:t>
      </w:r>
      <w:r w:rsidR="00011229">
        <w:rPr>
          <w:lang w:eastAsia="en-AU"/>
        </w:rPr>
        <w:t xml:space="preserve">addressing </w:t>
      </w:r>
      <w:r w:rsidR="0005052E">
        <w:rPr>
          <w:lang w:eastAsia="en-AU"/>
        </w:rPr>
        <w:t>gender</w:t>
      </w:r>
      <w:r w:rsidR="00087995">
        <w:rPr>
          <w:lang w:eastAsia="en-AU"/>
        </w:rPr>
        <w:t>-</w:t>
      </w:r>
      <w:r w:rsidR="0005052E">
        <w:rPr>
          <w:lang w:eastAsia="en-AU"/>
        </w:rPr>
        <w:t>based violence.</w:t>
      </w:r>
    </w:p>
    <w:p w14:paraId="4AF89676" w14:textId="77777777" w:rsidR="009975B1" w:rsidRDefault="009975B1">
      <w:pPr>
        <w:spacing w:before="0" w:after="0" w:line="240" w:lineRule="auto"/>
        <w:rPr>
          <w:lang w:eastAsia="en-AU"/>
        </w:rPr>
      </w:pPr>
      <w:r>
        <w:rPr>
          <w:lang w:eastAsia="en-AU"/>
        </w:rPr>
        <w:br w:type="page"/>
      </w:r>
    </w:p>
    <w:p w14:paraId="4DDC61A1" w14:textId="350E4D92" w:rsidR="00AB41FF" w:rsidRPr="006321F9" w:rsidRDefault="00AB41FF" w:rsidP="009975B1">
      <w:pPr>
        <w:pStyle w:val="H2-Heading2"/>
        <w:rPr>
          <w:lang w:eastAsia="en-AU"/>
        </w:rPr>
      </w:pPr>
      <w:r w:rsidRPr="00CB5E91">
        <w:rPr>
          <w:lang w:eastAsia="en-AU"/>
        </w:rPr>
        <w:lastRenderedPageBreak/>
        <w:t>Section 3: Joint objectives of the Australia</w:t>
      </w:r>
      <w:r w:rsidR="00A841B7">
        <w:rPr>
          <w:lang w:eastAsia="en-AU"/>
        </w:rPr>
        <w:t xml:space="preserve"> </w:t>
      </w:r>
      <w:r w:rsidRPr="00CB5E91">
        <w:rPr>
          <w:lang w:eastAsia="en-AU"/>
        </w:rPr>
        <w:t>–</w:t>
      </w:r>
      <w:r w:rsidR="00A841B7">
        <w:rPr>
          <w:lang w:eastAsia="en-AU"/>
        </w:rPr>
        <w:t xml:space="preserve"> </w:t>
      </w:r>
      <w:r w:rsidR="00DD42AD" w:rsidRPr="00CB5E91">
        <w:rPr>
          <w:lang w:eastAsia="en-AU"/>
        </w:rPr>
        <w:t>P</w:t>
      </w:r>
      <w:r w:rsidR="00DD42AD">
        <w:rPr>
          <w:lang w:eastAsia="en-AU"/>
        </w:rPr>
        <w:t>hilippines</w:t>
      </w:r>
      <w:r w:rsidR="00DD42AD" w:rsidRPr="00CB5E91">
        <w:rPr>
          <w:lang w:eastAsia="en-AU"/>
        </w:rPr>
        <w:t xml:space="preserve"> </w:t>
      </w:r>
      <w:r w:rsidR="006A60E2">
        <w:rPr>
          <w:lang w:eastAsia="en-AU"/>
        </w:rPr>
        <w:t>d</w:t>
      </w:r>
      <w:r w:rsidRPr="00CB5E91">
        <w:rPr>
          <w:lang w:eastAsia="en-AU"/>
        </w:rPr>
        <w:t>evelopment</w:t>
      </w:r>
      <w:r w:rsidR="00667A5B">
        <w:rPr>
          <w:lang w:eastAsia="en-AU"/>
        </w:rPr>
        <w:t> </w:t>
      </w:r>
      <w:r w:rsidR="006A60E2">
        <w:rPr>
          <w:lang w:eastAsia="en-AU"/>
        </w:rPr>
        <w:t>p</w:t>
      </w:r>
      <w:r w:rsidRPr="00CB5E91">
        <w:rPr>
          <w:lang w:eastAsia="en-AU"/>
        </w:rPr>
        <w:t>artnership</w:t>
      </w:r>
    </w:p>
    <w:p w14:paraId="1A9A2BB7" w14:textId="25548E0A" w:rsidR="00AB41FF" w:rsidRPr="00CB5E91" w:rsidRDefault="00AB41FF" w:rsidP="00A554BE">
      <w:pPr>
        <w:rPr>
          <w:lang w:eastAsia="en-AU"/>
        </w:rPr>
      </w:pPr>
      <w:r w:rsidRPr="00CB5E91">
        <w:rPr>
          <w:lang w:eastAsia="en-AU"/>
        </w:rPr>
        <w:t>The overarching goal for the Australia</w:t>
      </w:r>
      <w:r w:rsidR="009975B1">
        <w:rPr>
          <w:lang w:eastAsia="en-AU"/>
        </w:rPr>
        <w:t xml:space="preserve"> </w:t>
      </w:r>
      <w:r w:rsidR="00345125">
        <w:rPr>
          <w:lang w:eastAsia="en-AU"/>
        </w:rPr>
        <w:t>–</w:t>
      </w:r>
      <w:r w:rsidR="009975B1">
        <w:rPr>
          <w:lang w:eastAsia="en-AU"/>
        </w:rPr>
        <w:t xml:space="preserve"> </w:t>
      </w:r>
      <w:r w:rsidRPr="00CB5E91">
        <w:rPr>
          <w:lang w:eastAsia="en-AU"/>
        </w:rPr>
        <w:t>Philippines development partnership is a</w:t>
      </w:r>
      <w:r w:rsidR="00042C05">
        <w:rPr>
          <w:lang w:eastAsia="en-AU"/>
        </w:rPr>
        <w:t xml:space="preserve"> stable, </w:t>
      </w:r>
      <w:r w:rsidRPr="00CB5E91">
        <w:rPr>
          <w:lang w:eastAsia="en-AU"/>
        </w:rPr>
        <w:t>prosperous</w:t>
      </w:r>
      <w:r w:rsidR="00840618">
        <w:rPr>
          <w:lang w:eastAsia="en-AU"/>
        </w:rPr>
        <w:t xml:space="preserve"> and</w:t>
      </w:r>
      <w:r w:rsidR="00667A5B">
        <w:rPr>
          <w:lang w:eastAsia="en-AU"/>
        </w:rPr>
        <w:t xml:space="preserve"> </w:t>
      </w:r>
      <w:r w:rsidRPr="00CB5E91">
        <w:rPr>
          <w:lang w:eastAsia="en-AU"/>
        </w:rPr>
        <w:t>resilient Philippines. Our three development partnership objectives, and how we will work together to progress each objective, are set out below and summarised in Table</w:t>
      </w:r>
      <w:r w:rsidR="00B81868">
        <w:rPr>
          <w:lang w:eastAsia="en-AU"/>
        </w:rPr>
        <w:t> </w:t>
      </w:r>
      <w:r w:rsidRPr="00CB5E91">
        <w:rPr>
          <w:lang w:eastAsia="en-AU"/>
        </w:rPr>
        <w:t>1. These objectives reflect the principles and priorities agreed to by Australia and the Philippines in the Philippines</w:t>
      </w:r>
      <w:r w:rsidR="00791177">
        <w:rPr>
          <w:lang w:eastAsia="en-AU"/>
        </w:rPr>
        <w:t>–</w:t>
      </w:r>
      <w:r w:rsidRPr="00CB5E91">
        <w:rPr>
          <w:lang w:eastAsia="en-AU"/>
        </w:rPr>
        <w:t xml:space="preserve">Australia Strategic Partnership and support the priorities presented in the </w:t>
      </w:r>
      <w:r w:rsidRPr="00CB5E91">
        <w:rPr>
          <w:i/>
          <w:iCs/>
          <w:lang w:eastAsia="en-AU"/>
        </w:rPr>
        <w:t>Philippine Development Plan 2023</w:t>
      </w:r>
      <w:r w:rsidR="00791177">
        <w:rPr>
          <w:i/>
          <w:iCs/>
          <w:lang w:eastAsia="en-AU"/>
        </w:rPr>
        <w:t>–</w:t>
      </w:r>
      <w:r w:rsidR="00D1414B">
        <w:rPr>
          <w:i/>
          <w:iCs/>
          <w:lang w:eastAsia="en-AU"/>
        </w:rPr>
        <w:t>20</w:t>
      </w:r>
      <w:r w:rsidRPr="00CB5E91">
        <w:rPr>
          <w:i/>
          <w:iCs/>
          <w:lang w:eastAsia="en-AU"/>
        </w:rPr>
        <w:t>28</w:t>
      </w:r>
      <w:r w:rsidRPr="00CB5E91">
        <w:rPr>
          <w:lang w:eastAsia="en-AU"/>
        </w:rPr>
        <w:t xml:space="preserve">. These objectives are mutually reinforcing and complementary, collectively advancing towards our overarching shared goal. </w:t>
      </w:r>
      <w:r w:rsidR="00D46681" w:rsidRPr="0011116C">
        <w:rPr>
          <w:lang w:eastAsia="en-AU"/>
        </w:rPr>
        <w:t>A mid</w:t>
      </w:r>
      <w:r w:rsidR="00D46681">
        <w:rPr>
          <w:lang w:eastAsia="en-AU"/>
        </w:rPr>
        <w:noBreakHyphen/>
      </w:r>
      <w:r w:rsidR="00D46681" w:rsidRPr="0011116C">
        <w:rPr>
          <w:lang w:eastAsia="en-AU"/>
        </w:rPr>
        <w:t xml:space="preserve">cycle review of this </w:t>
      </w:r>
      <w:r w:rsidR="00D46681">
        <w:rPr>
          <w:lang w:eastAsia="en-AU"/>
        </w:rPr>
        <w:t>DPP</w:t>
      </w:r>
      <w:r w:rsidR="00D46681" w:rsidRPr="0011116C">
        <w:rPr>
          <w:lang w:eastAsia="en-AU"/>
        </w:rPr>
        <w:t xml:space="preserve"> will be undertaken to review progress and </w:t>
      </w:r>
      <w:proofErr w:type="gramStart"/>
      <w:r w:rsidR="00D46681" w:rsidRPr="0011116C">
        <w:rPr>
          <w:lang w:eastAsia="en-AU"/>
        </w:rPr>
        <w:t>make adjustments</w:t>
      </w:r>
      <w:proofErr w:type="gramEnd"/>
      <w:r w:rsidR="00D46681" w:rsidRPr="0011116C">
        <w:rPr>
          <w:lang w:eastAsia="en-AU"/>
        </w:rPr>
        <w:t xml:space="preserve"> as required.</w:t>
      </w:r>
    </w:p>
    <w:p w14:paraId="278BD73C" w14:textId="74C51788" w:rsidR="00AB41FF" w:rsidRPr="00CB5E91" w:rsidRDefault="00AB41FF" w:rsidP="00A554BE">
      <w:pPr>
        <w:rPr>
          <w:lang w:eastAsia="en-AU"/>
        </w:rPr>
      </w:pPr>
      <w:r w:rsidRPr="00CB5E91">
        <w:rPr>
          <w:lang w:eastAsia="en-AU"/>
        </w:rPr>
        <w:t>Through our longstanding partnership, Australia is well</w:t>
      </w:r>
      <w:r w:rsidR="007201AC">
        <w:rPr>
          <w:lang w:eastAsia="en-AU"/>
        </w:rPr>
        <w:t>-</w:t>
      </w:r>
      <w:r w:rsidRPr="00CB5E91">
        <w:rPr>
          <w:lang w:eastAsia="en-AU"/>
        </w:rPr>
        <w:t xml:space="preserve">positioned to support the Philippines’ development priorities. Australia’s development program has evolved over time, from </w:t>
      </w:r>
      <w:r w:rsidR="007201AC">
        <w:rPr>
          <w:lang w:eastAsia="en-AU"/>
        </w:rPr>
        <w:t xml:space="preserve">undertaking </w:t>
      </w:r>
      <w:r w:rsidRPr="00CB5E91">
        <w:rPr>
          <w:lang w:eastAsia="en-AU"/>
        </w:rPr>
        <w:t xml:space="preserve">direct program delivery and building infrastructure to providing technical assistance, capacity building and institutional strengthening. </w:t>
      </w:r>
      <w:r w:rsidR="002338E5">
        <w:rPr>
          <w:lang w:eastAsia="en-AU"/>
        </w:rPr>
        <w:t xml:space="preserve">This evolution </w:t>
      </w:r>
      <w:r w:rsidR="00567FEB">
        <w:rPr>
          <w:lang w:eastAsia="en-AU"/>
        </w:rPr>
        <w:t>was in response to</w:t>
      </w:r>
      <w:r w:rsidR="002338E5">
        <w:rPr>
          <w:lang w:eastAsia="en-AU"/>
        </w:rPr>
        <w:t xml:space="preserve"> the</w:t>
      </w:r>
      <w:r w:rsidR="00A43595" w:rsidRPr="00CB5E91">
        <w:rPr>
          <w:lang w:eastAsia="en-AU"/>
        </w:rPr>
        <w:t xml:space="preserve"> Philippine Government</w:t>
      </w:r>
      <w:r w:rsidR="00567FEB">
        <w:rPr>
          <w:lang w:eastAsia="en-AU"/>
        </w:rPr>
        <w:t xml:space="preserve">’s </w:t>
      </w:r>
      <w:r w:rsidR="00D410AA" w:rsidRPr="00CB5E91">
        <w:rPr>
          <w:lang w:eastAsia="en-AU"/>
        </w:rPr>
        <w:t>increasing</w:t>
      </w:r>
      <w:r w:rsidR="00567FEB">
        <w:rPr>
          <w:lang w:eastAsia="en-AU"/>
        </w:rPr>
        <w:t xml:space="preserve"> </w:t>
      </w:r>
      <w:r w:rsidR="00D410AA" w:rsidRPr="00CB5E91">
        <w:rPr>
          <w:lang w:eastAsia="en-AU"/>
        </w:rPr>
        <w:t xml:space="preserve">leadership role </w:t>
      </w:r>
      <w:r w:rsidR="00D14BFA" w:rsidRPr="00CB5E91">
        <w:rPr>
          <w:lang w:eastAsia="en-AU"/>
        </w:rPr>
        <w:t>in delivering development interventions</w:t>
      </w:r>
      <w:r w:rsidR="00F6494D" w:rsidRPr="00CB5E91">
        <w:rPr>
          <w:lang w:eastAsia="en-AU"/>
        </w:rPr>
        <w:t xml:space="preserve">. </w:t>
      </w:r>
      <w:r w:rsidR="00600E57">
        <w:rPr>
          <w:lang w:eastAsia="en-AU"/>
        </w:rPr>
        <w:t>As</w:t>
      </w:r>
      <w:r w:rsidR="007201AC">
        <w:rPr>
          <w:lang w:eastAsia="en-AU"/>
        </w:rPr>
        <w:t xml:space="preserve"> </w:t>
      </w:r>
      <w:r w:rsidR="00693C9A">
        <w:rPr>
          <w:lang w:eastAsia="en-AU"/>
        </w:rPr>
        <w:t>S</w:t>
      </w:r>
      <w:r w:rsidR="00600E57">
        <w:rPr>
          <w:lang w:eastAsia="en-AU"/>
        </w:rPr>
        <w:t xml:space="preserve">trategic </w:t>
      </w:r>
      <w:r w:rsidR="00693C9A">
        <w:rPr>
          <w:lang w:eastAsia="en-AU"/>
        </w:rPr>
        <w:t>P</w:t>
      </w:r>
      <w:r w:rsidR="00600E57">
        <w:rPr>
          <w:lang w:eastAsia="en-AU"/>
        </w:rPr>
        <w:t>artner</w:t>
      </w:r>
      <w:r w:rsidR="00C222BF">
        <w:rPr>
          <w:lang w:eastAsia="en-AU"/>
        </w:rPr>
        <w:t>s</w:t>
      </w:r>
      <w:r w:rsidR="00600E57">
        <w:rPr>
          <w:lang w:eastAsia="en-AU"/>
        </w:rPr>
        <w:t xml:space="preserve">, </w:t>
      </w:r>
      <w:r w:rsidR="00F6494D" w:rsidRPr="00CB5E91">
        <w:rPr>
          <w:lang w:eastAsia="en-AU"/>
        </w:rPr>
        <w:t xml:space="preserve">Australia sees its success as linked to the success </w:t>
      </w:r>
      <w:r w:rsidR="006A6FF0" w:rsidRPr="00CB5E91">
        <w:rPr>
          <w:lang w:eastAsia="en-AU"/>
        </w:rPr>
        <w:t>of the Philippines.</w:t>
      </w:r>
    </w:p>
    <w:p w14:paraId="3ACCE4C6" w14:textId="52063690" w:rsidR="00AB41FF" w:rsidRPr="00CB5E91" w:rsidRDefault="00AB41FF" w:rsidP="00A554BE">
      <w:pPr>
        <w:rPr>
          <w:lang w:eastAsia="en-AU"/>
        </w:rPr>
      </w:pPr>
      <w:r w:rsidRPr="00CB5E91">
        <w:rPr>
          <w:lang w:eastAsia="en-AU"/>
        </w:rPr>
        <w:t xml:space="preserve">Our development program focuses on </w:t>
      </w:r>
      <w:r w:rsidRPr="00665D82">
        <w:rPr>
          <w:lang w:eastAsia="en-AU"/>
        </w:rPr>
        <w:t xml:space="preserve">investments </w:t>
      </w:r>
      <w:r w:rsidRPr="00CB5E91">
        <w:rPr>
          <w:lang w:eastAsia="en-AU"/>
        </w:rPr>
        <w:t>across a range of sectors</w:t>
      </w:r>
      <w:r w:rsidR="009D59EF">
        <w:rPr>
          <w:lang w:eastAsia="en-AU"/>
        </w:rPr>
        <w:t xml:space="preserve"> </w:t>
      </w:r>
      <w:r w:rsidR="00B532B4">
        <w:rPr>
          <w:lang w:eastAsia="en-AU"/>
        </w:rPr>
        <w:t xml:space="preserve">which are </w:t>
      </w:r>
      <w:r w:rsidR="009D59EF">
        <w:rPr>
          <w:lang w:eastAsia="en-AU"/>
        </w:rPr>
        <w:t>strategic to the Philippines and Australia</w:t>
      </w:r>
      <w:r w:rsidRPr="00CB5E91">
        <w:rPr>
          <w:lang w:eastAsia="en-AU"/>
        </w:rPr>
        <w:t xml:space="preserve">. This </w:t>
      </w:r>
      <w:r w:rsidR="00AC389C">
        <w:rPr>
          <w:lang w:eastAsia="en-AU"/>
        </w:rPr>
        <w:t xml:space="preserve">focus </w:t>
      </w:r>
      <w:r w:rsidRPr="00CB5E91">
        <w:rPr>
          <w:lang w:eastAsia="en-AU"/>
        </w:rPr>
        <w:t xml:space="preserve">enables strong partnerships </w:t>
      </w:r>
      <w:r w:rsidR="000B344F" w:rsidRPr="00CB5E91">
        <w:rPr>
          <w:lang w:eastAsia="en-AU"/>
        </w:rPr>
        <w:t>to respond</w:t>
      </w:r>
      <w:r w:rsidRPr="00CB5E91">
        <w:rPr>
          <w:lang w:eastAsia="en-AU"/>
        </w:rPr>
        <w:t xml:space="preserve"> to the evolving context and facilitates deep engagement between our countries. Through this DPP, we will </w:t>
      </w:r>
      <w:r w:rsidR="00DB7E52" w:rsidRPr="00CB5E91">
        <w:rPr>
          <w:lang w:eastAsia="en-AU"/>
        </w:rPr>
        <w:t>reorient</w:t>
      </w:r>
      <w:r w:rsidR="00E2049C">
        <w:rPr>
          <w:lang w:eastAsia="en-AU"/>
        </w:rPr>
        <w:t>ate</w:t>
      </w:r>
      <w:r w:rsidR="00DB7E52" w:rsidRPr="00CB5E91">
        <w:rPr>
          <w:lang w:eastAsia="en-AU"/>
        </w:rPr>
        <w:t xml:space="preserve"> and refine</w:t>
      </w:r>
      <w:r w:rsidRPr="00CB5E91">
        <w:rPr>
          <w:lang w:eastAsia="en-AU"/>
        </w:rPr>
        <w:t xml:space="preserve"> our longstanding programs and lift our efforts in </w:t>
      </w:r>
      <w:r w:rsidR="004B752C">
        <w:rPr>
          <w:lang w:eastAsia="en-AU"/>
        </w:rPr>
        <w:t xml:space="preserve">addressing </w:t>
      </w:r>
      <w:r w:rsidRPr="00CB5E91">
        <w:rPr>
          <w:lang w:eastAsia="en-AU"/>
        </w:rPr>
        <w:t>emerging priorities. We will continue to work at national, subnational and local</w:t>
      </w:r>
      <w:r w:rsidR="00890092">
        <w:rPr>
          <w:lang w:eastAsia="en-AU"/>
        </w:rPr>
        <w:t> </w:t>
      </w:r>
      <w:r w:rsidRPr="00CB5E91">
        <w:rPr>
          <w:lang w:eastAsia="en-AU"/>
        </w:rPr>
        <w:t>levels.</w:t>
      </w:r>
    </w:p>
    <w:p w14:paraId="617160CF" w14:textId="683CFA25" w:rsidR="00BE635A" w:rsidRDefault="00AB41FF" w:rsidP="00A554BE">
      <w:pPr>
        <w:rPr>
          <w:lang w:eastAsia="en-AU"/>
        </w:rPr>
      </w:pPr>
      <w:r w:rsidRPr="00CB5E91">
        <w:rPr>
          <w:lang w:eastAsia="en-AU"/>
        </w:rPr>
        <w:t xml:space="preserve">Australia’s comparative advantage is our </w:t>
      </w:r>
      <w:r w:rsidR="003217DE" w:rsidRPr="00CB5E91">
        <w:rPr>
          <w:lang w:eastAsia="en-AU"/>
        </w:rPr>
        <w:t xml:space="preserve">pragmatic and responsive </w:t>
      </w:r>
      <w:r w:rsidRPr="00CB5E91">
        <w:rPr>
          <w:lang w:eastAsia="en-AU"/>
        </w:rPr>
        <w:t>approach. We embed flexibility throughout our investments so that we can be adaptive. We are prioritising locally</w:t>
      </w:r>
      <w:r w:rsidR="00275C4B">
        <w:rPr>
          <w:lang w:eastAsia="en-AU"/>
        </w:rPr>
        <w:t xml:space="preserve"> </w:t>
      </w:r>
      <w:r w:rsidRPr="00CB5E91">
        <w:rPr>
          <w:lang w:eastAsia="en-AU"/>
        </w:rPr>
        <w:t>led development by supporting the Philippine Government’s own planning and engaging with local civil society and development partners. We will continue our innovative approach to technical assistance</w:t>
      </w:r>
      <w:r w:rsidR="00275C4B">
        <w:rPr>
          <w:lang w:eastAsia="en-AU"/>
        </w:rPr>
        <w:t>, which includes</w:t>
      </w:r>
      <w:r w:rsidRPr="00CB5E91">
        <w:rPr>
          <w:lang w:eastAsia="en-AU"/>
        </w:rPr>
        <w:t xml:space="preserve"> </w:t>
      </w:r>
      <w:r w:rsidR="00710607">
        <w:rPr>
          <w:lang w:eastAsia="en-AU"/>
        </w:rPr>
        <w:t>working</w:t>
      </w:r>
      <w:r w:rsidRPr="00CB5E91">
        <w:rPr>
          <w:lang w:eastAsia="en-AU"/>
        </w:rPr>
        <w:t xml:space="preserve"> with a mix of partners. We will step up our efforts to bring in Australian expertise from across the Australian Public Service, private sector, universities and civil society to build stronger institutional and whole-of-society linkages.</w:t>
      </w:r>
    </w:p>
    <w:p w14:paraId="0B5034EC" w14:textId="77777777" w:rsidR="00BE635A" w:rsidRDefault="00BE635A">
      <w:pPr>
        <w:spacing w:before="0" w:after="0" w:line="240" w:lineRule="auto"/>
        <w:rPr>
          <w:lang w:eastAsia="en-AU"/>
        </w:rPr>
      </w:pPr>
      <w:r>
        <w:rPr>
          <w:lang w:eastAsia="en-AU"/>
        </w:rPr>
        <w:br w:type="page"/>
      </w:r>
    </w:p>
    <w:p w14:paraId="559BE015" w14:textId="6246A0EC" w:rsidR="00AB41FF" w:rsidRDefault="00AB41FF" w:rsidP="00BA333D">
      <w:pPr>
        <w:pStyle w:val="Tabletitle"/>
      </w:pPr>
      <w:r w:rsidRPr="00CB5E91">
        <w:lastRenderedPageBreak/>
        <w:t>Table 1: Australia</w:t>
      </w:r>
      <w:r w:rsidR="004E7924">
        <w:t xml:space="preserve"> </w:t>
      </w:r>
      <w:r w:rsidR="00275C4B">
        <w:t>–</w:t>
      </w:r>
      <w:r w:rsidR="004E7924">
        <w:t xml:space="preserve"> </w:t>
      </w:r>
      <w:r w:rsidRPr="00CB5E91">
        <w:t xml:space="preserve">Philippines </w:t>
      </w:r>
      <w:r w:rsidR="00BC3F4C">
        <w:t>d</w:t>
      </w:r>
      <w:r w:rsidRPr="00CB5E91">
        <w:t xml:space="preserve">evelopment </w:t>
      </w:r>
      <w:r w:rsidR="00BC3F4C">
        <w:t>p</w:t>
      </w:r>
      <w:r w:rsidRPr="00CB5E91">
        <w:t>artnership</w:t>
      </w:r>
    </w:p>
    <w:p w14:paraId="1FC17AA1" w14:textId="05680CEE" w:rsidR="0072364A" w:rsidRPr="00ED0A7E" w:rsidRDefault="0072364A" w:rsidP="00ED0A7E">
      <w:pPr>
        <w:rPr>
          <w:rFonts w:ascii="Calibri Light" w:hAnsi="Calibri Light" w:cs="Calibri Light"/>
          <w:b/>
          <w:bCs/>
        </w:rPr>
      </w:pPr>
      <w:r w:rsidRPr="00ED0A7E">
        <w:rPr>
          <w:b/>
          <w:bCs/>
        </w:rPr>
        <w:t>Goal: A</w:t>
      </w:r>
      <w:r w:rsidR="00667A5B">
        <w:rPr>
          <w:b/>
          <w:bCs/>
        </w:rPr>
        <w:t xml:space="preserve"> </w:t>
      </w:r>
      <w:r w:rsidR="00840618">
        <w:rPr>
          <w:b/>
          <w:bCs/>
        </w:rPr>
        <w:t xml:space="preserve">stable, </w:t>
      </w:r>
      <w:r w:rsidR="00BC3F4C">
        <w:rPr>
          <w:b/>
          <w:bCs/>
        </w:rPr>
        <w:t>p</w:t>
      </w:r>
      <w:r w:rsidRPr="00ED0A7E">
        <w:rPr>
          <w:b/>
          <w:bCs/>
        </w:rPr>
        <w:t>rosperous</w:t>
      </w:r>
      <w:r w:rsidR="00840618">
        <w:rPr>
          <w:b/>
          <w:bCs/>
        </w:rPr>
        <w:t xml:space="preserve"> and </w:t>
      </w:r>
      <w:r w:rsidR="00BC3F4C">
        <w:rPr>
          <w:b/>
          <w:bCs/>
        </w:rPr>
        <w:t>r</w:t>
      </w:r>
      <w:r w:rsidRPr="00ED0A7E">
        <w:rPr>
          <w:b/>
          <w:bCs/>
        </w:rPr>
        <w:t>esilient</w:t>
      </w:r>
      <w:r w:rsidR="00BC3F4C">
        <w:rPr>
          <w:b/>
          <w:bCs/>
        </w:rPr>
        <w:t xml:space="preserve"> </w:t>
      </w:r>
      <w:r w:rsidRPr="00ED0A7E">
        <w:rPr>
          <w:b/>
          <w:bCs/>
        </w:rPr>
        <w:t>Philippines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4A0" w:firstRow="1" w:lastRow="0" w:firstColumn="1" w:lastColumn="0" w:noHBand="0" w:noVBand="1"/>
        <w:tblCaption w:val="Australia – Philippines Development Partnership"/>
        <w:tblDescription w:val="The objectives, outcomes and focus areas to support the goal of a stable, prosperous and resilient Philippines"/>
      </w:tblPr>
      <w:tblGrid>
        <w:gridCol w:w="1239"/>
        <w:gridCol w:w="2985"/>
        <w:gridCol w:w="2985"/>
        <w:gridCol w:w="2985"/>
      </w:tblGrid>
      <w:tr w:rsidR="00AB41FF" w:rsidRPr="00CB5E91" w14:paraId="71E04F03" w14:textId="77777777" w:rsidTr="008B700F">
        <w:trPr>
          <w:cantSplit/>
          <w:trHeight w:val="300"/>
        </w:trPr>
        <w:tc>
          <w:tcPr>
            <w:tcW w:w="608" w:type="pct"/>
            <w:shd w:val="clear" w:color="auto" w:fill="3A586E"/>
          </w:tcPr>
          <w:p w14:paraId="4B2BF037" w14:textId="5368124B" w:rsidR="00AB41FF" w:rsidRPr="00F927E1" w:rsidRDefault="00AB41FF">
            <w:pPr>
              <w:pStyle w:val="TableBodyCopy"/>
              <w:rPr>
                <w:b/>
                <w:bCs/>
                <w:color w:val="FFFFFF" w:themeColor="background1"/>
              </w:rPr>
            </w:pPr>
            <w:r w:rsidRPr="00F927E1">
              <w:rPr>
                <w:b/>
                <w:bCs/>
                <w:color w:val="FFFFFF" w:themeColor="background1"/>
              </w:rPr>
              <w:t>Objective</w:t>
            </w:r>
          </w:p>
        </w:tc>
        <w:tc>
          <w:tcPr>
            <w:tcW w:w="1464" w:type="pct"/>
            <w:shd w:val="clear" w:color="auto" w:fill="D6E8D2" w:themeFill="accent4" w:themeFillTint="33"/>
          </w:tcPr>
          <w:p w14:paraId="6FAB4D96" w14:textId="5A92BB3C" w:rsidR="00AB41FF" w:rsidRPr="00CB5E91" w:rsidRDefault="00AB41FF">
            <w:pPr>
              <w:pStyle w:val="TableBodyCopy"/>
            </w:pPr>
            <w:r w:rsidRPr="00CB5E91">
              <w:t>Objective 1</w:t>
            </w:r>
          </w:p>
          <w:p w14:paraId="19CC6B01" w14:textId="4A25CD87" w:rsidR="00AB41FF" w:rsidRPr="00CB5E91" w:rsidRDefault="00AB41FF">
            <w:pPr>
              <w:pStyle w:val="TableBodyCopy"/>
            </w:pPr>
            <w:r w:rsidRPr="00CB5E91">
              <w:t>Enhancing the conditions for stability</w:t>
            </w:r>
          </w:p>
        </w:tc>
        <w:tc>
          <w:tcPr>
            <w:tcW w:w="1464" w:type="pct"/>
            <w:shd w:val="clear" w:color="auto" w:fill="FBEED2"/>
          </w:tcPr>
          <w:p w14:paraId="5231D469" w14:textId="274AA0FE" w:rsidR="00AB41FF" w:rsidRPr="00CB5E91" w:rsidRDefault="00AB41FF">
            <w:pPr>
              <w:pStyle w:val="TableBodyCopy"/>
            </w:pPr>
            <w:r w:rsidRPr="00CB5E91">
              <w:t>Objective 2</w:t>
            </w:r>
          </w:p>
          <w:p w14:paraId="5CAEB22F" w14:textId="750EE7CB" w:rsidR="00AB41FF" w:rsidRPr="00CB5E91" w:rsidRDefault="00AB41FF">
            <w:pPr>
              <w:pStyle w:val="TableBodyCopy"/>
            </w:pPr>
            <w:r w:rsidRPr="00CB5E91">
              <w:t>Bolstering inclusive and sustainable economic growth</w:t>
            </w:r>
          </w:p>
        </w:tc>
        <w:tc>
          <w:tcPr>
            <w:tcW w:w="1464" w:type="pct"/>
            <w:shd w:val="clear" w:color="auto" w:fill="F0DBD4"/>
          </w:tcPr>
          <w:p w14:paraId="34F6A073" w14:textId="57DF4770" w:rsidR="00AB41FF" w:rsidRPr="00CB5E91" w:rsidRDefault="00AB41FF">
            <w:pPr>
              <w:pStyle w:val="TableBodyCopy"/>
            </w:pPr>
            <w:r w:rsidRPr="00CB5E91">
              <w:t>Objective 3</w:t>
            </w:r>
          </w:p>
          <w:p w14:paraId="74761A6A" w14:textId="2BC474B9" w:rsidR="00AB41FF" w:rsidRPr="00CB5E91" w:rsidRDefault="0087312D">
            <w:pPr>
              <w:pStyle w:val="TableBodyCopy"/>
            </w:pPr>
            <w:r>
              <w:t>Increasing</w:t>
            </w:r>
            <w:r w:rsidR="00D81130" w:rsidRPr="00CB5E91">
              <w:t xml:space="preserve"> </w:t>
            </w:r>
            <w:r w:rsidR="00AB41FF" w:rsidRPr="00CB5E91">
              <w:t>institutional and community resilience to social, economic and climate-related shocks</w:t>
            </w:r>
          </w:p>
        </w:tc>
      </w:tr>
      <w:tr w:rsidR="00AB41FF" w:rsidRPr="00CB5E91" w14:paraId="0F079F42" w14:textId="77777777" w:rsidTr="008B700F">
        <w:trPr>
          <w:trHeight w:val="300"/>
        </w:trPr>
        <w:tc>
          <w:tcPr>
            <w:tcW w:w="608" w:type="pct"/>
            <w:shd w:val="clear" w:color="auto" w:fill="3A586E"/>
          </w:tcPr>
          <w:p w14:paraId="454425B1" w14:textId="2ABE994D" w:rsidR="00AB41FF" w:rsidRPr="00F927E1" w:rsidRDefault="00AB41FF">
            <w:pPr>
              <w:pStyle w:val="TableBodyCopy"/>
              <w:rPr>
                <w:b/>
                <w:bCs/>
                <w:color w:val="FFFFFF" w:themeColor="background1"/>
              </w:rPr>
            </w:pPr>
            <w:r w:rsidRPr="00F927E1">
              <w:rPr>
                <w:b/>
                <w:bCs/>
                <w:color w:val="FFFFFF" w:themeColor="background1"/>
              </w:rPr>
              <w:t>Outcomes</w:t>
            </w:r>
          </w:p>
        </w:tc>
        <w:tc>
          <w:tcPr>
            <w:tcW w:w="1464" w:type="pct"/>
            <w:shd w:val="clear" w:color="auto" w:fill="D6E8D2" w:themeFill="accent4" w:themeFillTint="33"/>
          </w:tcPr>
          <w:p w14:paraId="7DD5F1EA" w14:textId="6D0BEC5F" w:rsidR="00940D49" w:rsidRDefault="00AB41FF">
            <w:pPr>
              <w:pStyle w:val="TableBodyCopy"/>
            </w:pPr>
            <w:r w:rsidRPr="008B700F">
              <w:t>Outcome 1.1</w:t>
            </w:r>
          </w:p>
          <w:p w14:paraId="6266DE07" w14:textId="08E71E18" w:rsidR="00AB41FF" w:rsidRPr="00CB5E91" w:rsidRDefault="00AB41FF">
            <w:pPr>
              <w:pStyle w:val="TableBodyCopy"/>
              <w:rPr>
                <w:i/>
                <w:iCs/>
              </w:rPr>
            </w:pPr>
            <w:r w:rsidRPr="00CB5E91">
              <w:t>Targeted institutions are strengthened to support internal and external stability, peace and security</w:t>
            </w:r>
          </w:p>
          <w:p w14:paraId="1E09F891" w14:textId="257A2BE7" w:rsidR="00940D49" w:rsidRDefault="00AB41FF">
            <w:pPr>
              <w:pStyle w:val="TableBodyCopy"/>
            </w:pPr>
            <w:r w:rsidRPr="008B700F">
              <w:t>Outcome 1.2</w:t>
            </w:r>
          </w:p>
          <w:p w14:paraId="5EFB3C8E" w14:textId="7C73CE55" w:rsidR="00AB41FF" w:rsidRPr="00CB5E91" w:rsidRDefault="00AB41FF">
            <w:pPr>
              <w:pStyle w:val="TableBodyCopy"/>
            </w:pPr>
            <w:r w:rsidRPr="00CB5E91">
              <w:t>Communities and disadvantaged groups benefit from bolstered peace, stability, security and equitable access to justice</w:t>
            </w:r>
          </w:p>
        </w:tc>
        <w:tc>
          <w:tcPr>
            <w:tcW w:w="1464" w:type="pct"/>
            <w:shd w:val="clear" w:color="auto" w:fill="FBEED2"/>
          </w:tcPr>
          <w:p w14:paraId="6A6409C5" w14:textId="01BF9615" w:rsidR="00940D49" w:rsidRDefault="00AB41FF">
            <w:pPr>
              <w:pStyle w:val="TableBodyCopy"/>
            </w:pPr>
            <w:r w:rsidRPr="008B700F">
              <w:t>Outcome 2.1</w:t>
            </w:r>
          </w:p>
          <w:p w14:paraId="5E4A1BF5" w14:textId="2DED5934" w:rsidR="00007008" w:rsidRDefault="00AB41FF">
            <w:pPr>
              <w:pStyle w:val="TableBodyCopy"/>
            </w:pPr>
            <w:r w:rsidRPr="00CB5E91">
              <w:t xml:space="preserve">Targeted economic institutions are more accountable and effective as a result of economic </w:t>
            </w:r>
            <w:proofErr w:type="gramStart"/>
            <w:r w:rsidRPr="00CB5E91">
              <w:t>reforms</w:t>
            </w:r>
            <w:proofErr w:type="gramEnd"/>
          </w:p>
          <w:p w14:paraId="586EFC03" w14:textId="45C2BC86" w:rsidR="00940D49" w:rsidRDefault="00AB41FF">
            <w:pPr>
              <w:pStyle w:val="TableBodyCopy"/>
            </w:pPr>
            <w:r w:rsidRPr="008B700F">
              <w:t>Outcome 2.2</w:t>
            </w:r>
          </w:p>
          <w:p w14:paraId="6B71A021" w14:textId="5AC73127" w:rsidR="00AB41FF" w:rsidRPr="00CB5E91" w:rsidRDefault="00AB41FF">
            <w:pPr>
              <w:pStyle w:val="TableBodyCopy"/>
            </w:pPr>
            <w:r w:rsidRPr="00CB5E91">
              <w:t>Ease of doing business is improved and barriers to trade and investment are reduced</w:t>
            </w:r>
          </w:p>
          <w:p w14:paraId="08DAD5A4" w14:textId="1C4EFBF8" w:rsidR="00940D49" w:rsidRDefault="00AB41FF" w:rsidP="008B700F">
            <w:pPr>
              <w:pStyle w:val="TableBodyCopy"/>
              <w:keepNext/>
            </w:pPr>
            <w:r w:rsidRPr="008B700F">
              <w:t>Outcome 2.3</w:t>
            </w:r>
          </w:p>
          <w:p w14:paraId="39B9351A" w14:textId="0583F4DE" w:rsidR="00AB41FF" w:rsidRPr="00CB5E91" w:rsidRDefault="0048422B">
            <w:pPr>
              <w:pStyle w:val="TableBodyCopy"/>
            </w:pPr>
            <w:r>
              <w:t>Women’s economic empowerment is supported through a more gender-sensitive business</w:t>
            </w:r>
            <w:r w:rsidR="00940D49">
              <w:t>-</w:t>
            </w:r>
            <w:r>
              <w:t>enabling and policy environment</w:t>
            </w:r>
          </w:p>
          <w:p w14:paraId="45A97468" w14:textId="32558C04" w:rsidR="00940D49" w:rsidRDefault="00AB41FF">
            <w:pPr>
              <w:pStyle w:val="TableBodyCopy"/>
            </w:pPr>
            <w:r w:rsidRPr="008B700F">
              <w:t>Outcome 2.4</w:t>
            </w:r>
          </w:p>
          <w:p w14:paraId="02F6917C" w14:textId="16E9451B" w:rsidR="00AB41FF" w:rsidRPr="00CB5E91" w:rsidRDefault="00AB41FF">
            <w:pPr>
              <w:pStyle w:val="TableBodyCopy"/>
            </w:pPr>
            <w:r w:rsidRPr="00CB5E91">
              <w:t>Human capital accumulation and skills development are improved</w:t>
            </w:r>
          </w:p>
        </w:tc>
        <w:tc>
          <w:tcPr>
            <w:tcW w:w="1464" w:type="pct"/>
            <w:shd w:val="clear" w:color="auto" w:fill="F0DBD4"/>
          </w:tcPr>
          <w:p w14:paraId="1F2605CE" w14:textId="0E0CD382" w:rsidR="00940D49" w:rsidRDefault="00AB41FF">
            <w:pPr>
              <w:pStyle w:val="TableBodyCopy"/>
            </w:pPr>
            <w:r w:rsidRPr="008B700F">
              <w:t>Outcome 3.1</w:t>
            </w:r>
          </w:p>
          <w:p w14:paraId="4837E3B1" w14:textId="1D1AECA2" w:rsidR="00AB41FF" w:rsidRPr="00CB5E91" w:rsidRDefault="00AB41FF">
            <w:pPr>
              <w:pStyle w:val="TableBodyCopy"/>
            </w:pPr>
            <w:r w:rsidRPr="00CB5E91">
              <w:t xml:space="preserve">Relevant institutions are strengthened to support poverty reduction and resilience to climate change, disasters, </w:t>
            </w:r>
            <w:r w:rsidR="00020852">
              <w:t xml:space="preserve">and </w:t>
            </w:r>
            <w:r w:rsidRPr="00CB5E91">
              <w:t>social and economic shocks</w:t>
            </w:r>
          </w:p>
          <w:p w14:paraId="4045BBF7" w14:textId="2CF4C47E" w:rsidR="00940D49" w:rsidRDefault="00AB41FF" w:rsidP="008B700F">
            <w:pPr>
              <w:pStyle w:val="TableBodyCopy"/>
              <w:keepNext/>
            </w:pPr>
            <w:r w:rsidRPr="008B700F">
              <w:t>Outcome 3.2</w:t>
            </w:r>
          </w:p>
          <w:p w14:paraId="218BE61D" w14:textId="633BE629" w:rsidR="00AB41FF" w:rsidRPr="00CB5E91" w:rsidRDefault="00AB41FF" w:rsidP="008B700F">
            <w:pPr>
              <w:pStyle w:val="TableBodyCopy"/>
              <w:keepLines/>
            </w:pPr>
            <w:r w:rsidRPr="00CB5E91">
              <w:t>Communities and disadvantaged groups, including women, people with disabilit</w:t>
            </w:r>
            <w:r w:rsidR="00E01A75">
              <w:t>y</w:t>
            </w:r>
            <w:r w:rsidRPr="00CB5E91">
              <w:t xml:space="preserve"> and </w:t>
            </w:r>
            <w:r w:rsidR="00C444CC">
              <w:t>I</w:t>
            </w:r>
            <w:r w:rsidRPr="00CB5E91">
              <w:t>ndigenous peoples, better prepare for and respond to climate change, disasters, humanitarian crises,</w:t>
            </w:r>
            <w:r w:rsidR="00940D49">
              <w:t xml:space="preserve"> and</w:t>
            </w:r>
            <w:r w:rsidRPr="00CB5E91">
              <w:t xml:space="preserve"> social and economic shocks</w:t>
            </w:r>
          </w:p>
        </w:tc>
      </w:tr>
      <w:tr w:rsidR="00AB41FF" w:rsidRPr="00CB5E91" w14:paraId="1980093C" w14:textId="77777777" w:rsidTr="008B700F">
        <w:trPr>
          <w:trHeight w:val="1110"/>
        </w:trPr>
        <w:tc>
          <w:tcPr>
            <w:tcW w:w="608" w:type="pct"/>
            <w:shd w:val="clear" w:color="auto" w:fill="3A586E"/>
          </w:tcPr>
          <w:p w14:paraId="32756DB6" w14:textId="0BF9A191" w:rsidR="00AB41FF" w:rsidRPr="00F927E1" w:rsidRDefault="00AB41FF">
            <w:pPr>
              <w:pStyle w:val="TableBodyCopy"/>
              <w:rPr>
                <w:b/>
                <w:bCs/>
                <w:color w:val="FFFFFF" w:themeColor="background1"/>
              </w:rPr>
            </w:pPr>
            <w:r w:rsidRPr="00F927E1">
              <w:rPr>
                <w:b/>
                <w:bCs/>
                <w:color w:val="FFFFFF" w:themeColor="background1"/>
              </w:rPr>
              <w:t>Focus areas</w:t>
            </w:r>
          </w:p>
        </w:tc>
        <w:tc>
          <w:tcPr>
            <w:tcW w:w="1464" w:type="pct"/>
            <w:shd w:val="clear" w:color="auto" w:fill="D6E8D2" w:themeFill="accent4" w:themeFillTint="33"/>
          </w:tcPr>
          <w:p w14:paraId="01522BCA" w14:textId="77777777" w:rsidR="00060F90" w:rsidRDefault="00060F90" w:rsidP="00940D49">
            <w:pPr>
              <w:pStyle w:val="TableBodyCopy"/>
            </w:pPr>
            <w:r>
              <w:t>Objective 1 focus areas</w:t>
            </w:r>
          </w:p>
          <w:p w14:paraId="4F596F8D" w14:textId="55D89F1A" w:rsidR="00060F90" w:rsidRDefault="00AB41FF" w:rsidP="00060F90">
            <w:pPr>
              <w:pStyle w:val="Tablebullet"/>
            </w:pPr>
            <w:r w:rsidRPr="00CB5E91">
              <w:t>Peacebuilding</w:t>
            </w:r>
          </w:p>
          <w:p w14:paraId="2B460163" w14:textId="02B7F605" w:rsidR="00060F90" w:rsidRDefault="00AB41FF" w:rsidP="00060F90">
            <w:pPr>
              <w:pStyle w:val="Tablebullet"/>
            </w:pPr>
            <w:r w:rsidRPr="00CB5E91">
              <w:t>Civil maritime cooperation</w:t>
            </w:r>
          </w:p>
          <w:p w14:paraId="6D389EDC" w14:textId="6665D616" w:rsidR="00060F90" w:rsidRDefault="00AB41FF" w:rsidP="00060F90">
            <w:pPr>
              <w:pStyle w:val="Tablebullet"/>
            </w:pPr>
            <w:r w:rsidRPr="00CB5E91">
              <w:t>Security sector capacity building</w:t>
            </w:r>
          </w:p>
          <w:p w14:paraId="5DFEA493" w14:textId="2BBD2030" w:rsidR="00AB41FF" w:rsidRPr="00CB5E91" w:rsidRDefault="00AB41FF" w:rsidP="008B700F">
            <w:pPr>
              <w:pStyle w:val="Tablebullet"/>
            </w:pPr>
            <w:r w:rsidRPr="00CB5E91">
              <w:t>Justice, human rights, cyber security and preventing transnational crime</w:t>
            </w:r>
          </w:p>
        </w:tc>
        <w:tc>
          <w:tcPr>
            <w:tcW w:w="1464" w:type="pct"/>
            <w:shd w:val="clear" w:color="auto" w:fill="FBEED2"/>
          </w:tcPr>
          <w:p w14:paraId="02558076" w14:textId="77777777" w:rsidR="00060F90" w:rsidRDefault="00060F90" w:rsidP="00940D49">
            <w:pPr>
              <w:pStyle w:val="TableBodyCopy"/>
            </w:pPr>
            <w:r>
              <w:t>Objective 2 focus areas</w:t>
            </w:r>
          </w:p>
          <w:p w14:paraId="50AD7651" w14:textId="118895C6" w:rsidR="00060F90" w:rsidRDefault="00AB41FF" w:rsidP="00060F90">
            <w:pPr>
              <w:pStyle w:val="Tablebullet"/>
            </w:pPr>
            <w:r w:rsidRPr="00CB5E91">
              <w:t>Strategic economic reform</w:t>
            </w:r>
          </w:p>
          <w:p w14:paraId="6A5F5279" w14:textId="3FE69995" w:rsidR="00060F90" w:rsidRDefault="00AB41FF" w:rsidP="00060F90">
            <w:pPr>
              <w:pStyle w:val="Tablebullet"/>
            </w:pPr>
            <w:r w:rsidRPr="00CB5E91">
              <w:t>Key economic sectors including critical infrastructure</w:t>
            </w:r>
            <w:r w:rsidR="009D723E" w:rsidRPr="00CB5E91">
              <w:t xml:space="preserve"> and</w:t>
            </w:r>
            <w:r w:rsidRPr="00CB5E91">
              <w:t xml:space="preserve"> energy transition</w:t>
            </w:r>
          </w:p>
          <w:p w14:paraId="54B964D3" w14:textId="6BD2F3A4" w:rsidR="00060F90" w:rsidRDefault="00AB41FF" w:rsidP="00060F90">
            <w:pPr>
              <w:pStyle w:val="Tablebullet"/>
            </w:pPr>
            <w:r w:rsidRPr="00CB5E91">
              <w:t>Agrifood systems research</w:t>
            </w:r>
          </w:p>
          <w:p w14:paraId="4DE93D6B" w14:textId="16D9CFC5" w:rsidR="00060F90" w:rsidRDefault="00AB41FF" w:rsidP="00060F90">
            <w:pPr>
              <w:pStyle w:val="Tablebullet"/>
            </w:pPr>
            <w:r w:rsidRPr="00CB5E91">
              <w:t>Women’s economic participation</w:t>
            </w:r>
            <w:r w:rsidR="00060F90">
              <w:t>,</w:t>
            </w:r>
            <w:r w:rsidRPr="00CB5E91">
              <w:t xml:space="preserve"> including through the private sector</w:t>
            </w:r>
          </w:p>
          <w:p w14:paraId="746B87A5" w14:textId="3D47A796" w:rsidR="00060F90" w:rsidRDefault="00AB41FF" w:rsidP="00060F90">
            <w:pPr>
              <w:pStyle w:val="Tablebullet"/>
            </w:pPr>
            <w:r w:rsidRPr="00CB5E91">
              <w:t>Skills/education</w:t>
            </w:r>
          </w:p>
          <w:p w14:paraId="0CFC83DB" w14:textId="00F505DB" w:rsidR="00AB41FF" w:rsidRPr="00CB5E91" w:rsidRDefault="00AB41FF" w:rsidP="008B700F">
            <w:pPr>
              <w:pStyle w:val="Tablebullet"/>
            </w:pPr>
            <w:r w:rsidRPr="00CB5E91">
              <w:t>Scholarships</w:t>
            </w:r>
          </w:p>
        </w:tc>
        <w:tc>
          <w:tcPr>
            <w:tcW w:w="1464" w:type="pct"/>
            <w:shd w:val="clear" w:color="auto" w:fill="F0DBD4"/>
          </w:tcPr>
          <w:p w14:paraId="0A155D19" w14:textId="77777777" w:rsidR="00060F90" w:rsidRDefault="00060F90" w:rsidP="00940D49">
            <w:pPr>
              <w:pStyle w:val="TableBodyCopy"/>
            </w:pPr>
            <w:r>
              <w:t>Objective 3 focus areas</w:t>
            </w:r>
          </w:p>
          <w:p w14:paraId="2AE9DDE3" w14:textId="3D046F57" w:rsidR="00060F90" w:rsidRDefault="00AB41FF" w:rsidP="00060F90">
            <w:pPr>
              <w:pStyle w:val="Tablebullet"/>
            </w:pPr>
            <w:r w:rsidRPr="00CB5E91">
              <w:t>Disaster/climate resilience</w:t>
            </w:r>
          </w:p>
          <w:p w14:paraId="338A4FAC" w14:textId="1A0BC41B" w:rsidR="00060F90" w:rsidRDefault="00AB41FF" w:rsidP="00060F90">
            <w:pPr>
              <w:pStyle w:val="Tablebullet"/>
            </w:pPr>
            <w:r w:rsidRPr="00CB5E91">
              <w:t>Humanitarian assistance</w:t>
            </w:r>
          </w:p>
          <w:p w14:paraId="5533FDE0" w14:textId="506EED5D" w:rsidR="00060F90" w:rsidRDefault="00AB41FF" w:rsidP="00060F90">
            <w:pPr>
              <w:pStyle w:val="Tablebullet"/>
            </w:pPr>
            <w:r w:rsidRPr="00CB5E91">
              <w:t>Social protection</w:t>
            </w:r>
          </w:p>
          <w:p w14:paraId="4E5B23FA" w14:textId="6E302DFA" w:rsidR="00AB41FF" w:rsidRPr="00CB5E91" w:rsidRDefault="00AB41FF" w:rsidP="008B700F">
            <w:pPr>
              <w:pStyle w:val="Tablebullet"/>
            </w:pPr>
            <w:r w:rsidRPr="00CB5E91">
              <w:t>G</w:t>
            </w:r>
            <w:r w:rsidR="007E16F9">
              <w:t>EDSI</w:t>
            </w:r>
          </w:p>
        </w:tc>
      </w:tr>
    </w:tbl>
    <w:p w14:paraId="28DA8903" w14:textId="03074403" w:rsidR="005D4C91" w:rsidRDefault="005D4C91" w:rsidP="005D4C91">
      <w:pPr>
        <w:rPr>
          <w:b/>
          <w:bCs/>
        </w:rPr>
      </w:pPr>
      <w:r w:rsidRPr="005D4C91">
        <w:rPr>
          <w:b/>
          <w:bCs/>
        </w:rPr>
        <w:t xml:space="preserve">Ways of </w:t>
      </w:r>
      <w:r>
        <w:rPr>
          <w:b/>
          <w:bCs/>
        </w:rPr>
        <w:t>w</w:t>
      </w:r>
      <w:r w:rsidRPr="005D4C91">
        <w:rPr>
          <w:b/>
          <w:bCs/>
        </w:rPr>
        <w:t>orking</w:t>
      </w:r>
    </w:p>
    <w:p w14:paraId="42F5F2D9" w14:textId="4960B3B3" w:rsidR="005D4C91" w:rsidRDefault="00363B07" w:rsidP="005D4C91">
      <w:r>
        <w:t xml:space="preserve">We will work together to progress the </w:t>
      </w:r>
      <w:r w:rsidR="005D4C91">
        <w:t>objectives set out in Table</w:t>
      </w:r>
      <w:r w:rsidR="009567A0">
        <w:t> </w:t>
      </w:r>
      <w:r w:rsidR="005D4C91">
        <w:t>1 through:</w:t>
      </w:r>
    </w:p>
    <w:p w14:paraId="0BDFE606" w14:textId="61732269" w:rsidR="00DB046D" w:rsidRDefault="00DB046D" w:rsidP="00DB046D">
      <w:pPr>
        <w:pStyle w:val="NormalBullets-L1"/>
      </w:pPr>
      <w:r>
        <w:t>o</w:t>
      </w:r>
      <w:r w:rsidR="005D4C91" w:rsidRPr="00CB5E91">
        <w:t>ngoing consultation</w:t>
      </w:r>
    </w:p>
    <w:p w14:paraId="52C80D15" w14:textId="18FC0172" w:rsidR="00DB046D" w:rsidRDefault="005D4C91" w:rsidP="00DB046D">
      <w:pPr>
        <w:pStyle w:val="NormalBullets-L1"/>
      </w:pPr>
      <w:r w:rsidRPr="00CB5E91">
        <w:t>deeper partnerships</w:t>
      </w:r>
    </w:p>
    <w:p w14:paraId="73729FFD" w14:textId="16D02A17" w:rsidR="00DB046D" w:rsidRDefault="005D4C91" w:rsidP="00DB046D">
      <w:pPr>
        <w:pStyle w:val="NormalBullets-L1"/>
      </w:pPr>
      <w:r w:rsidRPr="00CB5E91">
        <w:t>transparency and accountability</w:t>
      </w:r>
    </w:p>
    <w:p w14:paraId="141F9240" w14:textId="4AEB6642" w:rsidR="00DB046D" w:rsidRDefault="005D4C91" w:rsidP="00DB046D">
      <w:pPr>
        <w:pStyle w:val="NormalBullets-L1"/>
      </w:pPr>
      <w:r w:rsidRPr="00CB5E91">
        <w:lastRenderedPageBreak/>
        <w:t>strengthening monitoring, evaluation and learning</w:t>
      </w:r>
    </w:p>
    <w:p w14:paraId="7453CFB6" w14:textId="43BECAC4" w:rsidR="00DB046D" w:rsidRDefault="005D4C91" w:rsidP="00DB046D">
      <w:pPr>
        <w:pStyle w:val="NormalBullets-L1"/>
      </w:pPr>
      <w:r w:rsidRPr="00CB5E91">
        <w:t>policy dialogue and advocacy</w:t>
      </w:r>
    </w:p>
    <w:p w14:paraId="7AF56365" w14:textId="0975A469" w:rsidR="00DB046D" w:rsidRDefault="005D4C91" w:rsidP="00DB046D">
      <w:pPr>
        <w:pStyle w:val="NormalBullets-L1"/>
      </w:pPr>
      <w:r w:rsidRPr="00CB5E91">
        <w:t>promoting locally led development</w:t>
      </w:r>
    </w:p>
    <w:p w14:paraId="61AB4B8B" w14:textId="77777777" w:rsidR="00301CC8" w:rsidRDefault="005D4C91" w:rsidP="00DB046D">
      <w:pPr>
        <w:pStyle w:val="NormalBullets-L1"/>
      </w:pPr>
      <w:r w:rsidRPr="00CB5E91">
        <w:t>integrating and elevating climate change</w:t>
      </w:r>
    </w:p>
    <w:p w14:paraId="56AD8EFB" w14:textId="34A90AF7" w:rsidR="00DB046D" w:rsidRDefault="00D704AB" w:rsidP="00607FE9">
      <w:pPr>
        <w:pStyle w:val="NormalBullets-L1"/>
      </w:pPr>
      <w:r>
        <w:t>targeted efforts and mainstreaming</w:t>
      </w:r>
      <w:r w:rsidR="005D4C91" w:rsidRPr="00CB5E91">
        <w:t xml:space="preserve"> </w:t>
      </w:r>
      <w:r w:rsidR="007E16F9">
        <w:t>GEDSI</w:t>
      </w:r>
    </w:p>
    <w:p w14:paraId="0CA7A643" w14:textId="50EE0429" w:rsidR="00DB046D" w:rsidRDefault="005D4C91" w:rsidP="00DB046D">
      <w:pPr>
        <w:pStyle w:val="NormalBullets-L1"/>
      </w:pPr>
      <w:r w:rsidRPr="00CB5E91">
        <w:t>coalition-building and donor coordination</w:t>
      </w:r>
    </w:p>
    <w:p w14:paraId="69F901D1" w14:textId="541664D2" w:rsidR="00A554BE" w:rsidRDefault="005D4C91" w:rsidP="00DB046D">
      <w:pPr>
        <w:pStyle w:val="NormalBullets-L1"/>
      </w:pPr>
      <w:r w:rsidRPr="00CB5E91">
        <w:t>national and subnational development</w:t>
      </w:r>
    </w:p>
    <w:p w14:paraId="53167F5F" w14:textId="56020191" w:rsidR="00571B16" w:rsidRDefault="005D4C91" w:rsidP="008F29AC">
      <w:pPr>
        <w:pStyle w:val="NormalBullets-L1"/>
      </w:pPr>
      <w:r w:rsidRPr="00CB5E91">
        <w:t>partnerships with civil society and non-government organisations.</w:t>
      </w:r>
    </w:p>
    <w:p w14:paraId="21C1397F" w14:textId="7A97B3D2" w:rsidR="00AB41FF" w:rsidRPr="00CB5E91" w:rsidRDefault="00AB41FF" w:rsidP="00BE635A">
      <w:pPr>
        <w:pStyle w:val="H3-Heading3"/>
      </w:pPr>
      <w:r w:rsidRPr="00CB5E91">
        <w:t>Objective 1: Enhancing the conditions for stability</w:t>
      </w:r>
    </w:p>
    <w:p w14:paraId="0CC7855F" w14:textId="00F9DC2A" w:rsidR="00AB41FF" w:rsidRPr="00CB5E91" w:rsidRDefault="00AB41FF" w:rsidP="00A554BE">
      <w:r w:rsidRPr="00CB5E91">
        <w:t>Australia will continue to support</w:t>
      </w:r>
      <w:r w:rsidRPr="00CB5E91">
        <w:rPr>
          <w:b/>
          <w:bCs/>
        </w:rPr>
        <w:t xml:space="preserve"> </w:t>
      </w:r>
      <w:r w:rsidRPr="008B700F">
        <w:t xml:space="preserve">stability in the Philippines </w:t>
      </w:r>
      <w:r w:rsidRPr="00CB5E91">
        <w:t xml:space="preserve">as a foundation for development. Australia has </w:t>
      </w:r>
      <w:r w:rsidR="00563318" w:rsidRPr="00CB5E91">
        <w:t xml:space="preserve">invested </w:t>
      </w:r>
      <w:r w:rsidRPr="00CB5E91">
        <w:t xml:space="preserve">substantially in stabilisation and peacebuilding in Muslim Mindanao, and </w:t>
      </w:r>
      <w:r w:rsidR="0034384C" w:rsidRPr="00CB5E91">
        <w:t xml:space="preserve">this will continue for now. </w:t>
      </w:r>
      <w:r w:rsidRPr="00CB5E91">
        <w:t>In line with the Philippine Government’s shifting priorities, Australia will also increase our support for external security.</w:t>
      </w:r>
    </w:p>
    <w:p w14:paraId="5D5444E2" w14:textId="614ED365" w:rsidR="00AB41FF" w:rsidRPr="00CB5E91" w:rsidRDefault="00AB41FF" w:rsidP="00A554BE">
      <w:pPr>
        <w:rPr>
          <w:rFonts w:cstheme="majorBidi"/>
        </w:rPr>
      </w:pPr>
      <w:bookmarkStart w:id="1" w:name="_Hlk158119378"/>
      <w:r w:rsidRPr="00CB5E91">
        <w:rPr>
          <w:rFonts w:cstheme="majorBidi"/>
        </w:rPr>
        <w:t xml:space="preserve">Insurgency and violent extremism were previously the overriding security concerns in the Philippines, </w:t>
      </w:r>
      <w:r w:rsidR="00815743" w:rsidRPr="00CB5E91">
        <w:rPr>
          <w:rFonts w:cstheme="majorBidi"/>
        </w:rPr>
        <w:t>present</w:t>
      </w:r>
      <w:r w:rsidR="00654A8E">
        <w:rPr>
          <w:rFonts w:cstheme="majorBidi"/>
        </w:rPr>
        <w:t>ing</w:t>
      </w:r>
      <w:r w:rsidR="00815743" w:rsidRPr="00CB5E91">
        <w:rPr>
          <w:rFonts w:cstheme="majorBidi"/>
        </w:rPr>
        <w:t xml:space="preserve"> a threat to Australian interests</w:t>
      </w:r>
      <w:r w:rsidR="00EC0B34" w:rsidRPr="00CB5E91">
        <w:rPr>
          <w:rFonts w:cstheme="majorBidi"/>
        </w:rPr>
        <w:t xml:space="preserve">. </w:t>
      </w:r>
      <w:r w:rsidR="00654A8E">
        <w:rPr>
          <w:rFonts w:cstheme="majorBidi"/>
        </w:rPr>
        <w:t>However,</w:t>
      </w:r>
      <w:r w:rsidRPr="00CB5E91">
        <w:rPr>
          <w:rFonts w:cstheme="majorBidi"/>
        </w:rPr>
        <w:t xml:space="preserve"> over the past </w:t>
      </w:r>
      <w:r w:rsidR="006D4551">
        <w:rPr>
          <w:rFonts w:cstheme="majorBidi"/>
        </w:rPr>
        <w:t>5 </w:t>
      </w:r>
      <w:r w:rsidRPr="00CB5E91">
        <w:rPr>
          <w:rFonts w:cstheme="majorBidi"/>
        </w:rPr>
        <w:t>years, terrorism incidence has significantly declined. This is a result of an enhanced security presence and implementation of the formal peace process between the national government and the Moro Islamic Liberation Front, which has also led to increased economic activity and growth.</w:t>
      </w:r>
      <w:bookmarkEnd w:id="1"/>
    </w:p>
    <w:p w14:paraId="04E374DC" w14:textId="216732A6" w:rsidR="00AB41FF" w:rsidRPr="00CB5E91" w:rsidRDefault="00654A8E" w:rsidP="00D62B4E">
      <w:r>
        <w:t>Despite this improvement,</w:t>
      </w:r>
      <w:r w:rsidR="00AB41FF" w:rsidRPr="00CB5E91">
        <w:t xml:space="preserve"> the Bangsamoro Autonomous Region in Muslim Mindanao (BARMM) remains the country’s poorest region</w:t>
      </w:r>
      <w:r w:rsidR="00AB41FF" w:rsidRPr="00D62B4E">
        <w:t xml:space="preserve">. </w:t>
      </w:r>
      <w:r w:rsidR="00AB41FF" w:rsidRPr="008B700F">
        <w:t>It is also prone to disasters, which often displace already at-risk communities and can exacerbate conflicts. Challenges in delivering essential services, poor governance and a lack of institutional capacity risk undermining both economic growth and the resilience of the peace process. While Islamist terrorism has been on the decline,</w:t>
      </w:r>
      <w:r w:rsidR="00AB41FF" w:rsidRPr="00CB5E91">
        <w:rPr>
          <w:rStyle w:val="ui-provider"/>
          <w:rFonts w:cstheme="majorHAnsi"/>
          <w:color w:val="313E48" w:themeColor="text2"/>
        </w:rPr>
        <w:t xml:space="preserve"> </w:t>
      </w:r>
      <w:r w:rsidR="00AB41FF" w:rsidRPr="00CB5E91">
        <w:t>political and criminal violence persists, sometimes with the involvement of terror groups. The 2025 BARMM elections will be a key indicator as to whether the region will experience a resurgence of violence and</w:t>
      </w:r>
      <w:r w:rsidR="003C004C">
        <w:t> </w:t>
      </w:r>
      <w:r w:rsidR="00AB41FF" w:rsidRPr="00CB5E91">
        <w:t>instability.</w:t>
      </w:r>
    </w:p>
    <w:p w14:paraId="2506DED6" w14:textId="0F0EDEE7" w:rsidR="00AB41FF" w:rsidRPr="00D62B4E" w:rsidRDefault="00AB41FF" w:rsidP="00A554BE">
      <w:r w:rsidRPr="00CB5E91">
        <w:t xml:space="preserve">With the BARMM remaining fragile, Australia will continue </w:t>
      </w:r>
      <w:r w:rsidR="00654A8E">
        <w:t>to</w:t>
      </w:r>
      <w:r w:rsidRPr="00CB5E91">
        <w:t xml:space="preserve"> focus on </w:t>
      </w:r>
      <w:r w:rsidRPr="008B700F">
        <w:t>peacebuilding</w:t>
      </w:r>
      <w:r w:rsidRPr="00CB5E91">
        <w:t xml:space="preserve"> and the formal peace process. We are partnering with the Philippines to address underlying drivers of instability and support effective, accountable institutions that will underpin the BARMM’s economic and social development. </w:t>
      </w:r>
      <w:r w:rsidR="004E0CDE" w:rsidRPr="00CB5E91">
        <w:t>This includes</w:t>
      </w:r>
      <w:r w:rsidRPr="00CB5E91">
        <w:t xml:space="preserve"> working towards reduced clan conflict (</w:t>
      </w:r>
      <w:r w:rsidR="00ED08EA" w:rsidRPr="00CB5E91">
        <w:t>‘</w:t>
      </w:r>
      <w:proofErr w:type="spellStart"/>
      <w:r w:rsidRPr="00CB5E91">
        <w:rPr>
          <w:i/>
          <w:iCs/>
        </w:rPr>
        <w:t>rido</w:t>
      </w:r>
      <w:proofErr w:type="spellEnd"/>
      <w:r w:rsidR="00ED08EA" w:rsidRPr="00CB5E91">
        <w:t>’</w:t>
      </w:r>
      <w:r w:rsidRPr="00CB5E91">
        <w:t>) through mediation and dispute resolution, stronger early warning systems, and boosted community resilience</w:t>
      </w:r>
      <w:r w:rsidR="007D083D">
        <w:t>, including against</w:t>
      </w:r>
      <w:r w:rsidR="00F8271C">
        <w:t xml:space="preserve"> climate</w:t>
      </w:r>
      <w:r w:rsidR="00654A8E">
        <w:t>-</w:t>
      </w:r>
      <w:r w:rsidR="007A0EA6">
        <w:t xml:space="preserve"> and disaster</w:t>
      </w:r>
      <w:r w:rsidR="00F8271C">
        <w:t xml:space="preserve">-induced </w:t>
      </w:r>
      <w:r w:rsidR="00ED204E">
        <w:t>displacement and migration</w:t>
      </w:r>
      <w:r w:rsidRPr="00CB5E91">
        <w:t xml:space="preserve">. </w:t>
      </w:r>
      <w:r w:rsidRPr="00CB5E91">
        <w:rPr>
          <w:rStyle w:val="eop"/>
          <w:rFonts w:cstheme="majorHAnsi"/>
          <w:color w:val="313E48" w:themeColor="text2"/>
          <w:shd w:val="clear" w:color="auto" w:fill="FFFFFF"/>
        </w:rPr>
        <w:t>C</w:t>
      </w:r>
      <w:r w:rsidRPr="00CB5E91">
        <w:t xml:space="preserve">ollaborative programming will continue to combat radicalisation and recruitment by improving livelihood opportunities. </w:t>
      </w:r>
      <w:r w:rsidRPr="00D62B4E">
        <w:t xml:space="preserve">We </w:t>
      </w:r>
      <w:r w:rsidRPr="008B700F">
        <w:t>will also assist the Philippines in responding to terrorism, terrorist financing and violent extremism, including in the administration of justice for terrorist offenders.</w:t>
      </w:r>
      <w:r w:rsidRPr="00D62B4E">
        <w:t xml:space="preserve"> Pending the smooth conduct of the 2025 BARMM elections, we anticipate </w:t>
      </w:r>
      <w:r w:rsidR="00654A8E">
        <w:t xml:space="preserve">that </w:t>
      </w:r>
      <w:r w:rsidRPr="00D62B4E">
        <w:t xml:space="preserve">our peacebuilding program will scale down, and we will shift to integrating </w:t>
      </w:r>
      <w:r w:rsidR="00FD3BE3" w:rsidRPr="00D62B4E">
        <w:t xml:space="preserve">our work in </w:t>
      </w:r>
      <w:r w:rsidRPr="00D62B4E">
        <w:t>the BARMM in</w:t>
      </w:r>
      <w:r w:rsidR="00710D7E" w:rsidRPr="00D62B4E">
        <w:t xml:space="preserve">to our </w:t>
      </w:r>
      <w:r w:rsidR="00786B96" w:rsidRPr="00D62B4E">
        <w:t xml:space="preserve">other </w:t>
      </w:r>
      <w:r w:rsidRPr="00D62B4E">
        <w:t>development programs.</w:t>
      </w:r>
    </w:p>
    <w:p w14:paraId="139F7317" w14:textId="4889FA2A" w:rsidR="00AB41FF" w:rsidRPr="00CB5E91" w:rsidRDefault="00AB41FF" w:rsidP="00A554BE">
      <w:r w:rsidRPr="00CB5E91">
        <w:t xml:space="preserve">In line with Australia’s prioritisation of gender equality, we will continue our cooperation with the Philippines to advance the </w:t>
      </w:r>
      <w:r w:rsidRPr="008B700F">
        <w:t>Women, Peace and Security</w:t>
      </w:r>
      <w:r w:rsidRPr="00CB5E91">
        <w:t xml:space="preserve"> (WPS) agenda, in accordance with the Philippine National Action Plan and particularly in the BARMM.</w:t>
      </w:r>
    </w:p>
    <w:p w14:paraId="670EE76F" w14:textId="704F0A93" w:rsidR="00AB41FF" w:rsidRPr="00CB5E91" w:rsidRDefault="00AB41FF" w:rsidP="00A554BE">
      <w:r w:rsidRPr="00CB5E91">
        <w:t xml:space="preserve">While internal security has been improving, the Philippine Government has been grappling with heightened </w:t>
      </w:r>
      <w:r w:rsidRPr="008B700F">
        <w:t>external security challenges, particularly in the South China Sea</w:t>
      </w:r>
      <w:r w:rsidRPr="00CB5E91">
        <w:t xml:space="preserve">. </w:t>
      </w:r>
      <w:r w:rsidR="00887AA3" w:rsidRPr="00CB5E91">
        <w:t>For</w:t>
      </w:r>
      <w:r w:rsidR="00654A8E">
        <w:t xml:space="preserve"> both</w:t>
      </w:r>
      <w:r w:rsidR="00887AA3" w:rsidRPr="00CB5E91">
        <w:t xml:space="preserve"> Australia and the Philippines, preserving the international rules-based order is a priority</w:t>
      </w:r>
      <w:r w:rsidR="00EA1BB3" w:rsidRPr="00CB5E91">
        <w:t xml:space="preserve">. The Philippines </w:t>
      </w:r>
      <w:r w:rsidRPr="00CB5E91">
        <w:t>is asserting its sovereignty and territorial rights, making explicit calls for the U</w:t>
      </w:r>
      <w:r w:rsidR="00816735">
        <w:t xml:space="preserve">nited </w:t>
      </w:r>
      <w:r w:rsidRPr="00CB5E91">
        <w:t>N</w:t>
      </w:r>
      <w:r w:rsidR="00816735">
        <w:t>ations</w:t>
      </w:r>
      <w:r w:rsidRPr="00CB5E91">
        <w:t xml:space="preserve"> Convention on the Law of the Sea </w:t>
      </w:r>
      <w:r w:rsidR="000D6179">
        <w:t xml:space="preserve">(UNCLOS) </w:t>
      </w:r>
      <w:r w:rsidRPr="00CB5E91">
        <w:t xml:space="preserve">and the 2016 Arbitral Award to be respected. Current maritime disputes have the potential to impact the Philippines’ national security, </w:t>
      </w:r>
      <w:r w:rsidRPr="00CB5E91">
        <w:lastRenderedPageBreak/>
        <w:t xml:space="preserve">the blue economy and </w:t>
      </w:r>
      <w:r w:rsidR="00155D85">
        <w:t xml:space="preserve">the </w:t>
      </w:r>
      <w:r w:rsidRPr="00CB5E91">
        <w:t xml:space="preserve">marine environment, </w:t>
      </w:r>
      <w:r w:rsidR="002D5961">
        <w:t xml:space="preserve">partially </w:t>
      </w:r>
      <w:r w:rsidRPr="00CB5E91">
        <w:t>because of the Philippine Government’s diversion of resources to external defence.</w:t>
      </w:r>
    </w:p>
    <w:p w14:paraId="41D1825D" w14:textId="2355AA22" w:rsidR="00AB41FF" w:rsidRPr="00CB5E91" w:rsidRDefault="00AB41FF" w:rsidP="00A554BE">
      <w:r w:rsidRPr="00CB5E91">
        <w:t xml:space="preserve">We will step up our </w:t>
      </w:r>
      <w:r w:rsidRPr="008B700F">
        <w:t>civil</w:t>
      </w:r>
      <w:r w:rsidR="0019338C">
        <w:t xml:space="preserve"> </w:t>
      </w:r>
      <w:r w:rsidRPr="008B700F">
        <w:t>maritime cooperation</w:t>
      </w:r>
      <w:r w:rsidRPr="00CB5E91">
        <w:t xml:space="preserve"> with the Philippines through increased investment, including non-ODA sources. We will focus on strengthening Philippine civil</w:t>
      </w:r>
      <w:r w:rsidR="0019338C">
        <w:t xml:space="preserve"> </w:t>
      </w:r>
      <w:r w:rsidRPr="00CB5E91">
        <w:t>maritime agencies through training, scholarships and practical cooperation</w:t>
      </w:r>
      <w:r w:rsidR="00F34ADC">
        <w:t xml:space="preserve"> and</w:t>
      </w:r>
      <w:r w:rsidRPr="00CB5E91">
        <w:t xml:space="preserve"> support strengthened governance and coordination between key Philippine Government agencies. Australia and the Philippines will continue to work together closely to support a region where international law and sovereignty are respected and to protect the marine environment.</w:t>
      </w:r>
    </w:p>
    <w:p w14:paraId="1D82F8FD" w14:textId="77777777" w:rsidR="00AB41FF" w:rsidRPr="00CB5E91" w:rsidRDefault="00AB41FF" w:rsidP="00A554BE">
      <w:r w:rsidRPr="00CB5E91">
        <w:t xml:space="preserve">The Philippines also has key interests in </w:t>
      </w:r>
      <w:r w:rsidRPr="008B700F">
        <w:t>enhancing cybersecurity and preventing transnational crime</w:t>
      </w:r>
      <w:r w:rsidRPr="00CB5E91">
        <w:t>, including human trafficking, smuggling and illegal fishing. We will cooperate with the Philippines to enhance its investment in these sectors, including through capacity building and institutional strengthening.</w:t>
      </w:r>
    </w:p>
    <w:p w14:paraId="4496B529" w14:textId="286C903A" w:rsidR="00AB41FF" w:rsidRPr="00CB5E91" w:rsidRDefault="00AB41FF" w:rsidP="00A554BE">
      <w:r w:rsidRPr="00CB5E91">
        <w:t xml:space="preserve">To </w:t>
      </w:r>
      <w:r w:rsidRPr="00D62B4E">
        <w:t xml:space="preserve">underpin these efforts to support stability, </w:t>
      </w:r>
      <w:r w:rsidRPr="008B700F">
        <w:t>Australia and the Philippines will increase our work on the delivery of and access to justice for socially disadvantaged groups, an</w:t>
      </w:r>
      <w:r w:rsidR="00F34ADC">
        <w:t xml:space="preserve"> effort that will</w:t>
      </w:r>
      <w:r w:rsidRPr="008B700F">
        <w:t xml:space="preserve"> ultimately contribute to strengthening effective and accountable justice institutions and the rule of law in the country. This will involve work both with formal justice institutions and through informal multistakeholder mechanisms that promote and protect human</w:t>
      </w:r>
      <w:r w:rsidR="00667A5B">
        <w:t> </w:t>
      </w:r>
      <w:r w:rsidRPr="008B700F">
        <w:t>rights.</w:t>
      </w:r>
    </w:p>
    <w:p w14:paraId="64B0C906" w14:textId="2BD10068" w:rsidR="00AB41FF" w:rsidRDefault="00AB41FF" w:rsidP="00D62B4E">
      <w:r w:rsidRPr="00CB5E91">
        <w:t>Longstanding joint</w:t>
      </w:r>
      <w:r w:rsidR="00F34ADC">
        <w:t xml:space="preserve"> security</w:t>
      </w:r>
      <w:r w:rsidRPr="00CB5E91">
        <w:t xml:space="preserve"> initiatives</w:t>
      </w:r>
      <w:r w:rsidR="00F34ADC">
        <w:t xml:space="preserve"> include</w:t>
      </w:r>
      <w:r w:rsidRPr="00CB5E91">
        <w:t xml:space="preserve"> </w:t>
      </w:r>
      <w:r w:rsidR="00F34ADC">
        <w:t>cooperation between</w:t>
      </w:r>
      <w:r w:rsidRPr="00CB5E91">
        <w:t xml:space="preserve"> the Australian Federal Police and </w:t>
      </w:r>
      <w:r w:rsidR="00F34ADC">
        <w:t xml:space="preserve">the </w:t>
      </w:r>
      <w:r w:rsidRPr="00CB5E91">
        <w:t>Philippine National Police, and defence education and training undertaken by</w:t>
      </w:r>
      <w:r w:rsidR="00F34ADC">
        <w:t xml:space="preserve"> the</w:t>
      </w:r>
      <w:r w:rsidRPr="00CB5E91">
        <w:t xml:space="preserve"> Australian </w:t>
      </w:r>
      <w:r w:rsidR="00967392">
        <w:t xml:space="preserve">Government </w:t>
      </w:r>
      <w:r w:rsidRPr="00CB5E91">
        <w:t xml:space="preserve">Department of Defence and </w:t>
      </w:r>
      <w:r w:rsidR="00F34ADC">
        <w:t xml:space="preserve">the </w:t>
      </w:r>
      <w:r w:rsidRPr="00CB5E91">
        <w:t xml:space="preserve">Australian Defence Force alongside the Philippine Department of National </w:t>
      </w:r>
      <w:proofErr w:type="spellStart"/>
      <w:r w:rsidRPr="00CB5E91">
        <w:t>Defense</w:t>
      </w:r>
      <w:proofErr w:type="spellEnd"/>
      <w:r w:rsidRPr="00CB5E91">
        <w:t xml:space="preserve"> and </w:t>
      </w:r>
      <w:r w:rsidR="00F34ADC">
        <w:t xml:space="preserve">the </w:t>
      </w:r>
      <w:r w:rsidRPr="00CB5E91">
        <w:t>Armed Forces of the Philippines</w:t>
      </w:r>
      <w:r w:rsidR="004E4907">
        <w:t>.</w:t>
      </w:r>
      <w:r w:rsidRPr="00CB5E91">
        <w:t xml:space="preserve"> </w:t>
      </w:r>
      <w:r w:rsidR="00F34ADC">
        <w:t xml:space="preserve">These initiatives </w:t>
      </w:r>
      <w:r w:rsidRPr="00CB5E91">
        <w:t xml:space="preserve">will remain a key component of </w:t>
      </w:r>
      <w:r w:rsidR="00F34ADC">
        <w:t>our</w:t>
      </w:r>
      <w:r w:rsidRPr="00CB5E91">
        <w:t xml:space="preserve"> efforts to improve conditions for</w:t>
      </w:r>
      <w:r w:rsidR="00667A5B">
        <w:t> </w:t>
      </w:r>
      <w:r w:rsidRPr="00CB5E91">
        <w:t>stability.</w:t>
      </w:r>
    </w:p>
    <w:p w14:paraId="6D1CD0EE" w14:textId="67E5CB8C" w:rsidR="00AB41FF" w:rsidRPr="00CB5E91" w:rsidRDefault="00AB41FF" w:rsidP="00A554BE">
      <w:pPr>
        <w:pStyle w:val="H3-Heading3"/>
      </w:pPr>
      <w:bookmarkStart w:id="2" w:name="_Hlk157419489"/>
      <w:r w:rsidRPr="00CB5E91">
        <w:t>Objective 2: Bolstering inclusive and sustainable economic growth</w:t>
      </w:r>
    </w:p>
    <w:p w14:paraId="4028387C" w14:textId="75BEA8D3" w:rsidR="00692F7A" w:rsidRDefault="00AB41FF" w:rsidP="00A554BE">
      <w:r w:rsidRPr="00CB5E91">
        <w:t>Australia is well</w:t>
      </w:r>
      <w:r w:rsidR="007201AC">
        <w:t>-</w:t>
      </w:r>
      <w:r w:rsidRPr="00CB5E91">
        <w:t xml:space="preserve">placed to partner with the Philippines to boost prosperity through inclusive, sustainable economic growth. The </w:t>
      </w:r>
      <w:r w:rsidRPr="00CB5E91">
        <w:rPr>
          <w:i/>
          <w:iCs/>
        </w:rPr>
        <w:t>Philippine Development Plan 2023</w:t>
      </w:r>
      <w:r w:rsidR="002C0762" w:rsidRPr="002014BF">
        <w:rPr>
          <w:i/>
          <w:iCs/>
        </w:rPr>
        <w:t>–</w:t>
      </w:r>
      <w:r w:rsidR="002014BF" w:rsidRPr="002014BF">
        <w:rPr>
          <w:i/>
          <w:iCs/>
        </w:rPr>
        <w:t>20</w:t>
      </w:r>
      <w:r w:rsidRPr="00CB5E91">
        <w:rPr>
          <w:i/>
          <w:iCs/>
        </w:rPr>
        <w:t>28</w:t>
      </w:r>
      <w:r w:rsidRPr="00CB5E91">
        <w:t xml:space="preserve"> outlines the Philippine Government’s plan to invest in human capital to increase productivity; reduce red tape; improve good governance and efficiency; create more jobs by promoting trade, investment and competition; and accelerate climate action and resilience.</w:t>
      </w:r>
    </w:p>
    <w:p w14:paraId="105AD89F" w14:textId="2414D323" w:rsidR="00FD5DC5" w:rsidRPr="00FD5DC5" w:rsidRDefault="00FD5DC5" w:rsidP="00A554BE">
      <w:bookmarkStart w:id="3" w:name="_Hlk169619490"/>
      <w:r w:rsidRPr="00E13BE7">
        <w:t>The Philippines has made substantial efforts to liberalise its economy. Legislative reform</w:t>
      </w:r>
      <w:r w:rsidR="003C7D4B">
        <w:t>s</w:t>
      </w:r>
      <w:r w:rsidRPr="00E13BE7">
        <w:t xml:space="preserve"> to attract foreign investment in renewable energy, telecommunications and logistics ha</w:t>
      </w:r>
      <w:r w:rsidR="003C7D4B">
        <w:t>ve been</w:t>
      </w:r>
      <w:r w:rsidRPr="00E13BE7">
        <w:t xml:space="preserve"> passed, including </w:t>
      </w:r>
      <w:r w:rsidR="00BB6A07">
        <w:t xml:space="preserve">the </w:t>
      </w:r>
      <w:r w:rsidRPr="00E13BE7">
        <w:t xml:space="preserve">opening </w:t>
      </w:r>
      <w:r w:rsidR="00BB6A07">
        <w:t xml:space="preserve">of </w:t>
      </w:r>
      <w:r w:rsidRPr="00E13BE7">
        <w:t>renewable energy projects to 100</w:t>
      </w:r>
      <w:r w:rsidR="009F50DE">
        <w:t> </w:t>
      </w:r>
      <w:r w:rsidRPr="00E13BE7">
        <w:t>per</w:t>
      </w:r>
      <w:r w:rsidR="00D14AA0">
        <w:t> </w:t>
      </w:r>
      <w:r w:rsidRPr="00E13BE7">
        <w:t>cent foreign ownership. The Anti-Red Tape Authority and the Department of Trade and Industry are engaged in initiatives to improve the ease of doing business. However, the Philippines still rank</w:t>
      </w:r>
      <w:r w:rsidR="00337F36">
        <w:t>ed</w:t>
      </w:r>
      <w:r w:rsidRPr="00E13BE7">
        <w:t xml:space="preserve"> 95th of 190</w:t>
      </w:r>
      <w:r w:rsidR="00D14AA0">
        <w:t> </w:t>
      </w:r>
      <w:r w:rsidRPr="00E13BE7">
        <w:t xml:space="preserve">economies in the </w:t>
      </w:r>
      <w:bookmarkStart w:id="4" w:name="_Hlk173329136"/>
      <w:r w:rsidRPr="00E13BE7">
        <w:t xml:space="preserve">World Bank’s </w:t>
      </w:r>
      <w:r w:rsidRPr="008B700F">
        <w:rPr>
          <w:i/>
          <w:iCs/>
        </w:rPr>
        <w:t>Doing Business</w:t>
      </w:r>
      <w:r w:rsidRPr="00E13BE7">
        <w:t xml:space="preserve"> </w:t>
      </w:r>
      <w:r w:rsidR="00377DCD">
        <w:t>r</w:t>
      </w:r>
      <w:r w:rsidRPr="00E13BE7">
        <w:t>eport</w:t>
      </w:r>
      <w:bookmarkEnd w:id="4"/>
      <w:r w:rsidRPr="00E13BE7">
        <w:t>,</w:t>
      </w:r>
      <w:r w:rsidR="00377DCD">
        <w:rPr>
          <w:rStyle w:val="EndnoteReference"/>
        </w:rPr>
        <w:endnoteReference w:id="10"/>
      </w:r>
      <w:r w:rsidRPr="00E13BE7">
        <w:t xml:space="preserve"> well behind its regional peers. </w:t>
      </w:r>
      <w:r w:rsidR="00BB6A07">
        <w:t>The e</w:t>
      </w:r>
      <w:r w:rsidRPr="00E13BE7">
        <w:t>ffective implementation of reform</w:t>
      </w:r>
      <w:r w:rsidR="00527EDE" w:rsidRPr="00E13BE7">
        <w:t>s</w:t>
      </w:r>
      <w:r w:rsidRPr="00E13BE7">
        <w:t xml:space="preserve"> is critical to unlocking increase</w:t>
      </w:r>
      <w:r w:rsidR="00527EDE" w:rsidRPr="00E13BE7">
        <w:t>d</w:t>
      </w:r>
      <w:r w:rsidRPr="00E13BE7">
        <w:t xml:space="preserve"> infrastructure investment and high</w:t>
      </w:r>
      <w:r w:rsidR="00011229" w:rsidRPr="00E13BE7">
        <w:t>er</w:t>
      </w:r>
      <w:r w:rsidRPr="00E13BE7">
        <w:t xml:space="preserve"> economic growth.</w:t>
      </w:r>
    </w:p>
    <w:bookmarkEnd w:id="3"/>
    <w:p w14:paraId="05882DEE" w14:textId="32F593AC" w:rsidR="00AB41FF" w:rsidRPr="00CB5E91" w:rsidRDefault="00911704" w:rsidP="00A554BE">
      <w:r>
        <w:t>With the Philippines poised to achieve upper middle</w:t>
      </w:r>
      <w:r w:rsidR="001D70C0">
        <w:t>-</w:t>
      </w:r>
      <w:r>
        <w:t xml:space="preserve">income status in the coming years, more needs to be done now to support the Philippines’ own agenda for embedding an efficient, inclusive economic system. This is why </w:t>
      </w:r>
      <w:r w:rsidR="00AB41FF" w:rsidRPr="00CB5E91">
        <w:t xml:space="preserve">Australia will increase our </w:t>
      </w:r>
      <w:r w:rsidR="00C02420" w:rsidRPr="00CB5E91">
        <w:t>support to</w:t>
      </w:r>
      <w:r w:rsidR="00AB41FF" w:rsidRPr="00CB5E91">
        <w:t xml:space="preserve"> </w:t>
      </w:r>
      <w:r w:rsidR="00A6114B">
        <w:t>Philippine G</w:t>
      </w:r>
      <w:r w:rsidR="00AB41FF" w:rsidRPr="00CB5E91">
        <w:t xml:space="preserve">overnment agencies to implement the reforms needed to achieve these objectives. Inclusive and sustained economic growth in the Philippines will strengthen </w:t>
      </w:r>
      <w:r w:rsidR="00C556C4" w:rsidRPr="00CB5E91">
        <w:t>bilateral trade and investment</w:t>
      </w:r>
      <w:r w:rsidR="00AB41FF" w:rsidRPr="00CB5E91">
        <w:t xml:space="preserve"> opportunities and enhance the prosperity of our region. Australia’s</w:t>
      </w:r>
      <w:bookmarkStart w:id="5" w:name="_Hlk173329182"/>
      <w:r w:rsidR="00AB41FF" w:rsidRPr="00CB5E91">
        <w:t xml:space="preserve"> </w:t>
      </w:r>
      <w:r w:rsidR="00A17C54">
        <w:rPr>
          <w:i/>
          <w:iCs/>
        </w:rPr>
        <w:t xml:space="preserve">Invested: </w:t>
      </w:r>
      <w:r w:rsidR="00AB41FF" w:rsidRPr="00CB5E91">
        <w:rPr>
          <w:i/>
          <w:iCs/>
        </w:rPr>
        <w:t xml:space="preserve">Southeast Asia Economic </w:t>
      </w:r>
      <w:r w:rsidR="00AB41FF" w:rsidRPr="00CB5E91">
        <w:rPr>
          <w:i/>
        </w:rPr>
        <w:t>Strategy</w:t>
      </w:r>
      <w:r w:rsidR="00AB41FF" w:rsidRPr="00CB5E91">
        <w:rPr>
          <w:i/>
          <w:iCs/>
        </w:rPr>
        <w:t xml:space="preserve"> to 2040</w:t>
      </w:r>
      <w:bookmarkEnd w:id="5"/>
      <w:r w:rsidR="00A738E0">
        <w:rPr>
          <w:rStyle w:val="EndnoteReference"/>
        </w:rPr>
        <w:endnoteReference w:id="11"/>
      </w:r>
      <w:r w:rsidR="00A738E0">
        <w:t xml:space="preserve"> </w:t>
      </w:r>
      <w:r w:rsidR="001544E1">
        <w:t xml:space="preserve">and </w:t>
      </w:r>
      <w:r w:rsidR="00A52083">
        <w:t xml:space="preserve">work undertaken by Austrade </w:t>
      </w:r>
      <w:r w:rsidR="00AB41FF" w:rsidRPr="00CB5E91">
        <w:t>will complement our development programming through non-ODA efforts</w:t>
      </w:r>
      <w:r w:rsidR="00335890">
        <w:t>; with stronger economic reforms, Australian businesses and investors will be encouraged to enter the Philippine market</w:t>
      </w:r>
      <w:r w:rsidR="00AB41FF" w:rsidRPr="00CB5E91">
        <w:t>.</w:t>
      </w:r>
    </w:p>
    <w:p w14:paraId="5456B37D" w14:textId="710A8FDB" w:rsidR="00AB41FF" w:rsidRPr="00CB5E91" w:rsidRDefault="00AB41FF" w:rsidP="00A554BE">
      <w:r w:rsidRPr="00CB5E91">
        <w:t xml:space="preserve">For the Philippines to achieve its ambitions for sustainable economic growth, </w:t>
      </w:r>
      <w:r w:rsidRPr="008B700F">
        <w:t>well-implemented economic reforms, stronger institutions and robust public financial management</w:t>
      </w:r>
      <w:r w:rsidRPr="00CB5E91">
        <w:rPr>
          <w:b/>
          <w:bCs/>
        </w:rPr>
        <w:t xml:space="preserve"> </w:t>
      </w:r>
      <w:r w:rsidRPr="00CB5E91">
        <w:t xml:space="preserve">will be crucial. We will increase our support for upstream economic reforms that strengthen economic management and the accountability of institutions. Building </w:t>
      </w:r>
      <w:r w:rsidRPr="00CB5E91">
        <w:lastRenderedPageBreak/>
        <w:t>on our existing work, we will partner with the Philippine Government</w:t>
      </w:r>
      <w:r w:rsidR="00745418">
        <w:t xml:space="preserve"> </w:t>
      </w:r>
      <w:r w:rsidRPr="00CB5E91">
        <w:t>in key sectors including infrastructure, renewable energy, resources, telecommunications and digit</w:t>
      </w:r>
      <w:r w:rsidR="0015093E">
        <w:t>al</w:t>
      </w:r>
      <w:r w:rsidRPr="00CB5E91">
        <w:t xml:space="preserve">isation. Through our support for the implementation of reforms in these sectors, we expect to see more Filipinos benefiting from economic development. </w:t>
      </w:r>
      <w:r w:rsidR="00BB6A07">
        <w:t>W</w:t>
      </w:r>
      <w:r w:rsidRPr="00CB5E91">
        <w:t xml:space="preserve">e will </w:t>
      </w:r>
      <w:r w:rsidR="00BB6A07">
        <w:t xml:space="preserve">also </w:t>
      </w:r>
      <w:r w:rsidRPr="00CB5E91">
        <w:t>continue our science-based research partnership to strengthen agrifood systems. Such economic reforms and evidence generation respond to challenges such as the digital divide between urban and rural communities, the unmet electricity demand, lost productivity from agricultural inefficiencies, and the imperative to fast-track the renewable energy transition driven by climate change. Stronger economic management will encourage greater private sector activity, improving livelihoods and boosting growth.</w:t>
      </w:r>
    </w:p>
    <w:p w14:paraId="1D30ACD0" w14:textId="61B982C0" w:rsidR="00AB41FF" w:rsidRPr="00CB5E91" w:rsidRDefault="00AB41FF" w:rsidP="00A554BE">
      <w:r w:rsidRPr="00CB5E91">
        <w:t xml:space="preserve">Australia will </w:t>
      </w:r>
      <w:r w:rsidR="00EA4094" w:rsidRPr="00CB5E91">
        <w:t>increase</w:t>
      </w:r>
      <w:r w:rsidRPr="00CB5E91">
        <w:t xml:space="preserve"> our support for the Philippine Government to unlock the private sector’s potential contribution to economic growth, including by </w:t>
      </w:r>
      <w:r w:rsidRPr="008B700F">
        <w:t>increasing competition, reducing barriers to trade and investment, and reducing the cost of doing business</w:t>
      </w:r>
      <w:r w:rsidRPr="00CB5E91">
        <w:t xml:space="preserve">. The Philippines has enacted important reforms in competition law and public administration, but constraints remain. Limited competition in key sectors, complex business and taxation regulations, and lack of access to finance can make it difficult for small and medium enterprises to expand beyond the informal sector. Despite the Philippines’ increasingly open posture to international trade, international firms face red tape </w:t>
      </w:r>
      <w:r w:rsidR="00BB6A07">
        <w:t>that</w:t>
      </w:r>
      <w:r w:rsidR="00BB6A07" w:rsidRPr="00CB5E91">
        <w:t xml:space="preserve"> </w:t>
      </w:r>
      <w:r w:rsidRPr="00CB5E91">
        <w:t>disincentivises market entry. To enhance the Philippines’ attractiveness as a business and investment destination, ‘behind the border’ issues</w:t>
      </w:r>
      <w:r w:rsidR="00820092">
        <w:t xml:space="preserve"> –</w:t>
      </w:r>
      <w:r w:rsidR="00BB6A07">
        <w:t xml:space="preserve"> </w:t>
      </w:r>
      <w:r w:rsidR="00BB6A07" w:rsidRPr="00CB5E91">
        <w:t>such as standards, qualifications, intellectual property rights, business regulation and competition policies</w:t>
      </w:r>
      <w:r w:rsidR="00820092">
        <w:t xml:space="preserve"> –</w:t>
      </w:r>
      <w:r w:rsidRPr="00CB5E91">
        <w:t xml:space="preserve"> need to be addressed.</w:t>
      </w:r>
    </w:p>
    <w:p w14:paraId="6F625857" w14:textId="3D3DCAC1" w:rsidR="00AB41FF" w:rsidRPr="00CB5E91" w:rsidRDefault="00AB41FF" w:rsidP="00A554BE">
      <w:r w:rsidRPr="00CB5E91">
        <w:t xml:space="preserve">For the Philippines to meet its development potential, </w:t>
      </w:r>
      <w:r w:rsidRPr="008B700F">
        <w:t>women’s economic empowerment</w:t>
      </w:r>
      <w:r w:rsidRPr="00CB5E91">
        <w:t xml:space="preserve"> will be critical. With lower women’s economic participation rates despite their higher education levels, concerted efforts are required. Social norms related to unpaid care work and women’s </w:t>
      </w:r>
      <w:r w:rsidR="00A02BC3" w:rsidRPr="00CB5E91">
        <w:t xml:space="preserve">household </w:t>
      </w:r>
      <w:r w:rsidRPr="00CB5E91">
        <w:t xml:space="preserve">roles, unequal access to finance and fewer formal labour market opportunities hold women back from </w:t>
      </w:r>
      <w:r w:rsidR="007D771F">
        <w:t>equal economic participation</w:t>
      </w:r>
      <w:r w:rsidRPr="00CB5E91">
        <w:t xml:space="preserve">. Australia will continue </w:t>
      </w:r>
      <w:r w:rsidR="00BB6A07">
        <w:t xml:space="preserve">to </w:t>
      </w:r>
      <w:r w:rsidRPr="00CB5E91">
        <w:t>tak</w:t>
      </w:r>
      <w:r w:rsidR="00BB6A07">
        <w:t>e</w:t>
      </w:r>
      <w:r w:rsidRPr="00CB5E91">
        <w:t xml:space="preserve"> a twin-track approach by mainstreaming women’s economic empowerment while also investing in standalone activities. We will promote women’s economic empowerment through workplace gender equality and policy reform, more equitable gender norms, and accelerat</w:t>
      </w:r>
      <w:r w:rsidR="00F86383">
        <w:t>ing</w:t>
      </w:r>
      <w:r w:rsidRPr="00CB5E91">
        <w:t xml:space="preserve"> women’s entrepreneurship and access to finance.</w:t>
      </w:r>
    </w:p>
    <w:p w14:paraId="2AE3E4F6" w14:textId="0698343F" w:rsidR="00AB41FF" w:rsidRPr="00CB5E91" w:rsidRDefault="6B5A6C15" w:rsidP="00301D01">
      <w:r w:rsidRPr="00CB5E91">
        <w:t xml:space="preserve">Australia will continue to support </w:t>
      </w:r>
      <w:r w:rsidRPr="008B700F">
        <w:t>human capital and skills development</w:t>
      </w:r>
      <w:r w:rsidRPr="00BB6A07">
        <w:t xml:space="preserve"> </w:t>
      </w:r>
      <w:r w:rsidRPr="00CB5E91">
        <w:t xml:space="preserve">in the Philippines. The Philippine Government has signalled a strong commitment to increasing income-earning ability and developing the capabilities of individuals and families. Robust investment in the education system, particularly skills development, will be important to take advantage of the Philippines’ demographic dividend, reduce the </w:t>
      </w:r>
      <w:r w:rsidRPr="00D62B4E">
        <w:t>risk</w:t>
      </w:r>
      <w:r w:rsidRPr="00CB5E91">
        <w:t xml:space="preserve"> of productivity stagnation </w:t>
      </w:r>
      <w:r w:rsidR="00BB6A07">
        <w:t>caused by</w:t>
      </w:r>
      <w:r w:rsidRPr="00CB5E91">
        <w:t xml:space="preserve"> </w:t>
      </w:r>
      <w:r w:rsidR="00B86ACE">
        <w:t>2 </w:t>
      </w:r>
      <w:r w:rsidRPr="00CB5E91">
        <w:t>years of learning loss during the COVID-19</w:t>
      </w:r>
      <w:r w:rsidR="00B86ACE">
        <w:t xml:space="preserve"> </w:t>
      </w:r>
      <w:r w:rsidRPr="00CB5E91">
        <w:t>pandemic, and support the job</w:t>
      </w:r>
      <w:r w:rsidR="00220F0E">
        <w:t xml:space="preserve"> </w:t>
      </w:r>
      <w:r w:rsidRPr="00CB5E91">
        <w:t xml:space="preserve">readiness of young Filipinos. </w:t>
      </w:r>
      <w:r w:rsidR="6562C1FE" w:rsidRPr="00CB5E91">
        <w:t xml:space="preserve">Building on our longstanding education partnerships, Australia’s education and skills development assistance will increasingly focus on building skills pathways in secondary education. We will also increase institutional and technical exchanges to facilitate </w:t>
      </w:r>
      <w:r w:rsidR="00267307">
        <w:t>stronger</w:t>
      </w:r>
      <w:r w:rsidR="00267307" w:rsidRPr="00CB5E91">
        <w:t xml:space="preserve"> </w:t>
      </w:r>
      <w:r w:rsidR="6562C1FE" w:rsidRPr="00CB5E91">
        <w:t xml:space="preserve">linkages between Australian and </w:t>
      </w:r>
      <w:r w:rsidR="00EE37A5">
        <w:t>Philippine</w:t>
      </w:r>
      <w:r w:rsidR="00EE37A5" w:rsidRPr="00CB5E91">
        <w:t xml:space="preserve"> </w:t>
      </w:r>
      <w:r w:rsidR="6562C1FE" w:rsidRPr="00CB5E91">
        <w:t>education systems through scholarships, policy dialogue and partnerships.</w:t>
      </w:r>
    </w:p>
    <w:bookmarkEnd w:id="2"/>
    <w:p w14:paraId="64C14B3C" w14:textId="7CCA87CF" w:rsidR="00AB41FF" w:rsidRPr="00CB5E91" w:rsidRDefault="00AB41FF" w:rsidP="00A554BE">
      <w:pPr>
        <w:pStyle w:val="H3-Heading3"/>
      </w:pPr>
      <w:r w:rsidRPr="00CB5E91">
        <w:t xml:space="preserve">Objective 3: </w:t>
      </w:r>
      <w:r w:rsidR="0087312D">
        <w:t>Increasing</w:t>
      </w:r>
      <w:r w:rsidR="0087312D" w:rsidRPr="00CB5E91">
        <w:t xml:space="preserve"> </w:t>
      </w:r>
      <w:r w:rsidRPr="00CB5E91">
        <w:t>institutional and community resilience to social, economic and climate-related shocks</w:t>
      </w:r>
    </w:p>
    <w:p w14:paraId="6670325B" w14:textId="00C8FBBA" w:rsidR="00AB41FF" w:rsidRPr="00CB5E91" w:rsidRDefault="00AB41FF" w:rsidP="00301D01">
      <w:r w:rsidRPr="00CB5E91">
        <w:t xml:space="preserve">Australia remains committed to </w:t>
      </w:r>
      <w:r w:rsidRPr="008B700F">
        <w:rPr>
          <w:bCs/>
        </w:rPr>
        <w:t>strengthening Philippine institutions and communities to withstand social, economic and climate-related shocks</w:t>
      </w:r>
      <w:r w:rsidRPr="00CB5E91">
        <w:t>. Australia will do this by partnering with the Philippines through practical locally led solutions on climate change adaptation, disaster risk reduction</w:t>
      </w:r>
      <w:r w:rsidR="001F23AC">
        <w:t xml:space="preserve"> </w:t>
      </w:r>
      <w:r w:rsidR="00BB6A8D">
        <w:t>(</w:t>
      </w:r>
      <w:r w:rsidR="001F23AC">
        <w:t>including against geological hazards</w:t>
      </w:r>
      <w:r w:rsidR="00BB6A8D">
        <w:t>)</w:t>
      </w:r>
      <w:r w:rsidRPr="00CB5E91">
        <w:t xml:space="preserve">, social protection and </w:t>
      </w:r>
      <w:r w:rsidR="00CD4760">
        <w:t>GEDSI</w:t>
      </w:r>
      <w:r w:rsidRPr="00CB5E91">
        <w:t>.</w:t>
      </w:r>
      <w:r w:rsidR="001B2E94" w:rsidRPr="00CB5E91">
        <w:t xml:space="preserve"> For Australia, resilient institutions and communities will underpin our strategic and economic relationships, helping to ensure the Philippines can remain a strong partner in the face of potential future shocks.</w:t>
      </w:r>
    </w:p>
    <w:p w14:paraId="5C778338" w14:textId="62253843" w:rsidR="005F4053" w:rsidRPr="00CB5E91" w:rsidRDefault="005F4053" w:rsidP="00301D01">
      <w:r w:rsidRPr="00CB5E91">
        <w:t xml:space="preserve">Given the high risk of climate-induced </w:t>
      </w:r>
      <w:r w:rsidR="00C23473">
        <w:t>and geo</w:t>
      </w:r>
      <w:r w:rsidR="00B450D4">
        <w:t xml:space="preserve">logical </w:t>
      </w:r>
      <w:r w:rsidRPr="00CB5E91">
        <w:t>disasters</w:t>
      </w:r>
      <w:r w:rsidR="00A842DB">
        <w:t xml:space="preserve"> in the Philippines</w:t>
      </w:r>
      <w:r w:rsidRPr="00CB5E91">
        <w:t xml:space="preserve">, increased efforts </w:t>
      </w:r>
      <w:r w:rsidR="0061130E">
        <w:t>supporting</w:t>
      </w:r>
      <w:r w:rsidRPr="00CB5E91">
        <w:t xml:space="preserve"> </w:t>
      </w:r>
      <w:r w:rsidRPr="008B700F">
        <w:t>adaptation, robust institutions and disaster risk reduction</w:t>
      </w:r>
      <w:r w:rsidRPr="0061130E">
        <w:t xml:space="preserve"> </w:t>
      </w:r>
      <w:r w:rsidRPr="00CB5E91">
        <w:t xml:space="preserve">will be important for strengthening resilience. Australia will work with the Philippine Government </w:t>
      </w:r>
      <w:r w:rsidR="0061130E">
        <w:t>to</w:t>
      </w:r>
      <w:r w:rsidRPr="00CB5E91">
        <w:t xml:space="preserve"> bolster disaster risk governance and respond to climate risks using </w:t>
      </w:r>
      <w:r w:rsidRPr="00CB5E91">
        <w:lastRenderedPageBreak/>
        <w:t>data, science, and local and Indigenous knowledge, in line with the National Adaptation Plan. We will foster collaboration and support ‘build back better’ principles in recovery, rehabilitation and reconstruction. Consistent with the Australian Government’s commitment to addressing the shared challenge of climate change, we will increas</w:t>
      </w:r>
      <w:r w:rsidR="00E62180">
        <w:t>e</w:t>
      </w:r>
      <w:r w:rsidRPr="00CB5E91">
        <w:t xml:space="preserve"> our cooperation with the Philippines</w:t>
      </w:r>
      <w:r w:rsidR="00E62180">
        <w:t xml:space="preserve"> on climate change</w:t>
      </w:r>
      <w:r w:rsidRPr="00CB5E91">
        <w:t>, including through adaptation, nature-based solutions, blended and climate financing, and mitigation to help the Philippines address its top emissions sources as specified in its Nationally Determined Contributions.</w:t>
      </w:r>
    </w:p>
    <w:p w14:paraId="6FF1DB8D" w14:textId="0B2CC67C" w:rsidR="005F4053" w:rsidRPr="00CB5E91" w:rsidRDefault="005F4053" w:rsidP="00301D01">
      <w:r w:rsidRPr="00CB5E91">
        <w:t xml:space="preserve">The Philippines has invested in a mature </w:t>
      </w:r>
      <w:r w:rsidRPr="008B700F">
        <w:t>humanitarian response and recovery</w:t>
      </w:r>
      <w:r w:rsidRPr="00CB5E91">
        <w:t xml:space="preserve"> system, but fragmentation and inefficiencies persist. Australia has been a long</w:t>
      </w:r>
      <w:r w:rsidR="006372CE">
        <w:t>standing</w:t>
      </w:r>
      <w:r w:rsidRPr="00CB5E91">
        <w:t xml:space="preserve"> humanitarian partner, working with the Philippine Government to improve its humanitarian response systems ahead of a crisis. We will continue to do this, drawing on innovative solutions and </w:t>
      </w:r>
      <w:r w:rsidR="00A75A0E">
        <w:t xml:space="preserve">working </w:t>
      </w:r>
      <w:r w:rsidRPr="00CB5E91">
        <w:t xml:space="preserve">with trusted development partners. </w:t>
      </w:r>
      <w:r w:rsidR="00703436">
        <w:t>An example of this</w:t>
      </w:r>
      <w:r w:rsidR="00F66436">
        <w:t xml:space="preserve"> approach</w:t>
      </w:r>
      <w:r w:rsidR="00703436">
        <w:t xml:space="preserve"> is the multi</w:t>
      </w:r>
      <w:r w:rsidR="00780765">
        <w:t>year</w:t>
      </w:r>
      <w:r w:rsidR="00703436">
        <w:t xml:space="preserve"> pre</w:t>
      </w:r>
      <w:r w:rsidR="00654BBB">
        <w:t>-</w:t>
      </w:r>
      <w:r w:rsidR="00703436">
        <w:t xml:space="preserve">positioning </w:t>
      </w:r>
      <w:r w:rsidR="00375B20">
        <w:t xml:space="preserve">arrangements with local partners that enable timely response </w:t>
      </w:r>
      <w:r w:rsidR="00527EDE" w:rsidRPr="007743FC">
        <w:t>by</w:t>
      </w:r>
      <w:r w:rsidR="00375B20">
        <w:t xml:space="preserve"> Australia </w:t>
      </w:r>
      <w:r w:rsidR="001942D2">
        <w:t>when disaster occurs</w:t>
      </w:r>
      <w:r w:rsidR="00E260CC">
        <w:t>.</w:t>
      </w:r>
      <w:r w:rsidR="001942D2">
        <w:t xml:space="preserve"> </w:t>
      </w:r>
      <w:r w:rsidR="00C74295">
        <w:t xml:space="preserve">These are </w:t>
      </w:r>
      <w:r w:rsidR="000A08AB">
        <w:t>used</w:t>
      </w:r>
      <w:r w:rsidR="00C74295">
        <w:t xml:space="preserve"> during medium</w:t>
      </w:r>
      <w:r w:rsidR="00771CB2">
        <w:t>-</w:t>
      </w:r>
      <w:r w:rsidR="00C74295">
        <w:t xml:space="preserve"> to</w:t>
      </w:r>
      <w:r w:rsidR="001942D2">
        <w:t xml:space="preserve"> </w:t>
      </w:r>
      <w:r w:rsidR="00D15052">
        <w:t xml:space="preserve">large-scale </w:t>
      </w:r>
      <w:r w:rsidR="00C74295">
        <w:t>disaster</w:t>
      </w:r>
      <w:r w:rsidR="006E4C42">
        <w:t>s</w:t>
      </w:r>
      <w:r w:rsidR="00E339B7">
        <w:t>,</w:t>
      </w:r>
      <w:r w:rsidR="00D15052">
        <w:t xml:space="preserve"> including </w:t>
      </w:r>
      <w:r w:rsidR="006E5C2B">
        <w:t xml:space="preserve">protracted crises. </w:t>
      </w:r>
      <w:r w:rsidRPr="00CB5E91">
        <w:t>During</w:t>
      </w:r>
      <w:r w:rsidR="006E4C42">
        <w:t xml:space="preserve"> </w:t>
      </w:r>
      <w:r w:rsidRPr="00CB5E91">
        <w:t>crises, we commit to supporting the humanitarian needs of affected populations in an inclusive, transparent and accountable manner to ensure we reach the most vulnerable</w:t>
      </w:r>
      <w:r w:rsidR="00E339B7">
        <w:t>. This</w:t>
      </w:r>
      <w:r w:rsidR="00540E2B">
        <w:t xml:space="preserve"> includ</w:t>
      </w:r>
      <w:r w:rsidR="00E339B7">
        <w:t>es</w:t>
      </w:r>
      <w:r w:rsidR="00540E2B">
        <w:t xml:space="preserve"> </w:t>
      </w:r>
      <w:r w:rsidR="00E339B7">
        <w:t xml:space="preserve">the mitigation of </w:t>
      </w:r>
      <w:r w:rsidR="008D3A0C">
        <w:t xml:space="preserve">additional </w:t>
      </w:r>
      <w:r w:rsidR="00735ECC">
        <w:t>risks</w:t>
      </w:r>
      <w:r w:rsidR="008D3A0C">
        <w:t xml:space="preserve"> </w:t>
      </w:r>
      <w:r w:rsidR="00DF76ED">
        <w:t>during</w:t>
      </w:r>
      <w:r w:rsidR="008D3A0C">
        <w:t xml:space="preserve"> crises, such as</w:t>
      </w:r>
      <w:r w:rsidR="00C43D32">
        <w:t xml:space="preserve"> gender</w:t>
      </w:r>
      <w:r w:rsidR="00087995">
        <w:t>-</w:t>
      </w:r>
      <w:r w:rsidR="00C43D32">
        <w:t>based violence</w:t>
      </w:r>
      <w:r w:rsidRPr="00CB5E91">
        <w:t>.</w:t>
      </w:r>
    </w:p>
    <w:p w14:paraId="7948CD08" w14:textId="1B49EDF0" w:rsidR="00AB41FF" w:rsidRPr="00CB5E91" w:rsidRDefault="00AB41FF" w:rsidP="00301D01">
      <w:r w:rsidRPr="00CB5E91">
        <w:t xml:space="preserve">With poverty rates at </w:t>
      </w:r>
      <w:r w:rsidR="0035524E">
        <w:t>15.5</w:t>
      </w:r>
      <w:r w:rsidR="00F47536">
        <w:t> </w:t>
      </w:r>
      <w:r w:rsidRPr="00CB5E91">
        <w:t>per</w:t>
      </w:r>
      <w:r w:rsidR="00F47536">
        <w:t> </w:t>
      </w:r>
      <w:r w:rsidRPr="00CB5E91">
        <w:t>cent in 2023, the Philippines has committed to reducing poverty incidence to 9</w:t>
      </w:r>
      <w:r w:rsidR="00F47536">
        <w:t> </w:t>
      </w:r>
      <w:r w:rsidRPr="00CB5E91">
        <w:t>per</w:t>
      </w:r>
      <w:r w:rsidR="009D1AA6">
        <w:t> </w:t>
      </w:r>
      <w:r w:rsidRPr="00CB5E91">
        <w:t>cent by 2028. </w:t>
      </w:r>
      <w:r w:rsidRPr="008B700F">
        <w:t>Social protection</w:t>
      </w:r>
      <w:r w:rsidRPr="00CB5E91">
        <w:t xml:space="preserve"> programs are one of the country’s main vehicles for building resilience and addressing poverty, inequality and vulnerability. Social protection reduces citizens’ vulnerability so they can participate in the economy, adapt to changing circumstances and be better prepared for shocks. The Philippines has a long-established social protection system, reaching an anticipated 24</w:t>
      </w:r>
      <w:r w:rsidR="00764F02">
        <w:t> </w:t>
      </w:r>
      <w:r w:rsidRPr="00CB5E91">
        <w:t xml:space="preserve">million Filipinos with </w:t>
      </w:r>
      <w:r w:rsidR="00120987">
        <w:t>regular</w:t>
      </w:r>
      <w:r w:rsidR="00120987" w:rsidRPr="00CB5E91">
        <w:t xml:space="preserve"> </w:t>
      </w:r>
      <w:r w:rsidR="00120987">
        <w:t>cash</w:t>
      </w:r>
      <w:r w:rsidR="00120987" w:rsidRPr="00CB5E91">
        <w:t xml:space="preserve"> </w:t>
      </w:r>
      <w:r w:rsidRPr="00CB5E91">
        <w:t xml:space="preserve">transfers in 2024. </w:t>
      </w:r>
      <w:r w:rsidR="00E339B7">
        <w:t>However,</w:t>
      </w:r>
      <w:r w:rsidR="00C674D2">
        <w:t xml:space="preserve"> the effectiveness of </w:t>
      </w:r>
      <w:r w:rsidRPr="00CB5E91">
        <w:t>social protection</w:t>
      </w:r>
      <w:r w:rsidR="00C674D2">
        <w:t xml:space="preserve"> </w:t>
      </w:r>
      <w:r w:rsidRPr="00CB5E91">
        <w:t>in reducing poverty and building resilience is undermined by gaps in reaching the most disadvantaged, fragmented systems, and limited ability to respond to</w:t>
      </w:r>
      <w:r w:rsidR="004811C2">
        <w:t> </w:t>
      </w:r>
      <w:r w:rsidRPr="00CB5E91">
        <w:t>shocks.</w:t>
      </w:r>
    </w:p>
    <w:p w14:paraId="78EEB566" w14:textId="03E7248E" w:rsidR="00AB41FF" w:rsidRPr="00CB5E91" w:rsidRDefault="00AB41FF" w:rsidP="00301D01">
      <w:r w:rsidRPr="00CB5E91">
        <w:t xml:space="preserve">Australia will collaborate with the Philippine Government to increase institutional capacity. </w:t>
      </w:r>
      <w:bookmarkStart w:id="6" w:name="_Hlk158120718"/>
      <w:r w:rsidRPr="00CB5E91">
        <w:t>By building on our deep partnerships, Australia will step up our engagement to strengthen the Philippines’ social protection system, improve the implementation of cash-based income protection, and reduce the gaps in reaching vulnerable households with adequate transfers</w:t>
      </w:r>
      <w:r w:rsidR="00DA17A1">
        <w:t>, including support for people with disability and Indigenous people</w:t>
      </w:r>
      <w:r w:rsidRPr="00CB5E91">
        <w:t>. We will focus on supporting gender equality and lessening the impact of climate change through the social protection system</w:t>
      </w:r>
      <w:bookmarkEnd w:id="6"/>
      <w:r w:rsidRPr="00CB5E91">
        <w:t xml:space="preserve">. This will be complemented by our targeted partnerships </w:t>
      </w:r>
      <w:r w:rsidR="005D2D9E" w:rsidRPr="00CB5E91">
        <w:t>strengthening elements of the health system</w:t>
      </w:r>
      <w:r w:rsidR="00A836DD">
        <w:t>,</w:t>
      </w:r>
      <w:r w:rsidR="005647F1">
        <w:t xml:space="preserve"> such as capacity building o</w:t>
      </w:r>
      <w:r w:rsidR="00B771B1">
        <w:t>n</w:t>
      </w:r>
      <w:r w:rsidR="005647F1">
        <w:t xml:space="preserve"> disease surveillance</w:t>
      </w:r>
      <w:r w:rsidR="009B40A3">
        <w:t xml:space="preserve"> and enhancing immunisation registries</w:t>
      </w:r>
      <w:r w:rsidR="00A92A23">
        <w:t xml:space="preserve"> through our </w:t>
      </w:r>
      <w:r w:rsidR="00693B3E">
        <w:t xml:space="preserve">global and </w:t>
      </w:r>
      <w:r w:rsidR="007743FC">
        <w:t>Indo</w:t>
      </w:r>
      <w:r w:rsidR="00693B3E">
        <w:t xml:space="preserve">-Pacific </w:t>
      </w:r>
      <w:r w:rsidR="00C7447C">
        <w:t>region</w:t>
      </w:r>
      <w:r w:rsidR="007743FC">
        <w:t>al</w:t>
      </w:r>
      <w:r w:rsidR="00C7447C">
        <w:t xml:space="preserve"> </w:t>
      </w:r>
      <w:r w:rsidR="00A92A23">
        <w:t>programs</w:t>
      </w:r>
      <w:r w:rsidRPr="00CB5E91">
        <w:t>.</w:t>
      </w:r>
    </w:p>
    <w:p w14:paraId="5BA09B20" w14:textId="66328DE7" w:rsidR="00AB41FF" w:rsidRPr="00CB5E91" w:rsidRDefault="00AB41FF" w:rsidP="00301D01">
      <w:r w:rsidRPr="00CB5E91">
        <w:t xml:space="preserve">Australia will work with the Philippines to </w:t>
      </w:r>
      <w:r w:rsidRPr="008B700F">
        <w:t>empower communities to manage social and economic shocks</w:t>
      </w:r>
      <w:r w:rsidRPr="00CB5E91">
        <w:t xml:space="preserve"> and climate change, disaster and humanitarian risks through locally led solutions. We will invest in policy reform, capacity</w:t>
      </w:r>
      <w:r w:rsidR="00A836DD">
        <w:t xml:space="preserve"> </w:t>
      </w:r>
      <w:r w:rsidRPr="00CB5E91">
        <w:t xml:space="preserve">building, financing, grants and technology to provide communities with the tools and knowledge to cope with and adapt to risks. Through our partnerships with communities, civil society and non-government organisations, we expect to see stronger human </w:t>
      </w:r>
      <w:r w:rsidR="00DA66AC">
        <w:t>capital</w:t>
      </w:r>
      <w:r w:rsidR="00DA66AC" w:rsidRPr="00CB5E91">
        <w:t xml:space="preserve"> </w:t>
      </w:r>
      <w:r w:rsidRPr="00CB5E91">
        <w:t>outcomes and community resilience.</w:t>
      </w:r>
    </w:p>
    <w:p w14:paraId="5641015A" w14:textId="235D50B5" w:rsidR="00301D01" w:rsidRDefault="00AB41FF" w:rsidP="00301D01">
      <w:r w:rsidRPr="00CB5E91">
        <w:t>Australia advances</w:t>
      </w:r>
      <w:r w:rsidRPr="00A836DD">
        <w:t xml:space="preserve"> </w:t>
      </w:r>
      <w:r w:rsidR="00B068F9">
        <w:t xml:space="preserve">GEDSI </w:t>
      </w:r>
      <w:r w:rsidRPr="00CB5E91">
        <w:t>in all facets of our development assistance. Our efforts will support the Philippine Government’s own agenda to advance gender equality by strengthening</w:t>
      </w:r>
      <w:r w:rsidR="00A07F5B" w:rsidRPr="00CB5E91">
        <w:t xml:space="preserve"> </w:t>
      </w:r>
      <w:r w:rsidR="001E49B4" w:rsidRPr="00CB5E91">
        <w:t>its</w:t>
      </w:r>
      <w:r w:rsidR="00016A6F" w:rsidRPr="00CB5E91">
        <w:t xml:space="preserve"> processes for </w:t>
      </w:r>
      <w:r w:rsidR="006263E5" w:rsidRPr="00CB5E91">
        <w:t>evidence-based policy</w:t>
      </w:r>
      <w:r w:rsidR="00220F0E">
        <w:t>making</w:t>
      </w:r>
      <w:r w:rsidR="006263E5" w:rsidRPr="00CB5E91">
        <w:t xml:space="preserve">, </w:t>
      </w:r>
      <w:r w:rsidR="0032227E" w:rsidRPr="00CB5E91">
        <w:t>planning</w:t>
      </w:r>
      <w:r w:rsidR="005A4D24" w:rsidRPr="00CB5E91">
        <w:t xml:space="preserve"> and </w:t>
      </w:r>
      <w:r w:rsidR="001E33D0" w:rsidRPr="00CB5E91">
        <w:t xml:space="preserve">financing </w:t>
      </w:r>
      <w:r w:rsidR="006263E5" w:rsidRPr="00CB5E91">
        <w:t xml:space="preserve">of </w:t>
      </w:r>
      <w:r w:rsidR="001E33D0" w:rsidRPr="00CB5E91">
        <w:t xml:space="preserve">gender equality </w:t>
      </w:r>
      <w:r w:rsidR="006263E5" w:rsidRPr="00CB5E91">
        <w:t>initiatives</w:t>
      </w:r>
      <w:r w:rsidRPr="00CB5E91">
        <w:t xml:space="preserve">. We will support initiatives that empower women, advocate for equal access to services and opportunities, and challenge gender norms. We will invest in strengthening systems </w:t>
      </w:r>
      <w:r w:rsidR="005C2BFA">
        <w:t>to</w:t>
      </w:r>
      <w:r w:rsidR="005C2BFA" w:rsidRPr="00CB5E91">
        <w:t xml:space="preserve"> </w:t>
      </w:r>
      <w:r w:rsidRPr="00CB5E91">
        <w:t>ensure equity and inclusion for people with disabilit</w:t>
      </w:r>
      <w:r w:rsidR="00836F7C">
        <w:t>y</w:t>
      </w:r>
      <w:r w:rsidRPr="00CB5E91">
        <w:t xml:space="preserve"> and Indigenous peoples</w:t>
      </w:r>
      <w:r w:rsidR="00ED71B6">
        <w:t>. We will also ensure initiatives work for people experiencing intersectional forms of disadvantage.</w:t>
      </w:r>
    </w:p>
    <w:p w14:paraId="24E0CF4C" w14:textId="77777777" w:rsidR="00301D01" w:rsidRDefault="00301D01">
      <w:pPr>
        <w:spacing w:before="0" w:after="0" w:line="240" w:lineRule="auto"/>
      </w:pPr>
      <w:r>
        <w:br w:type="page"/>
      </w:r>
    </w:p>
    <w:p w14:paraId="0E1F890E" w14:textId="73F2244E" w:rsidR="002F5BBE" w:rsidRDefault="004F6A9A" w:rsidP="002F5BBE">
      <w:pPr>
        <w:pStyle w:val="H2-Heading2"/>
        <w:rPr>
          <w:lang w:eastAsia="en-AU"/>
        </w:rPr>
      </w:pPr>
      <w:r w:rsidRPr="00CB5E91">
        <w:rPr>
          <w:lang w:eastAsia="en-AU"/>
        </w:rPr>
        <w:lastRenderedPageBreak/>
        <w:t>S</w:t>
      </w:r>
      <w:r>
        <w:rPr>
          <w:lang w:eastAsia="en-AU"/>
        </w:rPr>
        <w:t>ection</w:t>
      </w:r>
      <w:r w:rsidRPr="00CB5E91">
        <w:rPr>
          <w:lang w:eastAsia="en-AU"/>
        </w:rPr>
        <w:t xml:space="preserve"> </w:t>
      </w:r>
      <w:r w:rsidR="00AB41FF" w:rsidRPr="00CB5E91">
        <w:rPr>
          <w:lang w:eastAsia="en-AU"/>
        </w:rPr>
        <w:t xml:space="preserve">4: </w:t>
      </w:r>
      <w:r w:rsidR="002F5BBE">
        <w:rPr>
          <w:lang w:eastAsia="en-AU"/>
        </w:rPr>
        <w:t>D</w:t>
      </w:r>
      <w:r w:rsidR="002F5BBE" w:rsidRPr="00CB5E91">
        <w:rPr>
          <w:lang w:eastAsia="en-AU"/>
        </w:rPr>
        <w:t>elivering our partnership</w:t>
      </w:r>
    </w:p>
    <w:p w14:paraId="67A9734B" w14:textId="3C74E61D" w:rsidR="00AB41FF" w:rsidRPr="00CB5E91" w:rsidRDefault="00AB41FF" w:rsidP="00A109FE">
      <w:pPr>
        <w:pStyle w:val="H3-Heading3"/>
        <w:rPr>
          <w:rFonts w:ascii="Segoe UI" w:hAnsi="Segoe UI" w:cs="Segoe UI"/>
          <w:sz w:val="18"/>
          <w:szCs w:val="18"/>
          <w:lang w:eastAsia="en-AU"/>
        </w:rPr>
      </w:pPr>
      <w:r w:rsidRPr="00CB5E91">
        <w:rPr>
          <w:lang w:eastAsia="en-AU"/>
        </w:rPr>
        <w:t>Locally led development</w:t>
      </w:r>
    </w:p>
    <w:p w14:paraId="6AB8F6F6" w14:textId="6BACA938" w:rsidR="00AB41FF" w:rsidRPr="00CB5E91" w:rsidRDefault="00AB41FF" w:rsidP="00A109FE">
      <w:pPr>
        <w:rPr>
          <w:rFonts w:ascii="Segoe UI" w:hAnsi="Segoe UI" w:cs="Segoe UI"/>
          <w:sz w:val="18"/>
          <w:szCs w:val="18"/>
          <w:lang w:eastAsia="en-AU"/>
        </w:rPr>
      </w:pPr>
      <w:r w:rsidRPr="00CB5E91">
        <w:rPr>
          <w:lang w:eastAsia="en-AU"/>
        </w:rPr>
        <w:t xml:space="preserve">Australia is committed to continue empowering local actors to deliver development assistance in the Philippines. This is a core feature of how we work, as the success </w:t>
      </w:r>
      <w:r w:rsidR="00715ACF">
        <w:rPr>
          <w:lang w:eastAsia="en-AU"/>
        </w:rPr>
        <w:t xml:space="preserve">and sustainability </w:t>
      </w:r>
      <w:r w:rsidRPr="00CB5E91">
        <w:rPr>
          <w:lang w:eastAsia="en-AU"/>
        </w:rPr>
        <w:t xml:space="preserve">of our development initiatives </w:t>
      </w:r>
      <w:r w:rsidR="00623AB2">
        <w:rPr>
          <w:lang w:eastAsia="en-AU"/>
        </w:rPr>
        <w:t>cannot be achieved without</w:t>
      </w:r>
      <w:r w:rsidRPr="00CB5E91">
        <w:rPr>
          <w:lang w:eastAsia="en-AU"/>
        </w:rPr>
        <w:t xml:space="preserve"> the leadership of national and subnational governments, local civil society organisations, local business and local academic communities.</w:t>
      </w:r>
    </w:p>
    <w:p w14:paraId="40AC7DD9" w14:textId="59E4BC82" w:rsidR="00AB41FF" w:rsidRPr="00CB5E91" w:rsidRDefault="00AB41FF" w:rsidP="00A109FE">
      <w:pPr>
        <w:rPr>
          <w:rFonts w:ascii="Segoe UI" w:hAnsi="Segoe UI" w:cs="Segoe UI"/>
          <w:sz w:val="18"/>
          <w:szCs w:val="18"/>
          <w:lang w:eastAsia="en-AU"/>
        </w:rPr>
      </w:pPr>
      <w:r w:rsidRPr="00CB5E91">
        <w:rPr>
          <w:lang w:eastAsia="en-AU"/>
        </w:rPr>
        <w:t xml:space="preserve">Our program in the Philippines will continue to support local leaders and organisations to pursue policy reforms that contribute to the development objectives </w:t>
      </w:r>
      <w:r w:rsidR="00157438">
        <w:rPr>
          <w:lang w:eastAsia="en-AU"/>
        </w:rPr>
        <w:t xml:space="preserve">of the </w:t>
      </w:r>
      <w:r w:rsidR="00157438" w:rsidRPr="00CB5E91">
        <w:rPr>
          <w:lang w:eastAsia="en-AU"/>
        </w:rPr>
        <w:t xml:space="preserve">Philippines </w:t>
      </w:r>
      <w:r w:rsidRPr="00CB5E91">
        <w:rPr>
          <w:lang w:eastAsia="en-AU"/>
        </w:rPr>
        <w:t>and are responsive to the needs, priorities and aspirations of the Filipino people. We will provide technical assistance, capacity</w:t>
      </w:r>
      <w:r w:rsidR="00A836DD">
        <w:rPr>
          <w:lang w:eastAsia="en-AU"/>
        </w:rPr>
        <w:t xml:space="preserve"> </w:t>
      </w:r>
      <w:r w:rsidRPr="00CB5E91">
        <w:rPr>
          <w:lang w:eastAsia="en-AU"/>
        </w:rPr>
        <w:t>building and grants to local partners to invest in organisations</w:t>
      </w:r>
      <w:r w:rsidR="004B3F25">
        <w:rPr>
          <w:lang w:eastAsia="en-AU"/>
        </w:rPr>
        <w:t>,</w:t>
      </w:r>
      <w:r w:rsidRPr="00CB5E91">
        <w:rPr>
          <w:lang w:eastAsia="en-AU"/>
        </w:rPr>
        <w:t xml:space="preserve"> not just projects. Our close partnerships with the Philippine Government will be deepened as we collaborate on strengthening institutions and systems to enhance the Government’s delivery of its own economic and social development priorities.</w:t>
      </w:r>
    </w:p>
    <w:p w14:paraId="18F3C72B" w14:textId="2D6F134F" w:rsidR="00AB41FF" w:rsidRPr="00CB5E91" w:rsidRDefault="00AB41FF" w:rsidP="00A109FE">
      <w:pPr>
        <w:rPr>
          <w:rFonts w:ascii="Segoe UI" w:hAnsi="Segoe UI" w:cs="Segoe UI"/>
          <w:sz w:val="18"/>
          <w:szCs w:val="18"/>
          <w:lang w:eastAsia="en-AU"/>
        </w:rPr>
      </w:pPr>
      <w:r w:rsidRPr="00CB5E91">
        <w:rPr>
          <w:lang w:eastAsia="en-AU"/>
        </w:rPr>
        <w:t>Australia will work closely with the Philippine Government as we strive to be more flexible and innovative in our approaches to program planning and implementation, including design, contracting and delivery arrangements. Whenever possible</w:t>
      </w:r>
      <w:r w:rsidR="004B3F25">
        <w:rPr>
          <w:lang w:eastAsia="en-AU"/>
        </w:rPr>
        <w:t>,</w:t>
      </w:r>
      <w:r w:rsidRPr="00CB5E91">
        <w:rPr>
          <w:lang w:eastAsia="en-AU"/>
        </w:rPr>
        <w:t xml:space="preserve"> we will provide multi</w:t>
      </w:r>
      <w:r w:rsidR="00780765">
        <w:rPr>
          <w:lang w:eastAsia="en-AU"/>
        </w:rPr>
        <w:t>year</w:t>
      </w:r>
      <w:r w:rsidRPr="00CB5E91">
        <w:rPr>
          <w:lang w:eastAsia="en-AU"/>
        </w:rPr>
        <w:t xml:space="preserve"> funding and capacity development to local organisations. </w:t>
      </w:r>
      <w:r w:rsidR="004B3F25">
        <w:rPr>
          <w:lang w:eastAsia="en-AU"/>
        </w:rPr>
        <w:t>W</w:t>
      </w:r>
      <w:r w:rsidRPr="00CB5E91">
        <w:rPr>
          <w:lang w:eastAsia="en-AU"/>
        </w:rPr>
        <w:t xml:space="preserve">e will </w:t>
      </w:r>
      <w:r w:rsidR="004B3F25">
        <w:rPr>
          <w:lang w:eastAsia="en-AU"/>
        </w:rPr>
        <w:t xml:space="preserve">also </w:t>
      </w:r>
      <w:r w:rsidRPr="00CB5E91">
        <w:rPr>
          <w:lang w:eastAsia="en-AU"/>
        </w:rPr>
        <w:t xml:space="preserve">undertake design, monitoring and evaluation approaches that increase participation from local actors. Our efforts </w:t>
      </w:r>
      <w:r w:rsidR="00B82E37">
        <w:rPr>
          <w:lang w:eastAsia="en-AU"/>
        </w:rPr>
        <w:t xml:space="preserve">to deepen cooperation and localisation </w:t>
      </w:r>
      <w:r w:rsidRPr="00CB5E91">
        <w:rPr>
          <w:lang w:eastAsia="en-AU"/>
        </w:rPr>
        <w:t>will include capacity</w:t>
      </w:r>
      <w:r w:rsidR="00795DDA">
        <w:rPr>
          <w:lang w:eastAsia="en-AU"/>
        </w:rPr>
        <w:t>-</w:t>
      </w:r>
      <w:r w:rsidRPr="00CB5E91">
        <w:rPr>
          <w:lang w:eastAsia="en-AU"/>
        </w:rPr>
        <w:t>development strategies for partner institutions</w:t>
      </w:r>
      <w:r w:rsidR="00B82E37">
        <w:rPr>
          <w:lang w:eastAsia="en-AU"/>
        </w:rPr>
        <w:t>,</w:t>
      </w:r>
      <w:r w:rsidRPr="00CB5E91">
        <w:rPr>
          <w:lang w:eastAsia="en-AU"/>
        </w:rPr>
        <w:t xml:space="preserve"> implementing entities</w:t>
      </w:r>
      <w:r w:rsidR="00B82E37">
        <w:rPr>
          <w:lang w:eastAsia="en-AU"/>
        </w:rPr>
        <w:t xml:space="preserve"> and </w:t>
      </w:r>
      <w:r w:rsidRPr="00CB5E91">
        <w:rPr>
          <w:lang w:eastAsia="en-AU"/>
        </w:rPr>
        <w:t>the Australian Government’s locally engaged staff.</w:t>
      </w:r>
    </w:p>
    <w:p w14:paraId="54A9CBAC" w14:textId="7ADE0EB0" w:rsidR="00AB41FF" w:rsidRPr="00CB5E91" w:rsidRDefault="00AB41FF" w:rsidP="00A109FE">
      <w:pPr>
        <w:pStyle w:val="H3-Heading3"/>
        <w:rPr>
          <w:rFonts w:ascii="Segoe UI" w:hAnsi="Segoe UI" w:cs="Segoe UI"/>
          <w:sz w:val="18"/>
          <w:szCs w:val="18"/>
          <w:lang w:eastAsia="en-AU"/>
        </w:rPr>
      </w:pPr>
      <w:r w:rsidRPr="00CB5E91">
        <w:rPr>
          <w:lang w:eastAsia="en-AU"/>
        </w:rPr>
        <w:t>Consultation</w:t>
      </w:r>
    </w:p>
    <w:p w14:paraId="10F771AF" w14:textId="2FDD11B9" w:rsidR="00AB41FF" w:rsidRPr="00CB5E91" w:rsidRDefault="00AB41FF" w:rsidP="00A109FE">
      <w:pPr>
        <w:rPr>
          <w:rFonts w:ascii="Segoe UI" w:hAnsi="Segoe UI" w:cs="Segoe UI"/>
          <w:sz w:val="18"/>
          <w:szCs w:val="18"/>
          <w:lang w:eastAsia="en-AU"/>
        </w:rPr>
      </w:pPr>
      <w:r w:rsidRPr="00CB5E91">
        <w:rPr>
          <w:lang w:eastAsia="en-AU"/>
        </w:rPr>
        <w:t>Australia commits to regular consultation with the Philippine Government to discuss issues, share learning and provide updates on DPP implementation. As agreed in the Philippines</w:t>
      </w:r>
      <w:r w:rsidR="004B3F25">
        <w:rPr>
          <w:lang w:eastAsia="en-AU"/>
        </w:rPr>
        <w:t>–</w:t>
      </w:r>
      <w:r w:rsidRPr="00CB5E91">
        <w:rPr>
          <w:lang w:eastAsia="en-AU"/>
        </w:rPr>
        <w:t xml:space="preserve">Australia Plan of Action under our bilateral Strategic Partnership, High-Level Consultations on </w:t>
      </w:r>
      <w:r w:rsidR="00625E09">
        <w:rPr>
          <w:lang w:eastAsia="en-AU"/>
        </w:rPr>
        <w:t>d</w:t>
      </w:r>
      <w:r w:rsidRPr="00CB5E91">
        <w:rPr>
          <w:lang w:eastAsia="en-AU"/>
        </w:rPr>
        <w:t xml:space="preserve">evelopment </w:t>
      </w:r>
      <w:r w:rsidR="00625E09">
        <w:rPr>
          <w:lang w:eastAsia="en-AU"/>
        </w:rPr>
        <w:t>c</w:t>
      </w:r>
      <w:r w:rsidRPr="00CB5E91">
        <w:rPr>
          <w:lang w:eastAsia="en-AU"/>
        </w:rPr>
        <w:t>ooperation will be held annually between Australia and the Philippine N</w:t>
      </w:r>
      <w:r w:rsidR="006D0448">
        <w:rPr>
          <w:lang w:eastAsia="en-AU"/>
        </w:rPr>
        <w:t>EDA</w:t>
      </w:r>
      <w:r w:rsidRPr="00CB5E91">
        <w:rPr>
          <w:lang w:eastAsia="en-AU"/>
        </w:rPr>
        <w:t xml:space="preserve"> and Department of Finance to discuss progress and ensure continuous alignment of priorities. A </w:t>
      </w:r>
      <w:r w:rsidR="00823877">
        <w:rPr>
          <w:lang w:eastAsia="en-AU"/>
        </w:rPr>
        <w:t>d</w:t>
      </w:r>
      <w:r w:rsidRPr="00CB5E91">
        <w:rPr>
          <w:lang w:eastAsia="en-AU"/>
        </w:rPr>
        <w:t xml:space="preserve">evelopment </w:t>
      </w:r>
      <w:r w:rsidR="00823877">
        <w:rPr>
          <w:lang w:eastAsia="en-AU"/>
        </w:rPr>
        <w:t>s</w:t>
      </w:r>
      <w:r w:rsidRPr="00CB5E91">
        <w:rPr>
          <w:lang w:eastAsia="en-AU"/>
        </w:rPr>
        <w:t xml:space="preserve">takeholder </w:t>
      </w:r>
      <w:r w:rsidR="00823877">
        <w:rPr>
          <w:lang w:eastAsia="en-AU"/>
        </w:rPr>
        <w:t>f</w:t>
      </w:r>
      <w:r w:rsidRPr="00CB5E91">
        <w:rPr>
          <w:lang w:eastAsia="en-AU"/>
        </w:rPr>
        <w:t xml:space="preserve">orum will be held annually in conjunction with the High-Level Consultations to ensure DPP implementation is informed by a broad range of views. </w:t>
      </w:r>
      <w:r w:rsidR="008D47FF">
        <w:rPr>
          <w:lang w:eastAsia="en-AU"/>
        </w:rPr>
        <w:t>These consultations will inform the</w:t>
      </w:r>
      <w:r w:rsidR="008D47FF" w:rsidRPr="00CB5E91">
        <w:rPr>
          <w:lang w:eastAsia="en-AU"/>
        </w:rPr>
        <w:t xml:space="preserve"> </w:t>
      </w:r>
      <w:r w:rsidRPr="00CB5E91">
        <w:rPr>
          <w:lang w:eastAsia="en-AU"/>
        </w:rPr>
        <w:t>mid-</w:t>
      </w:r>
      <w:r w:rsidR="004B3F25">
        <w:rPr>
          <w:lang w:eastAsia="en-AU"/>
        </w:rPr>
        <w:t>cycle</w:t>
      </w:r>
      <w:r w:rsidRPr="00CB5E91">
        <w:rPr>
          <w:lang w:eastAsia="en-AU"/>
        </w:rPr>
        <w:t xml:space="preserve"> review </w:t>
      </w:r>
      <w:r w:rsidR="005B7918">
        <w:rPr>
          <w:lang w:eastAsia="en-AU"/>
        </w:rPr>
        <w:t xml:space="preserve">of the DPP </w:t>
      </w:r>
      <w:r w:rsidRPr="00CB5E91">
        <w:rPr>
          <w:lang w:eastAsia="en-AU"/>
        </w:rPr>
        <w:t>scheduled for 2027.</w:t>
      </w:r>
    </w:p>
    <w:p w14:paraId="10BF0342" w14:textId="2AAE1C12" w:rsidR="00AB41FF" w:rsidRPr="00CB5E91" w:rsidRDefault="00AB41FF" w:rsidP="00A109FE">
      <w:pPr>
        <w:pStyle w:val="H3-Heading3"/>
        <w:rPr>
          <w:rFonts w:ascii="Segoe UI" w:hAnsi="Segoe UI" w:cs="Segoe UI"/>
          <w:sz w:val="18"/>
          <w:szCs w:val="18"/>
          <w:lang w:eastAsia="en-AU"/>
        </w:rPr>
      </w:pPr>
      <w:r w:rsidRPr="00CB5E91">
        <w:rPr>
          <w:lang w:eastAsia="en-AU"/>
        </w:rPr>
        <w:t>Evaluation and learning</w:t>
      </w:r>
    </w:p>
    <w:p w14:paraId="1388617F" w14:textId="387408C0" w:rsidR="00A109FE" w:rsidRDefault="00AB41FF" w:rsidP="00A109FE">
      <w:pPr>
        <w:rPr>
          <w:lang w:eastAsia="en-AU"/>
        </w:rPr>
      </w:pPr>
      <w:r w:rsidRPr="00E21DD9">
        <w:rPr>
          <w:lang w:eastAsia="en-AU"/>
        </w:rPr>
        <w:t xml:space="preserve">We commit to continuous learning and </w:t>
      </w:r>
      <w:r w:rsidR="004B3F25" w:rsidRPr="00E21DD9">
        <w:rPr>
          <w:lang w:eastAsia="en-AU"/>
        </w:rPr>
        <w:t xml:space="preserve">to </w:t>
      </w:r>
      <w:r w:rsidRPr="009914E3">
        <w:rPr>
          <w:lang w:eastAsia="en-AU"/>
        </w:rPr>
        <w:t xml:space="preserve">ensuring our development programming is evidence-based. </w:t>
      </w:r>
      <w:r w:rsidR="00F85CCB">
        <w:rPr>
          <w:lang w:eastAsia="en-AU"/>
        </w:rPr>
        <w:t>Table 2 shows</w:t>
      </w:r>
      <w:r w:rsidRPr="009914E3">
        <w:rPr>
          <w:lang w:eastAsia="en-AU"/>
        </w:rPr>
        <w:t xml:space="preserve"> the reviews and evaluations that will be completed</w:t>
      </w:r>
      <w:r w:rsidRPr="00CB5E91">
        <w:rPr>
          <w:lang w:eastAsia="en-AU"/>
        </w:rPr>
        <w:t xml:space="preserve"> in the first three years of the DPP. These include evaluations of investments in peacebuilding, justice and human rights, maritime security, education and skills, economic growth, policy reform, social protection and gender, and small grants. Outcomes from these reviews will provide additional inputs to the mid-</w:t>
      </w:r>
      <w:r w:rsidR="004B3F25">
        <w:rPr>
          <w:lang w:eastAsia="en-AU"/>
        </w:rPr>
        <w:t>cycle</w:t>
      </w:r>
      <w:r w:rsidRPr="00CB5E91">
        <w:rPr>
          <w:lang w:eastAsia="en-AU"/>
        </w:rPr>
        <w:t xml:space="preserve"> review of the DPP scheduled for 2027</w:t>
      </w:r>
      <w:r w:rsidR="00A109FE">
        <w:rPr>
          <w:lang w:eastAsia="en-AU"/>
        </w:rPr>
        <w:t>.</w:t>
      </w:r>
    </w:p>
    <w:p w14:paraId="2D9D3DAE" w14:textId="12D2B6A9" w:rsidR="00667A5B" w:rsidRDefault="00667A5B">
      <w:pPr>
        <w:spacing w:before="0" w:after="0" w:line="240" w:lineRule="auto"/>
        <w:rPr>
          <w:lang w:eastAsia="en-AU"/>
        </w:rPr>
      </w:pPr>
      <w:r>
        <w:rPr>
          <w:lang w:eastAsia="en-AU"/>
        </w:rPr>
        <w:br w:type="page"/>
      </w:r>
    </w:p>
    <w:p w14:paraId="403504B4" w14:textId="56806E30" w:rsidR="00AB41FF" w:rsidRPr="00CB5E91" w:rsidRDefault="00AB41FF" w:rsidP="00A109FE">
      <w:pPr>
        <w:pStyle w:val="Tabletitle"/>
        <w:rPr>
          <w:rFonts w:ascii="Segoe UI" w:hAnsi="Segoe UI" w:cs="Segoe UI"/>
          <w:sz w:val="18"/>
          <w:szCs w:val="18"/>
        </w:rPr>
      </w:pPr>
      <w:r w:rsidRPr="00CB5E91">
        <w:lastRenderedPageBreak/>
        <w:t xml:space="preserve">Table 2: Consultation, </w:t>
      </w:r>
      <w:r w:rsidR="00B716DF">
        <w:t>e</w:t>
      </w:r>
      <w:r w:rsidRPr="00CB5E91">
        <w:t xml:space="preserve">valuation and </w:t>
      </w:r>
      <w:r w:rsidR="00B716DF">
        <w:t>l</w:t>
      </w:r>
      <w:r w:rsidRPr="00CB5E91">
        <w:t xml:space="preserve">earning </w:t>
      </w:r>
      <w:r w:rsidR="00B716DF">
        <w:t>p</w:t>
      </w:r>
      <w:r w:rsidRPr="00CB5E91">
        <w:t>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sultation, evaluation and learning plan"/>
        <w:tblDescription w:val="The DPP consultation, evaluation and learning plan includes investment-level evaluations, annual stakeholder consultations and a mid-cycle review of the DPP."/>
      </w:tblPr>
      <w:tblGrid>
        <w:gridCol w:w="2548"/>
        <w:gridCol w:w="2548"/>
        <w:gridCol w:w="2549"/>
        <w:gridCol w:w="2549"/>
      </w:tblGrid>
      <w:tr w:rsidR="00AB41FF" w:rsidRPr="00CB5E91" w14:paraId="2A2674F9" w14:textId="77777777" w:rsidTr="00CD783A">
        <w:trPr>
          <w:trHeight w:val="315"/>
          <w:tblHeader/>
        </w:trPr>
        <w:tc>
          <w:tcPr>
            <w:tcW w:w="1250" w:type="pct"/>
            <w:shd w:val="clear" w:color="auto" w:fill="3A586E"/>
            <w:hideMark/>
          </w:tcPr>
          <w:p w14:paraId="4D024D99" w14:textId="6147074A" w:rsidR="00AB41FF" w:rsidRPr="006F19EA" w:rsidRDefault="00D571D7" w:rsidP="006F19EA">
            <w:pPr>
              <w:pStyle w:val="TableHeading"/>
            </w:pPr>
            <w:r w:rsidRPr="006F19EA">
              <w:t>Objective</w:t>
            </w:r>
          </w:p>
        </w:tc>
        <w:tc>
          <w:tcPr>
            <w:tcW w:w="1250" w:type="pct"/>
            <w:shd w:val="clear" w:color="auto" w:fill="3A586E"/>
            <w:hideMark/>
          </w:tcPr>
          <w:p w14:paraId="6C67C91C" w14:textId="1810095F" w:rsidR="00AB41FF" w:rsidRPr="006F19EA" w:rsidRDefault="00AB41FF" w:rsidP="006F19EA">
            <w:pPr>
              <w:pStyle w:val="TableHeading"/>
            </w:pPr>
            <w:r w:rsidRPr="006F19EA">
              <w:t>20</w:t>
            </w:r>
            <w:r w:rsidR="003530AB" w:rsidRPr="006F19EA">
              <w:t>24</w:t>
            </w:r>
            <w:r w:rsidR="000C4668" w:rsidRPr="006F19EA">
              <w:t>–</w:t>
            </w:r>
            <w:r w:rsidRPr="006F19EA">
              <w:t>25 </w:t>
            </w:r>
          </w:p>
        </w:tc>
        <w:tc>
          <w:tcPr>
            <w:tcW w:w="1250" w:type="pct"/>
            <w:shd w:val="clear" w:color="auto" w:fill="3A586E"/>
            <w:hideMark/>
          </w:tcPr>
          <w:p w14:paraId="649B31E7" w14:textId="3A444480" w:rsidR="00AB41FF" w:rsidRPr="006F19EA" w:rsidRDefault="00AB41FF" w:rsidP="006F19EA">
            <w:pPr>
              <w:pStyle w:val="TableHeading"/>
            </w:pPr>
            <w:r w:rsidRPr="006F19EA">
              <w:t>202</w:t>
            </w:r>
            <w:r w:rsidR="000C4668" w:rsidRPr="006F19EA">
              <w:t>5–2</w:t>
            </w:r>
            <w:r w:rsidRPr="006F19EA">
              <w:t>6 </w:t>
            </w:r>
          </w:p>
        </w:tc>
        <w:tc>
          <w:tcPr>
            <w:tcW w:w="1250" w:type="pct"/>
            <w:shd w:val="clear" w:color="auto" w:fill="3A586E"/>
            <w:hideMark/>
          </w:tcPr>
          <w:p w14:paraId="30D65924" w14:textId="6804A4CF" w:rsidR="00AB41FF" w:rsidRPr="006F19EA" w:rsidRDefault="00AB41FF" w:rsidP="006F19EA">
            <w:pPr>
              <w:pStyle w:val="TableHeading"/>
            </w:pPr>
            <w:r w:rsidRPr="006F19EA">
              <w:t>202</w:t>
            </w:r>
            <w:r w:rsidR="000C4668" w:rsidRPr="006F19EA">
              <w:t>6–2</w:t>
            </w:r>
            <w:r w:rsidRPr="006F19EA">
              <w:t>7 </w:t>
            </w:r>
          </w:p>
        </w:tc>
      </w:tr>
      <w:tr w:rsidR="00AB41FF" w:rsidRPr="00CB5E91" w14:paraId="37EE78FC" w14:textId="77777777" w:rsidTr="00CD783A">
        <w:trPr>
          <w:trHeight w:val="540"/>
        </w:trPr>
        <w:tc>
          <w:tcPr>
            <w:tcW w:w="1250" w:type="pct"/>
            <w:shd w:val="clear" w:color="auto" w:fill="D6E8D2"/>
            <w:hideMark/>
          </w:tcPr>
          <w:p w14:paraId="7DEDFC31" w14:textId="7623C683" w:rsidR="00AB41FF" w:rsidRDefault="00AB41FF" w:rsidP="00B716DF">
            <w:pPr>
              <w:pStyle w:val="TableBodyCopy"/>
              <w:rPr>
                <w:b/>
                <w:bCs/>
              </w:rPr>
            </w:pPr>
            <w:r w:rsidRPr="008B700F">
              <w:rPr>
                <w:b/>
                <w:bCs/>
              </w:rPr>
              <w:t>Objective 1</w:t>
            </w:r>
          </w:p>
          <w:p w14:paraId="20624575" w14:textId="3D88237A" w:rsidR="00D1565A" w:rsidRPr="006F19EA" w:rsidRDefault="00D1565A" w:rsidP="006F19EA">
            <w:pPr>
              <w:pStyle w:val="TableBodyCopy"/>
            </w:pPr>
            <w:r w:rsidRPr="006F19EA">
              <w:t>Enhancing the conditions for stability</w:t>
            </w:r>
          </w:p>
        </w:tc>
        <w:tc>
          <w:tcPr>
            <w:tcW w:w="1250" w:type="pct"/>
            <w:shd w:val="clear" w:color="auto" w:fill="D6E8D2"/>
            <w:hideMark/>
          </w:tcPr>
          <w:p w14:paraId="58BB2B3B" w14:textId="558381A1" w:rsidR="00AB41FF" w:rsidRPr="008B700F" w:rsidRDefault="00AB41FF" w:rsidP="00B716DF">
            <w:pPr>
              <w:pStyle w:val="TableBodyCopy"/>
            </w:pPr>
            <w:r w:rsidRPr="008B700F">
              <w:t>Mid</w:t>
            </w:r>
            <w:r w:rsidR="00E03035">
              <w:t>-</w:t>
            </w:r>
            <w:r w:rsidR="00741BC7" w:rsidRPr="008B700F">
              <w:t>t</w:t>
            </w:r>
            <w:r w:rsidRPr="008B700F">
              <w:t xml:space="preserve">erm </w:t>
            </w:r>
            <w:r w:rsidR="00E2349E" w:rsidRPr="008B700F">
              <w:t>r</w:t>
            </w:r>
            <w:r w:rsidRPr="008B700F">
              <w:t xml:space="preserve">eview of </w:t>
            </w:r>
            <w:r w:rsidR="00AB38CA">
              <w:t xml:space="preserve">the </w:t>
            </w:r>
            <w:r w:rsidRPr="008B700F">
              <w:t>Peacebuilding in Conflict-Affected Mindanao</w:t>
            </w:r>
            <w:r w:rsidR="00E2349E" w:rsidRPr="008B700F">
              <w:t xml:space="preserve"> </w:t>
            </w:r>
            <w:r w:rsidR="00741BC7" w:rsidRPr="008B700F">
              <w:t xml:space="preserve">(PCAM) </w:t>
            </w:r>
            <w:r w:rsidR="00D91933">
              <w:t>Phase 2</w:t>
            </w:r>
            <w:r w:rsidR="007559B4">
              <w:t xml:space="preserve"> program</w:t>
            </w:r>
          </w:p>
        </w:tc>
        <w:tc>
          <w:tcPr>
            <w:tcW w:w="1250" w:type="pct"/>
            <w:shd w:val="clear" w:color="auto" w:fill="D6E8D2"/>
            <w:hideMark/>
          </w:tcPr>
          <w:p w14:paraId="3A422BA5" w14:textId="1D2AE002" w:rsidR="00AB41FF" w:rsidRPr="008B700F" w:rsidRDefault="00AB41FF" w:rsidP="00E03035">
            <w:pPr>
              <w:pStyle w:val="TableBodyCopy"/>
            </w:pPr>
            <w:r w:rsidRPr="008B700F">
              <w:t>Mid</w:t>
            </w:r>
            <w:r w:rsidR="00E03035">
              <w:t>-</w:t>
            </w:r>
            <w:r w:rsidR="00741BC7" w:rsidRPr="008B700F">
              <w:t>t</w:t>
            </w:r>
            <w:r w:rsidRPr="008B700F">
              <w:t xml:space="preserve">erm </w:t>
            </w:r>
            <w:r w:rsidR="00E2349E" w:rsidRPr="008B700F">
              <w:t>r</w:t>
            </w:r>
            <w:r w:rsidRPr="008B700F">
              <w:t xml:space="preserve">eview of the Fostering Advancement of Inclusive and Rights-Based </w:t>
            </w:r>
            <w:r w:rsidR="00E92104" w:rsidRPr="007C499F">
              <w:t>(FAIR)</w:t>
            </w:r>
            <w:r w:rsidR="00E92104">
              <w:t xml:space="preserve"> </w:t>
            </w:r>
            <w:r w:rsidRPr="008B700F">
              <w:t>Justice</w:t>
            </w:r>
            <w:r w:rsidR="00741BC7" w:rsidRPr="008B700F">
              <w:t xml:space="preserve"> </w:t>
            </w:r>
            <w:r w:rsidR="00E2349E" w:rsidRPr="008B700F">
              <w:t>program</w:t>
            </w:r>
          </w:p>
        </w:tc>
        <w:tc>
          <w:tcPr>
            <w:tcW w:w="1250" w:type="pct"/>
            <w:shd w:val="clear" w:color="auto" w:fill="D6E8D2"/>
            <w:hideMark/>
          </w:tcPr>
          <w:p w14:paraId="17913016" w14:textId="10E078EF" w:rsidR="00AB41FF" w:rsidRPr="008B700F" w:rsidRDefault="00AB41FF" w:rsidP="00B716DF">
            <w:pPr>
              <w:pStyle w:val="TableBodyCopy"/>
            </w:pPr>
            <w:r w:rsidRPr="008B700F">
              <w:t>Mid</w:t>
            </w:r>
            <w:r w:rsidR="00E03035">
              <w:t>-</w:t>
            </w:r>
            <w:r w:rsidR="00741BC7" w:rsidRPr="008B700F">
              <w:t>t</w:t>
            </w:r>
            <w:r w:rsidRPr="008B700F">
              <w:t xml:space="preserve">erm </w:t>
            </w:r>
            <w:r w:rsidR="00E2349E" w:rsidRPr="008B700F">
              <w:t>r</w:t>
            </w:r>
            <w:r w:rsidRPr="008B700F">
              <w:t xml:space="preserve">eview of the </w:t>
            </w:r>
            <w:r w:rsidR="00CD628F" w:rsidRPr="008B700F">
              <w:t xml:space="preserve">Philippine Civil Maritime </w:t>
            </w:r>
            <w:r w:rsidR="00580E3F" w:rsidRPr="008B700F">
              <w:t>Security successor p</w:t>
            </w:r>
            <w:r w:rsidR="004A50AB" w:rsidRPr="008B700F">
              <w:t>rogram</w:t>
            </w:r>
          </w:p>
        </w:tc>
      </w:tr>
      <w:tr w:rsidR="00AB41FF" w:rsidRPr="00CB5E91" w14:paraId="0B07CA5F" w14:textId="77777777" w:rsidTr="00CD783A">
        <w:trPr>
          <w:trHeight w:val="585"/>
        </w:trPr>
        <w:tc>
          <w:tcPr>
            <w:tcW w:w="1250" w:type="pct"/>
            <w:shd w:val="clear" w:color="auto" w:fill="FBEED2"/>
            <w:hideMark/>
          </w:tcPr>
          <w:p w14:paraId="60E20AA8" w14:textId="77777777" w:rsidR="00AB41FF" w:rsidRDefault="00AB41FF" w:rsidP="00B716DF">
            <w:pPr>
              <w:pStyle w:val="TableBodyCopy"/>
              <w:rPr>
                <w:b/>
                <w:bCs/>
              </w:rPr>
            </w:pPr>
            <w:r w:rsidRPr="008B700F">
              <w:rPr>
                <w:b/>
                <w:bCs/>
              </w:rPr>
              <w:t>Objective 2 </w:t>
            </w:r>
          </w:p>
          <w:p w14:paraId="7FCC3234" w14:textId="6CD74ACC" w:rsidR="00D1565A" w:rsidRPr="006F19EA" w:rsidRDefault="00D1565A" w:rsidP="006F19EA">
            <w:pPr>
              <w:pStyle w:val="TableBodyCopy"/>
            </w:pPr>
            <w:r w:rsidRPr="006F19EA">
              <w:t>Bolstering inclusive and sustainable economic growth</w:t>
            </w:r>
          </w:p>
        </w:tc>
        <w:tc>
          <w:tcPr>
            <w:tcW w:w="1250" w:type="pct"/>
            <w:shd w:val="clear" w:color="auto" w:fill="FBEED2"/>
            <w:hideMark/>
          </w:tcPr>
          <w:p w14:paraId="14E02291" w14:textId="3A0D64EC" w:rsidR="004B50FE" w:rsidRPr="008B700F" w:rsidRDefault="004B50FE" w:rsidP="00B716DF">
            <w:pPr>
              <w:pStyle w:val="TableBodyCopy"/>
            </w:pPr>
            <w:r w:rsidRPr="008B700F">
              <w:t>Mid</w:t>
            </w:r>
            <w:r w:rsidR="001348DD">
              <w:t>-</w:t>
            </w:r>
            <w:r w:rsidRPr="008B700F">
              <w:t>term review of the Investing in Women program</w:t>
            </w:r>
          </w:p>
          <w:p w14:paraId="57AEF2B2" w14:textId="3110E903" w:rsidR="00AB41FF" w:rsidRPr="008B700F" w:rsidRDefault="00AB41FF" w:rsidP="00B716DF">
            <w:pPr>
              <w:pStyle w:val="TableBodyCopy"/>
            </w:pPr>
            <w:r w:rsidRPr="008B700F">
              <w:t xml:space="preserve">Completion </w:t>
            </w:r>
            <w:r w:rsidR="00E2349E" w:rsidRPr="008B700F">
              <w:t>r</w:t>
            </w:r>
            <w:r w:rsidRPr="008B700F">
              <w:t>eview of</w:t>
            </w:r>
            <w:r w:rsidR="00722ECA">
              <w:t xml:space="preserve"> the</w:t>
            </w:r>
            <w:r w:rsidR="00741BC7" w:rsidRPr="008B700F">
              <w:t xml:space="preserve"> </w:t>
            </w:r>
            <w:r w:rsidR="00742C51">
              <w:t>Aus</w:t>
            </w:r>
            <w:r w:rsidR="00173742">
              <w:t>tralia Awards and Alumni Engagement Program</w:t>
            </w:r>
            <w:r w:rsidR="001B75C3">
              <w:t xml:space="preserve"> – </w:t>
            </w:r>
            <w:r w:rsidR="00173742">
              <w:t>Philippines</w:t>
            </w:r>
            <w:r w:rsidR="00A41EE1" w:rsidRPr="008B700F">
              <w:t xml:space="preserve"> </w:t>
            </w:r>
            <w:r w:rsidRPr="008B700F">
              <w:t>(AAAEP</w:t>
            </w:r>
            <w:r w:rsidR="00E2349E" w:rsidRPr="008B700F">
              <w:t>-P</w:t>
            </w:r>
            <w:r w:rsidRPr="008B700F">
              <w:t>)</w:t>
            </w:r>
          </w:p>
        </w:tc>
        <w:tc>
          <w:tcPr>
            <w:tcW w:w="1250" w:type="pct"/>
            <w:shd w:val="clear" w:color="auto" w:fill="FBEED2"/>
            <w:hideMark/>
          </w:tcPr>
          <w:p w14:paraId="6DA16F9A" w14:textId="100EE57F" w:rsidR="00AB2044" w:rsidRPr="008B700F" w:rsidRDefault="00AB2044" w:rsidP="005F14A2">
            <w:pPr>
              <w:pStyle w:val="TableBodyCopy"/>
            </w:pPr>
            <w:r w:rsidRPr="008B700F">
              <w:t>Mid</w:t>
            </w:r>
            <w:r w:rsidR="001348DD">
              <w:t>-</w:t>
            </w:r>
            <w:r w:rsidRPr="008B700F">
              <w:t xml:space="preserve">term review of the Coalitions for Change </w:t>
            </w:r>
            <w:r w:rsidR="006B7357">
              <w:t xml:space="preserve">Phase 3 </w:t>
            </w:r>
            <w:r w:rsidRPr="008B700F">
              <w:t>(CfC</w:t>
            </w:r>
            <w:r w:rsidR="006B7357">
              <w:t>3</w:t>
            </w:r>
            <w:r w:rsidRPr="008B700F">
              <w:t>) program</w:t>
            </w:r>
          </w:p>
        </w:tc>
        <w:tc>
          <w:tcPr>
            <w:tcW w:w="1250" w:type="pct"/>
            <w:shd w:val="clear" w:color="auto" w:fill="FBEED2"/>
            <w:hideMark/>
          </w:tcPr>
          <w:p w14:paraId="38FE336E" w14:textId="70C7E4AA" w:rsidR="00AB41FF" w:rsidRPr="008B700F" w:rsidRDefault="00306755" w:rsidP="00B716DF">
            <w:pPr>
              <w:pStyle w:val="TableBodyCopy"/>
            </w:pPr>
            <w:r>
              <w:t>No formal reviews planned</w:t>
            </w:r>
          </w:p>
        </w:tc>
      </w:tr>
      <w:tr w:rsidR="00AB41FF" w:rsidRPr="00CB5E91" w14:paraId="4E7E7F79" w14:textId="77777777" w:rsidTr="00CD783A">
        <w:trPr>
          <w:trHeight w:val="585"/>
        </w:trPr>
        <w:tc>
          <w:tcPr>
            <w:tcW w:w="1250" w:type="pct"/>
            <w:shd w:val="clear" w:color="auto" w:fill="F0DBD4"/>
            <w:hideMark/>
          </w:tcPr>
          <w:p w14:paraId="5FFB983E" w14:textId="77777777" w:rsidR="00AB41FF" w:rsidRDefault="00AB41FF" w:rsidP="00B716DF">
            <w:pPr>
              <w:pStyle w:val="TableBodyCopy"/>
              <w:rPr>
                <w:b/>
                <w:bCs/>
              </w:rPr>
            </w:pPr>
            <w:r w:rsidRPr="008B700F">
              <w:rPr>
                <w:b/>
                <w:bCs/>
              </w:rPr>
              <w:t>Objective 3 </w:t>
            </w:r>
          </w:p>
          <w:p w14:paraId="67DB9FCE" w14:textId="3F9C4006" w:rsidR="0081675D" w:rsidRPr="006F19EA" w:rsidRDefault="007A6485" w:rsidP="006F19EA">
            <w:pPr>
              <w:pStyle w:val="TableBodyCopy"/>
            </w:pPr>
            <w:r w:rsidRPr="006F19EA">
              <w:t>Increasing</w:t>
            </w:r>
            <w:r w:rsidR="0081675D" w:rsidRPr="006F19EA">
              <w:t xml:space="preserve"> institutional and community resilience to social, economic and climate-related shocks</w:t>
            </w:r>
          </w:p>
        </w:tc>
        <w:tc>
          <w:tcPr>
            <w:tcW w:w="1250" w:type="pct"/>
            <w:shd w:val="clear" w:color="auto" w:fill="F0DBD4"/>
            <w:hideMark/>
          </w:tcPr>
          <w:p w14:paraId="0C8674FB" w14:textId="20166162" w:rsidR="004B50FE" w:rsidRPr="008B700F" w:rsidRDefault="004B50FE" w:rsidP="00B716DF">
            <w:pPr>
              <w:pStyle w:val="TableBodyCopy"/>
            </w:pPr>
            <w:r w:rsidRPr="008B700F">
              <w:t>Mid</w:t>
            </w:r>
            <w:r w:rsidR="00273721">
              <w:t>-</w:t>
            </w:r>
            <w:r w:rsidRPr="008B700F">
              <w:t xml:space="preserve">term review of the </w:t>
            </w:r>
            <w:r w:rsidR="00A47CFD" w:rsidRPr="00CB5E91">
              <w:t xml:space="preserve">Strengthening Institutions and Empowering Localities against Disasters and Climate Change </w:t>
            </w:r>
            <w:r w:rsidR="00A47CFD">
              <w:t>(</w:t>
            </w:r>
            <w:r w:rsidRPr="008B700F">
              <w:t>SHIELD</w:t>
            </w:r>
            <w:r w:rsidR="00A47CFD">
              <w:t>)</w:t>
            </w:r>
            <w:r w:rsidRPr="008B700F">
              <w:t xml:space="preserve"> </w:t>
            </w:r>
            <w:r w:rsidR="00A41EE1">
              <w:t>p</w:t>
            </w:r>
            <w:r w:rsidR="00A41EE1" w:rsidRPr="008B700F">
              <w:t>rogram</w:t>
            </w:r>
          </w:p>
          <w:p w14:paraId="7350B431" w14:textId="728F131F" w:rsidR="00AB2044" w:rsidRPr="008B700F" w:rsidRDefault="00AB41FF" w:rsidP="00B716DF">
            <w:pPr>
              <w:pStyle w:val="TableBodyCopy"/>
            </w:pPr>
            <w:r w:rsidRPr="008B700F">
              <w:t xml:space="preserve">Completion </w:t>
            </w:r>
            <w:r w:rsidR="00E2349E" w:rsidRPr="008B700F">
              <w:t>r</w:t>
            </w:r>
            <w:r w:rsidRPr="008B700F">
              <w:t>eview of</w:t>
            </w:r>
            <w:r w:rsidR="00741BC7" w:rsidRPr="008B700F">
              <w:t xml:space="preserve"> </w:t>
            </w:r>
            <w:r w:rsidR="001D6B28">
              <w:t xml:space="preserve">the </w:t>
            </w:r>
            <w:r w:rsidRPr="008B700F">
              <w:t xml:space="preserve">Response and Recovery Assistance </w:t>
            </w:r>
            <w:r w:rsidR="00741BC7" w:rsidRPr="008B700F">
              <w:t>to</w:t>
            </w:r>
            <w:r w:rsidRPr="008B700F">
              <w:t xml:space="preserve"> the Philippines</w:t>
            </w:r>
            <w:r w:rsidR="00741BC7" w:rsidRPr="008B700F">
              <w:t xml:space="preserve"> program</w:t>
            </w:r>
          </w:p>
          <w:p w14:paraId="47FC3250" w14:textId="48EF1B0D" w:rsidR="00C30F73" w:rsidRPr="008B700F" w:rsidRDefault="00AB2044" w:rsidP="00B716DF">
            <w:pPr>
              <w:pStyle w:val="TableBodyCopy"/>
            </w:pPr>
            <w:r w:rsidRPr="008B700F">
              <w:t xml:space="preserve">Completion review of </w:t>
            </w:r>
            <w:r w:rsidR="001C5E2C">
              <w:t xml:space="preserve">the </w:t>
            </w:r>
            <w:r w:rsidR="001C5E2C" w:rsidRPr="001C5E2C">
              <w:t>Enhancing Child Protection System to Keep Filipino Children Safe Online</w:t>
            </w:r>
            <w:r w:rsidR="001C5E2C">
              <w:t xml:space="preserve"> (</w:t>
            </w:r>
            <w:proofErr w:type="spellStart"/>
            <w:r w:rsidRPr="008B700F">
              <w:t>SaferKidsPH</w:t>
            </w:r>
            <w:proofErr w:type="spellEnd"/>
            <w:r w:rsidR="001C5E2C">
              <w:t>)</w:t>
            </w:r>
            <w:r w:rsidRPr="008B700F">
              <w:t xml:space="preserve"> program</w:t>
            </w:r>
          </w:p>
          <w:p w14:paraId="6F8E8244" w14:textId="200536E9" w:rsidR="00C30F73" w:rsidRPr="008B700F" w:rsidRDefault="00932760" w:rsidP="00B716DF">
            <w:pPr>
              <w:pStyle w:val="TableBodyCopy"/>
            </w:pPr>
            <w:r w:rsidRPr="008B700F">
              <w:t>Completion review of Red Cross Multiyear Prepositioning Agreement</w:t>
            </w:r>
          </w:p>
        </w:tc>
        <w:tc>
          <w:tcPr>
            <w:tcW w:w="1250" w:type="pct"/>
            <w:shd w:val="clear" w:color="auto" w:fill="F0DBD4"/>
            <w:hideMark/>
          </w:tcPr>
          <w:p w14:paraId="026D1F91" w14:textId="6851002B" w:rsidR="00AB41FF" w:rsidRPr="008B700F" w:rsidRDefault="00932760" w:rsidP="00B716DF">
            <w:pPr>
              <w:pStyle w:val="TableBodyCopy"/>
            </w:pPr>
            <w:r w:rsidRPr="008B700F">
              <w:t xml:space="preserve">Completion review of the Prepositioning Sexual and Reproductive Health Supplies and Services in Emergencies </w:t>
            </w:r>
            <w:r w:rsidR="002955A6">
              <w:t>program</w:t>
            </w:r>
          </w:p>
        </w:tc>
        <w:tc>
          <w:tcPr>
            <w:tcW w:w="1250" w:type="pct"/>
            <w:shd w:val="clear" w:color="auto" w:fill="F0DBD4"/>
            <w:hideMark/>
          </w:tcPr>
          <w:p w14:paraId="2D6D2057" w14:textId="0680513C" w:rsidR="00AB41FF" w:rsidRPr="008B700F" w:rsidRDefault="00210584" w:rsidP="00B716DF">
            <w:pPr>
              <w:pStyle w:val="TableBodyCopy"/>
            </w:pPr>
            <w:r w:rsidRPr="008B700F">
              <w:t>Mid</w:t>
            </w:r>
            <w:r w:rsidR="000128B8">
              <w:t>-</w:t>
            </w:r>
            <w:r w:rsidRPr="008B700F">
              <w:t>term review of the Social Protection, Inclusion and Gender Equality (SPRING) program</w:t>
            </w:r>
          </w:p>
        </w:tc>
      </w:tr>
      <w:tr w:rsidR="00AB41FF" w:rsidRPr="00CB5E91" w14:paraId="115AFD59" w14:textId="77777777" w:rsidTr="00CD783A">
        <w:trPr>
          <w:trHeight w:val="1496"/>
        </w:trPr>
        <w:tc>
          <w:tcPr>
            <w:tcW w:w="1250" w:type="pct"/>
            <w:shd w:val="clear" w:color="auto" w:fill="D2DEE7"/>
            <w:hideMark/>
          </w:tcPr>
          <w:p w14:paraId="65ED24F0" w14:textId="572C6C4E" w:rsidR="00AB41FF" w:rsidRPr="008B700F" w:rsidRDefault="00AB41FF" w:rsidP="00B716DF">
            <w:pPr>
              <w:pStyle w:val="TableBodyCopy"/>
              <w:rPr>
                <w:b/>
                <w:bCs/>
              </w:rPr>
            </w:pPr>
            <w:r w:rsidRPr="008B700F">
              <w:rPr>
                <w:b/>
                <w:bCs/>
              </w:rPr>
              <w:t>Cross-</w:t>
            </w:r>
            <w:r w:rsidR="0081675D">
              <w:rPr>
                <w:b/>
                <w:bCs/>
              </w:rPr>
              <w:t>p</w:t>
            </w:r>
            <w:r w:rsidRPr="008B700F">
              <w:rPr>
                <w:b/>
                <w:bCs/>
              </w:rPr>
              <w:t>rogram</w:t>
            </w:r>
          </w:p>
        </w:tc>
        <w:tc>
          <w:tcPr>
            <w:tcW w:w="1250" w:type="pct"/>
            <w:shd w:val="clear" w:color="auto" w:fill="D2DEE7"/>
            <w:hideMark/>
          </w:tcPr>
          <w:p w14:paraId="55AEFF2D" w14:textId="03B91596" w:rsidR="00AB41FF" w:rsidRPr="008B700F" w:rsidRDefault="00AB41FF" w:rsidP="00B716DF">
            <w:pPr>
              <w:pStyle w:val="TableBodyCopy"/>
            </w:pPr>
            <w:r w:rsidRPr="008B700F">
              <w:t xml:space="preserve">Development </w:t>
            </w:r>
            <w:r w:rsidR="00741BC7" w:rsidRPr="008B700F">
              <w:t>s</w:t>
            </w:r>
            <w:r w:rsidRPr="008B700F">
              <w:t xml:space="preserve">takeholder </w:t>
            </w:r>
            <w:r w:rsidR="00741BC7" w:rsidRPr="008B700F">
              <w:t>f</w:t>
            </w:r>
            <w:r w:rsidRPr="008B700F">
              <w:t>orum on the side</w:t>
            </w:r>
            <w:r w:rsidR="0052509C" w:rsidRPr="008B700F">
              <w:t>lines of</w:t>
            </w:r>
            <w:r w:rsidRPr="008B700F">
              <w:t xml:space="preserve"> High-Level Consultations on </w:t>
            </w:r>
            <w:r w:rsidR="00823877">
              <w:t>d</w:t>
            </w:r>
            <w:r w:rsidRPr="008B700F">
              <w:t xml:space="preserve">evelopment </w:t>
            </w:r>
            <w:r w:rsidR="00823877">
              <w:t>c</w:t>
            </w:r>
            <w:r w:rsidRPr="008B700F">
              <w:t>ooperation (Philippine</w:t>
            </w:r>
            <w:r w:rsidR="00741BC7" w:rsidRPr="008B700F">
              <w:t>s</w:t>
            </w:r>
            <w:r w:rsidRPr="008B700F">
              <w:t>–Australia Plan of Action)</w:t>
            </w:r>
          </w:p>
        </w:tc>
        <w:tc>
          <w:tcPr>
            <w:tcW w:w="1250" w:type="pct"/>
            <w:shd w:val="clear" w:color="auto" w:fill="D2DEE7"/>
            <w:hideMark/>
          </w:tcPr>
          <w:p w14:paraId="47E8B631" w14:textId="738457AD" w:rsidR="00AB41FF" w:rsidRPr="008B700F" w:rsidRDefault="00AB41FF" w:rsidP="00B716DF">
            <w:pPr>
              <w:pStyle w:val="TableBodyCopy"/>
            </w:pPr>
            <w:r w:rsidRPr="008B700F">
              <w:t xml:space="preserve">DPP </w:t>
            </w:r>
            <w:r w:rsidR="00741BC7" w:rsidRPr="008B700F">
              <w:t>p</w:t>
            </w:r>
            <w:r w:rsidRPr="008B700F">
              <w:t xml:space="preserve">rogress </w:t>
            </w:r>
            <w:r w:rsidR="00741BC7" w:rsidRPr="008B700F">
              <w:t>c</w:t>
            </w:r>
            <w:r w:rsidRPr="008B700F">
              <w:t>heck-</w:t>
            </w:r>
            <w:r w:rsidR="00741BC7" w:rsidRPr="008B700F">
              <w:t>i</w:t>
            </w:r>
            <w:r w:rsidRPr="008B700F">
              <w:t>n with</w:t>
            </w:r>
            <w:r w:rsidR="00741BC7" w:rsidRPr="008B700F">
              <w:t xml:space="preserve"> the Philippine </w:t>
            </w:r>
            <w:r w:rsidR="004B0920" w:rsidRPr="008B700F">
              <w:t>G</w:t>
            </w:r>
            <w:r w:rsidR="00741BC7" w:rsidRPr="008B700F">
              <w:t>overnment through the Philippine National Economic and Development Authority</w:t>
            </w:r>
            <w:r w:rsidRPr="008B700F">
              <w:t xml:space="preserve"> </w:t>
            </w:r>
            <w:r w:rsidR="00741BC7" w:rsidRPr="008B700F">
              <w:t>(</w:t>
            </w:r>
            <w:r w:rsidRPr="008B700F">
              <w:t>NEDA</w:t>
            </w:r>
            <w:r w:rsidR="00741BC7" w:rsidRPr="008B700F">
              <w:t>)</w:t>
            </w:r>
            <w:r w:rsidR="00090F9F">
              <w:t xml:space="preserve"> and Department of Finance</w:t>
            </w:r>
          </w:p>
        </w:tc>
        <w:tc>
          <w:tcPr>
            <w:tcW w:w="1250" w:type="pct"/>
            <w:shd w:val="clear" w:color="auto" w:fill="D2DEE7"/>
            <w:hideMark/>
          </w:tcPr>
          <w:p w14:paraId="50D4DE24" w14:textId="04E65A48" w:rsidR="00AB41FF" w:rsidRPr="008B700F" w:rsidRDefault="00AB41FF" w:rsidP="00B716DF">
            <w:pPr>
              <w:pStyle w:val="TableBodyCopy"/>
            </w:pPr>
            <w:r w:rsidRPr="008B700F">
              <w:t>Mid</w:t>
            </w:r>
            <w:r w:rsidR="00D36DFE">
              <w:t>-cycle</w:t>
            </w:r>
            <w:r w:rsidRPr="008B700F">
              <w:t xml:space="preserve"> </w:t>
            </w:r>
            <w:r w:rsidR="00741BC7" w:rsidRPr="008B700F">
              <w:t>r</w:t>
            </w:r>
            <w:r w:rsidRPr="008B700F">
              <w:t>eview </w:t>
            </w:r>
            <w:r w:rsidR="005D110A">
              <w:t>of the DPP</w:t>
            </w:r>
          </w:p>
        </w:tc>
      </w:tr>
    </w:tbl>
    <w:p w14:paraId="73A47F22" w14:textId="77777777" w:rsidR="001A5931" w:rsidRDefault="001A5931" w:rsidP="00E13BE7">
      <w:pPr>
        <w:spacing w:after="0" w:line="240" w:lineRule="auto"/>
        <w:textAlignment w:val="baseline"/>
        <w:rPr>
          <w:rFonts w:ascii="Segoe UI" w:eastAsia="Times New Roman" w:hAnsi="Segoe UI" w:cs="Segoe UI"/>
          <w:color w:val="313E48" w:themeColor="text2"/>
          <w:sz w:val="18"/>
          <w:szCs w:val="18"/>
          <w:lang w:eastAsia="en-AU"/>
        </w:rPr>
      </w:pPr>
      <w:bookmarkStart w:id="7" w:name="_Hlk130205496"/>
    </w:p>
    <w:p w14:paraId="1A616CD3" w14:textId="45D2CDC9" w:rsidR="006C10F3" w:rsidRPr="00E13BE7" w:rsidRDefault="006C10F3" w:rsidP="00E13BE7">
      <w:pPr>
        <w:spacing w:after="0" w:line="240" w:lineRule="auto"/>
        <w:textAlignment w:val="baseline"/>
        <w:rPr>
          <w:rFonts w:ascii="Segoe UI" w:eastAsia="Times New Roman" w:hAnsi="Segoe UI" w:cs="Segoe UI"/>
          <w:color w:val="313E48" w:themeColor="text2"/>
          <w:sz w:val="18"/>
          <w:szCs w:val="18"/>
          <w:lang w:eastAsia="en-AU"/>
        </w:rPr>
        <w:sectPr w:rsidR="006C10F3" w:rsidRPr="00E13BE7" w:rsidSect="00D81964">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code="9"/>
          <w:pgMar w:top="1418" w:right="851" w:bottom="1276" w:left="851" w:header="340" w:footer="414" w:gutter="0"/>
          <w:pgNumType w:start="0"/>
          <w:cols w:space="708"/>
          <w:noEndnote/>
          <w:titlePg/>
          <w:docGrid w:linePitch="360"/>
        </w:sectPr>
      </w:pPr>
    </w:p>
    <w:bookmarkEnd w:id="7"/>
    <w:p w14:paraId="78C7DC2C" w14:textId="77777777" w:rsidR="005D110A" w:rsidRPr="00CF05FA" w:rsidRDefault="005D110A" w:rsidP="008B700F">
      <w:pPr>
        <w:pStyle w:val="H3-Heading3"/>
      </w:pPr>
      <w:r w:rsidRPr="4314E796">
        <w:lastRenderedPageBreak/>
        <w:t xml:space="preserve">Performance and </w:t>
      </w:r>
      <w:r>
        <w:t>r</w:t>
      </w:r>
      <w:r w:rsidRPr="4314E796">
        <w:t>esults</w:t>
      </w:r>
    </w:p>
    <w:p w14:paraId="765DCBDC" w14:textId="1D0ED039" w:rsidR="005A0461" w:rsidRDefault="005D110A" w:rsidP="008B700F">
      <w:r w:rsidRPr="4314E796">
        <w:t xml:space="preserve">The Performance Assessment Framework (PAF) </w:t>
      </w:r>
      <w:r w:rsidR="005A0461">
        <w:t xml:space="preserve">at </w:t>
      </w:r>
      <w:r w:rsidRPr="4314E796">
        <w:t xml:space="preserve">Table 3 provides a selection of indicators and expected results for the first </w:t>
      </w:r>
      <w:r w:rsidR="005A0461">
        <w:t>3 </w:t>
      </w:r>
      <w:r w:rsidRPr="4314E796">
        <w:t>years of the DPP. The PAF will be updated periodically including at the mid</w:t>
      </w:r>
      <w:r>
        <w:t>-</w:t>
      </w:r>
      <w:r w:rsidRPr="4314E796">
        <w:t>cycle review point</w:t>
      </w:r>
      <w:r w:rsidR="00FE3C1A">
        <w:t>,</w:t>
      </w:r>
      <w:r w:rsidRPr="4314E796">
        <w:t xml:space="preserve"> at which time indicators and results for the second half of the DPP will be identified.</w:t>
      </w:r>
    </w:p>
    <w:p w14:paraId="1060F34C" w14:textId="5C56D693" w:rsidR="002F4955" w:rsidRDefault="002F4955" w:rsidP="008B700F">
      <w:pPr>
        <w:pStyle w:val="Tabletitle"/>
      </w:pPr>
      <w:r w:rsidRPr="00CB5E91">
        <w:t xml:space="preserve">Table </w:t>
      </w:r>
      <w:r w:rsidR="001A5931">
        <w:t>3</w:t>
      </w:r>
      <w:r w:rsidRPr="00CB5E91">
        <w:t>: Performance Assessment Framework</w:t>
      </w:r>
    </w:p>
    <w:p w14:paraId="469CF43F" w14:textId="6B147687" w:rsidR="00662C68" w:rsidRPr="00E072C1" w:rsidRDefault="00662C68" w:rsidP="008B700F">
      <w:pPr>
        <w:rPr>
          <w:lang w:eastAsia="en-AU"/>
        </w:rPr>
      </w:pPr>
      <w:r w:rsidRPr="008B700F">
        <w:rPr>
          <w:b/>
          <w:bCs/>
          <w:lang w:eastAsia="en-AU"/>
        </w:rPr>
        <w:t xml:space="preserve">Objective 1: Enhancing the </w:t>
      </w:r>
      <w:r w:rsidR="00F27868">
        <w:rPr>
          <w:b/>
          <w:bCs/>
          <w:lang w:eastAsia="en-AU"/>
        </w:rPr>
        <w:t>c</w:t>
      </w:r>
      <w:r w:rsidRPr="008B700F">
        <w:rPr>
          <w:b/>
          <w:bCs/>
          <w:lang w:eastAsia="en-AU"/>
        </w:rPr>
        <w:t xml:space="preserve">onditions for </w:t>
      </w:r>
      <w:r w:rsidR="00F27868">
        <w:rPr>
          <w:b/>
          <w:bCs/>
          <w:lang w:eastAsia="en-AU"/>
        </w:rPr>
        <w:t>s</w:t>
      </w:r>
      <w:r w:rsidRPr="008B700F">
        <w:rPr>
          <w:b/>
          <w:bCs/>
          <w:lang w:eastAsia="en-AU"/>
        </w:rPr>
        <w:t>tability</w:t>
      </w:r>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Assessment Framework for Objective 1"/>
        <w:tblDescription w:val="Expected results for Objective 1 for the first 3 years of the DPP and against the Sustainable Development Goals"/>
      </w:tblPr>
      <w:tblGrid>
        <w:gridCol w:w="2403"/>
        <w:gridCol w:w="2403"/>
        <w:gridCol w:w="2403"/>
        <w:gridCol w:w="2403"/>
        <w:gridCol w:w="2403"/>
        <w:gridCol w:w="2403"/>
      </w:tblGrid>
      <w:tr w:rsidR="008B700F" w:rsidRPr="00A16F58" w14:paraId="2FCD9786" w14:textId="77777777" w:rsidTr="009F632F">
        <w:trPr>
          <w:cnfStyle w:val="100000000000" w:firstRow="1" w:lastRow="0" w:firstColumn="0" w:lastColumn="0" w:oddVBand="0" w:evenVBand="0" w:oddHBand="0" w:evenHBand="0" w:firstRowFirstColumn="0" w:firstRowLastColumn="0" w:lastRowFirstColumn="0" w:lastRowLastColumn="0"/>
          <w:trHeight w:val="787"/>
          <w:tblHeader/>
        </w:trPr>
        <w:tc>
          <w:tcPr>
            <w:cnfStyle w:val="001000000000" w:firstRow="0" w:lastRow="0" w:firstColumn="1" w:lastColumn="0" w:oddVBand="0" w:evenVBand="0" w:oddHBand="0" w:evenHBand="0" w:firstRowFirstColumn="0" w:firstRowLastColumn="0" w:lastRowFirstColumn="0" w:lastRowLastColumn="0"/>
            <w:tcW w:w="833" w:type="pct"/>
            <w:shd w:val="clear" w:color="auto" w:fill="3A586E" w:themeFill="accent1"/>
          </w:tcPr>
          <w:p w14:paraId="352CE7CA" w14:textId="50549475" w:rsidR="00E2349E" w:rsidRPr="001953EF" w:rsidRDefault="007A3211" w:rsidP="001953EF">
            <w:pPr>
              <w:pStyle w:val="TableHeading"/>
              <w:rPr>
                <w:b/>
                <w:bCs/>
              </w:rPr>
            </w:pPr>
            <w:r w:rsidRPr="001953EF">
              <w:rPr>
                <w:b/>
                <w:bCs/>
              </w:rPr>
              <w:t>Outcome</w:t>
            </w:r>
          </w:p>
        </w:tc>
        <w:tc>
          <w:tcPr>
            <w:tcW w:w="833" w:type="pct"/>
            <w:shd w:val="clear" w:color="auto" w:fill="3A586E" w:themeFill="accent1"/>
            <w:hideMark/>
          </w:tcPr>
          <w:p w14:paraId="16C4FDDD" w14:textId="77777777" w:rsidR="00E2349E" w:rsidRPr="001953EF" w:rsidRDefault="00E2349E" w:rsidP="001953EF">
            <w:pPr>
              <w:pStyle w:val="TableHeading"/>
              <w:cnfStyle w:val="100000000000" w:firstRow="1" w:lastRow="0" w:firstColumn="0" w:lastColumn="0" w:oddVBand="0" w:evenVBand="0" w:oddHBand="0" w:evenHBand="0" w:firstRowFirstColumn="0" w:firstRowLastColumn="0" w:lastRowFirstColumn="0" w:lastRowLastColumn="0"/>
              <w:rPr>
                <w:b/>
                <w:bCs/>
              </w:rPr>
            </w:pPr>
            <w:r w:rsidRPr="001953EF">
              <w:rPr>
                <w:b/>
                <w:bCs/>
              </w:rPr>
              <w:t>Indicator</w:t>
            </w:r>
          </w:p>
        </w:tc>
        <w:tc>
          <w:tcPr>
            <w:tcW w:w="833" w:type="pct"/>
            <w:shd w:val="clear" w:color="auto" w:fill="3A586E" w:themeFill="accent1"/>
            <w:hideMark/>
          </w:tcPr>
          <w:p w14:paraId="593A68AB" w14:textId="2C0B3FA7" w:rsidR="00E2349E" w:rsidRPr="001953EF" w:rsidRDefault="00E2349E" w:rsidP="001953EF">
            <w:pPr>
              <w:pStyle w:val="TableHeading"/>
              <w:cnfStyle w:val="100000000000" w:firstRow="1" w:lastRow="0" w:firstColumn="0" w:lastColumn="0" w:oddVBand="0" w:evenVBand="0" w:oddHBand="0" w:evenHBand="0" w:firstRowFirstColumn="0" w:firstRowLastColumn="0" w:lastRowFirstColumn="0" w:lastRowLastColumn="0"/>
              <w:rPr>
                <w:b/>
                <w:bCs/>
              </w:rPr>
            </w:pPr>
            <w:r w:rsidRPr="001953EF">
              <w:rPr>
                <w:b/>
                <w:bCs/>
              </w:rPr>
              <w:t xml:space="preserve">Expected </w:t>
            </w:r>
            <w:r w:rsidR="007719D8" w:rsidRPr="001953EF">
              <w:rPr>
                <w:b/>
                <w:bCs/>
              </w:rPr>
              <w:t>r</w:t>
            </w:r>
            <w:r w:rsidRPr="001953EF">
              <w:rPr>
                <w:b/>
                <w:bCs/>
              </w:rPr>
              <w:t>esults</w:t>
            </w:r>
            <w:r w:rsidR="00A16F58" w:rsidRPr="001953EF">
              <w:rPr>
                <w:b/>
                <w:bCs/>
              </w:rPr>
              <w:br/>
            </w:r>
            <w:r w:rsidRPr="001953EF">
              <w:rPr>
                <w:b/>
                <w:bCs/>
              </w:rPr>
              <w:t>2024</w:t>
            </w:r>
            <w:r w:rsidR="0010568B" w:rsidRPr="001953EF">
              <w:rPr>
                <w:b/>
                <w:bCs/>
              </w:rPr>
              <w:t>–</w:t>
            </w:r>
            <w:r w:rsidRPr="001953EF">
              <w:rPr>
                <w:b/>
                <w:bCs/>
              </w:rPr>
              <w:t>25</w:t>
            </w:r>
          </w:p>
        </w:tc>
        <w:tc>
          <w:tcPr>
            <w:tcW w:w="833" w:type="pct"/>
            <w:shd w:val="clear" w:color="auto" w:fill="3A586E" w:themeFill="accent1"/>
            <w:hideMark/>
          </w:tcPr>
          <w:p w14:paraId="7443C659" w14:textId="15057971" w:rsidR="00E2349E" w:rsidRPr="001953EF" w:rsidRDefault="00E2349E" w:rsidP="001953EF">
            <w:pPr>
              <w:pStyle w:val="TableHeading"/>
              <w:cnfStyle w:val="100000000000" w:firstRow="1" w:lastRow="0" w:firstColumn="0" w:lastColumn="0" w:oddVBand="0" w:evenVBand="0" w:oddHBand="0" w:evenHBand="0" w:firstRowFirstColumn="0" w:firstRowLastColumn="0" w:lastRowFirstColumn="0" w:lastRowLastColumn="0"/>
              <w:rPr>
                <w:b/>
                <w:bCs/>
              </w:rPr>
            </w:pPr>
            <w:r w:rsidRPr="001953EF">
              <w:rPr>
                <w:b/>
                <w:bCs/>
              </w:rPr>
              <w:t xml:space="preserve">Expected </w:t>
            </w:r>
            <w:r w:rsidR="007719D8" w:rsidRPr="001953EF">
              <w:rPr>
                <w:b/>
                <w:bCs/>
              </w:rPr>
              <w:t>r</w:t>
            </w:r>
            <w:r w:rsidRPr="001953EF">
              <w:rPr>
                <w:b/>
                <w:bCs/>
              </w:rPr>
              <w:t>esults</w:t>
            </w:r>
            <w:r w:rsidR="00A16F58" w:rsidRPr="001953EF">
              <w:rPr>
                <w:b/>
                <w:bCs/>
              </w:rPr>
              <w:br/>
            </w:r>
            <w:r w:rsidRPr="001953EF">
              <w:rPr>
                <w:b/>
                <w:bCs/>
              </w:rPr>
              <w:t>2025</w:t>
            </w:r>
            <w:r w:rsidR="0010568B" w:rsidRPr="001953EF">
              <w:rPr>
                <w:b/>
                <w:bCs/>
              </w:rPr>
              <w:t>–</w:t>
            </w:r>
            <w:r w:rsidRPr="001953EF">
              <w:rPr>
                <w:b/>
                <w:bCs/>
              </w:rPr>
              <w:t>26</w:t>
            </w:r>
          </w:p>
        </w:tc>
        <w:tc>
          <w:tcPr>
            <w:tcW w:w="833" w:type="pct"/>
            <w:shd w:val="clear" w:color="auto" w:fill="3A586E" w:themeFill="accent1"/>
            <w:hideMark/>
          </w:tcPr>
          <w:p w14:paraId="649C7E66" w14:textId="26FA8286" w:rsidR="00E2349E" w:rsidRPr="001953EF" w:rsidRDefault="00E2349E" w:rsidP="001953EF">
            <w:pPr>
              <w:pStyle w:val="TableHeading"/>
              <w:cnfStyle w:val="100000000000" w:firstRow="1" w:lastRow="0" w:firstColumn="0" w:lastColumn="0" w:oddVBand="0" w:evenVBand="0" w:oddHBand="0" w:evenHBand="0" w:firstRowFirstColumn="0" w:firstRowLastColumn="0" w:lastRowFirstColumn="0" w:lastRowLastColumn="0"/>
              <w:rPr>
                <w:b/>
                <w:bCs/>
              </w:rPr>
            </w:pPr>
            <w:r w:rsidRPr="001953EF">
              <w:rPr>
                <w:b/>
                <w:bCs/>
              </w:rPr>
              <w:t xml:space="preserve">Expected </w:t>
            </w:r>
            <w:r w:rsidR="007719D8" w:rsidRPr="001953EF">
              <w:rPr>
                <w:b/>
                <w:bCs/>
              </w:rPr>
              <w:t>r</w:t>
            </w:r>
            <w:r w:rsidRPr="001953EF">
              <w:rPr>
                <w:b/>
                <w:bCs/>
              </w:rPr>
              <w:t>esults</w:t>
            </w:r>
            <w:r w:rsidR="00A16F58" w:rsidRPr="001953EF">
              <w:rPr>
                <w:b/>
                <w:bCs/>
              </w:rPr>
              <w:br/>
            </w:r>
            <w:r w:rsidRPr="001953EF">
              <w:rPr>
                <w:b/>
                <w:bCs/>
              </w:rPr>
              <w:t>2026</w:t>
            </w:r>
            <w:r w:rsidR="0010568B" w:rsidRPr="001953EF">
              <w:rPr>
                <w:b/>
                <w:bCs/>
              </w:rPr>
              <w:t>–</w:t>
            </w:r>
            <w:r w:rsidRPr="001953EF">
              <w:rPr>
                <w:b/>
                <w:bCs/>
              </w:rPr>
              <w:t>27</w:t>
            </w:r>
            <w:r w:rsidR="00463749" w:rsidRPr="001953EF">
              <w:rPr>
                <w:b/>
                <w:bCs/>
              </w:rPr>
              <w:t xml:space="preserve"> </w:t>
            </w:r>
          </w:p>
        </w:tc>
        <w:tc>
          <w:tcPr>
            <w:tcW w:w="833" w:type="pct"/>
            <w:shd w:val="clear" w:color="auto" w:fill="3A586E" w:themeFill="accent1"/>
            <w:hideMark/>
          </w:tcPr>
          <w:p w14:paraId="62AA06A3" w14:textId="736E0347" w:rsidR="00E2349E" w:rsidRPr="001953EF" w:rsidRDefault="00E2349E" w:rsidP="001953EF">
            <w:pPr>
              <w:pStyle w:val="TableHeading"/>
              <w:cnfStyle w:val="100000000000" w:firstRow="1" w:lastRow="0" w:firstColumn="0" w:lastColumn="0" w:oddVBand="0" w:evenVBand="0" w:oddHBand="0" w:evenHBand="0" w:firstRowFirstColumn="0" w:firstRowLastColumn="0" w:lastRowFirstColumn="0" w:lastRowLastColumn="0"/>
              <w:rPr>
                <w:b/>
                <w:bCs/>
              </w:rPr>
            </w:pPr>
            <w:r w:rsidRPr="001953EF">
              <w:rPr>
                <w:b/>
                <w:bCs/>
              </w:rPr>
              <w:t>S</w:t>
            </w:r>
            <w:r w:rsidR="00463749" w:rsidRPr="001953EF">
              <w:rPr>
                <w:b/>
                <w:bCs/>
              </w:rPr>
              <w:t xml:space="preserve">ustainable </w:t>
            </w:r>
            <w:r w:rsidRPr="001953EF">
              <w:rPr>
                <w:b/>
                <w:bCs/>
              </w:rPr>
              <w:t>D</w:t>
            </w:r>
            <w:r w:rsidR="00463749" w:rsidRPr="001953EF">
              <w:rPr>
                <w:b/>
                <w:bCs/>
              </w:rPr>
              <w:t>evelopment</w:t>
            </w:r>
            <w:r w:rsidRPr="001953EF">
              <w:rPr>
                <w:b/>
                <w:bCs/>
              </w:rPr>
              <w:t xml:space="preserve"> Goal</w:t>
            </w:r>
            <w:r w:rsidR="00463749" w:rsidRPr="001953EF">
              <w:rPr>
                <w:b/>
                <w:bCs/>
              </w:rPr>
              <w:t xml:space="preserve">s </w:t>
            </w:r>
            <w:r w:rsidRPr="001953EF">
              <w:rPr>
                <w:b/>
                <w:bCs/>
              </w:rPr>
              <w:t>(</w:t>
            </w:r>
            <w:r w:rsidR="00463749" w:rsidRPr="001953EF">
              <w:rPr>
                <w:b/>
                <w:bCs/>
              </w:rPr>
              <w:t>SDG</w:t>
            </w:r>
            <w:r w:rsidRPr="001953EF">
              <w:rPr>
                <w:b/>
                <w:bCs/>
              </w:rPr>
              <w:t>s)</w:t>
            </w:r>
          </w:p>
        </w:tc>
      </w:tr>
      <w:tr w:rsidR="008B700F" w:rsidRPr="00CB5E91" w14:paraId="29EE9D38" w14:textId="77777777" w:rsidTr="009F632F">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833" w:type="pct"/>
            <w:shd w:val="clear" w:color="auto" w:fill="D6E8D2" w:themeFill="accent4" w:themeFillTint="33"/>
            <w:hideMark/>
          </w:tcPr>
          <w:p w14:paraId="7BA3C9B9" w14:textId="5E80A843" w:rsidR="00933CE3" w:rsidRDefault="00E2349E">
            <w:pPr>
              <w:pStyle w:val="TableBodyCopy"/>
              <w:rPr>
                <w:b w:val="0"/>
                <w:bCs w:val="0"/>
              </w:rPr>
            </w:pPr>
            <w:r w:rsidRPr="00CB5E91">
              <w:t>Outcome 1.1</w:t>
            </w:r>
          </w:p>
          <w:p w14:paraId="584D9238" w14:textId="08C3FAB8" w:rsidR="00E2349E" w:rsidRPr="00CB5E91" w:rsidRDefault="00E2349E">
            <w:pPr>
              <w:pStyle w:val="TableBodyCopy"/>
            </w:pPr>
            <w:r w:rsidRPr="001C2F3A">
              <w:rPr>
                <w:b w:val="0"/>
                <w:bCs w:val="0"/>
              </w:rPr>
              <w:t>Targeted institutions are strengthened to support internal and external stability, peace and security</w:t>
            </w:r>
          </w:p>
        </w:tc>
        <w:tc>
          <w:tcPr>
            <w:tcW w:w="833" w:type="pct"/>
            <w:shd w:val="clear" w:color="auto" w:fill="D6E8D2" w:themeFill="accent4" w:themeFillTint="33"/>
            <w:hideMark/>
          </w:tcPr>
          <w:p w14:paraId="32EF5EBD" w14:textId="6176194B" w:rsidR="00E2349E"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 xml:space="preserve">1.1.1 </w:t>
            </w:r>
            <w:r w:rsidR="00637F38">
              <w:t>I</w:t>
            </w:r>
            <w:r w:rsidRPr="00CB5E91">
              <w:t>mprove</w:t>
            </w:r>
            <w:r w:rsidR="00440B07">
              <w:t>d</w:t>
            </w:r>
            <w:r w:rsidRPr="00CB5E91">
              <w:t xml:space="preserve"> policies and institutional responses to community conflict and violent extremist offenders</w:t>
            </w:r>
          </w:p>
        </w:tc>
        <w:tc>
          <w:tcPr>
            <w:tcW w:w="833" w:type="pct"/>
            <w:shd w:val="clear" w:color="auto" w:fill="D6E8D2" w:themeFill="accent4" w:themeFillTint="33"/>
            <w:hideMark/>
          </w:tcPr>
          <w:p w14:paraId="24123DD2" w14:textId="6E7DC41A" w:rsidR="00E2349E" w:rsidRPr="00CB5E91" w:rsidRDefault="00FE159C" w:rsidP="00BC50C4">
            <w:pPr>
              <w:pStyle w:val="TableBodyCopy"/>
              <w:cnfStyle w:val="000000100000" w:firstRow="0" w:lastRow="0" w:firstColumn="0" w:lastColumn="0" w:oddVBand="0" w:evenVBand="0" w:oddHBand="1" w:evenHBand="0" w:firstRowFirstColumn="0" w:firstRowLastColumn="0" w:lastRowFirstColumn="0" w:lastRowLastColumn="0"/>
            </w:pPr>
            <w:r>
              <w:t>1</w:t>
            </w:r>
            <w:r w:rsidR="004E6163">
              <w:t> </w:t>
            </w:r>
            <w:r w:rsidR="00777E13" w:rsidRPr="004838A7">
              <w:t xml:space="preserve">reform </w:t>
            </w:r>
            <w:r w:rsidR="00E93EC6">
              <w:t>relating to</w:t>
            </w:r>
            <w:r w:rsidR="00582E61">
              <w:t xml:space="preserve"> improving </w:t>
            </w:r>
            <w:r w:rsidR="00777E13" w:rsidRPr="004838A7">
              <w:t xml:space="preserve">management of countering violent extremism </w:t>
            </w:r>
            <w:r w:rsidR="00E93EC6">
              <w:t>and</w:t>
            </w:r>
            <w:r w:rsidR="003A0A71">
              <w:t xml:space="preserve"> </w:t>
            </w:r>
            <w:r w:rsidR="00777E13" w:rsidRPr="004838A7">
              <w:t>counter</w:t>
            </w:r>
            <w:r w:rsidR="006372CE">
              <w:t>terrorism</w:t>
            </w:r>
            <w:r w:rsidR="00777E13" w:rsidRPr="004838A7">
              <w:t xml:space="preserve"> cases with the Supreme Court, particularly on adjudication</w:t>
            </w:r>
          </w:p>
        </w:tc>
        <w:tc>
          <w:tcPr>
            <w:tcW w:w="833" w:type="pct"/>
            <w:shd w:val="clear" w:color="auto" w:fill="D6E8D2" w:themeFill="accent4" w:themeFillTint="33"/>
            <w:hideMark/>
          </w:tcPr>
          <w:p w14:paraId="58B5A98D" w14:textId="35A600CF" w:rsidR="00E2349E" w:rsidRPr="00CB5E91" w:rsidRDefault="00FE159C" w:rsidP="00777E13">
            <w:pPr>
              <w:pStyle w:val="TableBodyCopy"/>
              <w:cnfStyle w:val="000000100000" w:firstRow="0" w:lastRow="0" w:firstColumn="0" w:lastColumn="0" w:oddVBand="0" w:evenVBand="0" w:oddHBand="1" w:evenHBand="0" w:firstRowFirstColumn="0" w:firstRowLastColumn="0" w:lastRowFirstColumn="0" w:lastRowLastColumn="0"/>
            </w:pPr>
            <w:r>
              <w:t>1</w:t>
            </w:r>
            <w:r w:rsidR="004E6163">
              <w:t> </w:t>
            </w:r>
            <w:r w:rsidR="00295175" w:rsidRPr="004838A7">
              <w:t xml:space="preserve">reform </w:t>
            </w:r>
            <w:r w:rsidR="00E93EC6">
              <w:t>relating to</w:t>
            </w:r>
            <w:r w:rsidR="00295175" w:rsidRPr="004838A7">
              <w:t xml:space="preserve"> </w:t>
            </w:r>
            <w:r w:rsidR="00A82BAF">
              <w:t xml:space="preserve">improving </w:t>
            </w:r>
            <w:r w:rsidR="00295175" w:rsidRPr="004838A7">
              <w:t xml:space="preserve">management of countering violent extremism </w:t>
            </w:r>
            <w:r w:rsidR="00E93EC6">
              <w:t>and</w:t>
            </w:r>
            <w:r w:rsidR="005A455A">
              <w:t xml:space="preserve"> </w:t>
            </w:r>
            <w:r w:rsidR="00295175" w:rsidRPr="004838A7">
              <w:t>counter</w:t>
            </w:r>
            <w:r w:rsidR="006372CE">
              <w:t>terrorism</w:t>
            </w:r>
            <w:r w:rsidR="00295175" w:rsidRPr="004838A7">
              <w:t xml:space="preserve"> cases with other justice agencies, particularly on prosecution</w:t>
            </w:r>
          </w:p>
        </w:tc>
        <w:tc>
          <w:tcPr>
            <w:tcW w:w="833" w:type="pct"/>
            <w:shd w:val="clear" w:color="auto" w:fill="D6E8D2" w:themeFill="accent4" w:themeFillTint="33"/>
            <w:hideMark/>
          </w:tcPr>
          <w:p w14:paraId="4C366036" w14:textId="1D89DD5C" w:rsidR="00E2349E" w:rsidRPr="008B700F" w:rsidRDefault="00CE34B1">
            <w:pPr>
              <w:pStyle w:val="TableBodyCopy"/>
              <w:cnfStyle w:val="000000100000" w:firstRow="0" w:lastRow="0" w:firstColumn="0" w:lastColumn="0" w:oddVBand="0" w:evenVBand="0" w:oddHBand="1" w:evenHBand="0" w:firstRowFirstColumn="0" w:firstRowLastColumn="0" w:lastRowFirstColumn="0" w:lastRowLastColumn="0"/>
            </w:pPr>
            <w:r>
              <w:t xml:space="preserve">Investments contributing to this </w:t>
            </w:r>
            <w:r w:rsidR="00EE374F">
              <w:t>indicator will be concluded in 2026</w:t>
            </w:r>
          </w:p>
        </w:tc>
        <w:tc>
          <w:tcPr>
            <w:tcW w:w="833" w:type="pct"/>
            <w:shd w:val="clear" w:color="auto" w:fill="D6E8D2" w:themeFill="accent4" w:themeFillTint="33"/>
          </w:tcPr>
          <w:p w14:paraId="5D15D739" w14:textId="4CFDE718" w:rsidR="00E2349E" w:rsidRPr="00CB5E91" w:rsidRDefault="00066F11">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16</w:t>
            </w:r>
            <w:r>
              <w:t xml:space="preserve">: </w:t>
            </w:r>
            <w:r w:rsidR="008D2202">
              <w:t>Peace, justice and strong institutions</w:t>
            </w:r>
          </w:p>
        </w:tc>
      </w:tr>
      <w:tr w:rsidR="008B700F" w:rsidRPr="00CB5E91" w14:paraId="31A8910C" w14:textId="77777777" w:rsidTr="009F632F">
        <w:trPr>
          <w:trHeight w:val="472"/>
        </w:trPr>
        <w:tc>
          <w:tcPr>
            <w:cnfStyle w:val="001000000000" w:firstRow="0" w:lastRow="0" w:firstColumn="1" w:lastColumn="0" w:oddVBand="0" w:evenVBand="0" w:oddHBand="0" w:evenHBand="0" w:firstRowFirstColumn="0" w:firstRowLastColumn="0" w:lastRowFirstColumn="0" w:lastRowLastColumn="0"/>
            <w:tcW w:w="833" w:type="pct"/>
            <w:shd w:val="clear" w:color="auto" w:fill="D6E8D2" w:themeFill="accent4" w:themeFillTint="33"/>
          </w:tcPr>
          <w:p w14:paraId="0406936A" w14:textId="6D1D62EA" w:rsidR="00E2349E" w:rsidRPr="001C2F3A" w:rsidRDefault="00753D8A" w:rsidP="001C2F3A">
            <w:pPr>
              <w:pStyle w:val="TableBodyCopy"/>
            </w:pPr>
            <w:r w:rsidRPr="001C2F3A">
              <w:t>Outcome 1.1</w:t>
            </w:r>
          </w:p>
        </w:tc>
        <w:tc>
          <w:tcPr>
            <w:tcW w:w="833" w:type="pct"/>
            <w:shd w:val="clear" w:color="auto" w:fill="D6E8D2" w:themeFill="accent4" w:themeFillTint="33"/>
          </w:tcPr>
          <w:p w14:paraId="0B52084D" w14:textId="439757F0"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1.1.</w:t>
            </w:r>
            <w:r w:rsidR="003111FF" w:rsidRPr="00CB5E91">
              <w:t>2</w:t>
            </w:r>
            <w:r w:rsidRPr="00CB5E91">
              <w:t xml:space="preserve"> </w:t>
            </w:r>
            <w:r w:rsidR="00637F38">
              <w:t>P</w:t>
            </w:r>
            <w:r w:rsidRPr="00CB5E91">
              <w:t>olicies, processes and programs of supported institutions and organisations in the Philippine Bangsamoro Autonomous Region in Muslim Mindanao (BARMM) are more inclusive</w:t>
            </w:r>
          </w:p>
        </w:tc>
        <w:tc>
          <w:tcPr>
            <w:tcW w:w="833" w:type="pct"/>
            <w:shd w:val="clear" w:color="auto" w:fill="D6E8D2" w:themeFill="accent4" w:themeFillTint="33"/>
          </w:tcPr>
          <w:p w14:paraId="498DE397" w14:textId="67B5F440" w:rsidR="00637F38" w:rsidRDefault="00FE159C">
            <w:pPr>
              <w:pStyle w:val="TableBodyCopy"/>
              <w:cnfStyle w:val="000000000000" w:firstRow="0" w:lastRow="0" w:firstColumn="0" w:lastColumn="0" w:oddVBand="0" w:evenVBand="0" w:oddHBand="0" w:evenHBand="0" w:firstRowFirstColumn="0" w:firstRowLastColumn="0" w:lastRowFirstColumn="0" w:lastRowLastColumn="0"/>
            </w:pPr>
            <w:r>
              <w:t>1</w:t>
            </w:r>
            <w:r w:rsidR="00C33FB5">
              <w:t> </w:t>
            </w:r>
            <w:r w:rsidR="00E2349E" w:rsidRPr="00CB5E91">
              <w:t xml:space="preserve">BARMM regional law </w:t>
            </w:r>
            <w:r w:rsidR="00637F38">
              <w:t xml:space="preserve">passed focused on </w:t>
            </w:r>
            <w:r w:rsidR="00000027">
              <w:t>1 </w:t>
            </w:r>
            <w:r w:rsidR="00637F38">
              <w:t xml:space="preserve">of the following areas: </w:t>
            </w:r>
            <w:r w:rsidR="009A7E9D">
              <w:t>I</w:t>
            </w:r>
            <w:r w:rsidR="00637F38">
              <w:t xml:space="preserve">ndigenous peoples, gender and development, and </w:t>
            </w:r>
            <w:r w:rsidR="00535D22">
              <w:t xml:space="preserve">people </w:t>
            </w:r>
            <w:r w:rsidR="00637F38">
              <w:t xml:space="preserve">with </w:t>
            </w:r>
            <w:r w:rsidR="00433A75">
              <w:t>disability</w:t>
            </w:r>
          </w:p>
          <w:p w14:paraId="65152DB0" w14:textId="111695A6" w:rsidR="00637F38" w:rsidRPr="00CB5E91" w:rsidRDefault="00637F38">
            <w:pPr>
              <w:pStyle w:val="TableBodyCopy"/>
              <w:cnfStyle w:val="000000000000" w:firstRow="0" w:lastRow="0" w:firstColumn="0" w:lastColumn="0" w:oddVBand="0" w:evenVBand="0" w:oddHBand="0" w:evenHBand="0" w:firstRowFirstColumn="0" w:firstRowLastColumn="0" w:lastRowFirstColumn="0" w:lastRowLastColumn="0"/>
            </w:pPr>
            <w:r>
              <w:t>10</w:t>
            </w:r>
            <w:r w:rsidR="00244C81">
              <w:t> </w:t>
            </w:r>
            <w:r>
              <w:t>local government unit policies passed on peace and development or youth empowerment</w:t>
            </w:r>
          </w:p>
        </w:tc>
        <w:tc>
          <w:tcPr>
            <w:tcW w:w="833" w:type="pct"/>
            <w:shd w:val="clear" w:color="auto" w:fill="D6E8D2" w:themeFill="accent4" w:themeFillTint="33"/>
          </w:tcPr>
          <w:p w14:paraId="35C7FF6B" w14:textId="7BDE1D92" w:rsidR="00637F38" w:rsidRDefault="00FE159C">
            <w:pPr>
              <w:pStyle w:val="TableBodyCopy"/>
              <w:cnfStyle w:val="000000000000" w:firstRow="0" w:lastRow="0" w:firstColumn="0" w:lastColumn="0" w:oddVBand="0" w:evenVBand="0" w:oddHBand="0" w:evenHBand="0" w:firstRowFirstColumn="0" w:firstRowLastColumn="0" w:lastRowFirstColumn="0" w:lastRowLastColumn="0"/>
            </w:pPr>
            <w:r>
              <w:t>1</w:t>
            </w:r>
            <w:r w:rsidR="00934CBC">
              <w:t> </w:t>
            </w:r>
            <w:r w:rsidR="00E2349E" w:rsidRPr="00CB5E91">
              <w:t>BARMM regional law passed</w:t>
            </w:r>
            <w:r w:rsidR="00637F38">
              <w:t xml:space="preserve"> focused on </w:t>
            </w:r>
            <w:r w:rsidR="00000027">
              <w:t>1</w:t>
            </w:r>
            <w:r w:rsidR="001E3DED">
              <w:t> </w:t>
            </w:r>
            <w:r w:rsidR="00F76A1D">
              <w:t xml:space="preserve">of </w:t>
            </w:r>
            <w:r w:rsidR="00637F38">
              <w:t xml:space="preserve">the remaining areas </w:t>
            </w:r>
            <w:r w:rsidR="00433A75">
              <w:t xml:space="preserve">from </w:t>
            </w:r>
            <w:r w:rsidR="00637F38">
              <w:t>the previous year</w:t>
            </w:r>
          </w:p>
          <w:p w14:paraId="7886B038" w14:textId="665D0CCE" w:rsidR="00637F38" w:rsidRPr="00CB5E91" w:rsidRDefault="00637F38">
            <w:pPr>
              <w:pStyle w:val="TableBodyCopy"/>
              <w:cnfStyle w:val="000000000000" w:firstRow="0" w:lastRow="0" w:firstColumn="0" w:lastColumn="0" w:oddVBand="0" w:evenVBand="0" w:oddHBand="0" w:evenHBand="0" w:firstRowFirstColumn="0" w:firstRowLastColumn="0" w:lastRowFirstColumn="0" w:lastRowLastColumn="0"/>
            </w:pPr>
            <w:r>
              <w:t>10</w:t>
            </w:r>
            <w:r w:rsidR="00244C81">
              <w:t> </w:t>
            </w:r>
            <w:r>
              <w:t>local government unit policies passed on peace and development or social cohesion and resilience</w:t>
            </w:r>
          </w:p>
        </w:tc>
        <w:tc>
          <w:tcPr>
            <w:tcW w:w="833" w:type="pct"/>
            <w:shd w:val="clear" w:color="auto" w:fill="D6E8D2" w:themeFill="accent4" w:themeFillTint="33"/>
          </w:tcPr>
          <w:p w14:paraId="62235B23" w14:textId="1D39BEEB" w:rsidR="00E2349E" w:rsidRPr="00CB5E91" w:rsidRDefault="00875536">
            <w:pPr>
              <w:pStyle w:val="TableBodyCopy"/>
              <w:cnfStyle w:val="000000000000" w:firstRow="0" w:lastRow="0" w:firstColumn="0" w:lastColumn="0" w:oddVBand="0" w:evenVBand="0" w:oddHBand="0" w:evenHBand="0" w:firstRowFirstColumn="0" w:firstRowLastColumn="0" w:lastRowFirstColumn="0" w:lastRowLastColumn="0"/>
            </w:pPr>
            <w:r w:rsidRPr="00CB5E91">
              <w:t>No target available</w:t>
            </w:r>
            <w:r w:rsidR="00591BC0">
              <w:t>,</w:t>
            </w:r>
            <w:r w:rsidRPr="00CB5E91">
              <w:t xml:space="preserve"> as this will be contingent on future programming</w:t>
            </w:r>
          </w:p>
        </w:tc>
        <w:tc>
          <w:tcPr>
            <w:tcW w:w="833" w:type="pct"/>
            <w:shd w:val="clear" w:color="auto" w:fill="D6E8D2" w:themeFill="accent4" w:themeFillTint="33"/>
          </w:tcPr>
          <w:p w14:paraId="016C453B" w14:textId="69A97DB7" w:rsidR="00E2349E" w:rsidRPr="00CB5E91" w:rsidRDefault="002B0742" w:rsidP="00CA1184">
            <w:pPr>
              <w:pStyle w:val="TableBodyCopy"/>
              <w:cnfStyle w:val="000000000000" w:firstRow="0" w:lastRow="0" w:firstColumn="0" w:lastColumn="0" w:oddVBand="0" w:evenVBand="0" w:oddHBand="0" w:evenHBand="0" w:firstRowFirstColumn="0" w:firstRowLastColumn="0" w:lastRowFirstColumn="0" w:lastRowLastColumn="0"/>
            </w:pPr>
            <w:r>
              <w:t>SDG</w:t>
            </w:r>
            <w:r w:rsidR="00E2349E" w:rsidRPr="00CB5E91">
              <w:t>5</w:t>
            </w:r>
            <w:r>
              <w:t>:</w:t>
            </w:r>
            <w:r w:rsidR="00807516">
              <w:t xml:space="preserve"> Gender equality</w:t>
            </w:r>
            <w:r w:rsidR="00CA1184">
              <w:t xml:space="preserve">, </w:t>
            </w:r>
            <w:r>
              <w:t>SDG</w:t>
            </w:r>
            <w:r w:rsidR="00E2349E" w:rsidRPr="00CB5E91">
              <w:t>16</w:t>
            </w:r>
          </w:p>
        </w:tc>
      </w:tr>
      <w:tr w:rsidR="008B700F" w:rsidRPr="00CB5E91" w14:paraId="3C1C2D8A" w14:textId="77777777" w:rsidTr="009F632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833" w:type="pct"/>
            <w:shd w:val="clear" w:color="auto" w:fill="D6E8D2" w:themeFill="accent4" w:themeFillTint="33"/>
          </w:tcPr>
          <w:p w14:paraId="5B45FBAB" w14:textId="27B8A1E3" w:rsidR="00E2349E" w:rsidRPr="001C2F3A" w:rsidRDefault="00753D8A" w:rsidP="001C2F3A">
            <w:pPr>
              <w:pStyle w:val="TableBodyCopy"/>
            </w:pPr>
            <w:r w:rsidRPr="001C2F3A">
              <w:t>Outcome 1.1</w:t>
            </w:r>
          </w:p>
        </w:tc>
        <w:tc>
          <w:tcPr>
            <w:tcW w:w="833" w:type="pct"/>
            <w:shd w:val="clear" w:color="auto" w:fill="D6E8D2" w:themeFill="accent4" w:themeFillTint="33"/>
          </w:tcPr>
          <w:p w14:paraId="26D4C5F6" w14:textId="5137E365" w:rsidR="00E2349E"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1.1.</w:t>
            </w:r>
            <w:r w:rsidR="00C77387">
              <w:t>3</w:t>
            </w:r>
            <w:r w:rsidRPr="00CB5E91">
              <w:t xml:space="preserve"> </w:t>
            </w:r>
            <w:r w:rsidR="00637F38">
              <w:t>S</w:t>
            </w:r>
            <w:r w:rsidRPr="00CB5E91">
              <w:t xml:space="preserve">trengthened maritime security and resource management </w:t>
            </w:r>
            <w:r w:rsidR="007D1DE0">
              <w:t>(Tier</w:t>
            </w:r>
            <w:r w:rsidR="00FE159C">
              <w:t> </w:t>
            </w:r>
            <w:r w:rsidR="007D1DE0">
              <w:t>2)</w:t>
            </w:r>
          </w:p>
        </w:tc>
        <w:tc>
          <w:tcPr>
            <w:tcW w:w="833" w:type="pct"/>
            <w:shd w:val="clear" w:color="auto" w:fill="D6E8D2" w:themeFill="accent4" w:themeFillTint="33"/>
          </w:tcPr>
          <w:p w14:paraId="6F03DE95" w14:textId="42C98F52" w:rsidR="001F1750" w:rsidRDefault="00FE159C">
            <w:pPr>
              <w:pStyle w:val="TableBodyCopy"/>
              <w:cnfStyle w:val="000000100000" w:firstRow="0" w:lastRow="0" w:firstColumn="0" w:lastColumn="0" w:oddVBand="0" w:evenVBand="0" w:oddHBand="1" w:evenHBand="0" w:firstRowFirstColumn="0" w:firstRowLastColumn="0" w:lastRowFirstColumn="0" w:lastRowLastColumn="0"/>
            </w:pPr>
            <w:r>
              <w:t>1</w:t>
            </w:r>
            <w:r w:rsidR="000C7485">
              <w:t> </w:t>
            </w:r>
            <w:r w:rsidR="00E2349E" w:rsidRPr="00CB5E91">
              <w:t>maritime reform and/or policy improvement</w:t>
            </w:r>
            <w:r w:rsidR="00637F38">
              <w:t xml:space="preserve"> on maritime governance</w:t>
            </w:r>
          </w:p>
          <w:p w14:paraId="4BBB24FD" w14:textId="416491FF" w:rsidR="001F1750" w:rsidRPr="00CB5E91" w:rsidRDefault="001F1750">
            <w:pPr>
              <w:pStyle w:val="TableBodyCopy"/>
              <w:cnfStyle w:val="000000100000" w:firstRow="0" w:lastRow="0" w:firstColumn="0" w:lastColumn="0" w:oddVBand="0" w:evenVBand="0" w:oddHBand="1" w:evenHBand="0" w:firstRowFirstColumn="0" w:firstRowLastColumn="0" w:lastRowFirstColumn="0" w:lastRowLastColumn="0"/>
            </w:pPr>
            <w:r>
              <w:t>100</w:t>
            </w:r>
            <w:r w:rsidR="001E3DED">
              <w:t> </w:t>
            </w:r>
            <w:r>
              <w:t xml:space="preserve">stakeholders trained </w:t>
            </w:r>
            <w:r w:rsidR="000853C7">
              <w:t>i</w:t>
            </w:r>
            <w:r>
              <w:t>n maritime security</w:t>
            </w:r>
          </w:p>
        </w:tc>
        <w:tc>
          <w:tcPr>
            <w:tcW w:w="833" w:type="pct"/>
            <w:shd w:val="clear" w:color="auto" w:fill="D6E8D2" w:themeFill="accent4" w:themeFillTint="33"/>
          </w:tcPr>
          <w:p w14:paraId="5B160EBF" w14:textId="2909A016" w:rsidR="001F1750" w:rsidRDefault="00FE159C">
            <w:pPr>
              <w:pStyle w:val="TableBodyCopy"/>
              <w:cnfStyle w:val="000000100000" w:firstRow="0" w:lastRow="0" w:firstColumn="0" w:lastColumn="0" w:oddVBand="0" w:evenVBand="0" w:oddHBand="1" w:evenHBand="0" w:firstRowFirstColumn="0" w:firstRowLastColumn="0" w:lastRowFirstColumn="0" w:lastRowLastColumn="0"/>
            </w:pPr>
            <w:r>
              <w:t>1</w:t>
            </w:r>
            <w:r w:rsidR="001E3DED">
              <w:t> </w:t>
            </w:r>
            <w:r w:rsidR="00E2349E" w:rsidRPr="00CB5E91">
              <w:t>maritime reform and/or policy improvement</w:t>
            </w:r>
            <w:r w:rsidR="00637F38">
              <w:t xml:space="preserve"> </w:t>
            </w:r>
            <w:r w:rsidR="00180847">
              <w:t>on maritime governance</w:t>
            </w:r>
          </w:p>
          <w:p w14:paraId="6586E7B5" w14:textId="6D666352" w:rsidR="001F1750" w:rsidRPr="00CB5E91" w:rsidRDefault="001F1750">
            <w:pPr>
              <w:pStyle w:val="TableBodyCopy"/>
              <w:cnfStyle w:val="000000100000" w:firstRow="0" w:lastRow="0" w:firstColumn="0" w:lastColumn="0" w:oddVBand="0" w:evenVBand="0" w:oddHBand="1" w:evenHBand="0" w:firstRowFirstColumn="0" w:firstRowLastColumn="0" w:lastRowFirstColumn="0" w:lastRowLastColumn="0"/>
            </w:pPr>
            <w:r>
              <w:t>100</w:t>
            </w:r>
            <w:r w:rsidR="001E3DED">
              <w:t> </w:t>
            </w:r>
            <w:r>
              <w:t xml:space="preserve">stakeholders trained </w:t>
            </w:r>
            <w:r w:rsidR="000853C7">
              <w:t>i</w:t>
            </w:r>
            <w:r>
              <w:t>n maritime security</w:t>
            </w:r>
          </w:p>
        </w:tc>
        <w:tc>
          <w:tcPr>
            <w:tcW w:w="833" w:type="pct"/>
            <w:shd w:val="clear" w:color="auto" w:fill="D6E8D2" w:themeFill="accent4" w:themeFillTint="33"/>
          </w:tcPr>
          <w:p w14:paraId="5E1B40EF" w14:textId="0B429352" w:rsidR="00E2349E" w:rsidRDefault="00FE159C">
            <w:pPr>
              <w:pStyle w:val="TableBodyCopy"/>
              <w:cnfStyle w:val="000000100000" w:firstRow="0" w:lastRow="0" w:firstColumn="0" w:lastColumn="0" w:oddVBand="0" w:evenVBand="0" w:oddHBand="1" w:evenHBand="0" w:firstRowFirstColumn="0" w:firstRowLastColumn="0" w:lastRowFirstColumn="0" w:lastRowLastColumn="0"/>
            </w:pPr>
            <w:r>
              <w:t>1</w:t>
            </w:r>
            <w:r w:rsidR="001E3DED">
              <w:t> </w:t>
            </w:r>
            <w:r w:rsidR="00180847">
              <w:t xml:space="preserve">maritime reform and/or policy improvement </w:t>
            </w:r>
            <w:r w:rsidR="001F1750">
              <w:t>on maritime governance</w:t>
            </w:r>
          </w:p>
          <w:p w14:paraId="0373F6E1" w14:textId="53BA8265" w:rsidR="001F1750" w:rsidRPr="00CB5E91" w:rsidRDefault="001F1750">
            <w:pPr>
              <w:pStyle w:val="TableBodyCopy"/>
              <w:cnfStyle w:val="000000100000" w:firstRow="0" w:lastRow="0" w:firstColumn="0" w:lastColumn="0" w:oddVBand="0" w:evenVBand="0" w:oddHBand="1" w:evenHBand="0" w:firstRowFirstColumn="0" w:firstRowLastColumn="0" w:lastRowFirstColumn="0" w:lastRowLastColumn="0"/>
            </w:pPr>
            <w:r>
              <w:t>100</w:t>
            </w:r>
            <w:r w:rsidR="001E3DED">
              <w:t> </w:t>
            </w:r>
            <w:r>
              <w:t xml:space="preserve">stakeholders trained </w:t>
            </w:r>
            <w:r w:rsidR="000853C7">
              <w:t>i</w:t>
            </w:r>
            <w:r>
              <w:t>n maritime security</w:t>
            </w:r>
          </w:p>
        </w:tc>
        <w:tc>
          <w:tcPr>
            <w:tcW w:w="833" w:type="pct"/>
            <w:shd w:val="clear" w:color="auto" w:fill="D6E8D2" w:themeFill="accent4" w:themeFillTint="33"/>
          </w:tcPr>
          <w:p w14:paraId="12D2CD57" w14:textId="319748CE" w:rsidR="00E2349E" w:rsidRPr="00CB5E91" w:rsidRDefault="006F5F2A" w:rsidP="0056196A">
            <w:pPr>
              <w:pStyle w:val="TableBodyCopy"/>
              <w:cnfStyle w:val="000000100000" w:firstRow="0" w:lastRow="0" w:firstColumn="0" w:lastColumn="0" w:oddVBand="0" w:evenVBand="0" w:oddHBand="1" w:evenHBand="0" w:firstRowFirstColumn="0" w:firstRowLastColumn="0" w:lastRowFirstColumn="0" w:lastRowLastColumn="0"/>
              <w:rPr>
                <w:highlight w:val="yellow"/>
              </w:rPr>
            </w:pPr>
            <w:r>
              <w:t xml:space="preserve">SDG5, </w:t>
            </w:r>
            <w:r w:rsidR="002B0742">
              <w:t>SDG</w:t>
            </w:r>
            <w:r w:rsidR="00E2349E" w:rsidRPr="00CB5E91">
              <w:t>14</w:t>
            </w:r>
            <w:r w:rsidR="002B0742">
              <w:t>:</w:t>
            </w:r>
            <w:r>
              <w:t xml:space="preserve"> </w:t>
            </w:r>
            <w:r w:rsidR="0056196A">
              <w:t>Life below water</w:t>
            </w:r>
          </w:p>
        </w:tc>
      </w:tr>
      <w:tr w:rsidR="008B700F" w:rsidRPr="00CB5E91" w14:paraId="35E71354" w14:textId="77777777" w:rsidTr="009F632F">
        <w:trPr>
          <w:trHeight w:val="472"/>
        </w:trPr>
        <w:tc>
          <w:tcPr>
            <w:cnfStyle w:val="001000000000" w:firstRow="0" w:lastRow="0" w:firstColumn="1" w:lastColumn="0" w:oddVBand="0" w:evenVBand="0" w:oddHBand="0" w:evenHBand="0" w:firstRowFirstColumn="0" w:firstRowLastColumn="0" w:lastRowFirstColumn="0" w:lastRowLastColumn="0"/>
            <w:tcW w:w="833" w:type="pct"/>
            <w:shd w:val="clear" w:color="auto" w:fill="D6E8D2" w:themeFill="accent4" w:themeFillTint="33"/>
          </w:tcPr>
          <w:p w14:paraId="200BE40C" w14:textId="33067BAA" w:rsidR="00E2349E" w:rsidRPr="001C2F3A" w:rsidRDefault="00753D8A" w:rsidP="001C2F3A">
            <w:pPr>
              <w:pStyle w:val="TableBodyCopy"/>
            </w:pPr>
            <w:r w:rsidRPr="001C2F3A">
              <w:lastRenderedPageBreak/>
              <w:t>Outcome 1.1</w:t>
            </w:r>
          </w:p>
        </w:tc>
        <w:tc>
          <w:tcPr>
            <w:tcW w:w="833" w:type="pct"/>
            <w:shd w:val="clear" w:color="auto" w:fill="D6E8D2" w:themeFill="accent4" w:themeFillTint="33"/>
          </w:tcPr>
          <w:p w14:paraId="03385CD5" w14:textId="4F6A9CF8"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1.1.</w:t>
            </w:r>
            <w:r w:rsidR="00F24CAC">
              <w:t>4</w:t>
            </w:r>
            <w:r w:rsidRPr="00CB5E91">
              <w:t xml:space="preserve"> </w:t>
            </w:r>
            <w:r w:rsidR="001F1750">
              <w:t>Filipinos view Australia as a key partner in civil maritime security and protection issues</w:t>
            </w:r>
          </w:p>
        </w:tc>
        <w:tc>
          <w:tcPr>
            <w:tcW w:w="833" w:type="pct"/>
            <w:shd w:val="clear" w:color="auto" w:fill="D6E8D2" w:themeFill="accent4" w:themeFillTint="33"/>
          </w:tcPr>
          <w:p w14:paraId="244DFAE6" w14:textId="750E7EF9" w:rsidR="00E2349E" w:rsidRPr="00CB5E91" w:rsidRDefault="001F1750">
            <w:pPr>
              <w:pStyle w:val="TableBodyCopy"/>
              <w:cnfStyle w:val="000000000000" w:firstRow="0" w:lastRow="0" w:firstColumn="0" w:lastColumn="0" w:oddVBand="0" w:evenVBand="0" w:oddHBand="0" w:evenHBand="0" w:firstRowFirstColumn="0" w:firstRowLastColumn="0" w:lastRowFirstColumn="0" w:lastRowLastColumn="0"/>
            </w:pPr>
            <w:r>
              <w:t xml:space="preserve">Australia remains in the top three countries the Philippine </w:t>
            </w:r>
            <w:r w:rsidR="00C4065E">
              <w:t>G</w:t>
            </w:r>
            <w:r>
              <w:t xml:space="preserve">overnment should work with in </w:t>
            </w:r>
            <w:r w:rsidR="00396CC2">
              <w:t xml:space="preserve">the results of a </w:t>
            </w:r>
            <w:r>
              <w:t>nationwide poll on public opinion of Filipinos on maritime issues</w:t>
            </w:r>
          </w:p>
        </w:tc>
        <w:tc>
          <w:tcPr>
            <w:tcW w:w="833" w:type="pct"/>
            <w:shd w:val="clear" w:color="auto" w:fill="D6E8D2" w:themeFill="accent4" w:themeFillTint="33"/>
          </w:tcPr>
          <w:p w14:paraId="5E9F00C7" w14:textId="6770EC6A" w:rsidR="00E2349E" w:rsidRPr="00CB5E91" w:rsidRDefault="001F1750">
            <w:pPr>
              <w:pStyle w:val="TableBodyCopy"/>
              <w:cnfStyle w:val="000000000000" w:firstRow="0" w:lastRow="0" w:firstColumn="0" w:lastColumn="0" w:oddVBand="0" w:evenVBand="0" w:oddHBand="0" w:evenHBand="0" w:firstRowFirstColumn="0" w:firstRowLastColumn="0" w:lastRowFirstColumn="0" w:lastRowLastColumn="0"/>
            </w:pPr>
            <w:r w:rsidRPr="001F1750">
              <w:t xml:space="preserve">Australia remains in the top three countries the Philippine </w:t>
            </w:r>
            <w:r w:rsidR="00C4065E">
              <w:t>G</w:t>
            </w:r>
            <w:r w:rsidRPr="001F1750">
              <w:t xml:space="preserve">overnment should work with in </w:t>
            </w:r>
            <w:r w:rsidR="00396CC2">
              <w:t xml:space="preserve">the results of a </w:t>
            </w:r>
            <w:r w:rsidRPr="001F1750">
              <w:t>nationwide poll on public opinion of Filipinos on maritime issues</w:t>
            </w:r>
          </w:p>
        </w:tc>
        <w:tc>
          <w:tcPr>
            <w:tcW w:w="833" w:type="pct"/>
            <w:shd w:val="clear" w:color="auto" w:fill="D6E8D2" w:themeFill="accent4" w:themeFillTint="33"/>
          </w:tcPr>
          <w:p w14:paraId="14EDBE1E" w14:textId="7A054C75" w:rsidR="00E2349E" w:rsidRPr="00CB5E91" w:rsidRDefault="001F1750">
            <w:pPr>
              <w:pStyle w:val="TableBodyCopy"/>
              <w:cnfStyle w:val="000000000000" w:firstRow="0" w:lastRow="0" w:firstColumn="0" w:lastColumn="0" w:oddVBand="0" w:evenVBand="0" w:oddHBand="0" w:evenHBand="0" w:firstRowFirstColumn="0" w:firstRowLastColumn="0" w:lastRowFirstColumn="0" w:lastRowLastColumn="0"/>
            </w:pPr>
            <w:r w:rsidRPr="001F1750">
              <w:t xml:space="preserve">Australia remains in the top three countries the Philippine </w:t>
            </w:r>
            <w:r w:rsidR="00C4065E">
              <w:t>G</w:t>
            </w:r>
            <w:r w:rsidRPr="001F1750">
              <w:t xml:space="preserve">overnment should work with in </w:t>
            </w:r>
            <w:r w:rsidR="006047CB">
              <w:t xml:space="preserve">the results of a </w:t>
            </w:r>
            <w:r w:rsidRPr="001F1750">
              <w:t>nationwide poll on public opinion of Filipinos on maritime issues</w:t>
            </w:r>
          </w:p>
        </w:tc>
        <w:tc>
          <w:tcPr>
            <w:tcW w:w="833" w:type="pct"/>
            <w:shd w:val="clear" w:color="auto" w:fill="D6E8D2" w:themeFill="accent4" w:themeFillTint="33"/>
          </w:tcPr>
          <w:p w14:paraId="7FA346FB" w14:textId="2C9F8AFF" w:rsidR="00E2349E" w:rsidRPr="00CB5E91" w:rsidRDefault="002B0742">
            <w:pPr>
              <w:pStyle w:val="TableBodyCopy"/>
              <w:cnfStyle w:val="000000000000" w:firstRow="0" w:lastRow="0" w:firstColumn="0" w:lastColumn="0" w:oddVBand="0" w:evenVBand="0" w:oddHBand="0" w:evenHBand="0" w:firstRowFirstColumn="0" w:firstRowLastColumn="0" w:lastRowFirstColumn="0" w:lastRowLastColumn="0"/>
              <w:rPr>
                <w:highlight w:val="yellow"/>
              </w:rPr>
            </w:pPr>
            <w:r>
              <w:t>SDG</w:t>
            </w:r>
            <w:r w:rsidR="00E2349E" w:rsidRPr="00CB5E91">
              <w:t>14</w:t>
            </w:r>
          </w:p>
        </w:tc>
      </w:tr>
      <w:tr w:rsidR="008B700F" w:rsidRPr="00CB5E91" w14:paraId="32923C35" w14:textId="77777777" w:rsidTr="009F632F">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833" w:type="pct"/>
            <w:shd w:val="clear" w:color="auto" w:fill="D6E8D2" w:themeFill="accent4" w:themeFillTint="33"/>
          </w:tcPr>
          <w:p w14:paraId="733F8973" w14:textId="5579CECC" w:rsidR="00933CE3" w:rsidRDefault="00E2349E">
            <w:pPr>
              <w:pStyle w:val="TableBodyCopy"/>
              <w:rPr>
                <w:b w:val="0"/>
                <w:bCs w:val="0"/>
              </w:rPr>
            </w:pPr>
            <w:r w:rsidRPr="00CB5E91">
              <w:t>Outcome 1.2</w:t>
            </w:r>
          </w:p>
          <w:p w14:paraId="370E6BEB" w14:textId="7B186DF7" w:rsidR="00E2349E" w:rsidRPr="00CB5E91" w:rsidRDefault="00E2349E">
            <w:pPr>
              <w:pStyle w:val="TableBodyCopy"/>
            </w:pPr>
            <w:r w:rsidRPr="00ED4D69">
              <w:rPr>
                <w:b w:val="0"/>
                <w:bCs w:val="0"/>
              </w:rPr>
              <w:t>Communities and disadvantaged groups benefit from bolstered peace, stability, security and equitable access to justice</w:t>
            </w:r>
          </w:p>
        </w:tc>
        <w:tc>
          <w:tcPr>
            <w:tcW w:w="833" w:type="pct"/>
            <w:shd w:val="clear" w:color="auto" w:fill="D6E8D2" w:themeFill="accent4" w:themeFillTint="33"/>
          </w:tcPr>
          <w:p w14:paraId="3F4EECD7" w14:textId="3CFF56EE" w:rsidR="00E2349E"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 xml:space="preserve">1.2.1 </w:t>
            </w:r>
            <w:r w:rsidR="001F1750" w:rsidRPr="001F1750">
              <w:t>Institutional reforms, partnerships and policy improvements bolstering equitable access to justice</w:t>
            </w:r>
          </w:p>
        </w:tc>
        <w:tc>
          <w:tcPr>
            <w:tcW w:w="833" w:type="pct"/>
            <w:shd w:val="clear" w:color="auto" w:fill="D6E8D2" w:themeFill="accent4" w:themeFillTint="33"/>
            <w:hideMark/>
          </w:tcPr>
          <w:p w14:paraId="51E0BF1C" w14:textId="4D70161F" w:rsidR="00E2349E" w:rsidRPr="00CB5E91" w:rsidRDefault="001F1750">
            <w:pPr>
              <w:pStyle w:val="TableBodyCopy"/>
              <w:cnfStyle w:val="000000100000" w:firstRow="0" w:lastRow="0" w:firstColumn="0" w:lastColumn="0" w:oddVBand="0" w:evenVBand="0" w:oddHBand="1" w:evenHBand="0" w:firstRowFirstColumn="0" w:firstRowLastColumn="0" w:lastRowFirstColumn="0" w:lastRowLastColumn="0"/>
            </w:pPr>
            <w:r w:rsidRPr="001F1750">
              <w:t xml:space="preserve">Improved policy settings to enable vulnerable </w:t>
            </w:r>
            <w:r w:rsidR="00C25C98" w:rsidRPr="001F1750">
              <w:t>groups</w:t>
            </w:r>
            <w:r w:rsidR="00C25C98">
              <w:t xml:space="preserve"> to</w:t>
            </w:r>
            <w:r w:rsidR="00C25C98" w:rsidRPr="001F1750">
              <w:t xml:space="preserve"> </w:t>
            </w:r>
            <w:r w:rsidRPr="001F1750">
              <w:t>access justice</w:t>
            </w:r>
          </w:p>
        </w:tc>
        <w:tc>
          <w:tcPr>
            <w:tcW w:w="833" w:type="pct"/>
            <w:shd w:val="clear" w:color="auto" w:fill="D6E8D2" w:themeFill="accent4" w:themeFillTint="33"/>
            <w:hideMark/>
          </w:tcPr>
          <w:p w14:paraId="36106831" w14:textId="60209F61" w:rsidR="00E2349E" w:rsidRPr="00CB5E91" w:rsidRDefault="001F1750">
            <w:pPr>
              <w:pStyle w:val="TableBodyCopy"/>
              <w:cnfStyle w:val="000000100000" w:firstRow="0" w:lastRow="0" w:firstColumn="0" w:lastColumn="0" w:oddVBand="0" w:evenVBand="0" w:oddHBand="1" w:evenHBand="0" w:firstRowFirstColumn="0" w:firstRowLastColumn="0" w:lastRowFirstColumn="0" w:lastRowLastColumn="0"/>
            </w:pPr>
            <w:r w:rsidRPr="001F1750">
              <w:t>Enhanced transparency and accountability of legal and judicial systems and services</w:t>
            </w:r>
          </w:p>
        </w:tc>
        <w:tc>
          <w:tcPr>
            <w:tcW w:w="833" w:type="pct"/>
            <w:shd w:val="clear" w:color="auto" w:fill="D6E8D2" w:themeFill="accent4" w:themeFillTint="33"/>
            <w:hideMark/>
          </w:tcPr>
          <w:p w14:paraId="2E7A0388" w14:textId="5E8F307E" w:rsidR="00E2349E" w:rsidRPr="00CB5E91" w:rsidRDefault="001F1750">
            <w:pPr>
              <w:pStyle w:val="TableBodyCopy"/>
              <w:cnfStyle w:val="000000100000" w:firstRow="0" w:lastRow="0" w:firstColumn="0" w:lastColumn="0" w:oddVBand="0" w:evenVBand="0" w:oddHBand="1" w:evenHBand="0" w:firstRowFirstColumn="0" w:firstRowLastColumn="0" w:lastRowFirstColumn="0" w:lastRowLastColumn="0"/>
            </w:pPr>
            <w:r w:rsidRPr="001F1750">
              <w:t>Improved policy settings in judicial education</w:t>
            </w:r>
          </w:p>
        </w:tc>
        <w:tc>
          <w:tcPr>
            <w:tcW w:w="833" w:type="pct"/>
            <w:shd w:val="clear" w:color="auto" w:fill="D6E8D2" w:themeFill="accent4" w:themeFillTint="33"/>
          </w:tcPr>
          <w:p w14:paraId="19E6492E" w14:textId="2A4EAC05" w:rsidR="00E2349E" w:rsidRPr="00CB5E91" w:rsidRDefault="002B0742" w:rsidP="00C25C98">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 xml:space="preserve">5, </w:t>
            </w:r>
            <w:r>
              <w:t>SDG</w:t>
            </w:r>
            <w:r w:rsidR="00E2349E" w:rsidRPr="00CB5E91">
              <w:t>10</w:t>
            </w:r>
            <w:r>
              <w:t>:</w:t>
            </w:r>
            <w:r w:rsidR="00E2349E" w:rsidRPr="00CB5E91">
              <w:t xml:space="preserve"> </w:t>
            </w:r>
            <w:r w:rsidR="00C25C98">
              <w:t xml:space="preserve">Reduced inequalities, </w:t>
            </w:r>
            <w:r>
              <w:t>SDG</w:t>
            </w:r>
            <w:r w:rsidR="00E2349E" w:rsidRPr="00CB5E91">
              <w:t>16</w:t>
            </w:r>
          </w:p>
        </w:tc>
      </w:tr>
      <w:tr w:rsidR="008B700F" w:rsidRPr="00CB5E91" w14:paraId="200BB587" w14:textId="77777777" w:rsidTr="009F632F">
        <w:trPr>
          <w:trHeight w:val="456"/>
        </w:trPr>
        <w:tc>
          <w:tcPr>
            <w:cnfStyle w:val="001000000000" w:firstRow="0" w:lastRow="0" w:firstColumn="1" w:lastColumn="0" w:oddVBand="0" w:evenVBand="0" w:oddHBand="0" w:evenHBand="0" w:firstRowFirstColumn="0" w:firstRowLastColumn="0" w:lastRowFirstColumn="0" w:lastRowLastColumn="0"/>
            <w:tcW w:w="833" w:type="pct"/>
            <w:shd w:val="clear" w:color="auto" w:fill="D6E8D2" w:themeFill="accent4" w:themeFillTint="33"/>
          </w:tcPr>
          <w:p w14:paraId="6DBCEEA6" w14:textId="62355A86" w:rsidR="00E2349E" w:rsidRPr="00CB5E91" w:rsidRDefault="00985679">
            <w:pPr>
              <w:pStyle w:val="TableBodyCopy"/>
            </w:pPr>
            <w:r w:rsidRPr="00CB5E91">
              <w:t>Outcome 1.2</w:t>
            </w:r>
          </w:p>
        </w:tc>
        <w:tc>
          <w:tcPr>
            <w:tcW w:w="833" w:type="pct"/>
            <w:shd w:val="clear" w:color="auto" w:fill="D6E8D2" w:themeFill="accent4" w:themeFillTint="33"/>
          </w:tcPr>
          <w:p w14:paraId="041C47C0" w14:textId="272A00A4" w:rsidR="00E2349E" w:rsidRPr="00CB5E91" w:rsidRDefault="001F1750" w:rsidP="008B700F">
            <w:pPr>
              <w:pStyle w:val="TableBodyCopy"/>
              <w:cnfStyle w:val="000000000000" w:firstRow="0" w:lastRow="0" w:firstColumn="0" w:lastColumn="0" w:oddVBand="0" w:evenVBand="0" w:oddHBand="0" w:evenHBand="0" w:firstRowFirstColumn="0" w:firstRowLastColumn="0" w:lastRowFirstColumn="0" w:lastRowLastColumn="0"/>
            </w:pPr>
            <w:r w:rsidRPr="001F1750">
              <w:t>1.2.2 Conflict resolution structures/processes established or strengthened</w:t>
            </w:r>
          </w:p>
        </w:tc>
        <w:tc>
          <w:tcPr>
            <w:tcW w:w="833" w:type="pct"/>
            <w:shd w:val="clear" w:color="auto" w:fill="D6E8D2" w:themeFill="accent4" w:themeFillTint="33"/>
          </w:tcPr>
          <w:p w14:paraId="4BF94486" w14:textId="38531A84" w:rsidR="001F1750" w:rsidRPr="00E13BE7" w:rsidRDefault="001F1750">
            <w:pPr>
              <w:pStyle w:val="TableBodyCopy"/>
              <w:cnfStyle w:val="000000000000" w:firstRow="0" w:lastRow="0" w:firstColumn="0" w:lastColumn="0" w:oddVBand="0" w:evenVBand="0" w:oddHBand="0" w:evenHBand="0" w:firstRowFirstColumn="0" w:firstRowLastColumn="0" w:lastRowFirstColumn="0" w:lastRowLastColumn="0"/>
            </w:pPr>
            <w:r w:rsidRPr="00E13BE7">
              <w:t>Capacity of peace mediators are enhanced on the prevention/resolution of local conflicts</w:t>
            </w:r>
          </w:p>
        </w:tc>
        <w:tc>
          <w:tcPr>
            <w:tcW w:w="833" w:type="pct"/>
            <w:shd w:val="clear" w:color="auto" w:fill="D6E8D2" w:themeFill="accent4" w:themeFillTint="33"/>
          </w:tcPr>
          <w:p w14:paraId="34C6B63A" w14:textId="135BA259" w:rsidR="00F61EE5" w:rsidRPr="00437D85" w:rsidRDefault="00441860">
            <w:pPr>
              <w:pStyle w:val="TableBodyCopy"/>
              <w:cnfStyle w:val="000000000000" w:firstRow="0" w:lastRow="0" w:firstColumn="0" w:lastColumn="0" w:oddVBand="0" w:evenVBand="0" w:oddHBand="0" w:evenHBand="0" w:firstRowFirstColumn="0" w:firstRowLastColumn="0" w:lastRowFirstColumn="0" w:lastRowLastColumn="0"/>
            </w:pPr>
            <w:r>
              <w:t>Intervention in conflicts leads to effective resolution or a path to resolution between conflicting parties</w:t>
            </w:r>
          </w:p>
        </w:tc>
        <w:tc>
          <w:tcPr>
            <w:tcW w:w="833" w:type="pct"/>
            <w:shd w:val="clear" w:color="auto" w:fill="D6E8D2" w:themeFill="accent4" w:themeFillTint="33"/>
          </w:tcPr>
          <w:p w14:paraId="464997FA" w14:textId="3F535CAD" w:rsidR="00E2349E" w:rsidRPr="008B700F" w:rsidRDefault="004265BA">
            <w:pPr>
              <w:pStyle w:val="TableBodyCopy"/>
              <w:cnfStyle w:val="000000000000" w:firstRow="0" w:lastRow="0" w:firstColumn="0" w:lastColumn="0" w:oddVBand="0" w:evenVBand="0" w:oddHBand="0" w:evenHBand="0" w:firstRowFirstColumn="0" w:firstRowLastColumn="0" w:lastRowFirstColumn="0" w:lastRowLastColumn="0"/>
            </w:pPr>
            <w:r w:rsidRPr="008B700F">
              <w:t>Investments contributing to this will continue but specific agreements and results yet to be finalised</w:t>
            </w:r>
          </w:p>
        </w:tc>
        <w:tc>
          <w:tcPr>
            <w:tcW w:w="833" w:type="pct"/>
            <w:shd w:val="clear" w:color="auto" w:fill="D6E8D2" w:themeFill="accent4" w:themeFillTint="33"/>
          </w:tcPr>
          <w:p w14:paraId="1058218C" w14:textId="2233EDC6" w:rsidR="00E2349E" w:rsidRPr="00CB5E91" w:rsidRDefault="002B0742">
            <w:pPr>
              <w:pStyle w:val="TableBodyCopy"/>
              <w:cnfStyle w:val="000000000000" w:firstRow="0" w:lastRow="0" w:firstColumn="0" w:lastColumn="0" w:oddVBand="0" w:evenVBand="0" w:oddHBand="0" w:evenHBand="0" w:firstRowFirstColumn="0" w:firstRowLastColumn="0" w:lastRowFirstColumn="0" w:lastRowLastColumn="0"/>
            </w:pPr>
            <w:r>
              <w:t>SDG</w:t>
            </w:r>
            <w:r w:rsidR="00E2349E" w:rsidRPr="00CB5E91">
              <w:t>5</w:t>
            </w:r>
            <w:r>
              <w:t>,</w:t>
            </w:r>
            <w:r w:rsidR="00E2349E" w:rsidRPr="00CB5E91">
              <w:t xml:space="preserve"> </w:t>
            </w:r>
            <w:r>
              <w:t>SDG</w:t>
            </w:r>
            <w:r w:rsidR="00E2349E" w:rsidRPr="00CB5E91">
              <w:t>16</w:t>
            </w:r>
          </w:p>
        </w:tc>
      </w:tr>
      <w:tr w:rsidR="008B700F" w:rsidRPr="00CB5E91" w14:paraId="24322289" w14:textId="77777777" w:rsidTr="009F632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833" w:type="pct"/>
            <w:shd w:val="clear" w:color="auto" w:fill="D6E8D2" w:themeFill="accent4" w:themeFillTint="33"/>
          </w:tcPr>
          <w:p w14:paraId="22986CEC" w14:textId="5B5E9187" w:rsidR="00E2349E" w:rsidRPr="00CB5E91" w:rsidRDefault="00985679">
            <w:pPr>
              <w:pStyle w:val="TableBodyCopy"/>
            </w:pPr>
            <w:r w:rsidRPr="00CB5E91">
              <w:t>Outcome 1.2</w:t>
            </w:r>
          </w:p>
        </w:tc>
        <w:tc>
          <w:tcPr>
            <w:tcW w:w="833" w:type="pct"/>
            <w:shd w:val="clear" w:color="auto" w:fill="D6E8D2" w:themeFill="accent4" w:themeFillTint="33"/>
          </w:tcPr>
          <w:p w14:paraId="4C976E7A" w14:textId="3D358B70" w:rsidR="00E2349E"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1.2.</w:t>
            </w:r>
            <w:r w:rsidR="00F61EE5">
              <w:t>3</w:t>
            </w:r>
            <w:r w:rsidRPr="00CB5E91">
              <w:t xml:space="preserve"> Additional number of boys and girls in conflict-affected and post-conflict BARMM communities </w:t>
            </w:r>
            <w:r w:rsidR="00F82336">
              <w:t xml:space="preserve">who are </w:t>
            </w:r>
            <w:r w:rsidRPr="00CB5E91">
              <w:t>in school</w:t>
            </w:r>
          </w:p>
        </w:tc>
        <w:tc>
          <w:tcPr>
            <w:tcW w:w="833" w:type="pct"/>
            <w:shd w:val="clear" w:color="auto" w:fill="D6E8D2" w:themeFill="accent4" w:themeFillTint="33"/>
          </w:tcPr>
          <w:p w14:paraId="687628DE" w14:textId="773694B6" w:rsidR="00E2349E"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1,000</w:t>
            </w:r>
            <w:r w:rsidR="005201FD">
              <w:t> </w:t>
            </w:r>
            <w:r w:rsidR="00C714C9" w:rsidRPr="00CB5E91">
              <w:t xml:space="preserve">additional </w:t>
            </w:r>
            <w:r w:rsidRPr="00CB5E91">
              <w:t>boys and girls</w:t>
            </w:r>
          </w:p>
        </w:tc>
        <w:tc>
          <w:tcPr>
            <w:tcW w:w="833" w:type="pct"/>
            <w:shd w:val="clear" w:color="auto" w:fill="D6E8D2" w:themeFill="accent4" w:themeFillTint="33"/>
          </w:tcPr>
          <w:p w14:paraId="180AB1BB" w14:textId="03F40E25" w:rsidR="00E2349E"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1,000</w:t>
            </w:r>
            <w:r w:rsidR="005201FD">
              <w:t> </w:t>
            </w:r>
            <w:r w:rsidR="00C714C9" w:rsidRPr="00CB5E91">
              <w:t xml:space="preserve">additional </w:t>
            </w:r>
            <w:r w:rsidRPr="00CB5E91">
              <w:t>boys and girls</w:t>
            </w:r>
          </w:p>
        </w:tc>
        <w:tc>
          <w:tcPr>
            <w:tcW w:w="833" w:type="pct"/>
            <w:shd w:val="clear" w:color="auto" w:fill="D6E8D2" w:themeFill="accent4" w:themeFillTint="33"/>
          </w:tcPr>
          <w:p w14:paraId="6D5107AE" w14:textId="247EF1A3" w:rsidR="00E2349E" w:rsidRPr="00A815D0" w:rsidRDefault="00682A26">
            <w:pPr>
              <w:pStyle w:val="TableBodyCopy"/>
              <w:cnfStyle w:val="000000100000" w:firstRow="0" w:lastRow="0" w:firstColumn="0" w:lastColumn="0" w:oddVBand="0" w:evenVBand="0" w:oddHBand="1" w:evenHBand="0" w:firstRowFirstColumn="0" w:firstRowLastColumn="0" w:lastRowFirstColumn="0" w:lastRowLastColumn="0"/>
            </w:pPr>
            <w:r>
              <w:t>Investments contributing to this indicator will be concluded in 2026</w:t>
            </w:r>
          </w:p>
        </w:tc>
        <w:tc>
          <w:tcPr>
            <w:tcW w:w="833" w:type="pct"/>
            <w:shd w:val="clear" w:color="auto" w:fill="D6E8D2" w:themeFill="accent4" w:themeFillTint="33"/>
          </w:tcPr>
          <w:p w14:paraId="58A0999E" w14:textId="2A973E7B" w:rsidR="00E2349E" w:rsidRPr="00CB5E91" w:rsidRDefault="002B0742">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4</w:t>
            </w:r>
            <w:r>
              <w:t>:</w:t>
            </w:r>
            <w:r w:rsidR="00036879">
              <w:t xml:space="preserve"> Quality education,</w:t>
            </w:r>
            <w:r w:rsidR="00E2349E" w:rsidRPr="00CB5E91">
              <w:t xml:space="preserve"> </w:t>
            </w:r>
            <w:r>
              <w:t>SDG</w:t>
            </w:r>
            <w:r w:rsidR="00E2349E" w:rsidRPr="00CB5E91">
              <w:t>5</w:t>
            </w:r>
          </w:p>
        </w:tc>
      </w:tr>
      <w:tr w:rsidR="008B700F" w:rsidRPr="00CB5E91" w14:paraId="2083C592" w14:textId="77777777" w:rsidTr="009F632F">
        <w:trPr>
          <w:cantSplit/>
          <w:trHeight w:val="472"/>
        </w:trPr>
        <w:tc>
          <w:tcPr>
            <w:cnfStyle w:val="001000000000" w:firstRow="0" w:lastRow="0" w:firstColumn="1" w:lastColumn="0" w:oddVBand="0" w:evenVBand="0" w:oddHBand="0" w:evenHBand="0" w:firstRowFirstColumn="0" w:firstRowLastColumn="0" w:lastRowFirstColumn="0" w:lastRowLastColumn="0"/>
            <w:tcW w:w="833" w:type="pct"/>
            <w:shd w:val="clear" w:color="auto" w:fill="D6E8D2" w:themeFill="accent4" w:themeFillTint="33"/>
          </w:tcPr>
          <w:p w14:paraId="2C1265CF" w14:textId="5FD96747" w:rsidR="00E2349E" w:rsidRPr="00CB5E91" w:rsidRDefault="00985679">
            <w:pPr>
              <w:pStyle w:val="TableBodyCopy"/>
            </w:pPr>
            <w:r w:rsidRPr="00CB5E91">
              <w:lastRenderedPageBreak/>
              <w:t>Outcome 1.2</w:t>
            </w:r>
          </w:p>
        </w:tc>
        <w:tc>
          <w:tcPr>
            <w:tcW w:w="833" w:type="pct"/>
            <w:shd w:val="clear" w:color="auto" w:fill="D6E8D2" w:themeFill="accent4" w:themeFillTint="33"/>
          </w:tcPr>
          <w:p w14:paraId="58D86E65" w14:textId="0744C037" w:rsidR="00E2349E" w:rsidRPr="00CB5E91" w:rsidRDefault="00F61EE5">
            <w:pPr>
              <w:pStyle w:val="TableBodyCopy"/>
              <w:cnfStyle w:val="000000000000" w:firstRow="0" w:lastRow="0" w:firstColumn="0" w:lastColumn="0" w:oddVBand="0" w:evenVBand="0" w:oddHBand="0" w:evenHBand="0" w:firstRowFirstColumn="0" w:firstRowLastColumn="0" w:lastRowFirstColumn="0" w:lastRowLastColumn="0"/>
            </w:pPr>
            <w:r w:rsidRPr="00F61EE5">
              <w:t xml:space="preserve">1.2.4 Enhanced gender and disability responsive policies, plans and programs introduced in BARMM offices and </w:t>
            </w:r>
            <w:r w:rsidR="006E6BD5">
              <w:t>local government units (</w:t>
            </w:r>
            <w:r w:rsidRPr="00F61EE5">
              <w:t>LGUs</w:t>
            </w:r>
            <w:r w:rsidR="006E6BD5">
              <w:t>)</w:t>
            </w:r>
          </w:p>
        </w:tc>
        <w:tc>
          <w:tcPr>
            <w:tcW w:w="833" w:type="pct"/>
            <w:shd w:val="clear" w:color="auto" w:fill="D6E8D2" w:themeFill="accent4" w:themeFillTint="33"/>
            <w:hideMark/>
          </w:tcPr>
          <w:p w14:paraId="020FFB60" w14:textId="5D0E77B6" w:rsidR="00E2349E" w:rsidRPr="00CB5E91" w:rsidRDefault="00283FA9">
            <w:pPr>
              <w:pStyle w:val="TableBodyCopy"/>
              <w:cnfStyle w:val="000000000000" w:firstRow="0" w:lastRow="0" w:firstColumn="0" w:lastColumn="0" w:oddVBand="0" w:evenVBand="0" w:oddHBand="0" w:evenHBand="0" w:firstRowFirstColumn="0" w:firstRowLastColumn="0" w:lastRowFirstColumn="0" w:lastRowLastColumn="0"/>
            </w:pPr>
            <w:r>
              <w:t>I</w:t>
            </w:r>
            <w:r w:rsidR="00820B1A" w:rsidRPr="00994239">
              <w:t>mproved policy settings on gender and development and disability inclusion in BARMM and LGUs</w:t>
            </w:r>
            <w:r w:rsidR="00476BA4">
              <w:t>,</w:t>
            </w:r>
            <w:r w:rsidR="00820B1A" w:rsidRPr="00994239">
              <w:t xml:space="preserve"> including progressing the Gender and Development Code and/or Magna Carta for </w:t>
            </w:r>
            <w:r w:rsidR="00095A02">
              <w:t xml:space="preserve">Disabled </w:t>
            </w:r>
            <w:r w:rsidR="00820B1A" w:rsidRPr="00994239">
              <w:t>Persons</w:t>
            </w:r>
          </w:p>
        </w:tc>
        <w:tc>
          <w:tcPr>
            <w:tcW w:w="833" w:type="pct"/>
            <w:shd w:val="clear" w:color="auto" w:fill="D6E8D2" w:themeFill="accent4" w:themeFillTint="33"/>
            <w:hideMark/>
          </w:tcPr>
          <w:p w14:paraId="3A2B4DD1" w14:textId="6810FDE3" w:rsidR="00E2349E" w:rsidRPr="00CB5E91" w:rsidRDefault="00283FA9">
            <w:pPr>
              <w:pStyle w:val="TableBodyCopy"/>
              <w:cnfStyle w:val="000000000000" w:firstRow="0" w:lastRow="0" w:firstColumn="0" w:lastColumn="0" w:oddVBand="0" w:evenVBand="0" w:oddHBand="0" w:evenHBand="0" w:firstRowFirstColumn="0" w:firstRowLastColumn="0" w:lastRowFirstColumn="0" w:lastRowLastColumn="0"/>
            </w:pPr>
            <w:r>
              <w:t>I</w:t>
            </w:r>
            <w:r w:rsidR="00820B1A" w:rsidRPr="00994239">
              <w:t>mproved policy settings on gender and development and disability inclusion in BARMM and LGUs</w:t>
            </w:r>
            <w:r w:rsidR="00476BA4">
              <w:t>,</w:t>
            </w:r>
            <w:r w:rsidR="00820B1A" w:rsidRPr="00994239">
              <w:t xml:space="preserve"> including progressing the Gender and Development Code and/or Magna Carta for </w:t>
            </w:r>
            <w:r w:rsidR="00095A02">
              <w:t xml:space="preserve">Disabled </w:t>
            </w:r>
            <w:r w:rsidR="00820B1A" w:rsidRPr="00994239">
              <w:t>Persons</w:t>
            </w:r>
          </w:p>
        </w:tc>
        <w:tc>
          <w:tcPr>
            <w:tcW w:w="833" w:type="pct"/>
            <w:shd w:val="clear" w:color="auto" w:fill="D6E8D2" w:themeFill="accent4" w:themeFillTint="33"/>
            <w:hideMark/>
          </w:tcPr>
          <w:p w14:paraId="2A5530C2" w14:textId="102CC0E0" w:rsidR="00E2349E" w:rsidRPr="00CB5E91" w:rsidRDefault="00141BA4">
            <w:pPr>
              <w:pStyle w:val="TableBodyCopy"/>
              <w:cnfStyle w:val="000000000000" w:firstRow="0" w:lastRow="0" w:firstColumn="0" w:lastColumn="0" w:oddVBand="0" w:evenVBand="0" w:oddHBand="0" w:evenHBand="0" w:firstRowFirstColumn="0" w:firstRowLastColumn="0" w:lastRowFirstColumn="0" w:lastRowLastColumn="0"/>
            </w:pPr>
            <w:r w:rsidRPr="00141BA4">
              <w:t>Investments contributing to this will continue but specific agreements and results yet to be finalised</w:t>
            </w:r>
          </w:p>
        </w:tc>
        <w:tc>
          <w:tcPr>
            <w:tcW w:w="833" w:type="pct"/>
            <w:shd w:val="clear" w:color="auto" w:fill="D6E8D2" w:themeFill="accent4" w:themeFillTint="33"/>
          </w:tcPr>
          <w:p w14:paraId="213C4730" w14:textId="585295B5" w:rsidR="00E2349E" w:rsidRPr="00CB5E91" w:rsidRDefault="002B0742">
            <w:pPr>
              <w:pStyle w:val="TableBodyCopy"/>
              <w:cnfStyle w:val="000000000000" w:firstRow="0" w:lastRow="0" w:firstColumn="0" w:lastColumn="0" w:oddVBand="0" w:evenVBand="0" w:oddHBand="0" w:evenHBand="0" w:firstRowFirstColumn="0" w:firstRowLastColumn="0" w:lastRowFirstColumn="0" w:lastRowLastColumn="0"/>
            </w:pPr>
            <w:r>
              <w:t>SDG</w:t>
            </w:r>
            <w:r w:rsidR="00E2349E" w:rsidRPr="00CB5E91">
              <w:t>5</w:t>
            </w:r>
            <w:r>
              <w:t>, SDG</w:t>
            </w:r>
            <w:r w:rsidR="00E2349E" w:rsidRPr="00CB5E91">
              <w:t>16</w:t>
            </w:r>
          </w:p>
        </w:tc>
      </w:tr>
      <w:tr w:rsidR="008B700F" w:rsidRPr="00CB5E91" w14:paraId="60FAB71D" w14:textId="77777777" w:rsidTr="009F632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833" w:type="pct"/>
            <w:shd w:val="clear" w:color="auto" w:fill="D6E8D2" w:themeFill="accent4" w:themeFillTint="33"/>
          </w:tcPr>
          <w:p w14:paraId="7A3F304D" w14:textId="65CDB776" w:rsidR="00E2349E" w:rsidRPr="00CB5E91" w:rsidRDefault="00985679">
            <w:pPr>
              <w:pStyle w:val="TableBodyCopy"/>
            </w:pPr>
            <w:r w:rsidRPr="00CB5E91">
              <w:t>Outcome 1.2</w:t>
            </w:r>
          </w:p>
        </w:tc>
        <w:tc>
          <w:tcPr>
            <w:tcW w:w="833" w:type="pct"/>
            <w:shd w:val="clear" w:color="auto" w:fill="D6E8D2" w:themeFill="accent4" w:themeFillTint="33"/>
          </w:tcPr>
          <w:p w14:paraId="652CF800" w14:textId="65EF6E70" w:rsidR="00E2349E" w:rsidRPr="00CB5E91" w:rsidRDefault="00F61EE5">
            <w:pPr>
              <w:pStyle w:val="TableBodyCopy"/>
              <w:cnfStyle w:val="000000100000" w:firstRow="0" w:lastRow="0" w:firstColumn="0" w:lastColumn="0" w:oddVBand="0" w:evenVBand="0" w:oddHBand="1" w:evenHBand="0" w:firstRowFirstColumn="0" w:firstRowLastColumn="0" w:lastRowFirstColumn="0" w:lastRowLastColumn="0"/>
            </w:pPr>
            <w:r w:rsidRPr="00F61EE5">
              <w:t xml:space="preserve">1.2.5 </w:t>
            </w:r>
            <w:r w:rsidR="00B75437">
              <w:t>New or enhanced p</w:t>
            </w:r>
            <w:r w:rsidRPr="00F61EE5">
              <w:t>olicy reforms in improving human rights and equitable justice for persons deprived of liberty</w:t>
            </w:r>
          </w:p>
        </w:tc>
        <w:tc>
          <w:tcPr>
            <w:tcW w:w="833" w:type="pct"/>
            <w:shd w:val="clear" w:color="auto" w:fill="D6E8D2" w:themeFill="accent4" w:themeFillTint="33"/>
          </w:tcPr>
          <w:p w14:paraId="093305EC" w14:textId="6DFD11D0" w:rsidR="00E2349E" w:rsidRPr="00CB5E91" w:rsidRDefault="00FE159C">
            <w:pPr>
              <w:pStyle w:val="TableBodyCopy"/>
              <w:cnfStyle w:val="000000100000" w:firstRow="0" w:lastRow="0" w:firstColumn="0" w:lastColumn="0" w:oddVBand="0" w:evenVBand="0" w:oddHBand="1" w:evenHBand="0" w:firstRowFirstColumn="0" w:firstRowLastColumn="0" w:lastRowFirstColumn="0" w:lastRowLastColumn="0"/>
              <w:rPr>
                <w:i/>
                <w:color w:val="7030A0"/>
              </w:rPr>
            </w:pPr>
            <w:r>
              <w:t>1</w:t>
            </w:r>
            <w:r w:rsidR="00E56B31">
              <w:t> </w:t>
            </w:r>
            <w:r w:rsidR="00F61EE5" w:rsidRPr="00F61EE5">
              <w:t xml:space="preserve">policy reform enhanced and/or created </w:t>
            </w:r>
            <w:r w:rsidR="00FF3399">
              <w:t>i</w:t>
            </w:r>
            <w:r w:rsidR="00F61EE5" w:rsidRPr="00F61EE5">
              <w:t xml:space="preserve">n the management of </w:t>
            </w:r>
            <w:r w:rsidR="00B97107">
              <w:t>persons deprived of liberty</w:t>
            </w:r>
            <w:r w:rsidR="006E6D4D">
              <w:t>,</w:t>
            </w:r>
            <w:r w:rsidR="00B97107">
              <w:t xml:space="preserve"> </w:t>
            </w:r>
            <w:r w:rsidR="00F61EE5" w:rsidRPr="00F61EE5">
              <w:t>including violent extremist offenders</w:t>
            </w:r>
          </w:p>
        </w:tc>
        <w:tc>
          <w:tcPr>
            <w:tcW w:w="833" w:type="pct"/>
            <w:shd w:val="clear" w:color="auto" w:fill="D6E8D2" w:themeFill="accent4" w:themeFillTint="33"/>
            <w:hideMark/>
          </w:tcPr>
          <w:p w14:paraId="0576F41F" w14:textId="20A14882" w:rsidR="00E2349E" w:rsidRPr="00CB5E91" w:rsidRDefault="00FE159C">
            <w:pPr>
              <w:pStyle w:val="TableBodyCopy"/>
              <w:cnfStyle w:val="000000100000" w:firstRow="0" w:lastRow="0" w:firstColumn="0" w:lastColumn="0" w:oddVBand="0" w:evenVBand="0" w:oddHBand="1" w:evenHBand="0" w:firstRowFirstColumn="0" w:firstRowLastColumn="0" w:lastRowFirstColumn="0" w:lastRowLastColumn="0"/>
            </w:pPr>
            <w:r>
              <w:t>1</w:t>
            </w:r>
            <w:r w:rsidR="00E56B31">
              <w:t> </w:t>
            </w:r>
            <w:r w:rsidR="00F61EE5" w:rsidRPr="00F61EE5">
              <w:t xml:space="preserve">policy reform enhanced and/or created </w:t>
            </w:r>
            <w:r w:rsidR="00A3541D">
              <w:t>i</w:t>
            </w:r>
            <w:r w:rsidR="00F61EE5" w:rsidRPr="00F61EE5">
              <w:t xml:space="preserve">n the management of </w:t>
            </w:r>
            <w:r w:rsidR="006E6D4D">
              <w:t xml:space="preserve">persons deprived of liberty, </w:t>
            </w:r>
            <w:r w:rsidR="00F61EE5" w:rsidRPr="00F61EE5">
              <w:t>including violent extremist offenders</w:t>
            </w:r>
          </w:p>
        </w:tc>
        <w:tc>
          <w:tcPr>
            <w:tcW w:w="833" w:type="pct"/>
            <w:shd w:val="clear" w:color="auto" w:fill="D6E8D2" w:themeFill="accent4" w:themeFillTint="33"/>
            <w:hideMark/>
          </w:tcPr>
          <w:p w14:paraId="3F800461" w14:textId="4A45B880" w:rsidR="00E2349E" w:rsidRPr="00A815D0" w:rsidRDefault="007210BB">
            <w:pPr>
              <w:pStyle w:val="TableBodyCopy"/>
              <w:cnfStyle w:val="000000100000" w:firstRow="0" w:lastRow="0" w:firstColumn="0" w:lastColumn="0" w:oddVBand="0" w:evenVBand="0" w:oddHBand="1" w:evenHBand="0" w:firstRowFirstColumn="0" w:firstRowLastColumn="0" w:lastRowFirstColumn="0" w:lastRowLastColumn="0"/>
            </w:pPr>
            <w:r>
              <w:t>Investments contributing to this indicator will be concluded in 2026</w:t>
            </w:r>
          </w:p>
        </w:tc>
        <w:tc>
          <w:tcPr>
            <w:tcW w:w="833" w:type="pct"/>
            <w:shd w:val="clear" w:color="auto" w:fill="D6E8D2" w:themeFill="accent4" w:themeFillTint="33"/>
          </w:tcPr>
          <w:p w14:paraId="2D34E324" w14:textId="46155736" w:rsidR="00E2349E" w:rsidRPr="00CB5E91" w:rsidRDefault="006212C5">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5</w:t>
            </w:r>
            <w:r>
              <w:t>,</w:t>
            </w:r>
            <w:r w:rsidR="00E2349E" w:rsidRPr="00CB5E91">
              <w:t xml:space="preserve"> </w:t>
            </w:r>
            <w:r>
              <w:t>SDG</w:t>
            </w:r>
            <w:r w:rsidR="00E2349E" w:rsidRPr="00CB5E91">
              <w:t>16</w:t>
            </w:r>
          </w:p>
        </w:tc>
      </w:tr>
    </w:tbl>
    <w:p w14:paraId="02D77E3D" w14:textId="1A60A189" w:rsidR="00F232C0" w:rsidRPr="00E072C1" w:rsidRDefault="004F12E2" w:rsidP="008B700F">
      <w:r w:rsidRPr="008B700F">
        <w:rPr>
          <w:b/>
          <w:bCs/>
        </w:rPr>
        <w:t>Objective 2: Bolstering inclusive and sustainable economic growth</w:t>
      </w:r>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erformance Assessment Framework for Objective 2"/>
        <w:tblDescription w:val="Expected results for Objective 2 for the first 3 years of the DPP and against the Sustainable Development Goals"/>
      </w:tblPr>
      <w:tblGrid>
        <w:gridCol w:w="2403"/>
        <w:gridCol w:w="2403"/>
        <w:gridCol w:w="2403"/>
        <w:gridCol w:w="2403"/>
        <w:gridCol w:w="2403"/>
        <w:gridCol w:w="2403"/>
      </w:tblGrid>
      <w:tr w:rsidR="008B700F" w:rsidRPr="00CB5E91" w14:paraId="1ACF1DDE" w14:textId="77777777" w:rsidTr="009F632F">
        <w:trPr>
          <w:cnfStyle w:val="100000000000" w:firstRow="1" w:lastRow="0" w:firstColumn="0" w:lastColumn="0" w:oddVBand="0" w:evenVBand="0" w:oddHBand="0" w:evenHBand="0" w:firstRowFirstColumn="0" w:firstRowLastColumn="0" w:lastRowFirstColumn="0" w:lastRowLastColumn="0"/>
          <w:trHeight w:val="787"/>
          <w:tblHeader/>
        </w:trPr>
        <w:tc>
          <w:tcPr>
            <w:cnfStyle w:val="001000000000" w:firstRow="0" w:lastRow="0" w:firstColumn="1" w:lastColumn="0" w:oddVBand="0" w:evenVBand="0" w:oddHBand="0" w:evenHBand="0" w:firstRowFirstColumn="0" w:firstRowLastColumn="0" w:lastRowFirstColumn="0" w:lastRowLastColumn="0"/>
            <w:tcW w:w="833" w:type="pct"/>
            <w:shd w:val="clear" w:color="auto" w:fill="3A586E" w:themeFill="accent1"/>
          </w:tcPr>
          <w:p w14:paraId="5CA59469" w14:textId="3A2241CD" w:rsidR="00E2349E" w:rsidRPr="0087000A" w:rsidRDefault="00057EE5" w:rsidP="0087000A">
            <w:pPr>
              <w:pStyle w:val="TableHeading"/>
              <w:rPr>
                <w:b/>
                <w:bCs/>
              </w:rPr>
            </w:pPr>
            <w:r w:rsidRPr="0087000A">
              <w:rPr>
                <w:b/>
                <w:bCs/>
              </w:rPr>
              <w:t>Outcome</w:t>
            </w:r>
          </w:p>
        </w:tc>
        <w:tc>
          <w:tcPr>
            <w:tcW w:w="833" w:type="pct"/>
            <w:shd w:val="clear" w:color="auto" w:fill="3A586E" w:themeFill="accent1"/>
            <w:hideMark/>
          </w:tcPr>
          <w:p w14:paraId="573B6C7D" w14:textId="77777777"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Indicator</w:t>
            </w:r>
          </w:p>
        </w:tc>
        <w:tc>
          <w:tcPr>
            <w:tcW w:w="833" w:type="pct"/>
            <w:shd w:val="clear" w:color="auto" w:fill="3A586E" w:themeFill="accent1"/>
            <w:hideMark/>
          </w:tcPr>
          <w:p w14:paraId="19D16ABB" w14:textId="6C8ADF1D"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 xml:space="preserve">Expected </w:t>
            </w:r>
            <w:r w:rsidR="00BC4F67" w:rsidRPr="0087000A">
              <w:rPr>
                <w:b/>
                <w:bCs/>
              </w:rPr>
              <w:t>r</w:t>
            </w:r>
            <w:r w:rsidRPr="0087000A">
              <w:rPr>
                <w:b/>
                <w:bCs/>
              </w:rPr>
              <w:t>esults</w:t>
            </w:r>
            <w:r w:rsidR="00BC4F67" w:rsidRPr="0087000A">
              <w:rPr>
                <w:b/>
                <w:bCs/>
              </w:rPr>
              <w:br/>
            </w:r>
            <w:r w:rsidRPr="0087000A">
              <w:rPr>
                <w:b/>
                <w:bCs/>
              </w:rPr>
              <w:t>2024</w:t>
            </w:r>
            <w:r w:rsidR="00D4581B" w:rsidRPr="0087000A">
              <w:rPr>
                <w:b/>
                <w:bCs/>
              </w:rPr>
              <w:t>–</w:t>
            </w:r>
            <w:r w:rsidRPr="0087000A">
              <w:rPr>
                <w:b/>
                <w:bCs/>
              </w:rPr>
              <w:t>25</w:t>
            </w:r>
          </w:p>
        </w:tc>
        <w:tc>
          <w:tcPr>
            <w:tcW w:w="833" w:type="pct"/>
            <w:shd w:val="clear" w:color="auto" w:fill="3A586E" w:themeFill="accent1"/>
            <w:hideMark/>
          </w:tcPr>
          <w:p w14:paraId="7BACF592" w14:textId="6EB642FC"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 xml:space="preserve">Expected </w:t>
            </w:r>
            <w:r w:rsidR="00BC4F67" w:rsidRPr="0087000A">
              <w:rPr>
                <w:b/>
                <w:bCs/>
              </w:rPr>
              <w:t>r</w:t>
            </w:r>
            <w:r w:rsidRPr="0087000A">
              <w:rPr>
                <w:b/>
                <w:bCs/>
              </w:rPr>
              <w:t>esults</w:t>
            </w:r>
            <w:r w:rsidR="00BC4F67" w:rsidRPr="0087000A">
              <w:rPr>
                <w:b/>
                <w:bCs/>
              </w:rPr>
              <w:br/>
            </w:r>
            <w:r w:rsidRPr="0087000A">
              <w:rPr>
                <w:b/>
                <w:bCs/>
              </w:rPr>
              <w:t>2025</w:t>
            </w:r>
            <w:r w:rsidR="00D4581B" w:rsidRPr="0087000A">
              <w:rPr>
                <w:b/>
                <w:bCs/>
              </w:rPr>
              <w:t>–</w:t>
            </w:r>
            <w:r w:rsidRPr="0087000A">
              <w:rPr>
                <w:b/>
                <w:bCs/>
              </w:rPr>
              <w:t>26</w:t>
            </w:r>
          </w:p>
        </w:tc>
        <w:tc>
          <w:tcPr>
            <w:tcW w:w="833" w:type="pct"/>
            <w:shd w:val="clear" w:color="auto" w:fill="3A586E" w:themeFill="accent1"/>
            <w:hideMark/>
          </w:tcPr>
          <w:p w14:paraId="3AACF815" w14:textId="3DC47B35"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 xml:space="preserve">Expected </w:t>
            </w:r>
            <w:r w:rsidR="00BC4F67" w:rsidRPr="0087000A">
              <w:rPr>
                <w:b/>
                <w:bCs/>
              </w:rPr>
              <w:t>r</w:t>
            </w:r>
            <w:r w:rsidRPr="0087000A">
              <w:rPr>
                <w:b/>
                <w:bCs/>
              </w:rPr>
              <w:t>esults</w:t>
            </w:r>
            <w:r w:rsidR="00BC4F67" w:rsidRPr="0087000A">
              <w:rPr>
                <w:b/>
                <w:bCs/>
              </w:rPr>
              <w:br/>
            </w:r>
            <w:r w:rsidRPr="0087000A">
              <w:rPr>
                <w:b/>
                <w:bCs/>
              </w:rPr>
              <w:t>2026</w:t>
            </w:r>
            <w:r w:rsidR="00D4581B" w:rsidRPr="0087000A">
              <w:rPr>
                <w:b/>
                <w:bCs/>
              </w:rPr>
              <w:t>–</w:t>
            </w:r>
            <w:r w:rsidRPr="0087000A">
              <w:rPr>
                <w:b/>
                <w:bCs/>
              </w:rPr>
              <w:t>27</w:t>
            </w:r>
          </w:p>
        </w:tc>
        <w:tc>
          <w:tcPr>
            <w:tcW w:w="833" w:type="pct"/>
            <w:shd w:val="clear" w:color="auto" w:fill="3A586E" w:themeFill="accent1"/>
            <w:hideMark/>
          </w:tcPr>
          <w:p w14:paraId="18B60AF5" w14:textId="35B76E7B"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S</w:t>
            </w:r>
            <w:r w:rsidR="00D4581B" w:rsidRPr="0087000A">
              <w:rPr>
                <w:b/>
                <w:bCs/>
              </w:rPr>
              <w:t xml:space="preserve">ustainable </w:t>
            </w:r>
            <w:r w:rsidRPr="0087000A">
              <w:rPr>
                <w:b/>
                <w:bCs/>
              </w:rPr>
              <w:t>D</w:t>
            </w:r>
            <w:r w:rsidR="00D4581B" w:rsidRPr="0087000A">
              <w:rPr>
                <w:b/>
                <w:bCs/>
              </w:rPr>
              <w:t>evelopment</w:t>
            </w:r>
            <w:r w:rsidRPr="0087000A">
              <w:rPr>
                <w:b/>
                <w:bCs/>
              </w:rPr>
              <w:t xml:space="preserve"> Goal</w:t>
            </w:r>
            <w:r w:rsidR="0037063B" w:rsidRPr="0087000A">
              <w:rPr>
                <w:b/>
                <w:bCs/>
              </w:rPr>
              <w:t>s</w:t>
            </w:r>
            <w:r w:rsidR="00D4581B" w:rsidRPr="0087000A">
              <w:rPr>
                <w:b/>
                <w:bCs/>
              </w:rPr>
              <w:t xml:space="preserve"> </w:t>
            </w:r>
            <w:r w:rsidRPr="0087000A">
              <w:rPr>
                <w:b/>
                <w:bCs/>
              </w:rPr>
              <w:t>(</w:t>
            </w:r>
            <w:r w:rsidR="0037063B" w:rsidRPr="0087000A">
              <w:rPr>
                <w:b/>
                <w:bCs/>
              </w:rPr>
              <w:t>SDG</w:t>
            </w:r>
            <w:r w:rsidRPr="0087000A">
              <w:rPr>
                <w:b/>
                <w:bCs/>
              </w:rPr>
              <w:t>s)</w:t>
            </w:r>
          </w:p>
        </w:tc>
      </w:tr>
      <w:tr w:rsidR="008B700F" w:rsidRPr="00CB5E91" w14:paraId="16FDFA39" w14:textId="77777777" w:rsidTr="009F632F">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833" w:type="pct"/>
            <w:shd w:val="clear" w:color="auto" w:fill="FBEED2" w:themeFill="accent6" w:themeFillTint="33"/>
            <w:hideMark/>
          </w:tcPr>
          <w:p w14:paraId="5DD45444" w14:textId="5916306F" w:rsidR="00057EE5" w:rsidRDefault="00F61EE5" w:rsidP="00F61EE5">
            <w:pPr>
              <w:pStyle w:val="TableBodyCopy"/>
              <w:rPr>
                <w:b w:val="0"/>
                <w:bCs w:val="0"/>
              </w:rPr>
            </w:pPr>
            <w:r w:rsidRPr="00CB5E91">
              <w:t>Outcome 2.1</w:t>
            </w:r>
          </w:p>
          <w:p w14:paraId="280629B9" w14:textId="58DC3E19" w:rsidR="00F61EE5" w:rsidRPr="00CB5E91" w:rsidRDefault="00F61EE5" w:rsidP="00F61EE5">
            <w:pPr>
              <w:pStyle w:val="TableBodyCopy"/>
            </w:pPr>
            <w:r w:rsidRPr="00057EE5">
              <w:rPr>
                <w:b w:val="0"/>
                <w:bCs w:val="0"/>
              </w:rPr>
              <w:t xml:space="preserve">Targeted economic institutions are more accountable and effective </w:t>
            </w:r>
            <w:proofErr w:type="gramStart"/>
            <w:r w:rsidRPr="00057EE5">
              <w:rPr>
                <w:b w:val="0"/>
                <w:bCs w:val="0"/>
              </w:rPr>
              <w:t>as a result of</w:t>
            </w:r>
            <w:proofErr w:type="gramEnd"/>
            <w:r w:rsidRPr="00057EE5">
              <w:rPr>
                <w:b w:val="0"/>
                <w:bCs w:val="0"/>
              </w:rPr>
              <w:t xml:space="preserve"> economic reforms</w:t>
            </w:r>
          </w:p>
        </w:tc>
        <w:tc>
          <w:tcPr>
            <w:tcW w:w="833" w:type="pct"/>
            <w:shd w:val="clear" w:color="auto" w:fill="FBEED2" w:themeFill="accent6" w:themeFillTint="33"/>
          </w:tcPr>
          <w:p w14:paraId="0F7B792C" w14:textId="02D7C244" w:rsidR="00F61EE5" w:rsidRPr="00CB5E91" w:rsidRDefault="00F61EE5" w:rsidP="00F61EE5">
            <w:pPr>
              <w:pStyle w:val="TableBodyCopy"/>
              <w:cnfStyle w:val="000000100000" w:firstRow="0" w:lastRow="0" w:firstColumn="0" w:lastColumn="0" w:oddVBand="0" w:evenVBand="0" w:oddHBand="1" w:evenHBand="0" w:firstRowFirstColumn="0" w:firstRowLastColumn="0" w:lastRowFirstColumn="0" w:lastRowLastColumn="0"/>
            </w:pPr>
            <w:r w:rsidRPr="00CB5E91">
              <w:t xml:space="preserve">2.1.1 </w:t>
            </w:r>
            <w:r w:rsidRPr="00BD58A5">
              <w:t xml:space="preserve">Inclusive and resilient economic reform in key economic sectors including public finance and infrastructure, renewable energy, telecommunications, digitalisation and others in line with the </w:t>
            </w:r>
            <w:r w:rsidRPr="00527252">
              <w:rPr>
                <w:i/>
                <w:iCs/>
              </w:rPr>
              <w:t xml:space="preserve">Philippine Development Plan </w:t>
            </w:r>
            <w:r w:rsidR="008D1C1E" w:rsidRPr="00527252">
              <w:rPr>
                <w:i/>
                <w:iCs/>
              </w:rPr>
              <w:t>2023–20</w:t>
            </w:r>
            <w:r w:rsidR="00527252" w:rsidRPr="00527252">
              <w:rPr>
                <w:i/>
                <w:iCs/>
              </w:rPr>
              <w:t>28</w:t>
            </w:r>
            <w:r w:rsidR="00527252">
              <w:t xml:space="preserve"> </w:t>
            </w:r>
            <w:r w:rsidRPr="00BD58A5">
              <w:t>and DPP</w:t>
            </w:r>
          </w:p>
        </w:tc>
        <w:tc>
          <w:tcPr>
            <w:tcW w:w="833" w:type="pct"/>
            <w:shd w:val="clear" w:color="auto" w:fill="FBEED2" w:themeFill="accent6" w:themeFillTint="33"/>
          </w:tcPr>
          <w:p w14:paraId="40F8D3B6" w14:textId="4721802E" w:rsidR="00F61EE5" w:rsidRPr="00CB5E91" w:rsidRDefault="00F61EE5" w:rsidP="00AB0E36">
            <w:pPr>
              <w:pStyle w:val="TableBodyCopy"/>
              <w:cnfStyle w:val="000000100000" w:firstRow="0" w:lastRow="0" w:firstColumn="0" w:lastColumn="0" w:oddVBand="0" w:evenVBand="0" w:oddHBand="1" w:evenHBand="0" w:firstRowFirstColumn="0" w:firstRowLastColumn="0" w:lastRowFirstColumn="0" w:lastRowLastColumn="0"/>
            </w:pPr>
            <w:r w:rsidRPr="00044A47">
              <w:rPr>
                <w:rFonts w:asciiTheme="majorHAnsi" w:eastAsia="Times New Roman" w:hAnsiTheme="majorHAnsi" w:cstheme="majorHAnsi"/>
                <w:lang w:eastAsia="en-AU"/>
              </w:rPr>
              <w:t>Impact evaluation conducted of Philippine Government programs (</w:t>
            </w:r>
            <w:r w:rsidRPr="008B700F">
              <w:rPr>
                <w:rFonts w:eastAsia="Times New Roman" w:cstheme="majorHAnsi"/>
                <w:lang w:eastAsia="en-AU"/>
              </w:rPr>
              <w:t>as requested</w:t>
            </w:r>
            <w:r w:rsidRPr="00044A47">
              <w:rPr>
                <w:rFonts w:asciiTheme="majorHAnsi" w:eastAsia="Times New Roman" w:hAnsiTheme="majorHAnsi" w:cstheme="majorHAnsi"/>
                <w:lang w:eastAsia="en-AU"/>
              </w:rPr>
              <w:t xml:space="preserve">) to inform the review of the </w:t>
            </w:r>
            <w:r w:rsidR="00AB3CA3" w:rsidRPr="00527252">
              <w:rPr>
                <w:rFonts w:asciiTheme="majorHAnsi" w:eastAsia="Times New Roman" w:hAnsiTheme="majorHAnsi" w:cstheme="majorHAnsi"/>
                <w:i/>
                <w:iCs/>
                <w:lang w:eastAsia="en-AU"/>
              </w:rPr>
              <w:t>Philippine D</w:t>
            </w:r>
            <w:r w:rsidRPr="00527252">
              <w:rPr>
                <w:rFonts w:asciiTheme="majorHAnsi" w:eastAsia="Times New Roman" w:hAnsiTheme="majorHAnsi" w:cstheme="majorHAnsi"/>
                <w:i/>
                <w:iCs/>
                <w:lang w:eastAsia="en-AU"/>
              </w:rPr>
              <w:t xml:space="preserve">evelopment </w:t>
            </w:r>
            <w:r w:rsidR="00AB3CA3" w:rsidRPr="00527252">
              <w:rPr>
                <w:rFonts w:asciiTheme="majorHAnsi" w:eastAsia="Times New Roman" w:hAnsiTheme="majorHAnsi" w:cstheme="majorHAnsi"/>
                <w:i/>
                <w:iCs/>
                <w:lang w:eastAsia="en-AU"/>
              </w:rPr>
              <w:t>P</w:t>
            </w:r>
            <w:r w:rsidRPr="00527252">
              <w:rPr>
                <w:rFonts w:asciiTheme="majorHAnsi" w:eastAsia="Times New Roman" w:hAnsiTheme="majorHAnsi" w:cstheme="majorHAnsi"/>
                <w:i/>
                <w:iCs/>
                <w:lang w:eastAsia="en-AU"/>
              </w:rPr>
              <w:t xml:space="preserve">lan </w:t>
            </w:r>
            <w:r w:rsidR="00527252" w:rsidRPr="00527252">
              <w:rPr>
                <w:rFonts w:asciiTheme="majorHAnsi" w:eastAsia="Times New Roman" w:hAnsiTheme="majorHAnsi" w:cstheme="majorHAnsi"/>
                <w:i/>
                <w:iCs/>
                <w:lang w:eastAsia="en-AU"/>
              </w:rPr>
              <w:t>2023–2028</w:t>
            </w:r>
            <w:r w:rsidR="00527252">
              <w:rPr>
                <w:rFonts w:asciiTheme="majorHAnsi" w:eastAsia="Times New Roman" w:hAnsiTheme="majorHAnsi" w:cstheme="majorHAnsi"/>
                <w:lang w:eastAsia="en-AU"/>
              </w:rPr>
              <w:t xml:space="preserve"> </w:t>
            </w:r>
            <w:r w:rsidRPr="00044A47">
              <w:rPr>
                <w:rFonts w:asciiTheme="majorHAnsi" w:eastAsia="Times New Roman" w:hAnsiTheme="majorHAnsi" w:cstheme="majorHAnsi"/>
                <w:lang w:eastAsia="en-AU"/>
              </w:rPr>
              <w:t>and/or national government development planning</w:t>
            </w:r>
          </w:p>
        </w:tc>
        <w:tc>
          <w:tcPr>
            <w:tcW w:w="833" w:type="pct"/>
            <w:shd w:val="clear" w:color="auto" w:fill="FBEED2" w:themeFill="accent6" w:themeFillTint="33"/>
          </w:tcPr>
          <w:p w14:paraId="24DEC3D0" w14:textId="6D73BD59" w:rsidR="00F61EE5" w:rsidRPr="00CB5E91" w:rsidRDefault="00F61EE5" w:rsidP="00F61EE5">
            <w:pPr>
              <w:pStyle w:val="TableBodyCopy"/>
              <w:cnfStyle w:val="000000100000" w:firstRow="0" w:lastRow="0" w:firstColumn="0" w:lastColumn="0" w:oddVBand="0" w:evenVBand="0" w:oddHBand="1" w:evenHBand="0" w:firstRowFirstColumn="0" w:firstRowLastColumn="0" w:lastRowFirstColumn="0" w:lastRowLastColumn="0"/>
            </w:pPr>
            <w:r w:rsidRPr="00044A47">
              <w:rPr>
                <w:rFonts w:asciiTheme="majorHAnsi" w:eastAsia="Times New Roman" w:hAnsiTheme="majorHAnsi" w:cstheme="majorHAnsi"/>
                <w:lang w:eastAsia="en-AU"/>
              </w:rPr>
              <w:t>Technical assistance and knowledge products provided in the design and implementation of Philippine Government reforms</w:t>
            </w:r>
            <w:r w:rsidR="00AB0E36">
              <w:rPr>
                <w:rFonts w:asciiTheme="majorHAnsi" w:eastAsia="Times New Roman" w:hAnsiTheme="majorHAnsi" w:cstheme="majorHAnsi"/>
                <w:lang w:eastAsia="en-AU"/>
              </w:rPr>
              <w:t>,</w:t>
            </w:r>
            <w:r w:rsidRPr="00044A47">
              <w:rPr>
                <w:rFonts w:asciiTheme="majorHAnsi" w:eastAsia="Times New Roman" w:hAnsiTheme="majorHAnsi" w:cstheme="majorHAnsi"/>
                <w:lang w:eastAsia="en-AU"/>
              </w:rPr>
              <w:t xml:space="preserve"> including on fiscal consolidation, transport and energy </w:t>
            </w:r>
            <w:r w:rsidRPr="00E07058">
              <w:rPr>
                <w:rFonts w:asciiTheme="majorHAnsi" w:eastAsia="Times New Roman" w:hAnsiTheme="majorHAnsi" w:cstheme="majorHAnsi"/>
                <w:lang w:eastAsia="en-AU"/>
              </w:rPr>
              <w:t>(</w:t>
            </w:r>
            <w:r w:rsidRPr="008B700F">
              <w:rPr>
                <w:rFonts w:asciiTheme="majorHAnsi" w:eastAsia="Times New Roman" w:hAnsiTheme="majorHAnsi" w:cstheme="majorHAnsi"/>
                <w:lang w:eastAsia="en-AU"/>
              </w:rPr>
              <w:t>based on P</w:t>
            </w:r>
            <w:r w:rsidR="00D536BE">
              <w:rPr>
                <w:rFonts w:asciiTheme="majorHAnsi" w:eastAsia="Times New Roman" w:hAnsiTheme="majorHAnsi" w:cstheme="majorHAnsi"/>
                <w:lang w:eastAsia="en-AU"/>
              </w:rPr>
              <w:t>hilippine</w:t>
            </w:r>
            <w:r w:rsidRPr="008B700F">
              <w:rPr>
                <w:rFonts w:asciiTheme="majorHAnsi" w:eastAsia="Times New Roman" w:hAnsiTheme="majorHAnsi" w:cstheme="majorHAnsi"/>
                <w:lang w:eastAsia="en-AU"/>
              </w:rPr>
              <w:t xml:space="preserve"> </w:t>
            </w:r>
            <w:r w:rsidR="00D536BE">
              <w:rPr>
                <w:rFonts w:asciiTheme="majorHAnsi" w:eastAsia="Times New Roman" w:hAnsiTheme="majorHAnsi" w:cstheme="majorHAnsi"/>
                <w:lang w:eastAsia="en-AU"/>
              </w:rPr>
              <w:t>G</w:t>
            </w:r>
            <w:r w:rsidRPr="008B700F">
              <w:rPr>
                <w:rFonts w:asciiTheme="majorHAnsi" w:eastAsia="Times New Roman" w:hAnsiTheme="majorHAnsi" w:cstheme="majorHAnsi"/>
                <w:lang w:eastAsia="en-AU"/>
              </w:rPr>
              <w:t>overnment priorities</w:t>
            </w:r>
            <w:r w:rsidRPr="00E07058">
              <w:rPr>
                <w:rFonts w:asciiTheme="majorHAnsi" w:eastAsia="Times New Roman" w:hAnsiTheme="majorHAnsi" w:cstheme="majorHAnsi"/>
                <w:lang w:eastAsia="en-AU"/>
              </w:rPr>
              <w:t>)</w:t>
            </w:r>
          </w:p>
        </w:tc>
        <w:tc>
          <w:tcPr>
            <w:tcW w:w="833" w:type="pct"/>
            <w:shd w:val="clear" w:color="auto" w:fill="FBEED2" w:themeFill="accent6" w:themeFillTint="33"/>
          </w:tcPr>
          <w:p w14:paraId="110ABC1C" w14:textId="519A7393" w:rsidR="00F61EE5" w:rsidRPr="00CB5E91" w:rsidRDefault="00F61EE5" w:rsidP="00220D57">
            <w:pPr>
              <w:pStyle w:val="TableBodyCopy"/>
              <w:cnfStyle w:val="000000100000" w:firstRow="0" w:lastRow="0" w:firstColumn="0" w:lastColumn="0" w:oddVBand="0" w:evenVBand="0" w:oddHBand="1" w:evenHBand="0" w:firstRowFirstColumn="0" w:firstRowLastColumn="0" w:lastRowFirstColumn="0" w:lastRowLastColumn="0"/>
            </w:pPr>
            <w:r w:rsidRPr="00044A47">
              <w:rPr>
                <w:lang w:eastAsia="en-AU"/>
              </w:rPr>
              <w:t xml:space="preserve">Select Philippine </w:t>
            </w:r>
            <w:r w:rsidR="00D536BE">
              <w:rPr>
                <w:lang w:eastAsia="en-AU"/>
              </w:rPr>
              <w:t>G</w:t>
            </w:r>
            <w:r w:rsidRPr="00044A47">
              <w:rPr>
                <w:lang w:eastAsia="en-AU"/>
              </w:rPr>
              <w:t xml:space="preserve">overnment agencies implement and adopt economic reforms in key sectors – as identified in the </w:t>
            </w:r>
            <w:r w:rsidR="00220D57" w:rsidRPr="00532EC9">
              <w:rPr>
                <w:i/>
                <w:iCs/>
                <w:lang w:eastAsia="en-AU"/>
              </w:rPr>
              <w:t xml:space="preserve">Philippine Development Plan </w:t>
            </w:r>
            <w:r w:rsidR="00527252" w:rsidRPr="00532EC9">
              <w:rPr>
                <w:i/>
                <w:iCs/>
                <w:lang w:eastAsia="en-AU"/>
              </w:rPr>
              <w:t>202</w:t>
            </w:r>
            <w:r w:rsidR="00532EC9" w:rsidRPr="00532EC9">
              <w:rPr>
                <w:i/>
                <w:iCs/>
                <w:lang w:eastAsia="en-AU"/>
              </w:rPr>
              <w:t>3–2028</w:t>
            </w:r>
            <w:r w:rsidR="00532EC9">
              <w:rPr>
                <w:lang w:eastAsia="en-AU"/>
              </w:rPr>
              <w:t xml:space="preserve"> </w:t>
            </w:r>
            <w:r w:rsidRPr="00044A47">
              <w:rPr>
                <w:lang w:eastAsia="en-AU"/>
              </w:rPr>
              <w:t>and DPP</w:t>
            </w:r>
          </w:p>
        </w:tc>
        <w:tc>
          <w:tcPr>
            <w:tcW w:w="833" w:type="pct"/>
            <w:shd w:val="clear" w:color="auto" w:fill="FBEED2" w:themeFill="accent6" w:themeFillTint="33"/>
          </w:tcPr>
          <w:p w14:paraId="0DF26156" w14:textId="3ECDC0C6" w:rsidR="00AB0E36" w:rsidRDefault="00AB0E36" w:rsidP="00220D57">
            <w:pPr>
              <w:pStyle w:val="TableBodyCopy"/>
              <w:cnfStyle w:val="000000100000" w:firstRow="0" w:lastRow="0" w:firstColumn="0" w:lastColumn="0" w:oddVBand="0" w:evenVBand="0" w:oddHBand="1" w:evenHBand="0" w:firstRowFirstColumn="0" w:firstRowLastColumn="0" w:lastRowFirstColumn="0" w:lastRowLastColumn="0"/>
            </w:pPr>
            <w:r>
              <w:t>SDG</w:t>
            </w:r>
            <w:r w:rsidR="00F61EE5" w:rsidRPr="008B700F">
              <w:t>1</w:t>
            </w:r>
            <w:r>
              <w:t xml:space="preserve">: </w:t>
            </w:r>
            <w:r w:rsidR="00A73BF5">
              <w:t>No poverty</w:t>
            </w:r>
          </w:p>
          <w:p w14:paraId="5A48E888" w14:textId="76692F83" w:rsidR="00AB0E36" w:rsidRDefault="00AB0E36" w:rsidP="00220D57">
            <w:pPr>
              <w:pStyle w:val="TableBodyCopy"/>
              <w:cnfStyle w:val="000000100000" w:firstRow="0" w:lastRow="0" w:firstColumn="0" w:lastColumn="0" w:oddVBand="0" w:evenVBand="0" w:oddHBand="1" w:evenHBand="0" w:firstRowFirstColumn="0" w:firstRowLastColumn="0" w:lastRowFirstColumn="0" w:lastRowLastColumn="0"/>
            </w:pPr>
            <w:r>
              <w:t>SDG</w:t>
            </w:r>
            <w:r w:rsidR="00F61EE5" w:rsidRPr="008B700F">
              <w:t>5</w:t>
            </w:r>
            <w:r>
              <w:t xml:space="preserve">: </w:t>
            </w:r>
            <w:r w:rsidR="00A73BF5">
              <w:t>Gender equality</w:t>
            </w:r>
          </w:p>
          <w:p w14:paraId="75065D47" w14:textId="3C50AEA6" w:rsidR="00AB0E36" w:rsidRDefault="00AB0E36" w:rsidP="00220D57">
            <w:pPr>
              <w:pStyle w:val="TableBodyCopy"/>
              <w:cnfStyle w:val="000000100000" w:firstRow="0" w:lastRow="0" w:firstColumn="0" w:lastColumn="0" w:oddVBand="0" w:evenVBand="0" w:oddHBand="1" w:evenHBand="0" w:firstRowFirstColumn="0" w:firstRowLastColumn="0" w:lastRowFirstColumn="0" w:lastRowLastColumn="0"/>
            </w:pPr>
            <w:r>
              <w:t>SDG</w:t>
            </w:r>
            <w:r w:rsidR="00F61EE5" w:rsidRPr="008B700F">
              <w:t>7</w:t>
            </w:r>
            <w:r>
              <w:t xml:space="preserve">: </w:t>
            </w:r>
            <w:r w:rsidR="00A73BF5">
              <w:t>Affordable and clean energy</w:t>
            </w:r>
          </w:p>
          <w:p w14:paraId="07605DDF" w14:textId="419CE960" w:rsidR="00F61EE5" w:rsidRPr="008B700F" w:rsidRDefault="00AB0E36" w:rsidP="008B700F">
            <w:pPr>
              <w:pStyle w:val="TableBodyCopy"/>
              <w:cnfStyle w:val="000000100000" w:firstRow="0" w:lastRow="0" w:firstColumn="0" w:lastColumn="0" w:oddVBand="0" w:evenVBand="0" w:oddHBand="1" w:evenHBand="0" w:firstRowFirstColumn="0" w:firstRowLastColumn="0" w:lastRowFirstColumn="0" w:lastRowLastColumn="0"/>
            </w:pPr>
            <w:r>
              <w:t>SDG</w:t>
            </w:r>
            <w:r w:rsidR="00F61EE5" w:rsidRPr="008B700F">
              <w:t>9</w:t>
            </w:r>
            <w:r>
              <w:t xml:space="preserve">: </w:t>
            </w:r>
            <w:r w:rsidR="00A73BF5">
              <w:t>Industry, innovation and infrastructure</w:t>
            </w:r>
          </w:p>
        </w:tc>
      </w:tr>
      <w:tr w:rsidR="008B700F" w:rsidRPr="00CB5E91" w14:paraId="61ACBC32" w14:textId="77777777" w:rsidTr="009F632F">
        <w:trPr>
          <w:trHeight w:val="692"/>
        </w:trPr>
        <w:tc>
          <w:tcPr>
            <w:cnfStyle w:val="001000000000" w:firstRow="0" w:lastRow="0" w:firstColumn="1" w:lastColumn="0" w:oddVBand="0" w:evenVBand="0" w:oddHBand="0" w:evenHBand="0" w:firstRowFirstColumn="0" w:firstRowLastColumn="0" w:lastRowFirstColumn="0" w:lastRowLastColumn="0"/>
            <w:tcW w:w="833" w:type="pct"/>
            <w:shd w:val="clear" w:color="auto" w:fill="FBEED2" w:themeFill="accent6" w:themeFillTint="33"/>
          </w:tcPr>
          <w:p w14:paraId="07383B80" w14:textId="3715FDED" w:rsidR="00F61EE5" w:rsidRPr="00CB5E91" w:rsidRDefault="00057EE5" w:rsidP="00F61EE5">
            <w:pPr>
              <w:pStyle w:val="TableBodyCopy"/>
            </w:pPr>
            <w:r w:rsidRPr="00CB5E91">
              <w:lastRenderedPageBreak/>
              <w:t>Outcome 2.1</w:t>
            </w:r>
          </w:p>
        </w:tc>
        <w:tc>
          <w:tcPr>
            <w:tcW w:w="833" w:type="pct"/>
            <w:shd w:val="clear" w:color="auto" w:fill="FBEED2" w:themeFill="accent6" w:themeFillTint="33"/>
          </w:tcPr>
          <w:p w14:paraId="134F4391" w14:textId="460F3959" w:rsidR="00F61EE5" w:rsidRPr="00E13BE7" w:rsidRDefault="00F61EE5" w:rsidP="00E13BE7">
            <w:pPr>
              <w:pStyle w:val="TableBodyCopy"/>
              <w:cnfStyle w:val="000000000000" w:firstRow="0" w:lastRow="0" w:firstColumn="0" w:lastColumn="0" w:oddVBand="0" w:evenVBand="0" w:oddHBand="0" w:evenHBand="0" w:firstRowFirstColumn="0" w:firstRowLastColumn="0" w:lastRowFirstColumn="0" w:lastRowLastColumn="0"/>
            </w:pPr>
            <w:r w:rsidRPr="00E13BE7">
              <w:t>2.1.2 Research and capacity</w:t>
            </w:r>
            <w:r w:rsidR="002F1DDC">
              <w:t>-development</w:t>
            </w:r>
            <w:r w:rsidRPr="00E13BE7">
              <w:t xml:space="preserve"> partnerships </w:t>
            </w:r>
            <w:r w:rsidR="003E187F">
              <w:t>that</w:t>
            </w:r>
            <w:r w:rsidR="003E187F" w:rsidRPr="00E13BE7">
              <w:t xml:space="preserve"> </w:t>
            </w:r>
            <w:r w:rsidRPr="00E13BE7">
              <w:t>enabl</w:t>
            </w:r>
            <w:r w:rsidR="003E187F">
              <w:t>e</w:t>
            </w:r>
            <w:r w:rsidRPr="00E13BE7">
              <w:t xml:space="preserve"> improvements in agrifood systems in support of economic advancement</w:t>
            </w:r>
          </w:p>
        </w:tc>
        <w:tc>
          <w:tcPr>
            <w:tcW w:w="833" w:type="pct"/>
            <w:shd w:val="clear" w:color="auto" w:fill="FBEED2" w:themeFill="accent6" w:themeFillTint="33"/>
          </w:tcPr>
          <w:p w14:paraId="62DFCFA4" w14:textId="65806A90" w:rsidR="00F61EE5" w:rsidRPr="00E13BE7" w:rsidRDefault="00F61EE5" w:rsidP="00F61EE5">
            <w:pPr>
              <w:pStyle w:val="TableBodyCopy"/>
              <w:cnfStyle w:val="000000000000" w:firstRow="0" w:lastRow="0" w:firstColumn="0" w:lastColumn="0" w:oddVBand="0" w:evenVBand="0" w:oddHBand="0" w:evenHBand="0" w:firstRowFirstColumn="0" w:firstRowLastColumn="0" w:lastRowFirstColumn="0" w:lastRowLastColumn="0"/>
            </w:pPr>
            <w:r w:rsidRPr="00E13BE7">
              <w:t xml:space="preserve">Soil and </w:t>
            </w:r>
            <w:r w:rsidR="003D2385">
              <w:t>l</w:t>
            </w:r>
            <w:r w:rsidRPr="00E13BE7">
              <w:t xml:space="preserve">and </w:t>
            </w:r>
            <w:r w:rsidR="003D2385">
              <w:t>m</w:t>
            </w:r>
            <w:r w:rsidRPr="00E13BE7">
              <w:t xml:space="preserve">anagement and </w:t>
            </w:r>
            <w:r w:rsidR="003D2385">
              <w:t>m</w:t>
            </w:r>
            <w:r w:rsidRPr="00E13BE7">
              <w:t>ango production are improved through research, evidence generation and capacity development</w:t>
            </w:r>
          </w:p>
        </w:tc>
        <w:tc>
          <w:tcPr>
            <w:tcW w:w="833" w:type="pct"/>
            <w:shd w:val="clear" w:color="auto" w:fill="FBEED2" w:themeFill="accent6" w:themeFillTint="33"/>
          </w:tcPr>
          <w:p w14:paraId="3F2DA8BC" w14:textId="0C33F174" w:rsidR="00F61EE5" w:rsidRPr="00E13BE7" w:rsidRDefault="00F61EE5" w:rsidP="00F61EE5">
            <w:pPr>
              <w:pStyle w:val="TableBodyCopy"/>
              <w:cnfStyle w:val="000000000000" w:firstRow="0" w:lastRow="0" w:firstColumn="0" w:lastColumn="0" w:oddVBand="0" w:evenVBand="0" w:oddHBand="0" w:evenHBand="0" w:firstRowFirstColumn="0" w:firstRowLastColumn="0" w:lastRowFirstColumn="0" w:lastRowLastColumn="0"/>
            </w:pPr>
            <w:r w:rsidRPr="00E13BE7">
              <w:t xml:space="preserve">Aquatic, </w:t>
            </w:r>
            <w:r w:rsidR="003D2385">
              <w:t>p</w:t>
            </w:r>
            <w:r w:rsidRPr="00E13BE7">
              <w:t xml:space="preserve">lant </w:t>
            </w:r>
            <w:r w:rsidR="003D2385">
              <w:t>p</w:t>
            </w:r>
            <w:r w:rsidRPr="00E13BE7">
              <w:t xml:space="preserve">est and </w:t>
            </w:r>
            <w:r w:rsidR="003D2385">
              <w:t>b</w:t>
            </w:r>
            <w:r w:rsidRPr="00E13BE7">
              <w:t>iosecurity are improved through research and evidence generation and capacity development</w:t>
            </w:r>
          </w:p>
        </w:tc>
        <w:tc>
          <w:tcPr>
            <w:tcW w:w="833" w:type="pct"/>
            <w:shd w:val="clear" w:color="auto" w:fill="FBEED2" w:themeFill="accent6" w:themeFillTint="33"/>
          </w:tcPr>
          <w:p w14:paraId="55AF0C30" w14:textId="746039BA" w:rsidR="00F61EE5" w:rsidRPr="00E13BE7" w:rsidRDefault="00F61EE5" w:rsidP="006212C5">
            <w:pPr>
              <w:pStyle w:val="TableBodyCopy"/>
              <w:cnfStyle w:val="000000000000" w:firstRow="0" w:lastRow="0" w:firstColumn="0" w:lastColumn="0" w:oddVBand="0" w:evenVBand="0" w:oddHBand="0" w:evenHBand="0" w:firstRowFirstColumn="0" w:firstRowLastColumn="0" w:lastRowFirstColumn="0" w:lastRowLastColumn="0"/>
            </w:pPr>
            <w:r w:rsidRPr="00E13BE7">
              <w:t>Inclusive value chains and maritime sector are improved through research and evidence generation and capacity development</w:t>
            </w:r>
          </w:p>
        </w:tc>
        <w:tc>
          <w:tcPr>
            <w:tcW w:w="833" w:type="pct"/>
            <w:shd w:val="clear" w:color="auto" w:fill="FBEED2" w:themeFill="accent6" w:themeFillTint="33"/>
          </w:tcPr>
          <w:p w14:paraId="623823FC" w14:textId="02234A1A" w:rsidR="000761FC" w:rsidRDefault="000761FC">
            <w:pPr>
              <w:pStyle w:val="TableBodyCopy"/>
              <w:cnfStyle w:val="000000000000" w:firstRow="0" w:lastRow="0" w:firstColumn="0" w:lastColumn="0" w:oddVBand="0" w:evenVBand="0" w:oddHBand="0" w:evenHBand="0" w:firstRowFirstColumn="0" w:firstRowLastColumn="0" w:lastRowFirstColumn="0" w:lastRowLastColumn="0"/>
            </w:pPr>
            <w:r>
              <w:t>SD</w:t>
            </w:r>
            <w:r w:rsidR="00F61EE5" w:rsidRPr="008B700F">
              <w:t>G2</w:t>
            </w:r>
            <w:r>
              <w:t xml:space="preserve">: </w:t>
            </w:r>
            <w:r w:rsidR="006479FB">
              <w:t>Zero hunger</w:t>
            </w:r>
          </w:p>
          <w:p w14:paraId="377369C0" w14:textId="59CDAE02" w:rsidR="00F61EE5" w:rsidRPr="008B700F" w:rsidRDefault="000761FC" w:rsidP="008B700F">
            <w:pPr>
              <w:pStyle w:val="TableBodyCopy"/>
              <w:cnfStyle w:val="000000000000" w:firstRow="0" w:lastRow="0" w:firstColumn="0" w:lastColumn="0" w:oddVBand="0" w:evenVBand="0" w:oddHBand="0" w:evenHBand="0" w:firstRowFirstColumn="0" w:firstRowLastColumn="0" w:lastRowFirstColumn="0" w:lastRowLastColumn="0"/>
            </w:pPr>
            <w:r>
              <w:t>SDG</w:t>
            </w:r>
            <w:r w:rsidR="00F61EE5" w:rsidRPr="008B700F">
              <w:t>14</w:t>
            </w:r>
            <w:r>
              <w:t xml:space="preserve">: </w:t>
            </w:r>
            <w:r w:rsidR="006479FB">
              <w:t>Life below water</w:t>
            </w:r>
          </w:p>
        </w:tc>
      </w:tr>
      <w:tr w:rsidR="008B700F" w:rsidRPr="00CB5E91" w14:paraId="7F494CCB" w14:textId="77777777" w:rsidTr="009F632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833" w:type="pct"/>
            <w:shd w:val="clear" w:color="auto" w:fill="FBEED2" w:themeFill="accent6" w:themeFillTint="33"/>
          </w:tcPr>
          <w:p w14:paraId="524F220D" w14:textId="42996EC6" w:rsidR="00057EE5" w:rsidRDefault="00F61EE5" w:rsidP="00F61EE5">
            <w:pPr>
              <w:pStyle w:val="TableBodyCopy"/>
              <w:rPr>
                <w:b w:val="0"/>
                <w:bCs w:val="0"/>
              </w:rPr>
            </w:pPr>
            <w:r w:rsidRPr="00CB5E91">
              <w:t>Outcome 2.2</w:t>
            </w:r>
          </w:p>
          <w:p w14:paraId="1C29D1FD" w14:textId="4DE7D7D0" w:rsidR="00F61EE5" w:rsidRPr="00057EE5" w:rsidRDefault="00F61EE5" w:rsidP="00F61EE5">
            <w:pPr>
              <w:pStyle w:val="TableBodyCopy"/>
              <w:rPr>
                <w:b w:val="0"/>
                <w:bCs w:val="0"/>
              </w:rPr>
            </w:pPr>
            <w:r w:rsidRPr="00057EE5">
              <w:rPr>
                <w:b w:val="0"/>
                <w:bCs w:val="0"/>
              </w:rPr>
              <w:t>Ease of doing business is improved and barriers to trade and investment are reduced</w:t>
            </w:r>
          </w:p>
        </w:tc>
        <w:tc>
          <w:tcPr>
            <w:tcW w:w="833" w:type="pct"/>
            <w:shd w:val="clear" w:color="auto" w:fill="FBEED2" w:themeFill="accent6" w:themeFillTint="33"/>
          </w:tcPr>
          <w:p w14:paraId="0B69A237" w14:textId="133B78ED" w:rsidR="00F61EE5" w:rsidRPr="00CB5E91" w:rsidRDefault="00F61EE5" w:rsidP="00F61EE5">
            <w:pPr>
              <w:pStyle w:val="TableBodyCopy"/>
              <w:cnfStyle w:val="000000100000" w:firstRow="0" w:lastRow="0" w:firstColumn="0" w:lastColumn="0" w:oddVBand="0" w:evenVBand="0" w:oddHBand="1" w:evenHBand="0" w:firstRowFirstColumn="0" w:firstRowLastColumn="0" w:lastRowFirstColumn="0" w:lastRowLastColumn="0"/>
            </w:pPr>
            <w:r w:rsidRPr="00B45AB7">
              <w:t xml:space="preserve">2.2.1 </w:t>
            </w:r>
            <w:r>
              <w:t>Enabled environment for business and reduced barriers to trade and investment through enhancing the capacities of key government institutions</w:t>
            </w:r>
          </w:p>
        </w:tc>
        <w:tc>
          <w:tcPr>
            <w:tcW w:w="833" w:type="pct"/>
            <w:shd w:val="clear" w:color="auto" w:fill="FBEED2" w:themeFill="accent6" w:themeFillTint="33"/>
          </w:tcPr>
          <w:p w14:paraId="6E80E082" w14:textId="19F38562" w:rsidR="00F61EE5" w:rsidRPr="00CB5E91" w:rsidRDefault="00F61EE5" w:rsidP="004E6C9E">
            <w:pPr>
              <w:pStyle w:val="TableBodyCopy"/>
              <w:cnfStyle w:val="000000100000" w:firstRow="0" w:lastRow="0" w:firstColumn="0" w:lastColumn="0" w:oddVBand="0" w:evenVBand="0" w:oddHBand="1" w:evenHBand="0" w:firstRowFirstColumn="0" w:firstRowLastColumn="0" w:lastRowFirstColumn="0" w:lastRowLastColumn="0"/>
            </w:pPr>
            <w:r w:rsidRPr="00EF759C">
              <w:t>Assessment of the regulatory and policy environment for business and investment</w:t>
            </w:r>
          </w:p>
        </w:tc>
        <w:tc>
          <w:tcPr>
            <w:tcW w:w="833" w:type="pct"/>
            <w:shd w:val="clear" w:color="auto" w:fill="FBEED2" w:themeFill="accent6" w:themeFillTint="33"/>
          </w:tcPr>
          <w:p w14:paraId="6131D4D5" w14:textId="775D1FA3" w:rsidR="00F61EE5" w:rsidRPr="00CB5E91" w:rsidRDefault="00F61EE5" w:rsidP="004E6C9E">
            <w:pPr>
              <w:pStyle w:val="TableBodyCopy"/>
              <w:cnfStyle w:val="000000100000" w:firstRow="0" w:lastRow="0" w:firstColumn="0" w:lastColumn="0" w:oddVBand="0" w:evenVBand="0" w:oddHBand="1" w:evenHBand="0" w:firstRowFirstColumn="0" w:firstRowLastColumn="0" w:lastRowFirstColumn="0" w:lastRowLastColumn="0"/>
            </w:pPr>
            <w:r w:rsidRPr="00EF759C">
              <w:t>Technical assistance and advice</w:t>
            </w:r>
            <w:r>
              <w:t xml:space="preserve"> are</w:t>
            </w:r>
            <w:r w:rsidRPr="00EF759C">
              <w:t xml:space="preserve"> provided to select government agencies to enhance policy and regulatory environment</w:t>
            </w:r>
          </w:p>
        </w:tc>
        <w:tc>
          <w:tcPr>
            <w:tcW w:w="833" w:type="pct"/>
            <w:shd w:val="clear" w:color="auto" w:fill="FBEED2" w:themeFill="accent6" w:themeFillTint="33"/>
          </w:tcPr>
          <w:p w14:paraId="4FBEE816" w14:textId="4A939A50" w:rsidR="00F61EE5" w:rsidRPr="008008C7" w:rsidRDefault="00F61EE5" w:rsidP="008B700F">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Economic policy reform design and implementation efforts</w:t>
            </w:r>
            <w:r w:rsidR="004F2341">
              <w:rPr>
                <w:lang w:eastAsia="en-AU"/>
              </w:rPr>
              <w:t>,</w:t>
            </w:r>
            <w:r>
              <w:rPr>
                <w:lang w:eastAsia="en-AU"/>
              </w:rPr>
              <w:t xml:space="preserve"> including on digital transformation</w:t>
            </w:r>
            <w:r w:rsidR="004F2341">
              <w:rPr>
                <w:lang w:eastAsia="en-AU"/>
              </w:rPr>
              <w:t>,</w:t>
            </w:r>
            <w:r>
              <w:rPr>
                <w:lang w:eastAsia="en-AU"/>
              </w:rPr>
              <w:t xml:space="preserve"> are informed by the analytical and technical assistance</w:t>
            </w:r>
          </w:p>
        </w:tc>
        <w:tc>
          <w:tcPr>
            <w:tcW w:w="833" w:type="pct"/>
            <w:shd w:val="clear" w:color="auto" w:fill="FBEED2" w:themeFill="accent6" w:themeFillTint="33"/>
          </w:tcPr>
          <w:p w14:paraId="69DA85BB" w14:textId="4C23D9E0" w:rsidR="00F61EE5" w:rsidRPr="008B700F" w:rsidRDefault="004E6C9E" w:rsidP="008B700F">
            <w:pPr>
              <w:pStyle w:val="TableBodyCopy"/>
              <w:cnfStyle w:val="000000100000" w:firstRow="0" w:lastRow="0" w:firstColumn="0" w:lastColumn="0" w:oddVBand="0" w:evenVBand="0" w:oddHBand="1" w:evenHBand="0" w:firstRowFirstColumn="0" w:firstRowLastColumn="0" w:lastRowFirstColumn="0" w:lastRowLastColumn="0"/>
            </w:pPr>
            <w:r>
              <w:t>SD</w:t>
            </w:r>
            <w:r w:rsidRPr="008B700F">
              <w:t>G</w:t>
            </w:r>
            <w:r w:rsidR="00F61EE5" w:rsidRPr="008B700F">
              <w:t>1</w:t>
            </w:r>
            <w:r w:rsidR="00FB0968">
              <w:t>, SDG</w:t>
            </w:r>
            <w:r w:rsidR="00F61EE5" w:rsidRPr="008B700F">
              <w:t xml:space="preserve">5, </w:t>
            </w:r>
            <w:r w:rsidR="00FB0968">
              <w:t>SDG</w:t>
            </w:r>
            <w:r w:rsidR="00F61EE5" w:rsidRPr="008B700F">
              <w:t>7</w:t>
            </w:r>
            <w:r w:rsidR="00FB0968">
              <w:t>,</w:t>
            </w:r>
            <w:r w:rsidR="00F61EE5" w:rsidRPr="008B700F">
              <w:t xml:space="preserve"> </w:t>
            </w:r>
            <w:r w:rsidR="00FB0968">
              <w:t>SDG</w:t>
            </w:r>
            <w:r w:rsidR="00F61EE5" w:rsidRPr="008B700F">
              <w:t>9</w:t>
            </w:r>
          </w:p>
        </w:tc>
      </w:tr>
      <w:tr w:rsidR="008B700F" w:rsidRPr="00CB5E91" w14:paraId="35F2F868" w14:textId="77777777" w:rsidTr="009F632F">
        <w:trPr>
          <w:cantSplit/>
          <w:trHeight w:val="276"/>
        </w:trPr>
        <w:tc>
          <w:tcPr>
            <w:cnfStyle w:val="001000000000" w:firstRow="0" w:lastRow="0" w:firstColumn="1" w:lastColumn="0" w:oddVBand="0" w:evenVBand="0" w:oddHBand="0" w:evenHBand="0" w:firstRowFirstColumn="0" w:firstRowLastColumn="0" w:lastRowFirstColumn="0" w:lastRowLastColumn="0"/>
            <w:tcW w:w="833" w:type="pct"/>
            <w:shd w:val="clear" w:color="auto" w:fill="FBEED2" w:themeFill="accent6" w:themeFillTint="33"/>
          </w:tcPr>
          <w:p w14:paraId="54AF71D6" w14:textId="166A3534" w:rsidR="00057EE5" w:rsidRDefault="00F25D69">
            <w:pPr>
              <w:pStyle w:val="TableBodyCopy"/>
              <w:rPr>
                <w:b w:val="0"/>
                <w:bCs w:val="0"/>
              </w:rPr>
            </w:pPr>
            <w:r w:rsidRPr="00CB5E91">
              <w:t>Outcome 2.3</w:t>
            </w:r>
          </w:p>
          <w:p w14:paraId="2F42D957" w14:textId="0A43C522" w:rsidR="00F25D69" w:rsidRPr="00057EE5" w:rsidRDefault="00F25D69">
            <w:pPr>
              <w:pStyle w:val="TableBodyCopy"/>
              <w:rPr>
                <w:b w:val="0"/>
                <w:bCs w:val="0"/>
              </w:rPr>
            </w:pPr>
            <w:r w:rsidRPr="00057EE5">
              <w:rPr>
                <w:b w:val="0"/>
                <w:bCs w:val="0"/>
              </w:rPr>
              <w:t>Women’s economic empowerment is supported through a more gender-sensitive business</w:t>
            </w:r>
            <w:r w:rsidR="004F2341">
              <w:rPr>
                <w:b w:val="0"/>
                <w:bCs w:val="0"/>
              </w:rPr>
              <w:t>-</w:t>
            </w:r>
            <w:r w:rsidRPr="00057EE5">
              <w:rPr>
                <w:b w:val="0"/>
                <w:bCs w:val="0"/>
              </w:rPr>
              <w:t>enabling and policy environment</w:t>
            </w:r>
          </w:p>
        </w:tc>
        <w:tc>
          <w:tcPr>
            <w:tcW w:w="833" w:type="pct"/>
            <w:shd w:val="clear" w:color="auto" w:fill="FBEED2" w:themeFill="accent6" w:themeFillTint="33"/>
          </w:tcPr>
          <w:p w14:paraId="3298AF4E" w14:textId="4ED1FC97" w:rsidR="00F25D69" w:rsidRPr="00CB5E91" w:rsidRDefault="00F25D69">
            <w:pPr>
              <w:pStyle w:val="TableBodyCopy"/>
              <w:cnfStyle w:val="000000000000" w:firstRow="0" w:lastRow="0" w:firstColumn="0" w:lastColumn="0" w:oddVBand="0" w:evenVBand="0" w:oddHBand="0" w:evenHBand="0" w:firstRowFirstColumn="0" w:firstRowLastColumn="0" w:lastRowFirstColumn="0" w:lastRowLastColumn="0"/>
            </w:pPr>
            <w:r w:rsidRPr="00CB5E91">
              <w:t>2.3.1 Number of women entrepreneurs and women’s organisations</w:t>
            </w:r>
            <w:r w:rsidR="00EF63CD">
              <w:t xml:space="preserve"> </w:t>
            </w:r>
            <w:r w:rsidR="004F2341">
              <w:t>supported</w:t>
            </w:r>
            <w:r w:rsidRPr="00CB5E91">
              <w:t xml:space="preserve"> with financial and/or business development services to promote women</w:t>
            </w:r>
            <w:r w:rsidR="00FB0968">
              <w:t>’</w:t>
            </w:r>
            <w:r w:rsidRPr="00CB5E91">
              <w:t>s economic empowerment</w:t>
            </w:r>
            <w:r w:rsidR="00353A1C">
              <w:t xml:space="preserve"> (Tier</w:t>
            </w:r>
            <w:r w:rsidR="00EF63CD">
              <w:t> </w:t>
            </w:r>
            <w:r w:rsidR="00353A1C">
              <w:t>2)</w:t>
            </w:r>
          </w:p>
        </w:tc>
        <w:tc>
          <w:tcPr>
            <w:tcW w:w="833" w:type="pct"/>
            <w:shd w:val="clear" w:color="auto" w:fill="FBEED2" w:themeFill="accent6" w:themeFillTint="33"/>
          </w:tcPr>
          <w:p w14:paraId="196911B9" w14:textId="0B86F99A" w:rsidR="00F25D69" w:rsidRPr="00CB5E91" w:rsidRDefault="00F25D69" w:rsidP="00B955B8">
            <w:pPr>
              <w:pStyle w:val="TableBodyCopy"/>
              <w:cnfStyle w:val="000000000000" w:firstRow="0" w:lastRow="0" w:firstColumn="0" w:lastColumn="0" w:oddVBand="0" w:evenVBand="0" w:oddHBand="0" w:evenHBand="0" w:firstRowFirstColumn="0" w:firstRowLastColumn="0" w:lastRowFirstColumn="0" w:lastRowLastColumn="0"/>
            </w:pPr>
            <w:r w:rsidRPr="00CB5E91">
              <w:t>203</w:t>
            </w:r>
            <w:r w:rsidR="00414283">
              <w:t> </w:t>
            </w:r>
            <w:r w:rsidRPr="00CB5E91">
              <w:t xml:space="preserve">women entrepreneurs; </w:t>
            </w:r>
            <w:r w:rsidR="00FB0968">
              <w:t>2</w:t>
            </w:r>
            <w:r w:rsidR="00414283">
              <w:t> </w:t>
            </w:r>
            <w:r w:rsidRPr="00CB5E91">
              <w:t>organisation</w:t>
            </w:r>
            <w:r w:rsidR="009F41F3">
              <w:t>s</w:t>
            </w:r>
            <w:r w:rsidRPr="00CB5E91">
              <w:t>/</w:t>
            </w:r>
            <w:r w:rsidR="006C75CF">
              <w:br/>
            </w:r>
            <w:r w:rsidRPr="00CB5E91">
              <w:t>associations</w:t>
            </w:r>
          </w:p>
        </w:tc>
        <w:tc>
          <w:tcPr>
            <w:tcW w:w="833" w:type="pct"/>
            <w:shd w:val="clear" w:color="auto" w:fill="FBEED2" w:themeFill="accent6" w:themeFillTint="33"/>
          </w:tcPr>
          <w:p w14:paraId="6ED9AD16" w14:textId="1685FAEF" w:rsidR="00F25D69" w:rsidRPr="00CB5E91" w:rsidRDefault="00F25D69" w:rsidP="001D6796">
            <w:pPr>
              <w:pStyle w:val="TableBodyCopy"/>
              <w:cnfStyle w:val="000000000000" w:firstRow="0" w:lastRow="0" w:firstColumn="0" w:lastColumn="0" w:oddVBand="0" w:evenVBand="0" w:oddHBand="0" w:evenHBand="0" w:firstRowFirstColumn="0" w:firstRowLastColumn="0" w:lastRowFirstColumn="0" w:lastRowLastColumn="0"/>
            </w:pPr>
            <w:r w:rsidRPr="00CB5E91">
              <w:t>253</w:t>
            </w:r>
            <w:r w:rsidR="00414283">
              <w:t> </w:t>
            </w:r>
            <w:r w:rsidRPr="00CB5E91">
              <w:t xml:space="preserve">women entrepreneurs; </w:t>
            </w:r>
            <w:r w:rsidR="009F41F3">
              <w:t>5 </w:t>
            </w:r>
            <w:r w:rsidRPr="00CB5E91">
              <w:t>organisation</w:t>
            </w:r>
            <w:r w:rsidR="009F41F3">
              <w:t>s</w:t>
            </w:r>
            <w:r w:rsidRPr="00CB5E91">
              <w:t>/</w:t>
            </w:r>
            <w:r w:rsidR="006C75CF">
              <w:br/>
            </w:r>
            <w:r w:rsidRPr="00CB5E91">
              <w:t>associations</w:t>
            </w:r>
          </w:p>
        </w:tc>
        <w:tc>
          <w:tcPr>
            <w:tcW w:w="833" w:type="pct"/>
            <w:shd w:val="clear" w:color="auto" w:fill="FBEED2" w:themeFill="accent6" w:themeFillTint="33"/>
          </w:tcPr>
          <w:p w14:paraId="2FD21EC1" w14:textId="530DF86B" w:rsidR="00F25D69" w:rsidRPr="00CB5E91" w:rsidRDefault="00F25D69" w:rsidP="006212C5">
            <w:pPr>
              <w:pStyle w:val="TableBodyCopy"/>
              <w:cnfStyle w:val="000000000000" w:firstRow="0" w:lastRow="0" w:firstColumn="0" w:lastColumn="0" w:oddVBand="0" w:evenVBand="0" w:oddHBand="0" w:evenHBand="0" w:firstRowFirstColumn="0" w:firstRowLastColumn="0" w:lastRowFirstColumn="0" w:lastRowLastColumn="0"/>
            </w:pPr>
            <w:r w:rsidRPr="00CB5E91">
              <w:t>65</w:t>
            </w:r>
            <w:r w:rsidR="00414283">
              <w:t> </w:t>
            </w:r>
            <w:r w:rsidRPr="00CB5E91">
              <w:t xml:space="preserve">women entrepreneurs; </w:t>
            </w:r>
            <w:r w:rsidR="009F41F3">
              <w:t>7</w:t>
            </w:r>
            <w:r w:rsidR="00414283">
              <w:t> </w:t>
            </w:r>
            <w:r w:rsidRPr="00CB5E91">
              <w:t>organisation</w:t>
            </w:r>
            <w:r w:rsidR="009F41F3">
              <w:t>s</w:t>
            </w:r>
            <w:r w:rsidRPr="00CB5E91">
              <w:t>/</w:t>
            </w:r>
            <w:r w:rsidR="006C75CF">
              <w:br/>
            </w:r>
            <w:r w:rsidRPr="00CB5E91">
              <w:t>associations</w:t>
            </w:r>
          </w:p>
        </w:tc>
        <w:tc>
          <w:tcPr>
            <w:tcW w:w="833" w:type="pct"/>
            <w:shd w:val="clear" w:color="auto" w:fill="FBEED2" w:themeFill="accent6" w:themeFillTint="33"/>
          </w:tcPr>
          <w:p w14:paraId="2AF28C09" w14:textId="4AB020B7" w:rsidR="00F25D69" w:rsidRPr="008B700F" w:rsidRDefault="009F41F3" w:rsidP="008B700F">
            <w:pPr>
              <w:pStyle w:val="TableBodyCopy"/>
              <w:cnfStyle w:val="000000000000" w:firstRow="0" w:lastRow="0" w:firstColumn="0" w:lastColumn="0" w:oddVBand="0" w:evenVBand="0" w:oddHBand="0" w:evenHBand="0" w:firstRowFirstColumn="0" w:firstRowLastColumn="0" w:lastRowFirstColumn="0" w:lastRowLastColumn="0"/>
            </w:pPr>
            <w:r>
              <w:t>SDG</w:t>
            </w:r>
            <w:r w:rsidR="00F25D69" w:rsidRPr="008B700F">
              <w:t xml:space="preserve">5, </w:t>
            </w:r>
            <w:r>
              <w:t>SDG</w:t>
            </w:r>
            <w:r w:rsidR="00F25D69" w:rsidRPr="008B700F">
              <w:t>8</w:t>
            </w:r>
            <w:r>
              <w:t>: Decent work and economic growth,</w:t>
            </w:r>
            <w:r w:rsidR="00F25D69" w:rsidRPr="008B700F">
              <w:t xml:space="preserve"> </w:t>
            </w:r>
            <w:r>
              <w:t>SDG</w:t>
            </w:r>
            <w:r w:rsidR="00F25D69" w:rsidRPr="008B700F">
              <w:t>16</w:t>
            </w:r>
            <w:r>
              <w:t>:</w:t>
            </w:r>
            <w:r w:rsidR="008462B1">
              <w:t xml:space="preserve"> Peace, justice and strong institutions</w:t>
            </w:r>
          </w:p>
        </w:tc>
      </w:tr>
      <w:tr w:rsidR="008B700F" w:rsidRPr="00CB5E91" w14:paraId="387D9D5D" w14:textId="77777777" w:rsidTr="009F632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3" w:type="pct"/>
            <w:shd w:val="clear" w:color="auto" w:fill="FBEED2" w:themeFill="accent6" w:themeFillTint="33"/>
          </w:tcPr>
          <w:p w14:paraId="2B2B54DE" w14:textId="4EFE0393" w:rsidR="00F25D69" w:rsidRPr="00CB5E91" w:rsidRDefault="004706BC">
            <w:pPr>
              <w:pStyle w:val="TableBodyCopy"/>
            </w:pPr>
            <w:r w:rsidRPr="00CB5E91">
              <w:t>Outcome 2.3</w:t>
            </w:r>
          </w:p>
        </w:tc>
        <w:tc>
          <w:tcPr>
            <w:tcW w:w="833" w:type="pct"/>
            <w:shd w:val="clear" w:color="auto" w:fill="FBEED2" w:themeFill="accent6" w:themeFillTint="33"/>
          </w:tcPr>
          <w:p w14:paraId="3863A20A" w14:textId="6C88B9CE" w:rsidR="00F25D69" w:rsidRPr="00CB5E91" w:rsidRDefault="00F25D69">
            <w:pPr>
              <w:pStyle w:val="TableBodyCopy"/>
              <w:cnfStyle w:val="000000100000" w:firstRow="0" w:lastRow="0" w:firstColumn="0" w:lastColumn="0" w:oddVBand="0" w:evenVBand="0" w:oddHBand="1" w:evenHBand="0" w:firstRowFirstColumn="0" w:firstRowLastColumn="0" w:lastRowFirstColumn="0" w:lastRowLastColumn="0"/>
            </w:pPr>
            <w:r>
              <w:t>2.3.2 Workplace gender equality is improved in key partner companies</w:t>
            </w:r>
          </w:p>
        </w:tc>
        <w:tc>
          <w:tcPr>
            <w:tcW w:w="833" w:type="pct"/>
            <w:shd w:val="clear" w:color="auto" w:fill="FBEED2" w:themeFill="accent6" w:themeFillTint="33"/>
          </w:tcPr>
          <w:p w14:paraId="614C27DB" w14:textId="6235264C" w:rsidR="00F25D69" w:rsidRPr="00CB5E91" w:rsidRDefault="002F1001" w:rsidP="008462B1">
            <w:pPr>
              <w:pStyle w:val="TableBodyCopy"/>
              <w:cnfStyle w:val="000000100000" w:firstRow="0" w:lastRow="0" w:firstColumn="0" w:lastColumn="0" w:oddVBand="0" w:evenVBand="0" w:oddHBand="1" w:evenHBand="0" w:firstRowFirstColumn="0" w:firstRowLastColumn="0" w:lastRowFirstColumn="0" w:lastRowLastColumn="0"/>
            </w:pPr>
            <w:r>
              <w:t>Support provided on w</w:t>
            </w:r>
            <w:r w:rsidR="00F25D69" w:rsidRPr="0041641A">
              <w:t xml:space="preserve">orkplace gender equality to </w:t>
            </w:r>
            <w:r w:rsidR="00F25D69">
              <w:t xml:space="preserve">partner companies </w:t>
            </w:r>
            <w:r w:rsidR="00F25D69" w:rsidRPr="0041641A">
              <w:t>to improve workplace gender equality practices</w:t>
            </w:r>
          </w:p>
        </w:tc>
        <w:tc>
          <w:tcPr>
            <w:tcW w:w="833" w:type="pct"/>
            <w:shd w:val="clear" w:color="auto" w:fill="FBEED2" w:themeFill="accent6" w:themeFillTint="33"/>
          </w:tcPr>
          <w:p w14:paraId="41A1EEAD" w14:textId="2FEB5848" w:rsidR="00F25D69" w:rsidRPr="00CB5E91" w:rsidRDefault="00F25D69">
            <w:pPr>
              <w:pStyle w:val="TableBodyCopy"/>
              <w:cnfStyle w:val="000000100000" w:firstRow="0" w:lastRow="0" w:firstColumn="0" w:lastColumn="0" w:oddVBand="0" w:evenVBand="0" w:oddHBand="1" w:evenHBand="0" w:firstRowFirstColumn="0" w:firstRowLastColumn="0" w:lastRowFirstColumn="0" w:lastRowLastColumn="0"/>
            </w:pPr>
            <w:r>
              <w:t>S</w:t>
            </w:r>
            <w:r w:rsidRPr="0041641A">
              <w:t>upport</w:t>
            </w:r>
            <w:r w:rsidR="00E60A36">
              <w:t xml:space="preserve"> </w:t>
            </w:r>
            <w:r>
              <w:t>provided on</w:t>
            </w:r>
            <w:r w:rsidRPr="0041641A">
              <w:t xml:space="preserve"> implementation or changes to key </w:t>
            </w:r>
            <w:r>
              <w:t xml:space="preserve">workplace gender equality </w:t>
            </w:r>
            <w:r w:rsidRPr="0041641A">
              <w:t xml:space="preserve">policies within </w:t>
            </w:r>
            <w:r>
              <w:t xml:space="preserve">partner companies </w:t>
            </w:r>
            <w:r w:rsidRPr="0041641A">
              <w:t xml:space="preserve">and/or </w:t>
            </w:r>
            <w:r w:rsidR="00C4065E">
              <w:t>g</w:t>
            </w:r>
            <w:r w:rsidRPr="0041641A">
              <w:t>overnment</w:t>
            </w:r>
          </w:p>
        </w:tc>
        <w:tc>
          <w:tcPr>
            <w:tcW w:w="833" w:type="pct"/>
            <w:shd w:val="clear" w:color="auto" w:fill="FBEED2" w:themeFill="accent6" w:themeFillTint="33"/>
          </w:tcPr>
          <w:p w14:paraId="7C4E2ED2" w14:textId="42D95D60" w:rsidR="00F25D69" w:rsidRPr="00CB5E91" w:rsidRDefault="00F25D69">
            <w:pPr>
              <w:pStyle w:val="TableBodyCopy"/>
              <w:cnfStyle w:val="000000100000" w:firstRow="0" w:lastRow="0" w:firstColumn="0" w:lastColumn="0" w:oddVBand="0" w:evenVBand="0" w:oddHBand="1" w:evenHBand="0" w:firstRowFirstColumn="0" w:firstRowLastColumn="0" w:lastRowFirstColumn="0" w:lastRowLastColumn="0"/>
            </w:pPr>
            <w:r w:rsidRPr="007743FC">
              <w:t xml:space="preserve">Partner </w:t>
            </w:r>
            <w:r w:rsidR="003E6143">
              <w:t>companies</w:t>
            </w:r>
            <w:r w:rsidRPr="007743FC">
              <w:t xml:space="preserve"> adopting and beginning to implement policy changes, strategies and practices that increase workplace gender</w:t>
            </w:r>
            <w:r>
              <w:t xml:space="preserve"> </w:t>
            </w:r>
            <w:r w:rsidRPr="007743FC">
              <w:t>equality</w:t>
            </w:r>
          </w:p>
        </w:tc>
        <w:tc>
          <w:tcPr>
            <w:tcW w:w="833" w:type="pct"/>
            <w:shd w:val="clear" w:color="auto" w:fill="FBEED2" w:themeFill="accent6" w:themeFillTint="33"/>
          </w:tcPr>
          <w:p w14:paraId="5E673588" w14:textId="57A156A7" w:rsidR="00F25D69" w:rsidRPr="00CB5E91" w:rsidRDefault="008462B1" w:rsidP="008B700F">
            <w:pPr>
              <w:pStyle w:val="TableBodyCopy"/>
              <w:cnfStyle w:val="000000100000" w:firstRow="0" w:lastRow="0" w:firstColumn="0" w:lastColumn="0" w:oddVBand="0" w:evenVBand="0" w:oddHBand="1" w:evenHBand="0" w:firstRowFirstColumn="0" w:firstRowLastColumn="0" w:lastRowFirstColumn="0" w:lastRowLastColumn="0"/>
            </w:pPr>
            <w:r>
              <w:t>SDG</w:t>
            </w:r>
            <w:r w:rsidR="001F3011" w:rsidRPr="00CB5E91">
              <w:t xml:space="preserve">5, </w:t>
            </w:r>
            <w:r>
              <w:t>SDG</w:t>
            </w:r>
            <w:r w:rsidR="001F3011" w:rsidRPr="00CB5E91">
              <w:t>8</w:t>
            </w:r>
            <w:r>
              <w:t>, SDG</w:t>
            </w:r>
            <w:r w:rsidR="001F3011" w:rsidRPr="00CB5E91">
              <w:t>16</w:t>
            </w:r>
          </w:p>
        </w:tc>
      </w:tr>
      <w:tr w:rsidR="008B700F" w:rsidRPr="00CB5E91" w14:paraId="65A58692" w14:textId="77777777" w:rsidTr="009F632F">
        <w:trPr>
          <w:cantSplit/>
          <w:trHeight w:val="276"/>
        </w:trPr>
        <w:tc>
          <w:tcPr>
            <w:cnfStyle w:val="001000000000" w:firstRow="0" w:lastRow="0" w:firstColumn="1" w:lastColumn="0" w:oddVBand="0" w:evenVBand="0" w:oddHBand="0" w:evenHBand="0" w:firstRowFirstColumn="0" w:firstRowLastColumn="0" w:lastRowFirstColumn="0" w:lastRowLastColumn="0"/>
            <w:tcW w:w="833" w:type="pct"/>
            <w:shd w:val="clear" w:color="auto" w:fill="FBEED2" w:themeFill="accent6" w:themeFillTint="33"/>
          </w:tcPr>
          <w:p w14:paraId="05235F97" w14:textId="1BDD5BB6" w:rsidR="00F25D69" w:rsidRPr="00CB5E91" w:rsidRDefault="004706BC">
            <w:pPr>
              <w:pStyle w:val="TableBodyCopy"/>
            </w:pPr>
            <w:r w:rsidRPr="00CB5E91">
              <w:lastRenderedPageBreak/>
              <w:t>Outcome 2.3</w:t>
            </w:r>
          </w:p>
        </w:tc>
        <w:tc>
          <w:tcPr>
            <w:tcW w:w="833" w:type="pct"/>
            <w:shd w:val="clear" w:color="auto" w:fill="FBEED2" w:themeFill="accent6" w:themeFillTint="33"/>
          </w:tcPr>
          <w:p w14:paraId="3916D2B0" w14:textId="03A7B9D8" w:rsidR="00F25D69" w:rsidRPr="00CB5E91" w:rsidRDefault="00F25D69" w:rsidP="003E6143">
            <w:pPr>
              <w:pStyle w:val="TableBodyCopy"/>
              <w:cnfStyle w:val="000000000000" w:firstRow="0" w:lastRow="0" w:firstColumn="0" w:lastColumn="0" w:oddVBand="0" w:evenVBand="0" w:oddHBand="0" w:evenHBand="0" w:firstRowFirstColumn="0" w:firstRowLastColumn="0" w:lastRowFirstColumn="0" w:lastRowLastColumn="0"/>
            </w:pPr>
            <w:r>
              <w:t xml:space="preserve">2.3.3 </w:t>
            </w:r>
            <w:r w:rsidR="003E6143">
              <w:t>The</w:t>
            </w:r>
            <w:r>
              <w:t xml:space="preserve"> care econom</w:t>
            </w:r>
            <w:r w:rsidR="002F1001">
              <w:t>y</w:t>
            </w:r>
            <w:r>
              <w:t xml:space="preserve"> and/or women’s economic empowerment policies and regulations show progress toward</w:t>
            </w:r>
            <w:r w:rsidR="00BC1660">
              <w:t>s</w:t>
            </w:r>
            <w:r>
              <w:t xml:space="preserve"> gender equality</w:t>
            </w:r>
          </w:p>
        </w:tc>
        <w:tc>
          <w:tcPr>
            <w:tcW w:w="833" w:type="pct"/>
            <w:shd w:val="clear" w:color="auto" w:fill="FBEED2" w:themeFill="accent6" w:themeFillTint="33"/>
          </w:tcPr>
          <w:p w14:paraId="3B9D7192" w14:textId="0A363933" w:rsidR="00F25D69" w:rsidRPr="00CB5E91" w:rsidRDefault="00F25D69" w:rsidP="00F25D69">
            <w:pPr>
              <w:pStyle w:val="TableBodyCopy"/>
              <w:cnfStyle w:val="000000000000" w:firstRow="0" w:lastRow="0" w:firstColumn="0" w:lastColumn="0" w:oddVBand="0" w:evenVBand="0" w:oddHBand="0" w:evenHBand="0" w:firstRowFirstColumn="0" w:firstRowLastColumn="0" w:lastRowFirstColumn="0" w:lastRowLastColumn="0"/>
            </w:pPr>
            <w:r w:rsidRPr="0041641A">
              <w:t xml:space="preserve">Evidence </w:t>
            </w:r>
            <w:r>
              <w:t xml:space="preserve">produced on </w:t>
            </w:r>
            <w:r w:rsidRPr="0041641A">
              <w:t xml:space="preserve">the business case </w:t>
            </w:r>
            <w:r>
              <w:t xml:space="preserve">for the </w:t>
            </w:r>
            <w:r w:rsidRPr="0041641A">
              <w:t xml:space="preserve">care economy and/or women’s economic </w:t>
            </w:r>
            <w:r>
              <w:t>empowerment</w:t>
            </w:r>
            <w:r w:rsidRPr="0041641A">
              <w:t xml:space="preserve"> policies</w:t>
            </w:r>
          </w:p>
        </w:tc>
        <w:tc>
          <w:tcPr>
            <w:tcW w:w="833" w:type="pct"/>
            <w:shd w:val="clear" w:color="auto" w:fill="FBEED2" w:themeFill="accent6" w:themeFillTint="33"/>
          </w:tcPr>
          <w:p w14:paraId="221ABA65" w14:textId="7E9899BA" w:rsidR="00F25D69" w:rsidRPr="00CB5E91" w:rsidRDefault="00F25D69">
            <w:pPr>
              <w:pStyle w:val="TableBodyCopy"/>
              <w:cnfStyle w:val="000000000000" w:firstRow="0" w:lastRow="0" w:firstColumn="0" w:lastColumn="0" w:oddVBand="0" w:evenVBand="0" w:oddHBand="0" w:evenHBand="0" w:firstRowFirstColumn="0" w:firstRowLastColumn="0" w:lastRowFirstColumn="0" w:lastRowLastColumn="0"/>
            </w:pPr>
            <w:r>
              <w:t>S</w:t>
            </w:r>
            <w:r w:rsidRPr="0041641A">
              <w:t xml:space="preserve">takeholders </w:t>
            </w:r>
            <w:r>
              <w:t xml:space="preserve">supported </w:t>
            </w:r>
            <w:r w:rsidRPr="0041641A">
              <w:t xml:space="preserve">in the discussion and advocacy of care economy and/or women’s economic </w:t>
            </w:r>
            <w:r>
              <w:t xml:space="preserve">empowerment </w:t>
            </w:r>
            <w:r w:rsidRPr="0041641A">
              <w:t>policies</w:t>
            </w:r>
          </w:p>
        </w:tc>
        <w:tc>
          <w:tcPr>
            <w:tcW w:w="833" w:type="pct"/>
            <w:shd w:val="clear" w:color="auto" w:fill="FBEED2" w:themeFill="accent6" w:themeFillTint="33"/>
          </w:tcPr>
          <w:p w14:paraId="766D6BB0" w14:textId="20D05114" w:rsidR="00F25D69" w:rsidRPr="00CB5E91" w:rsidRDefault="00F25D69">
            <w:pPr>
              <w:pStyle w:val="TableBodyCopy"/>
              <w:cnfStyle w:val="000000000000" w:firstRow="0" w:lastRow="0" w:firstColumn="0" w:lastColumn="0" w:oddVBand="0" w:evenVBand="0" w:oddHBand="0" w:evenHBand="0" w:firstRowFirstColumn="0" w:firstRowLastColumn="0" w:lastRowFirstColumn="0" w:lastRowLastColumn="0"/>
            </w:pPr>
            <w:r w:rsidRPr="007743FC">
              <w:t xml:space="preserve">Evidence of </w:t>
            </w:r>
            <w:r>
              <w:t xml:space="preserve">private sector and/or Philippine Government </w:t>
            </w:r>
            <w:r w:rsidRPr="007743FC">
              <w:t xml:space="preserve">stakeholders’ </w:t>
            </w:r>
            <w:r>
              <w:t xml:space="preserve">advocacy impacting </w:t>
            </w:r>
            <w:r w:rsidRPr="007743FC">
              <w:t xml:space="preserve">the approach to </w:t>
            </w:r>
            <w:r>
              <w:t xml:space="preserve">the </w:t>
            </w:r>
            <w:r w:rsidRPr="007743FC">
              <w:t xml:space="preserve">care economy and/or women’s economic </w:t>
            </w:r>
            <w:r>
              <w:t>empowerment</w:t>
            </w:r>
            <w:r w:rsidR="00210584">
              <w:t xml:space="preserve"> policies</w:t>
            </w:r>
          </w:p>
        </w:tc>
        <w:tc>
          <w:tcPr>
            <w:tcW w:w="833" w:type="pct"/>
            <w:shd w:val="clear" w:color="auto" w:fill="FBEED2" w:themeFill="accent6" w:themeFillTint="33"/>
          </w:tcPr>
          <w:p w14:paraId="5EC92537" w14:textId="2C8F246A" w:rsidR="00F25D69" w:rsidRPr="00CB5E91" w:rsidRDefault="008462B1" w:rsidP="008B700F">
            <w:pPr>
              <w:pStyle w:val="TableBodyCopy"/>
              <w:cnfStyle w:val="000000000000" w:firstRow="0" w:lastRow="0" w:firstColumn="0" w:lastColumn="0" w:oddVBand="0" w:evenVBand="0" w:oddHBand="0" w:evenHBand="0" w:firstRowFirstColumn="0" w:firstRowLastColumn="0" w:lastRowFirstColumn="0" w:lastRowLastColumn="0"/>
            </w:pPr>
            <w:r>
              <w:t>SDG</w:t>
            </w:r>
            <w:r w:rsidR="001F3011" w:rsidRPr="00CB5E91">
              <w:t xml:space="preserve">5, </w:t>
            </w:r>
            <w:r>
              <w:t>SDG</w:t>
            </w:r>
            <w:r w:rsidR="001F3011" w:rsidRPr="00CB5E91">
              <w:t>8</w:t>
            </w:r>
            <w:r>
              <w:t>,</w:t>
            </w:r>
            <w:r w:rsidR="001F3011" w:rsidRPr="00CB5E91">
              <w:t xml:space="preserve"> </w:t>
            </w:r>
            <w:r>
              <w:t>SDG</w:t>
            </w:r>
            <w:r w:rsidR="001F3011" w:rsidRPr="00CB5E91">
              <w:t>16</w:t>
            </w:r>
          </w:p>
        </w:tc>
      </w:tr>
      <w:tr w:rsidR="008B700F" w:rsidRPr="00CB5E91" w14:paraId="2B269BDB" w14:textId="77777777" w:rsidTr="009F632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3" w:type="pct"/>
            <w:shd w:val="clear" w:color="auto" w:fill="FBEED2" w:themeFill="accent6" w:themeFillTint="33"/>
          </w:tcPr>
          <w:p w14:paraId="586964DE" w14:textId="0A74CEB4" w:rsidR="005B6F71" w:rsidRDefault="00E2349E">
            <w:pPr>
              <w:pStyle w:val="TableBodyCopy"/>
              <w:rPr>
                <w:b w:val="0"/>
                <w:bCs w:val="0"/>
              </w:rPr>
            </w:pPr>
            <w:r w:rsidRPr="00CB5E91">
              <w:t>Outcome 2.4</w:t>
            </w:r>
          </w:p>
          <w:p w14:paraId="4C880C66" w14:textId="52EC9051" w:rsidR="00E2349E" w:rsidRPr="00CB5E91" w:rsidRDefault="00E2349E">
            <w:pPr>
              <w:pStyle w:val="TableBodyCopy"/>
            </w:pPr>
            <w:r w:rsidRPr="004706BC">
              <w:rPr>
                <w:b w:val="0"/>
                <w:bCs w:val="0"/>
              </w:rPr>
              <w:t>Human capital accumulation and skills development are improved</w:t>
            </w:r>
          </w:p>
        </w:tc>
        <w:tc>
          <w:tcPr>
            <w:tcW w:w="833" w:type="pct"/>
            <w:shd w:val="clear" w:color="auto" w:fill="FBEED2" w:themeFill="accent6" w:themeFillTint="33"/>
          </w:tcPr>
          <w:p w14:paraId="1A507994" w14:textId="0AA1477D" w:rsidR="00E2349E"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 xml:space="preserve">2.4.1 </w:t>
            </w:r>
            <w:r w:rsidR="00B20964" w:rsidRPr="00B20964">
              <w:t>Improved teaching quality, school management, industry</w:t>
            </w:r>
            <w:r w:rsidR="005B6F71">
              <w:t>–</w:t>
            </w:r>
            <w:r w:rsidR="00B20964" w:rsidRPr="00B20964">
              <w:t>institution collaboration and learning transition pathways</w:t>
            </w:r>
          </w:p>
        </w:tc>
        <w:tc>
          <w:tcPr>
            <w:tcW w:w="833" w:type="pct"/>
            <w:shd w:val="clear" w:color="auto" w:fill="FBEED2" w:themeFill="accent6" w:themeFillTint="33"/>
          </w:tcPr>
          <w:p w14:paraId="25775FAE" w14:textId="42907FCE" w:rsidR="00E2349E" w:rsidRPr="00CB5E91" w:rsidRDefault="00B20964">
            <w:pPr>
              <w:pStyle w:val="TableBodyCopy"/>
              <w:cnfStyle w:val="000000100000" w:firstRow="0" w:lastRow="0" w:firstColumn="0" w:lastColumn="0" w:oddVBand="0" w:evenVBand="0" w:oddHBand="1" w:evenHBand="0" w:firstRowFirstColumn="0" w:firstRowLastColumn="0" w:lastRowFirstColumn="0" w:lastRowLastColumn="0"/>
            </w:pPr>
            <w:r w:rsidRPr="00B20964">
              <w:t>Frameworks developed and policies enhanced in the areas of curriculum and assessment</w:t>
            </w:r>
          </w:p>
        </w:tc>
        <w:tc>
          <w:tcPr>
            <w:tcW w:w="833" w:type="pct"/>
            <w:shd w:val="clear" w:color="auto" w:fill="FBEED2" w:themeFill="accent6" w:themeFillTint="33"/>
          </w:tcPr>
          <w:p w14:paraId="6F9E4F87" w14:textId="3C83D395" w:rsidR="00E2349E" w:rsidRPr="00CB5E91" w:rsidRDefault="00B20964">
            <w:pPr>
              <w:pStyle w:val="TableBodyCopy"/>
              <w:cnfStyle w:val="000000100000" w:firstRow="0" w:lastRow="0" w:firstColumn="0" w:lastColumn="0" w:oddVBand="0" w:evenVBand="0" w:oddHBand="1" w:evenHBand="0" w:firstRowFirstColumn="0" w:firstRowLastColumn="0" w:lastRowFirstColumn="0" w:lastRowLastColumn="0"/>
              <w:rPr>
                <w:i/>
              </w:rPr>
            </w:pPr>
            <w:r w:rsidRPr="00B20964">
              <w:t>Multistakeholder partnerships among industry, training providers, schools and government established in selected locations</w:t>
            </w:r>
          </w:p>
        </w:tc>
        <w:tc>
          <w:tcPr>
            <w:tcW w:w="833" w:type="pct"/>
            <w:shd w:val="clear" w:color="auto" w:fill="FBEED2" w:themeFill="accent6" w:themeFillTint="33"/>
          </w:tcPr>
          <w:p w14:paraId="275DEC86" w14:textId="684047AC" w:rsidR="00E2349E" w:rsidRPr="00CB5E91" w:rsidRDefault="00B20964" w:rsidP="00B426E8">
            <w:pPr>
              <w:pStyle w:val="TableBodyCopy"/>
              <w:cnfStyle w:val="000000100000" w:firstRow="0" w:lastRow="0" w:firstColumn="0" w:lastColumn="0" w:oddVBand="0" w:evenVBand="0" w:oddHBand="1" w:evenHBand="0" w:firstRowFirstColumn="0" w:firstRowLastColumn="0" w:lastRowFirstColumn="0" w:lastRowLastColumn="0"/>
              <w:rPr>
                <w:i/>
              </w:rPr>
            </w:pPr>
            <w:r w:rsidRPr="00B20964">
              <w:t>Philippine reform efforts for an industry responsive</w:t>
            </w:r>
            <w:r w:rsidR="00E60A36">
              <w:t xml:space="preserve"> </w:t>
            </w:r>
            <w:r w:rsidRPr="00B20964">
              <w:t>senior secondary program are informed by expert technical advice and evidence</w:t>
            </w:r>
          </w:p>
        </w:tc>
        <w:tc>
          <w:tcPr>
            <w:tcW w:w="833" w:type="pct"/>
            <w:shd w:val="clear" w:color="auto" w:fill="FBEED2" w:themeFill="accent6" w:themeFillTint="33"/>
          </w:tcPr>
          <w:p w14:paraId="59479B88" w14:textId="4DA26616" w:rsidR="00E2349E" w:rsidRPr="00CB5E91" w:rsidRDefault="00B426E8" w:rsidP="008B700F">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8B700F">
              <w:t>4</w:t>
            </w:r>
            <w:r>
              <w:t>:</w:t>
            </w:r>
            <w:r w:rsidR="00A14592">
              <w:t xml:space="preserve"> Quality education</w:t>
            </w:r>
            <w:r w:rsidR="28A92EC3" w:rsidRPr="008B700F">
              <w:t xml:space="preserve">, </w:t>
            </w:r>
            <w:r>
              <w:t>SDG</w:t>
            </w:r>
            <w:r w:rsidR="28A92EC3" w:rsidRPr="008B700F">
              <w:t>5</w:t>
            </w:r>
          </w:p>
        </w:tc>
      </w:tr>
      <w:tr w:rsidR="008B700F" w:rsidRPr="00CB5E91" w14:paraId="4AD60586" w14:textId="77777777" w:rsidTr="009F632F">
        <w:trPr>
          <w:cantSplit/>
          <w:trHeight w:val="692"/>
        </w:trPr>
        <w:tc>
          <w:tcPr>
            <w:cnfStyle w:val="001000000000" w:firstRow="0" w:lastRow="0" w:firstColumn="1" w:lastColumn="0" w:oddVBand="0" w:evenVBand="0" w:oddHBand="0" w:evenHBand="0" w:firstRowFirstColumn="0" w:firstRowLastColumn="0" w:lastRowFirstColumn="0" w:lastRowLastColumn="0"/>
            <w:tcW w:w="833" w:type="pct"/>
            <w:shd w:val="clear" w:color="auto" w:fill="FBEED2" w:themeFill="accent6" w:themeFillTint="33"/>
          </w:tcPr>
          <w:p w14:paraId="2AD78328" w14:textId="572F502D" w:rsidR="00E2349E" w:rsidRPr="00CB5E91" w:rsidRDefault="004706BC">
            <w:pPr>
              <w:pStyle w:val="TableBodyCopy"/>
            </w:pPr>
            <w:r w:rsidRPr="00CB5E91">
              <w:t>Outcome 2.4</w:t>
            </w:r>
          </w:p>
        </w:tc>
        <w:tc>
          <w:tcPr>
            <w:tcW w:w="833" w:type="pct"/>
            <w:shd w:val="clear" w:color="auto" w:fill="FBEED2" w:themeFill="accent6" w:themeFillTint="33"/>
          </w:tcPr>
          <w:p w14:paraId="28CF6482" w14:textId="474FFB75"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2.4.</w:t>
            </w:r>
            <w:r w:rsidR="0018060A" w:rsidRPr="00CB5E91">
              <w:t>2</w:t>
            </w:r>
            <w:r w:rsidRPr="00CB5E91">
              <w:t xml:space="preserve"> </w:t>
            </w:r>
            <w:r w:rsidR="00B20964" w:rsidRPr="00B20964">
              <w:t xml:space="preserve">Emerging </w:t>
            </w:r>
            <w:r w:rsidR="00A14592">
              <w:t xml:space="preserve">Philippine </w:t>
            </w:r>
            <w:r w:rsidR="00B20964" w:rsidRPr="00B20964">
              <w:t>leaders with improved expertise through Australian education</w:t>
            </w:r>
          </w:p>
        </w:tc>
        <w:tc>
          <w:tcPr>
            <w:tcW w:w="833" w:type="pct"/>
            <w:shd w:val="clear" w:color="auto" w:fill="FBEED2" w:themeFill="accent6" w:themeFillTint="33"/>
          </w:tcPr>
          <w:p w14:paraId="5ECFA2DE" w14:textId="78D643E0" w:rsidR="00B20964" w:rsidRPr="00B20964" w:rsidRDefault="00B20964" w:rsidP="00B20964">
            <w:pPr>
              <w:pStyle w:val="TableBodyCopy"/>
              <w:cnfStyle w:val="000000000000" w:firstRow="0" w:lastRow="0" w:firstColumn="0" w:lastColumn="0" w:oddVBand="0" w:evenVBand="0" w:oddHBand="0" w:evenHBand="0" w:firstRowFirstColumn="0" w:firstRowLastColumn="0" w:lastRowFirstColumn="0" w:lastRowLastColumn="0"/>
            </w:pPr>
            <w:r w:rsidRPr="00B20964">
              <w:t>200</w:t>
            </w:r>
            <w:r w:rsidR="008A2744">
              <w:t> </w:t>
            </w:r>
            <w:r w:rsidRPr="00B20964">
              <w:t>emerging leaders with improved expertise by completing short courses, non-formal learning opportunities and postgraduate studies</w:t>
            </w:r>
          </w:p>
          <w:p w14:paraId="374F93F0" w14:textId="4EF6DEFC" w:rsidR="00E2349E" w:rsidRPr="00CB5E91" w:rsidRDefault="00B20964" w:rsidP="00B20964">
            <w:pPr>
              <w:pStyle w:val="TableBodyCopy"/>
              <w:cnfStyle w:val="000000000000" w:firstRow="0" w:lastRow="0" w:firstColumn="0" w:lastColumn="0" w:oddVBand="0" w:evenVBand="0" w:oddHBand="0" w:evenHBand="0" w:firstRowFirstColumn="0" w:firstRowLastColumn="0" w:lastRowFirstColumn="0" w:lastRowLastColumn="0"/>
            </w:pPr>
            <w:r w:rsidRPr="00B20964">
              <w:t>15</w:t>
            </w:r>
            <w:r w:rsidR="008A2744">
              <w:t> </w:t>
            </w:r>
            <w:r w:rsidRPr="00B20964">
              <w:t>alumni successfully implement Re-Entry Action Plans (REAP</w:t>
            </w:r>
            <w:r w:rsidR="00F92D72">
              <w:t>s</w:t>
            </w:r>
            <w:r w:rsidRPr="00B20964">
              <w:t>)</w:t>
            </w:r>
          </w:p>
        </w:tc>
        <w:tc>
          <w:tcPr>
            <w:tcW w:w="833" w:type="pct"/>
            <w:shd w:val="clear" w:color="auto" w:fill="FBEED2" w:themeFill="accent6" w:themeFillTint="33"/>
          </w:tcPr>
          <w:p w14:paraId="36EF4E7D" w14:textId="0476E649" w:rsidR="00B20964" w:rsidRPr="00B20964" w:rsidRDefault="00B20964" w:rsidP="00B20964">
            <w:pPr>
              <w:pStyle w:val="TableBodyCopy"/>
              <w:cnfStyle w:val="000000000000" w:firstRow="0" w:lastRow="0" w:firstColumn="0" w:lastColumn="0" w:oddVBand="0" w:evenVBand="0" w:oddHBand="0" w:evenHBand="0" w:firstRowFirstColumn="0" w:firstRowLastColumn="0" w:lastRowFirstColumn="0" w:lastRowLastColumn="0"/>
            </w:pPr>
            <w:r w:rsidRPr="00B20964">
              <w:t>150</w:t>
            </w:r>
            <w:r w:rsidR="008A2744">
              <w:t> </w:t>
            </w:r>
            <w:r w:rsidRPr="00B20964">
              <w:t>emerging leaders with improved expertise by completing short courses, non-formal learning opportunities and postgraduate studies</w:t>
            </w:r>
          </w:p>
          <w:p w14:paraId="02EB2752" w14:textId="1E9444F2" w:rsidR="00E2349E" w:rsidRPr="00CB5E91" w:rsidRDefault="00B20964" w:rsidP="00B20964">
            <w:pPr>
              <w:pStyle w:val="TableBodyCopy"/>
              <w:cnfStyle w:val="000000000000" w:firstRow="0" w:lastRow="0" w:firstColumn="0" w:lastColumn="0" w:oddVBand="0" w:evenVBand="0" w:oddHBand="0" w:evenHBand="0" w:firstRowFirstColumn="0" w:firstRowLastColumn="0" w:lastRowFirstColumn="0" w:lastRowLastColumn="0"/>
            </w:pPr>
            <w:r w:rsidRPr="00B20964">
              <w:t>15</w:t>
            </w:r>
            <w:r w:rsidR="008A2744">
              <w:t> </w:t>
            </w:r>
            <w:r w:rsidRPr="00B20964">
              <w:t>alumni successfully implement REAP</w:t>
            </w:r>
            <w:r w:rsidR="00F26C41">
              <w:t>s</w:t>
            </w:r>
          </w:p>
        </w:tc>
        <w:tc>
          <w:tcPr>
            <w:tcW w:w="833" w:type="pct"/>
            <w:shd w:val="clear" w:color="auto" w:fill="FBEED2" w:themeFill="accent6" w:themeFillTint="33"/>
          </w:tcPr>
          <w:p w14:paraId="72376084" w14:textId="3959988F" w:rsidR="00B20964" w:rsidRPr="00B20964" w:rsidRDefault="00B20964" w:rsidP="00B20964">
            <w:pPr>
              <w:pStyle w:val="TableBodyCopy"/>
              <w:cnfStyle w:val="000000000000" w:firstRow="0" w:lastRow="0" w:firstColumn="0" w:lastColumn="0" w:oddVBand="0" w:evenVBand="0" w:oddHBand="0" w:evenHBand="0" w:firstRowFirstColumn="0" w:firstRowLastColumn="0" w:lastRowFirstColumn="0" w:lastRowLastColumn="0"/>
            </w:pPr>
            <w:r w:rsidRPr="00B20964">
              <w:t>150</w:t>
            </w:r>
            <w:r w:rsidR="008A2744">
              <w:t> </w:t>
            </w:r>
            <w:r w:rsidRPr="00B20964">
              <w:t>emerging leaders with improved expertise by completing short courses, non-formal learning opportunities and postgraduate studies</w:t>
            </w:r>
          </w:p>
          <w:p w14:paraId="1250330F" w14:textId="220DE5B4" w:rsidR="00E2349E" w:rsidRPr="00CB5E91" w:rsidRDefault="00B20964" w:rsidP="00B20964">
            <w:pPr>
              <w:pStyle w:val="TableBodyCopy"/>
              <w:cnfStyle w:val="000000000000" w:firstRow="0" w:lastRow="0" w:firstColumn="0" w:lastColumn="0" w:oddVBand="0" w:evenVBand="0" w:oddHBand="0" w:evenHBand="0" w:firstRowFirstColumn="0" w:firstRowLastColumn="0" w:lastRowFirstColumn="0" w:lastRowLastColumn="0"/>
            </w:pPr>
            <w:r w:rsidRPr="00B20964">
              <w:t>15</w:t>
            </w:r>
            <w:r w:rsidR="00F26C41">
              <w:t> </w:t>
            </w:r>
            <w:r w:rsidRPr="00B20964">
              <w:t>alumni successfully implement REAP</w:t>
            </w:r>
            <w:r w:rsidR="00F26C41">
              <w:t>s</w:t>
            </w:r>
          </w:p>
        </w:tc>
        <w:tc>
          <w:tcPr>
            <w:tcW w:w="833" w:type="pct"/>
            <w:shd w:val="clear" w:color="auto" w:fill="FBEED2" w:themeFill="accent6" w:themeFillTint="33"/>
          </w:tcPr>
          <w:p w14:paraId="29C377C2" w14:textId="3F981228" w:rsidR="00E2349E" w:rsidRPr="00CB5E91" w:rsidRDefault="00304EBD" w:rsidP="008B700F">
            <w:pPr>
              <w:pStyle w:val="TableBodyCopy"/>
              <w:cnfStyle w:val="000000000000" w:firstRow="0" w:lastRow="0" w:firstColumn="0" w:lastColumn="0" w:oddVBand="0" w:evenVBand="0" w:oddHBand="0" w:evenHBand="0" w:firstRowFirstColumn="0" w:firstRowLastColumn="0" w:lastRowFirstColumn="0" w:lastRowLastColumn="0"/>
              <w:rPr>
                <w:sz w:val="17"/>
                <w:szCs w:val="17"/>
              </w:rPr>
            </w:pPr>
            <w:r>
              <w:t>SDG</w:t>
            </w:r>
            <w:r w:rsidR="00E2349E" w:rsidRPr="00CB5E91">
              <w:t>4</w:t>
            </w:r>
            <w:r>
              <w:t>, SDG</w:t>
            </w:r>
            <w:r w:rsidR="00E2349E" w:rsidRPr="00CB5E91">
              <w:t>5</w:t>
            </w:r>
          </w:p>
        </w:tc>
      </w:tr>
    </w:tbl>
    <w:p w14:paraId="1EA48D16" w14:textId="77777777" w:rsidR="005205AF" w:rsidRDefault="005205AF">
      <w:pPr>
        <w:spacing w:before="0" w:after="0" w:line="240" w:lineRule="auto"/>
        <w:rPr>
          <w:b/>
          <w:bCs/>
        </w:rPr>
      </w:pPr>
      <w:r>
        <w:rPr>
          <w:b/>
          <w:bCs/>
        </w:rPr>
        <w:br w:type="page"/>
      </w:r>
    </w:p>
    <w:p w14:paraId="4C903173" w14:textId="7ED484A6" w:rsidR="002F4955" w:rsidRPr="00E072C1" w:rsidRDefault="004706BC" w:rsidP="008B700F">
      <w:r w:rsidRPr="008B700F">
        <w:rPr>
          <w:b/>
          <w:bCs/>
        </w:rPr>
        <w:lastRenderedPageBreak/>
        <w:t xml:space="preserve">Objective 3: </w:t>
      </w:r>
      <w:r w:rsidR="00502FC2">
        <w:rPr>
          <w:b/>
          <w:bCs/>
        </w:rPr>
        <w:t>Increasing</w:t>
      </w:r>
      <w:r w:rsidR="004C53A6" w:rsidRPr="008B700F">
        <w:rPr>
          <w:b/>
          <w:bCs/>
        </w:rPr>
        <w:t xml:space="preserve"> </w:t>
      </w:r>
      <w:r w:rsidRPr="008B700F">
        <w:rPr>
          <w:b/>
          <w:bCs/>
        </w:rPr>
        <w:t>institutional and community resilience to social, economic and climate-related shocks</w:t>
      </w:r>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Assessment Framework for Objective 3"/>
        <w:tblDescription w:val="Expected results for Objective 3 for the first 3 years of the DPP and against the Sustainable Development Goals"/>
      </w:tblPr>
      <w:tblGrid>
        <w:gridCol w:w="2403"/>
        <w:gridCol w:w="2403"/>
        <w:gridCol w:w="2403"/>
        <w:gridCol w:w="2403"/>
        <w:gridCol w:w="2403"/>
        <w:gridCol w:w="2403"/>
      </w:tblGrid>
      <w:tr w:rsidR="00AD50DB" w:rsidRPr="00CB5E91" w14:paraId="4F6011A1" w14:textId="77777777" w:rsidTr="009F632F">
        <w:trPr>
          <w:cnfStyle w:val="100000000000" w:firstRow="1" w:lastRow="0" w:firstColumn="0" w:lastColumn="0" w:oddVBand="0" w:evenVBand="0" w:oddHBand="0" w:evenHBand="0" w:firstRowFirstColumn="0" w:firstRowLastColumn="0" w:lastRowFirstColumn="0" w:lastRowLastColumn="0"/>
          <w:trHeight w:val="787"/>
          <w:tblHeader/>
        </w:trPr>
        <w:tc>
          <w:tcPr>
            <w:cnfStyle w:val="001000000000" w:firstRow="0" w:lastRow="0" w:firstColumn="1" w:lastColumn="0" w:oddVBand="0" w:evenVBand="0" w:oddHBand="0" w:evenHBand="0" w:firstRowFirstColumn="0" w:firstRowLastColumn="0" w:lastRowFirstColumn="0" w:lastRowLastColumn="0"/>
            <w:tcW w:w="833" w:type="pct"/>
            <w:shd w:val="clear" w:color="auto" w:fill="3A586E" w:themeFill="accent1"/>
          </w:tcPr>
          <w:p w14:paraId="72FDE2FA" w14:textId="09F20829" w:rsidR="00E2349E" w:rsidRPr="0087000A" w:rsidRDefault="00365712" w:rsidP="0087000A">
            <w:pPr>
              <w:pStyle w:val="TableHeading"/>
              <w:rPr>
                <w:b/>
                <w:bCs/>
              </w:rPr>
            </w:pPr>
            <w:r w:rsidRPr="0087000A">
              <w:rPr>
                <w:b/>
                <w:bCs/>
              </w:rPr>
              <w:t>Outcome</w:t>
            </w:r>
          </w:p>
        </w:tc>
        <w:tc>
          <w:tcPr>
            <w:tcW w:w="833" w:type="pct"/>
            <w:shd w:val="clear" w:color="auto" w:fill="3A586E" w:themeFill="accent1"/>
            <w:hideMark/>
          </w:tcPr>
          <w:p w14:paraId="10F98975" w14:textId="77777777"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Indicator</w:t>
            </w:r>
          </w:p>
        </w:tc>
        <w:tc>
          <w:tcPr>
            <w:tcW w:w="833" w:type="pct"/>
            <w:shd w:val="clear" w:color="auto" w:fill="3A586E" w:themeFill="accent1"/>
            <w:hideMark/>
          </w:tcPr>
          <w:p w14:paraId="3990D15F" w14:textId="1D7CC915"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 xml:space="preserve">Expected </w:t>
            </w:r>
            <w:r w:rsidR="00A07A71" w:rsidRPr="0087000A">
              <w:rPr>
                <w:b/>
                <w:bCs/>
              </w:rPr>
              <w:t>r</w:t>
            </w:r>
            <w:r w:rsidRPr="0087000A">
              <w:rPr>
                <w:b/>
                <w:bCs/>
              </w:rPr>
              <w:t>esults</w:t>
            </w:r>
            <w:r w:rsidR="00A07A71" w:rsidRPr="0087000A">
              <w:rPr>
                <w:b/>
                <w:bCs/>
              </w:rPr>
              <w:br/>
            </w:r>
            <w:r w:rsidRPr="0087000A">
              <w:rPr>
                <w:b/>
                <w:bCs/>
              </w:rPr>
              <w:t>2024</w:t>
            </w:r>
            <w:r w:rsidR="002473D9" w:rsidRPr="0087000A">
              <w:rPr>
                <w:b/>
                <w:bCs/>
              </w:rPr>
              <w:t>–</w:t>
            </w:r>
            <w:r w:rsidRPr="0087000A">
              <w:rPr>
                <w:b/>
                <w:bCs/>
              </w:rPr>
              <w:t>25</w:t>
            </w:r>
          </w:p>
        </w:tc>
        <w:tc>
          <w:tcPr>
            <w:tcW w:w="833" w:type="pct"/>
            <w:shd w:val="clear" w:color="auto" w:fill="3A586E" w:themeFill="accent1"/>
            <w:hideMark/>
          </w:tcPr>
          <w:p w14:paraId="0250C6BD" w14:textId="1AD746AA"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 xml:space="preserve">Expected </w:t>
            </w:r>
            <w:r w:rsidR="00A07A71" w:rsidRPr="0087000A">
              <w:rPr>
                <w:b/>
                <w:bCs/>
              </w:rPr>
              <w:t>r</w:t>
            </w:r>
            <w:r w:rsidRPr="0087000A">
              <w:rPr>
                <w:b/>
                <w:bCs/>
              </w:rPr>
              <w:t>esults</w:t>
            </w:r>
            <w:r w:rsidR="00A07A71" w:rsidRPr="0087000A">
              <w:rPr>
                <w:b/>
                <w:bCs/>
              </w:rPr>
              <w:br/>
            </w:r>
            <w:r w:rsidRPr="0087000A">
              <w:rPr>
                <w:b/>
                <w:bCs/>
              </w:rPr>
              <w:t>2025</w:t>
            </w:r>
            <w:r w:rsidR="008022DD" w:rsidRPr="0087000A">
              <w:rPr>
                <w:b/>
                <w:bCs/>
              </w:rPr>
              <w:t>–</w:t>
            </w:r>
            <w:r w:rsidRPr="0087000A">
              <w:rPr>
                <w:b/>
                <w:bCs/>
              </w:rPr>
              <w:t>26</w:t>
            </w:r>
          </w:p>
        </w:tc>
        <w:tc>
          <w:tcPr>
            <w:tcW w:w="833" w:type="pct"/>
            <w:shd w:val="clear" w:color="auto" w:fill="3A586E" w:themeFill="accent1"/>
            <w:hideMark/>
          </w:tcPr>
          <w:p w14:paraId="3BC1C80C" w14:textId="7F13AC90"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 xml:space="preserve">Expected </w:t>
            </w:r>
            <w:r w:rsidR="00A07A71" w:rsidRPr="0087000A">
              <w:rPr>
                <w:b/>
                <w:bCs/>
              </w:rPr>
              <w:t>r</w:t>
            </w:r>
            <w:r w:rsidRPr="0087000A">
              <w:rPr>
                <w:b/>
                <w:bCs/>
              </w:rPr>
              <w:t>esults</w:t>
            </w:r>
            <w:r w:rsidR="00A07A71" w:rsidRPr="0087000A">
              <w:rPr>
                <w:b/>
                <w:bCs/>
              </w:rPr>
              <w:br/>
            </w:r>
            <w:r w:rsidRPr="0087000A">
              <w:rPr>
                <w:b/>
                <w:bCs/>
              </w:rPr>
              <w:t>2026</w:t>
            </w:r>
            <w:r w:rsidR="008022DD" w:rsidRPr="0087000A">
              <w:rPr>
                <w:b/>
                <w:bCs/>
              </w:rPr>
              <w:t>–</w:t>
            </w:r>
            <w:r w:rsidRPr="0087000A">
              <w:rPr>
                <w:b/>
                <w:bCs/>
              </w:rPr>
              <w:t>27</w:t>
            </w:r>
          </w:p>
        </w:tc>
        <w:tc>
          <w:tcPr>
            <w:tcW w:w="833" w:type="pct"/>
            <w:shd w:val="clear" w:color="auto" w:fill="3A586E" w:themeFill="accent1"/>
            <w:hideMark/>
          </w:tcPr>
          <w:p w14:paraId="14244B0E" w14:textId="30CFFB9C"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S</w:t>
            </w:r>
            <w:r w:rsidR="008022DD" w:rsidRPr="0087000A">
              <w:rPr>
                <w:b/>
                <w:bCs/>
              </w:rPr>
              <w:t xml:space="preserve">ustainable </w:t>
            </w:r>
            <w:r w:rsidRPr="0087000A">
              <w:rPr>
                <w:b/>
                <w:bCs/>
              </w:rPr>
              <w:t>D</w:t>
            </w:r>
            <w:r w:rsidR="008022DD" w:rsidRPr="0087000A">
              <w:rPr>
                <w:b/>
                <w:bCs/>
              </w:rPr>
              <w:t>evelopment</w:t>
            </w:r>
            <w:r w:rsidRPr="0087000A">
              <w:rPr>
                <w:b/>
                <w:bCs/>
              </w:rPr>
              <w:t xml:space="preserve"> Goal</w:t>
            </w:r>
            <w:r w:rsidR="00296F02" w:rsidRPr="0087000A">
              <w:rPr>
                <w:b/>
                <w:bCs/>
              </w:rPr>
              <w:t xml:space="preserve">s </w:t>
            </w:r>
            <w:r w:rsidRPr="0087000A">
              <w:rPr>
                <w:b/>
                <w:bCs/>
              </w:rPr>
              <w:t>(</w:t>
            </w:r>
            <w:r w:rsidR="00296F02" w:rsidRPr="0087000A">
              <w:rPr>
                <w:b/>
                <w:bCs/>
              </w:rPr>
              <w:t>SDG</w:t>
            </w:r>
            <w:r w:rsidRPr="0087000A">
              <w:rPr>
                <w:b/>
                <w:bCs/>
              </w:rPr>
              <w:t>s)</w:t>
            </w:r>
          </w:p>
        </w:tc>
      </w:tr>
      <w:tr w:rsidR="00AD50DB" w:rsidRPr="00CB5E91" w14:paraId="4AC0E265" w14:textId="77777777" w:rsidTr="009F632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33" w:type="pct"/>
            <w:shd w:val="clear" w:color="auto" w:fill="F0DBD4" w:themeFill="accent5" w:themeFillTint="33"/>
            <w:hideMark/>
          </w:tcPr>
          <w:p w14:paraId="2AD5C795" w14:textId="7D219104" w:rsidR="000C6D74" w:rsidRDefault="00E2349E">
            <w:pPr>
              <w:pStyle w:val="TableBodyCopy"/>
              <w:rPr>
                <w:b w:val="0"/>
                <w:bCs w:val="0"/>
              </w:rPr>
            </w:pPr>
            <w:r w:rsidRPr="00CB5E91">
              <w:t>Outcome 3.1</w:t>
            </w:r>
          </w:p>
          <w:p w14:paraId="6548D426" w14:textId="3064242F" w:rsidR="00E2349E" w:rsidRPr="00CB5E91" w:rsidRDefault="00E2349E">
            <w:pPr>
              <w:pStyle w:val="TableBodyCopy"/>
            </w:pPr>
            <w:r w:rsidRPr="00365712">
              <w:rPr>
                <w:b w:val="0"/>
                <w:bCs w:val="0"/>
              </w:rPr>
              <w:t xml:space="preserve">Relevant institutions are strengthened to support </w:t>
            </w:r>
            <w:r w:rsidR="00020852">
              <w:rPr>
                <w:b w:val="0"/>
                <w:bCs w:val="0"/>
              </w:rPr>
              <w:t xml:space="preserve">poverty reduction and </w:t>
            </w:r>
            <w:r w:rsidRPr="00365712">
              <w:rPr>
                <w:b w:val="0"/>
                <w:bCs w:val="0"/>
              </w:rPr>
              <w:t xml:space="preserve">resilience to climate change, disasters, </w:t>
            </w:r>
            <w:r w:rsidR="00E01A75">
              <w:rPr>
                <w:b w:val="0"/>
                <w:bCs w:val="0"/>
              </w:rPr>
              <w:t xml:space="preserve">and </w:t>
            </w:r>
            <w:r w:rsidRPr="00365712">
              <w:rPr>
                <w:b w:val="0"/>
                <w:bCs w:val="0"/>
              </w:rPr>
              <w:t>social and economic shocks</w:t>
            </w:r>
          </w:p>
        </w:tc>
        <w:tc>
          <w:tcPr>
            <w:tcW w:w="833" w:type="pct"/>
            <w:shd w:val="clear" w:color="auto" w:fill="F0DBD4" w:themeFill="accent5" w:themeFillTint="33"/>
            <w:hideMark/>
          </w:tcPr>
          <w:p w14:paraId="35FF94BD" w14:textId="2B511EE4" w:rsidR="00E2349E" w:rsidRPr="00CB5E91" w:rsidRDefault="00E2349E" w:rsidP="00E564E8">
            <w:pPr>
              <w:pStyle w:val="TableBodyCopy"/>
              <w:spacing w:line="259" w:lineRule="auto"/>
              <w:cnfStyle w:val="000000100000" w:firstRow="0" w:lastRow="0" w:firstColumn="0" w:lastColumn="0" w:oddVBand="0" w:evenVBand="0" w:oddHBand="1" w:evenHBand="0" w:firstRowFirstColumn="0" w:firstRowLastColumn="0" w:lastRowFirstColumn="0" w:lastRowLastColumn="0"/>
            </w:pPr>
            <w:r w:rsidRPr="00CB5E91">
              <w:t xml:space="preserve">3.1.1 </w:t>
            </w:r>
            <w:r w:rsidR="00E25BFA">
              <w:t>Government</w:t>
            </w:r>
            <w:r w:rsidRPr="00CB5E91">
              <w:t xml:space="preserve"> institutions </w:t>
            </w:r>
            <w:r w:rsidR="0043157C" w:rsidRPr="00CB5E91">
              <w:t xml:space="preserve">with </w:t>
            </w:r>
            <w:r w:rsidRPr="00CB5E91">
              <w:t xml:space="preserve">strengthened capacity on </w:t>
            </w:r>
            <w:r w:rsidR="00986179" w:rsidRPr="00CB5E91">
              <w:t xml:space="preserve">poverty reduction, </w:t>
            </w:r>
            <w:r w:rsidR="003B6B16" w:rsidRPr="00CB5E91">
              <w:t xml:space="preserve">inclusion and </w:t>
            </w:r>
            <w:r w:rsidRPr="00CB5E91">
              <w:t>resilience-building</w:t>
            </w:r>
          </w:p>
        </w:tc>
        <w:tc>
          <w:tcPr>
            <w:tcW w:w="833" w:type="pct"/>
            <w:shd w:val="clear" w:color="auto" w:fill="F0DBD4" w:themeFill="accent5" w:themeFillTint="33"/>
            <w:hideMark/>
          </w:tcPr>
          <w:p w14:paraId="28F9F5D2" w14:textId="4697667A" w:rsidR="00CA657C"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14</w:t>
            </w:r>
            <w:r w:rsidR="004F5880">
              <w:t> </w:t>
            </w:r>
            <w:r w:rsidRPr="00CB5E91">
              <w:t>institutions supported with evidence of systems improvement</w:t>
            </w:r>
            <w:r w:rsidR="00E25BFA" w:rsidRPr="00E25BFA">
              <w:rPr>
                <w:rFonts w:ascii="Calibri" w:hAnsi="Calibri" w:cs="Times New Roman"/>
                <w:szCs w:val="22"/>
              </w:rPr>
              <w:t xml:space="preserve"> </w:t>
            </w:r>
            <w:r w:rsidR="00E25BFA" w:rsidRPr="00E25BFA">
              <w:t>in the areas of disaster risk reduction, social protection, climate change resilience and gender mainstreaming</w:t>
            </w:r>
          </w:p>
        </w:tc>
        <w:tc>
          <w:tcPr>
            <w:tcW w:w="833" w:type="pct"/>
            <w:shd w:val="clear" w:color="auto" w:fill="F0DBD4" w:themeFill="accent5" w:themeFillTint="33"/>
            <w:hideMark/>
          </w:tcPr>
          <w:p w14:paraId="185846FE" w14:textId="43822BDD" w:rsidR="00CA657C"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17</w:t>
            </w:r>
            <w:r w:rsidR="004F5880">
              <w:t> </w:t>
            </w:r>
            <w:r w:rsidRPr="00CB5E91">
              <w:t>institutions supported with evidence of systems improvement</w:t>
            </w:r>
            <w:r w:rsidR="00E25BFA" w:rsidRPr="00E25BFA">
              <w:rPr>
                <w:rFonts w:ascii="Calibri" w:hAnsi="Calibri" w:cs="Times New Roman"/>
                <w:szCs w:val="22"/>
              </w:rPr>
              <w:t xml:space="preserve"> </w:t>
            </w:r>
            <w:r w:rsidR="00E25BFA" w:rsidRPr="00E25BFA">
              <w:t>in the areas of disaster risk reduction, social protection, climate change resilience and gender mainstreaming</w:t>
            </w:r>
          </w:p>
        </w:tc>
        <w:tc>
          <w:tcPr>
            <w:tcW w:w="833" w:type="pct"/>
            <w:shd w:val="clear" w:color="auto" w:fill="F0DBD4" w:themeFill="accent5" w:themeFillTint="33"/>
            <w:hideMark/>
          </w:tcPr>
          <w:p w14:paraId="0DA83F9D" w14:textId="6785F2AB" w:rsidR="00CA657C"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16</w:t>
            </w:r>
            <w:r w:rsidR="004F5880">
              <w:t> </w:t>
            </w:r>
            <w:r w:rsidRPr="00CB5E91">
              <w:t>institutions supported with evidence of systems improvement</w:t>
            </w:r>
            <w:r w:rsidR="00E25BFA" w:rsidRPr="00E25BFA">
              <w:rPr>
                <w:rFonts w:ascii="Calibri" w:hAnsi="Calibri" w:cs="Times New Roman"/>
                <w:szCs w:val="22"/>
              </w:rPr>
              <w:t xml:space="preserve"> </w:t>
            </w:r>
            <w:r w:rsidR="00E25BFA" w:rsidRPr="00E25BFA">
              <w:t>in the areas of disaster risk reduction, social protection, climate change resilience and gender mainstreaming</w:t>
            </w:r>
          </w:p>
        </w:tc>
        <w:tc>
          <w:tcPr>
            <w:tcW w:w="833" w:type="pct"/>
            <w:shd w:val="clear" w:color="auto" w:fill="F0DBD4" w:themeFill="accent5" w:themeFillTint="33"/>
          </w:tcPr>
          <w:p w14:paraId="3B01BFCE" w14:textId="3E0B2F65" w:rsidR="00AA5757" w:rsidRDefault="00AA5757">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1</w:t>
            </w:r>
            <w:r>
              <w:t>:</w:t>
            </w:r>
            <w:r w:rsidR="00882A4F">
              <w:t xml:space="preserve"> No poverty</w:t>
            </w:r>
          </w:p>
          <w:p w14:paraId="3A479A31" w14:textId="4E261C6B" w:rsidR="00AA5757" w:rsidRDefault="00AA5757">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5</w:t>
            </w:r>
            <w:r>
              <w:t>:</w:t>
            </w:r>
            <w:r w:rsidR="00882A4F">
              <w:t xml:space="preserve"> Gender equality</w:t>
            </w:r>
          </w:p>
          <w:p w14:paraId="2D1C0391" w14:textId="271D0FD6" w:rsidR="00AA5757" w:rsidRDefault="00AA5757">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8</w:t>
            </w:r>
            <w:r>
              <w:t>:</w:t>
            </w:r>
            <w:r w:rsidR="00882A4F">
              <w:t xml:space="preserve"> Decent work and economic growth</w:t>
            </w:r>
          </w:p>
          <w:p w14:paraId="3ED54486" w14:textId="20F54BDA" w:rsidR="00AA5757" w:rsidRDefault="00AA5757">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11</w:t>
            </w:r>
            <w:r>
              <w:t>:</w:t>
            </w:r>
            <w:r w:rsidR="00882A4F">
              <w:t xml:space="preserve"> Sustainable cities and communities</w:t>
            </w:r>
          </w:p>
          <w:p w14:paraId="1156CC7C" w14:textId="7D6BAC21" w:rsidR="00AA5757" w:rsidRDefault="00AA5757">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13</w:t>
            </w:r>
            <w:r>
              <w:t xml:space="preserve">: </w:t>
            </w:r>
            <w:r w:rsidR="00882A4F">
              <w:t>Climate action</w:t>
            </w:r>
          </w:p>
          <w:p w14:paraId="13BB7DDA" w14:textId="26B76833" w:rsidR="00AA5757" w:rsidRDefault="00AA5757">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15</w:t>
            </w:r>
            <w:r>
              <w:t>:</w:t>
            </w:r>
            <w:r w:rsidR="00882A4F">
              <w:t xml:space="preserve"> Life on land</w:t>
            </w:r>
          </w:p>
          <w:p w14:paraId="10936F05" w14:textId="652529E4" w:rsidR="00AA5757" w:rsidRDefault="00AA5757">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16</w:t>
            </w:r>
            <w:r>
              <w:t>:</w:t>
            </w:r>
            <w:r w:rsidR="00E2349E" w:rsidRPr="00CB5E91">
              <w:t xml:space="preserve"> </w:t>
            </w:r>
            <w:r w:rsidR="00882A4F">
              <w:t>Peace, justice and strong institutions</w:t>
            </w:r>
          </w:p>
          <w:p w14:paraId="0A9D2C80" w14:textId="5DC506F6" w:rsidR="00E2349E" w:rsidRPr="00CB5E91" w:rsidRDefault="00AA5757" w:rsidP="008B700F">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17</w:t>
            </w:r>
            <w:r>
              <w:t>:</w:t>
            </w:r>
            <w:r w:rsidR="00882A4F">
              <w:t xml:space="preserve"> Partnerships for the goals</w:t>
            </w:r>
          </w:p>
        </w:tc>
      </w:tr>
      <w:tr w:rsidR="008B700F" w:rsidRPr="00CB5E91" w14:paraId="114EDA7B" w14:textId="77777777" w:rsidTr="009F632F">
        <w:trPr>
          <w:trHeight w:val="692"/>
        </w:trPr>
        <w:tc>
          <w:tcPr>
            <w:cnfStyle w:val="001000000000" w:firstRow="0" w:lastRow="0" w:firstColumn="1" w:lastColumn="0" w:oddVBand="0" w:evenVBand="0" w:oddHBand="0" w:evenHBand="0" w:firstRowFirstColumn="0" w:firstRowLastColumn="0" w:lastRowFirstColumn="0" w:lastRowLastColumn="0"/>
            <w:tcW w:w="833" w:type="pct"/>
            <w:shd w:val="clear" w:color="auto" w:fill="F0DBD4" w:themeFill="accent5" w:themeFillTint="33"/>
          </w:tcPr>
          <w:p w14:paraId="7E30066F" w14:textId="067DB69D" w:rsidR="00E2349E" w:rsidRPr="00CB5E91" w:rsidRDefault="00365712">
            <w:pPr>
              <w:pStyle w:val="TableBodyCopy"/>
            </w:pPr>
            <w:r w:rsidRPr="00CB5E91">
              <w:t>Outcome 3.1</w:t>
            </w:r>
          </w:p>
        </w:tc>
        <w:tc>
          <w:tcPr>
            <w:tcW w:w="833" w:type="pct"/>
            <w:shd w:val="clear" w:color="auto" w:fill="F0DBD4" w:themeFill="accent5" w:themeFillTint="33"/>
          </w:tcPr>
          <w:p w14:paraId="1373CFA1" w14:textId="7113FE62"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3.1.</w:t>
            </w:r>
            <w:r w:rsidR="0018060A" w:rsidRPr="00CB5E91">
              <w:t>2</w:t>
            </w:r>
            <w:r w:rsidRPr="00CB5E91">
              <w:t xml:space="preserve"> Number of people</w:t>
            </w:r>
            <w:r w:rsidR="004C160F">
              <w:t xml:space="preserve"> and/or subnational government</w:t>
            </w:r>
            <w:r w:rsidR="00F54B95">
              <w:t xml:space="preserve"> partners</w:t>
            </w:r>
            <w:r w:rsidRPr="00CB5E91">
              <w:t xml:space="preserve"> trained on climate change adaptation</w:t>
            </w:r>
            <w:r w:rsidR="00D610AE" w:rsidRPr="00CB5E91">
              <w:t>,</w:t>
            </w:r>
            <w:r w:rsidRPr="00CB5E91">
              <w:t xml:space="preserve"> resilience to disasters</w:t>
            </w:r>
          </w:p>
        </w:tc>
        <w:tc>
          <w:tcPr>
            <w:tcW w:w="833" w:type="pct"/>
            <w:shd w:val="clear" w:color="auto" w:fill="F0DBD4" w:themeFill="accent5" w:themeFillTint="33"/>
          </w:tcPr>
          <w:p w14:paraId="5CF11E57" w14:textId="18BB7E56" w:rsidR="0034414D"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650</w:t>
            </w:r>
            <w:r w:rsidR="004F5880">
              <w:t> </w:t>
            </w:r>
            <w:r w:rsidRPr="00CB5E91">
              <w:t>people trained</w:t>
            </w:r>
          </w:p>
        </w:tc>
        <w:tc>
          <w:tcPr>
            <w:tcW w:w="833" w:type="pct"/>
            <w:shd w:val="clear" w:color="auto" w:fill="F0DBD4" w:themeFill="accent5" w:themeFillTint="33"/>
          </w:tcPr>
          <w:p w14:paraId="2925DB0E" w14:textId="31C8942C"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500</w:t>
            </w:r>
            <w:r w:rsidR="004F5880">
              <w:t> </w:t>
            </w:r>
            <w:r w:rsidRPr="00CB5E91">
              <w:t xml:space="preserve">people </w:t>
            </w:r>
            <w:r w:rsidR="00AC4C65" w:rsidRPr="00CB5E91">
              <w:t xml:space="preserve">and </w:t>
            </w:r>
            <w:r w:rsidR="00F63CD9">
              <w:t>2 </w:t>
            </w:r>
            <w:r w:rsidR="00E50197" w:rsidRPr="00CB5E91">
              <w:t>subnational government partners trained</w:t>
            </w:r>
          </w:p>
        </w:tc>
        <w:tc>
          <w:tcPr>
            <w:tcW w:w="833" w:type="pct"/>
            <w:shd w:val="clear" w:color="auto" w:fill="F0DBD4" w:themeFill="accent5" w:themeFillTint="33"/>
          </w:tcPr>
          <w:p w14:paraId="2C516DB2" w14:textId="76E92B41" w:rsidR="00E2349E" w:rsidRPr="00CB5E91" w:rsidRDefault="00F63CD9">
            <w:pPr>
              <w:pStyle w:val="TableBodyCopy"/>
              <w:cnfStyle w:val="000000000000" w:firstRow="0" w:lastRow="0" w:firstColumn="0" w:lastColumn="0" w:oddVBand="0" w:evenVBand="0" w:oddHBand="0" w:evenHBand="0" w:firstRowFirstColumn="0" w:firstRowLastColumn="0" w:lastRowFirstColumn="0" w:lastRowLastColumn="0"/>
              <w:rPr>
                <w:highlight w:val="yellow"/>
              </w:rPr>
            </w:pPr>
            <w:r>
              <w:t>3</w:t>
            </w:r>
            <w:r w:rsidR="00A245B8">
              <w:t> </w:t>
            </w:r>
            <w:r w:rsidR="00E50197" w:rsidRPr="00CB5E91">
              <w:t>subnational government partners trained</w:t>
            </w:r>
          </w:p>
        </w:tc>
        <w:tc>
          <w:tcPr>
            <w:tcW w:w="833" w:type="pct"/>
            <w:shd w:val="clear" w:color="auto" w:fill="F0DBD4" w:themeFill="accent5" w:themeFillTint="33"/>
          </w:tcPr>
          <w:p w14:paraId="4AEA15B0" w14:textId="36500E68" w:rsidR="00E2349E" w:rsidRPr="00CB5E91" w:rsidRDefault="00F63CD9" w:rsidP="008B700F">
            <w:pPr>
              <w:pStyle w:val="TableBodyCopy"/>
              <w:cnfStyle w:val="000000000000" w:firstRow="0" w:lastRow="0" w:firstColumn="0" w:lastColumn="0" w:oddVBand="0" w:evenVBand="0" w:oddHBand="0" w:evenHBand="0" w:firstRowFirstColumn="0" w:firstRowLastColumn="0" w:lastRowFirstColumn="0" w:lastRowLastColumn="0"/>
            </w:pPr>
            <w:r>
              <w:t>SDG</w:t>
            </w:r>
            <w:r w:rsidR="00E2349E" w:rsidRPr="00CB5E91">
              <w:t xml:space="preserve">1, </w:t>
            </w:r>
            <w:r>
              <w:t>SDG</w:t>
            </w:r>
            <w:r w:rsidR="00E2349E" w:rsidRPr="00CB5E91">
              <w:t xml:space="preserve">5, </w:t>
            </w:r>
            <w:r>
              <w:t>SDG</w:t>
            </w:r>
            <w:r w:rsidR="00E2349E" w:rsidRPr="00CB5E91">
              <w:t xml:space="preserve">8, </w:t>
            </w:r>
            <w:r>
              <w:t>SDG</w:t>
            </w:r>
            <w:r w:rsidR="00E2349E" w:rsidRPr="00CB5E91">
              <w:t xml:space="preserve">11, </w:t>
            </w:r>
            <w:r>
              <w:t>SDG</w:t>
            </w:r>
            <w:r w:rsidR="00E2349E" w:rsidRPr="00CB5E91">
              <w:t xml:space="preserve">13, </w:t>
            </w:r>
            <w:r>
              <w:t>SDG</w:t>
            </w:r>
            <w:r w:rsidR="00E2349E" w:rsidRPr="00CB5E91">
              <w:t xml:space="preserve">15, </w:t>
            </w:r>
            <w:r>
              <w:t>SDG</w:t>
            </w:r>
            <w:r w:rsidR="00E2349E" w:rsidRPr="00CB5E91">
              <w:t>16</w:t>
            </w:r>
            <w:r>
              <w:t>,</w:t>
            </w:r>
            <w:r w:rsidR="00E2349E" w:rsidRPr="00CB5E91">
              <w:t xml:space="preserve"> </w:t>
            </w:r>
            <w:r>
              <w:t>SDG</w:t>
            </w:r>
            <w:r w:rsidR="00E2349E" w:rsidRPr="00CB5E91">
              <w:t>17</w:t>
            </w:r>
          </w:p>
        </w:tc>
      </w:tr>
      <w:tr w:rsidR="00AD50DB" w:rsidRPr="00CB5E91" w14:paraId="5BF47106" w14:textId="77777777" w:rsidTr="009F632F">
        <w:trPr>
          <w:cnfStyle w:val="000000100000" w:firstRow="0" w:lastRow="0" w:firstColumn="0" w:lastColumn="0" w:oddVBand="0" w:evenVBand="0" w:oddHBand="1" w:evenHBand="0" w:firstRowFirstColumn="0" w:firstRowLastColumn="0" w:lastRowFirstColumn="0" w:lastRowLastColumn="0"/>
          <w:cantSplit/>
          <w:trHeight w:val="692"/>
        </w:trPr>
        <w:tc>
          <w:tcPr>
            <w:cnfStyle w:val="001000000000" w:firstRow="0" w:lastRow="0" w:firstColumn="1" w:lastColumn="0" w:oddVBand="0" w:evenVBand="0" w:oddHBand="0" w:evenHBand="0" w:firstRowFirstColumn="0" w:firstRowLastColumn="0" w:lastRowFirstColumn="0" w:lastRowLastColumn="0"/>
            <w:tcW w:w="833" w:type="pct"/>
            <w:shd w:val="clear" w:color="auto" w:fill="F0DBD4" w:themeFill="accent5" w:themeFillTint="33"/>
          </w:tcPr>
          <w:p w14:paraId="0CCAE2F3" w14:textId="38458ED6" w:rsidR="00365712" w:rsidRDefault="00E2349E">
            <w:pPr>
              <w:pStyle w:val="TableBodyCopy"/>
              <w:rPr>
                <w:b w:val="0"/>
                <w:bCs w:val="0"/>
              </w:rPr>
            </w:pPr>
            <w:r w:rsidRPr="00CB5E91">
              <w:lastRenderedPageBreak/>
              <w:t>Outcome 3.2</w:t>
            </w:r>
          </w:p>
          <w:p w14:paraId="1FF5AC63" w14:textId="37F1B977" w:rsidR="00E2349E" w:rsidRPr="00CB5E91" w:rsidRDefault="00E2349E">
            <w:pPr>
              <w:pStyle w:val="TableBodyCopy"/>
            </w:pPr>
            <w:r w:rsidRPr="00365712">
              <w:rPr>
                <w:b w:val="0"/>
                <w:bCs w:val="0"/>
              </w:rPr>
              <w:t>Communities and disadvantaged groups, including women, people with disabilit</w:t>
            </w:r>
            <w:r w:rsidR="00E01A75">
              <w:rPr>
                <w:b w:val="0"/>
                <w:bCs w:val="0"/>
              </w:rPr>
              <w:t>y</w:t>
            </w:r>
            <w:r w:rsidRPr="00365712">
              <w:rPr>
                <w:b w:val="0"/>
                <w:bCs w:val="0"/>
              </w:rPr>
              <w:t xml:space="preserve"> and </w:t>
            </w:r>
            <w:r w:rsidR="0029514A">
              <w:rPr>
                <w:b w:val="0"/>
                <w:bCs w:val="0"/>
              </w:rPr>
              <w:t>I</w:t>
            </w:r>
            <w:r w:rsidRPr="00365712">
              <w:rPr>
                <w:b w:val="0"/>
                <w:bCs w:val="0"/>
              </w:rPr>
              <w:t xml:space="preserve">ndigenous peoples, better </w:t>
            </w:r>
            <w:r w:rsidR="00F76954">
              <w:rPr>
                <w:b w:val="0"/>
                <w:bCs w:val="0"/>
              </w:rPr>
              <w:t xml:space="preserve">prepare for and respond </w:t>
            </w:r>
            <w:r w:rsidRPr="00365712">
              <w:rPr>
                <w:b w:val="0"/>
                <w:bCs w:val="0"/>
              </w:rPr>
              <w:t>to climate change, disasters, humanitarian crises,</w:t>
            </w:r>
            <w:r w:rsidR="0029514A">
              <w:rPr>
                <w:b w:val="0"/>
                <w:bCs w:val="0"/>
              </w:rPr>
              <w:t xml:space="preserve"> and</w:t>
            </w:r>
            <w:r w:rsidRPr="00365712">
              <w:rPr>
                <w:b w:val="0"/>
                <w:bCs w:val="0"/>
              </w:rPr>
              <w:t xml:space="preserve"> social and economic shocks</w:t>
            </w:r>
          </w:p>
        </w:tc>
        <w:tc>
          <w:tcPr>
            <w:tcW w:w="833" w:type="pct"/>
            <w:shd w:val="clear" w:color="auto" w:fill="F0DBD4" w:themeFill="accent5" w:themeFillTint="33"/>
          </w:tcPr>
          <w:p w14:paraId="2EE31DF2" w14:textId="6DB66AE3" w:rsidR="00E2349E" w:rsidRPr="00CB5E91" w:rsidRDefault="00E2349E">
            <w:pPr>
              <w:pStyle w:val="TableBodyCopy"/>
              <w:cnfStyle w:val="000000100000" w:firstRow="0" w:lastRow="0" w:firstColumn="0" w:lastColumn="0" w:oddVBand="0" w:evenVBand="0" w:oddHBand="1" w:evenHBand="0" w:firstRowFirstColumn="0" w:firstRowLastColumn="0" w:lastRowFirstColumn="0" w:lastRowLastColumn="0"/>
            </w:pPr>
            <w:r w:rsidRPr="00CB5E91">
              <w:t xml:space="preserve">3.2.1 </w:t>
            </w:r>
            <w:r w:rsidR="006211BF" w:rsidRPr="00CB5E91">
              <w:t>Number of marginalised women, men, girls and boys provided with emergency assistance in conflict and humanitarian crisis situations</w:t>
            </w:r>
            <w:r w:rsidR="008460DC">
              <w:t xml:space="preserve"> (Tier</w:t>
            </w:r>
            <w:r w:rsidR="00FB399C">
              <w:t> </w:t>
            </w:r>
            <w:r w:rsidR="008460DC">
              <w:t>2)</w:t>
            </w:r>
          </w:p>
        </w:tc>
        <w:tc>
          <w:tcPr>
            <w:tcW w:w="833" w:type="pct"/>
            <w:shd w:val="clear" w:color="auto" w:fill="F0DBD4" w:themeFill="accent5" w:themeFillTint="33"/>
          </w:tcPr>
          <w:p w14:paraId="5A00876F" w14:textId="729EFD68" w:rsidR="00E2349E" w:rsidRPr="00A815D0" w:rsidRDefault="00E25BFA">
            <w:pPr>
              <w:pStyle w:val="TableBodyCopy"/>
              <w:cnfStyle w:val="000000100000" w:firstRow="0" w:lastRow="0" w:firstColumn="0" w:lastColumn="0" w:oddVBand="0" w:evenVBand="0" w:oddHBand="1" w:evenHBand="0" w:firstRowFirstColumn="0" w:firstRowLastColumn="0" w:lastRowFirstColumn="0" w:lastRowLastColumn="0"/>
              <w:rPr>
                <w:iCs/>
                <w:color w:val="7030A0"/>
              </w:rPr>
            </w:pPr>
            <w:r w:rsidRPr="00A815D0">
              <w:rPr>
                <w:iCs/>
              </w:rPr>
              <w:t>No target or baseline provided</w:t>
            </w:r>
            <w:r w:rsidR="00F63CD9">
              <w:rPr>
                <w:iCs/>
              </w:rPr>
              <w:t>,</w:t>
            </w:r>
            <w:r w:rsidRPr="00A815D0">
              <w:rPr>
                <w:iCs/>
              </w:rPr>
              <w:t xml:space="preserve"> as only actual results will be reported for this indicator</w:t>
            </w:r>
          </w:p>
        </w:tc>
        <w:tc>
          <w:tcPr>
            <w:tcW w:w="833" w:type="pct"/>
            <w:shd w:val="clear" w:color="auto" w:fill="F0DBD4" w:themeFill="accent5" w:themeFillTint="33"/>
          </w:tcPr>
          <w:p w14:paraId="615881D7" w14:textId="124FDD5B" w:rsidR="00E2349E" w:rsidRPr="00A815D0" w:rsidRDefault="00E25BFA">
            <w:pPr>
              <w:pStyle w:val="TableBodyCopy"/>
              <w:cnfStyle w:val="000000100000" w:firstRow="0" w:lastRow="0" w:firstColumn="0" w:lastColumn="0" w:oddVBand="0" w:evenVBand="0" w:oddHBand="1" w:evenHBand="0" w:firstRowFirstColumn="0" w:firstRowLastColumn="0" w:lastRowFirstColumn="0" w:lastRowLastColumn="0"/>
              <w:rPr>
                <w:iCs/>
                <w:color w:val="7030A0"/>
              </w:rPr>
            </w:pPr>
            <w:r w:rsidRPr="00A815D0">
              <w:rPr>
                <w:iCs/>
              </w:rPr>
              <w:t>No target or baseline provided</w:t>
            </w:r>
            <w:r w:rsidR="00F63CD9">
              <w:rPr>
                <w:iCs/>
              </w:rPr>
              <w:t>,</w:t>
            </w:r>
            <w:r w:rsidRPr="00A815D0">
              <w:rPr>
                <w:iCs/>
              </w:rPr>
              <w:t xml:space="preserve"> as only actual results will be reported for this indicator</w:t>
            </w:r>
          </w:p>
        </w:tc>
        <w:tc>
          <w:tcPr>
            <w:tcW w:w="833" w:type="pct"/>
            <w:shd w:val="clear" w:color="auto" w:fill="F0DBD4" w:themeFill="accent5" w:themeFillTint="33"/>
          </w:tcPr>
          <w:p w14:paraId="1B7A111D" w14:textId="4FF666FA" w:rsidR="00E2349E" w:rsidRPr="00A815D0" w:rsidRDefault="00E25BFA">
            <w:pPr>
              <w:pStyle w:val="TableBodyCopy"/>
              <w:cnfStyle w:val="000000100000" w:firstRow="0" w:lastRow="0" w:firstColumn="0" w:lastColumn="0" w:oddVBand="0" w:evenVBand="0" w:oddHBand="1" w:evenHBand="0" w:firstRowFirstColumn="0" w:firstRowLastColumn="0" w:lastRowFirstColumn="0" w:lastRowLastColumn="0"/>
              <w:rPr>
                <w:iCs/>
                <w:color w:val="7030A0"/>
              </w:rPr>
            </w:pPr>
            <w:r w:rsidRPr="00A815D0">
              <w:rPr>
                <w:iCs/>
              </w:rPr>
              <w:t>No target or baseline provided</w:t>
            </w:r>
            <w:r w:rsidR="00F63CD9">
              <w:rPr>
                <w:iCs/>
              </w:rPr>
              <w:t>,</w:t>
            </w:r>
            <w:r w:rsidRPr="00A815D0">
              <w:rPr>
                <w:iCs/>
              </w:rPr>
              <w:t xml:space="preserve"> as only actual results will be reported for this indicator</w:t>
            </w:r>
          </w:p>
        </w:tc>
        <w:tc>
          <w:tcPr>
            <w:tcW w:w="833" w:type="pct"/>
            <w:shd w:val="clear" w:color="auto" w:fill="F0DBD4" w:themeFill="accent5" w:themeFillTint="33"/>
          </w:tcPr>
          <w:p w14:paraId="34EF509D" w14:textId="1F751DED" w:rsidR="00E2349E" w:rsidRPr="00CB5E91" w:rsidRDefault="00F63CD9" w:rsidP="008B700F">
            <w:pPr>
              <w:pStyle w:val="TableBodyCopy"/>
              <w:cnfStyle w:val="000000100000" w:firstRow="0" w:lastRow="0" w:firstColumn="0" w:lastColumn="0" w:oddVBand="0" w:evenVBand="0" w:oddHBand="1" w:evenHBand="0" w:firstRowFirstColumn="0" w:firstRowLastColumn="0" w:lastRowFirstColumn="0" w:lastRowLastColumn="0"/>
            </w:pPr>
            <w:r>
              <w:t>SDG</w:t>
            </w:r>
            <w:r w:rsidR="00E2349E" w:rsidRPr="00CB5E91">
              <w:t xml:space="preserve">1, </w:t>
            </w:r>
            <w:r>
              <w:t>SDG</w:t>
            </w:r>
            <w:r w:rsidR="00E2349E" w:rsidRPr="00CB5E91">
              <w:t>2</w:t>
            </w:r>
            <w:r>
              <w:t>: Zero hunger</w:t>
            </w:r>
            <w:r w:rsidR="00E2349E" w:rsidRPr="00CB5E91">
              <w:t xml:space="preserve">, </w:t>
            </w:r>
            <w:r>
              <w:t>SDG</w:t>
            </w:r>
            <w:r w:rsidR="00E2349E" w:rsidRPr="00CB5E91">
              <w:t xml:space="preserve">5, </w:t>
            </w:r>
            <w:r>
              <w:t>SDG</w:t>
            </w:r>
            <w:r w:rsidR="00E2349E" w:rsidRPr="00CB5E91">
              <w:t>13</w:t>
            </w:r>
            <w:r>
              <w:t>,</w:t>
            </w:r>
            <w:r w:rsidR="00E2349E" w:rsidRPr="00CB5E91">
              <w:t xml:space="preserve"> </w:t>
            </w:r>
            <w:r>
              <w:t>SDG</w:t>
            </w:r>
            <w:r w:rsidR="00E2349E" w:rsidRPr="00CB5E91">
              <w:t>17</w:t>
            </w:r>
          </w:p>
        </w:tc>
      </w:tr>
      <w:tr w:rsidR="008B700F" w:rsidRPr="00CB5E91" w14:paraId="408A8A08" w14:textId="77777777" w:rsidTr="009F632F">
        <w:trPr>
          <w:trHeight w:val="692"/>
        </w:trPr>
        <w:tc>
          <w:tcPr>
            <w:cnfStyle w:val="001000000000" w:firstRow="0" w:lastRow="0" w:firstColumn="1" w:lastColumn="0" w:oddVBand="0" w:evenVBand="0" w:oddHBand="0" w:evenHBand="0" w:firstRowFirstColumn="0" w:firstRowLastColumn="0" w:lastRowFirstColumn="0" w:lastRowLastColumn="0"/>
            <w:tcW w:w="833" w:type="pct"/>
            <w:shd w:val="clear" w:color="auto" w:fill="F0DBD4" w:themeFill="accent5" w:themeFillTint="33"/>
          </w:tcPr>
          <w:p w14:paraId="4BA0D2CA" w14:textId="3EE7A986" w:rsidR="00E2349E" w:rsidRPr="00CB5E91" w:rsidRDefault="00365712">
            <w:pPr>
              <w:pStyle w:val="TableBodyCopy"/>
            </w:pPr>
            <w:r w:rsidRPr="00CB5E91">
              <w:t>Outcome 3.2</w:t>
            </w:r>
          </w:p>
        </w:tc>
        <w:tc>
          <w:tcPr>
            <w:tcW w:w="833" w:type="pct"/>
            <w:shd w:val="clear" w:color="auto" w:fill="F0DBD4" w:themeFill="accent5" w:themeFillTint="33"/>
          </w:tcPr>
          <w:p w14:paraId="73C36087" w14:textId="6FE5BC4E"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 xml:space="preserve">3.2.2 </w:t>
            </w:r>
            <w:r w:rsidR="0029274D" w:rsidRPr="00CB5E91">
              <w:rPr>
                <w:rStyle w:val="ui-provider"/>
              </w:rPr>
              <w:t>Number of smallholder farmers supported to improve food security or climate resilient practices</w:t>
            </w:r>
          </w:p>
        </w:tc>
        <w:tc>
          <w:tcPr>
            <w:tcW w:w="833" w:type="pct"/>
            <w:shd w:val="clear" w:color="auto" w:fill="F0DBD4" w:themeFill="accent5" w:themeFillTint="33"/>
          </w:tcPr>
          <w:p w14:paraId="295B1062" w14:textId="30D642D0" w:rsidR="00E2349E" w:rsidRPr="00A815D0" w:rsidRDefault="00E2349E">
            <w:pPr>
              <w:pStyle w:val="TableBodyCopy"/>
              <w:cnfStyle w:val="000000000000" w:firstRow="0" w:lastRow="0" w:firstColumn="0" w:lastColumn="0" w:oddVBand="0" w:evenVBand="0" w:oddHBand="0" w:evenHBand="0" w:firstRowFirstColumn="0" w:firstRowLastColumn="0" w:lastRowFirstColumn="0" w:lastRowLastColumn="0"/>
              <w:rPr>
                <w:color w:val="7030A0"/>
              </w:rPr>
            </w:pPr>
            <w:r w:rsidRPr="00A815D0">
              <w:t>6,000</w:t>
            </w:r>
            <w:r w:rsidR="004B10EB">
              <w:t> </w:t>
            </w:r>
            <w:r w:rsidRPr="00A815D0">
              <w:t xml:space="preserve">households </w:t>
            </w:r>
          </w:p>
        </w:tc>
        <w:tc>
          <w:tcPr>
            <w:tcW w:w="833" w:type="pct"/>
            <w:shd w:val="clear" w:color="auto" w:fill="F0DBD4" w:themeFill="accent5" w:themeFillTint="33"/>
          </w:tcPr>
          <w:p w14:paraId="25904476" w14:textId="717719A5" w:rsidR="00E2349E" w:rsidRPr="00A815D0" w:rsidRDefault="00072179">
            <w:pPr>
              <w:pStyle w:val="TableBodyCopy"/>
              <w:cnfStyle w:val="000000000000" w:firstRow="0" w:lastRow="0" w:firstColumn="0" w:lastColumn="0" w:oddVBand="0" w:evenVBand="0" w:oddHBand="0" w:evenHBand="0" w:firstRowFirstColumn="0" w:firstRowLastColumn="0" w:lastRowFirstColumn="0" w:lastRowLastColumn="0"/>
            </w:pPr>
            <w:r>
              <w:t>Investments contributing to this indicator will be concluded in 2025</w:t>
            </w:r>
          </w:p>
        </w:tc>
        <w:tc>
          <w:tcPr>
            <w:tcW w:w="833" w:type="pct"/>
            <w:shd w:val="clear" w:color="auto" w:fill="F0DBD4" w:themeFill="accent5" w:themeFillTint="33"/>
          </w:tcPr>
          <w:p w14:paraId="2A9F39EF" w14:textId="5105AADD" w:rsidR="00E2349E" w:rsidRPr="00A815D0" w:rsidRDefault="00072179">
            <w:pPr>
              <w:pStyle w:val="TableBodyCopy"/>
              <w:cnfStyle w:val="000000000000" w:firstRow="0" w:lastRow="0" w:firstColumn="0" w:lastColumn="0" w:oddVBand="0" w:evenVBand="0" w:oddHBand="0" w:evenHBand="0" w:firstRowFirstColumn="0" w:firstRowLastColumn="0" w:lastRowFirstColumn="0" w:lastRowLastColumn="0"/>
            </w:pPr>
            <w:r>
              <w:t>Investments contributing to this indicator will be concluded in 202</w:t>
            </w:r>
            <w:r w:rsidR="00870F60">
              <w:t>5</w:t>
            </w:r>
          </w:p>
        </w:tc>
        <w:tc>
          <w:tcPr>
            <w:tcW w:w="833" w:type="pct"/>
            <w:shd w:val="clear" w:color="auto" w:fill="F0DBD4" w:themeFill="accent5" w:themeFillTint="33"/>
          </w:tcPr>
          <w:p w14:paraId="397E6236" w14:textId="33EFF1C4" w:rsidR="00E2349E" w:rsidRPr="00CB5E91" w:rsidRDefault="00F63CD9" w:rsidP="008B700F">
            <w:pPr>
              <w:pStyle w:val="TableBodyCopy"/>
              <w:cnfStyle w:val="000000000000" w:firstRow="0" w:lastRow="0" w:firstColumn="0" w:lastColumn="0" w:oddVBand="0" w:evenVBand="0" w:oddHBand="0" w:evenHBand="0" w:firstRowFirstColumn="0" w:firstRowLastColumn="0" w:lastRowFirstColumn="0" w:lastRowLastColumn="0"/>
            </w:pPr>
            <w:r>
              <w:t>SDG</w:t>
            </w:r>
            <w:r w:rsidR="00E2349E" w:rsidRPr="00CB5E91">
              <w:t xml:space="preserve">1, </w:t>
            </w:r>
            <w:r w:rsidR="00BC7ECB">
              <w:t>SDG</w:t>
            </w:r>
            <w:r w:rsidR="00E2349E" w:rsidRPr="00CB5E91">
              <w:t xml:space="preserve">2, </w:t>
            </w:r>
            <w:r w:rsidR="00BC7ECB">
              <w:t>SDG</w:t>
            </w:r>
            <w:r w:rsidR="00E2349E" w:rsidRPr="00CB5E91">
              <w:t xml:space="preserve">5, </w:t>
            </w:r>
            <w:r w:rsidR="00BC7ECB">
              <w:t>SDG</w:t>
            </w:r>
            <w:r w:rsidR="00E2349E" w:rsidRPr="00CB5E91">
              <w:t xml:space="preserve">8, </w:t>
            </w:r>
            <w:r w:rsidR="00BC7ECB">
              <w:t>SDG</w:t>
            </w:r>
            <w:r w:rsidR="00BC7ECB" w:rsidRPr="00CB5E91">
              <w:t>16</w:t>
            </w:r>
            <w:r w:rsidR="00BC7ECB">
              <w:t>, SDG</w:t>
            </w:r>
            <w:r w:rsidR="00E2349E" w:rsidRPr="00CB5E91">
              <w:t>17</w:t>
            </w:r>
          </w:p>
        </w:tc>
      </w:tr>
      <w:tr w:rsidR="008B700F" w:rsidRPr="00CB5E91" w14:paraId="70B5019B" w14:textId="77777777" w:rsidTr="009F632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3" w:type="pct"/>
            <w:shd w:val="clear" w:color="auto" w:fill="F0DBD4" w:themeFill="accent5" w:themeFillTint="33"/>
          </w:tcPr>
          <w:p w14:paraId="0CC8610B" w14:textId="0FC9A38F" w:rsidR="00B23FF5" w:rsidRPr="00CB5E91" w:rsidRDefault="00365712" w:rsidP="00B23FF5">
            <w:pPr>
              <w:pStyle w:val="TableBodyCopy"/>
            </w:pPr>
            <w:r w:rsidRPr="00CB5E91">
              <w:t>Outcome 3.2</w:t>
            </w:r>
          </w:p>
        </w:tc>
        <w:tc>
          <w:tcPr>
            <w:tcW w:w="833" w:type="pct"/>
            <w:shd w:val="clear" w:color="auto" w:fill="F0DBD4" w:themeFill="accent5" w:themeFillTint="33"/>
          </w:tcPr>
          <w:p w14:paraId="7E3F9F9C" w14:textId="597BD74E" w:rsidR="00B23FF5" w:rsidRPr="00CB5E91" w:rsidRDefault="00E25BFA" w:rsidP="00B23FF5">
            <w:pPr>
              <w:pStyle w:val="TableBodyCopy"/>
              <w:cnfStyle w:val="000000100000" w:firstRow="0" w:lastRow="0" w:firstColumn="0" w:lastColumn="0" w:oddVBand="0" w:evenVBand="0" w:oddHBand="1" w:evenHBand="0" w:firstRowFirstColumn="0" w:firstRowLastColumn="0" w:lastRowFirstColumn="0" w:lastRowLastColumn="0"/>
            </w:pPr>
            <w:r w:rsidRPr="00E25BFA">
              <w:t>3.2.3 Numbers reached with new or improved social protection programs (</w:t>
            </w:r>
            <w:r w:rsidR="0088704B">
              <w:t>male/female</w:t>
            </w:r>
            <w:r w:rsidRPr="00E25BFA">
              <w:t>)</w:t>
            </w:r>
            <w:r w:rsidR="00BC7ECB">
              <w:t xml:space="preserve"> (Tier</w:t>
            </w:r>
            <w:r w:rsidR="00FB399C">
              <w:t> </w:t>
            </w:r>
            <w:r w:rsidR="00BC7ECB">
              <w:t>2)</w:t>
            </w:r>
            <w:hyperlink w:anchor="Tn3a" w:history="1">
              <w:r w:rsidR="00B80384" w:rsidRPr="008B700F">
                <w:rPr>
                  <w:rStyle w:val="Hyperlink"/>
                  <w:vertAlign w:val="superscript"/>
                </w:rPr>
                <w:t>a</w:t>
              </w:r>
            </w:hyperlink>
          </w:p>
        </w:tc>
        <w:tc>
          <w:tcPr>
            <w:tcW w:w="833" w:type="pct"/>
            <w:shd w:val="clear" w:color="auto" w:fill="F0DBD4" w:themeFill="accent5" w:themeFillTint="33"/>
          </w:tcPr>
          <w:p w14:paraId="69DB21D9" w14:textId="29E28BDC" w:rsidR="00B23FF5" w:rsidRPr="00CB5E91" w:rsidRDefault="00B23FF5" w:rsidP="00B23FF5">
            <w:pPr>
              <w:pStyle w:val="TableBodyCopy"/>
              <w:cnfStyle w:val="000000100000" w:firstRow="0" w:lastRow="0" w:firstColumn="0" w:lastColumn="0" w:oddVBand="0" w:evenVBand="0" w:oddHBand="1" w:evenHBand="0" w:firstRowFirstColumn="0" w:firstRowLastColumn="0" w:lastRowFirstColumn="0" w:lastRowLastColumn="0"/>
            </w:pPr>
            <w:r w:rsidRPr="00CB5E91">
              <w:t>30,000</w:t>
            </w:r>
            <w:r w:rsidR="004B10EB">
              <w:t> </w:t>
            </w:r>
            <w:r w:rsidRPr="00CB5E91">
              <w:t>individuals benefited</w:t>
            </w:r>
          </w:p>
        </w:tc>
        <w:tc>
          <w:tcPr>
            <w:tcW w:w="833" w:type="pct"/>
            <w:shd w:val="clear" w:color="auto" w:fill="F0DBD4" w:themeFill="accent5" w:themeFillTint="33"/>
          </w:tcPr>
          <w:p w14:paraId="16AE7D8B" w14:textId="315E4742" w:rsidR="00B23FF5" w:rsidRPr="00CB5E91" w:rsidRDefault="00B23FF5" w:rsidP="00B23FF5">
            <w:pPr>
              <w:pStyle w:val="TableBodyCopy"/>
              <w:cnfStyle w:val="000000100000" w:firstRow="0" w:lastRow="0" w:firstColumn="0" w:lastColumn="0" w:oddVBand="0" w:evenVBand="0" w:oddHBand="1" w:evenHBand="0" w:firstRowFirstColumn="0" w:firstRowLastColumn="0" w:lastRowFirstColumn="0" w:lastRowLastColumn="0"/>
            </w:pPr>
            <w:r w:rsidRPr="00CB5E91">
              <w:t>30,000</w:t>
            </w:r>
            <w:r w:rsidR="004B10EB">
              <w:t> </w:t>
            </w:r>
            <w:r w:rsidRPr="00CB5E91">
              <w:t>individuals benefited</w:t>
            </w:r>
          </w:p>
        </w:tc>
        <w:tc>
          <w:tcPr>
            <w:tcW w:w="833" w:type="pct"/>
            <w:shd w:val="clear" w:color="auto" w:fill="F0DBD4" w:themeFill="accent5" w:themeFillTint="33"/>
          </w:tcPr>
          <w:p w14:paraId="3F12ECB4" w14:textId="7F65BD34" w:rsidR="00B23FF5" w:rsidRPr="00CB5E91" w:rsidRDefault="00B23FF5" w:rsidP="00B23FF5">
            <w:pPr>
              <w:pStyle w:val="TableBodyCopy"/>
              <w:cnfStyle w:val="000000100000" w:firstRow="0" w:lastRow="0" w:firstColumn="0" w:lastColumn="0" w:oddVBand="0" w:evenVBand="0" w:oddHBand="1" w:evenHBand="0" w:firstRowFirstColumn="0" w:firstRowLastColumn="0" w:lastRowFirstColumn="0" w:lastRowLastColumn="0"/>
            </w:pPr>
            <w:r w:rsidRPr="00CB5E91">
              <w:t>30,000</w:t>
            </w:r>
            <w:r w:rsidR="004B10EB">
              <w:t> </w:t>
            </w:r>
            <w:r w:rsidRPr="00CB5E91">
              <w:t>individuals benefited</w:t>
            </w:r>
          </w:p>
        </w:tc>
        <w:tc>
          <w:tcPr>
            <w:tcW w:w="833" w:type="pct"/>
            <w:shd w:val="clear" w:color="auto" w:fill="F0DBD4" w:themeFill="accent5" w:themeFillTint="33"/>
          </w:tcPr>
          <w:p w14:paraId="540F7980" w14:textId="21799BBB" w:rsidR="00B23FF5" w:rsidRPr="00CB5E91" w:rsidRDefault="00B80384" w:rsidP="008B700F">
            <w:pPr>
              <w:pStyle w:val="TableBodyCopy"/>
              <w:cnfStyle w:val="000000100000" w:firstRow="0" w:lastRow="0" w:firstColumn="0" w:lastColumn="0" w:oddVBand="0" w:evenVBand="0" w:oddHBand="1" w:evenHBand="0" w:firstRowFirstColumn="0" w:firstRowLastColumn="0" w:lastRowFirstColumn="0" w:lastRowLastColumn="0"/>
            </w:pPr>
            <w:r>
              <w:t>SDG</w:t>
            </w:r>
            <w:r w:rsidR="00B23FF5" w:rsidRPr="00CB5E91">
              <w:t xml:space="preserve">1, </w:t>
            </w:r>
            <w:r>
              <w:t>SDG</w:t>
            </w:r>
            <w:r w:rsidR="00B23FF5" w:rsidRPr="00CB5E91">
              <w:t>3</w:t>
            </w:r>
            <w:r w:rsidR="00FA7B7A">
              <w:t>: Good health and wellbeing, SDG</w:t>
            </w:r>
            <w:r w:rsidR="00B23FF5" w:rsidRPr="00CB5E91">
              <w:t>5</w:t>
            </w:r>
          </w:p>
        </w:tc>
      </w:tr>
      <w:tr w:rsidR="008B700F" w:rsidRPr="00CB5E91" w14:paraId="5A3DC112" w14:textId="77777777" w:rsidTr="009F632F">
        <w:trPr>
          <w:trHeight w:val="692"/>
        </w:trPr>
        <w:tc>
          <w:tcPr>
            <w:cnfStyle w:val="001000000000" w:firstRow="0" w:lastRow="0" w:firstColumn="1" w:lastColumn="0" w:oddVBand="0" w:evenVBand="0" w:oddHBand="0" w:evenHBand="0" w:firstRowFirstColumn="0" w:firstRowLastColumn="0" w:lastRowFirstColumn="0" w:lastRowLastColumn="0"/>
            <w:tcW w:w="833" w:type="pct"/>
            <w:shd w:val="clear" w:color="auto" w:fill="F0DBD4" w:themeFill="accent5" w:themeFillTint="33"/>
          </w:tcPr>
          <w:p w14:paraId="507BE7EB" w14:textId="633190C3" w:rsidR="00E2349E" w:rsidRPr="00CB5E91" w:rsidRDefault="00365712">
            <w:pPr>
              <w:pStyle w:val="TableBodyCopy"/>
            </w:pPr>
            <w:r w:rsidRPr="00CB5E91">
              <w:t>Outcome 3.2</w:t>
            </w:r>
          </w:p>
        </w:tc>
        <w:tc>
          <w:tcPr>
            <w:tcW w:w="833" w:type="pct"/>
            <w:shd w:val="clear" w:color="auto" w:fill="F0DBD4" w:themeFill="accent5" w:themeFillTint="33"/>
          </w:tcPr>
          <w:p w14:paraId="3C7CF4F1" w14:textId="51581286"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3.2.</w:t>
            </w:r>
            <w:r w:rsidR="00E25BFA">
              <w:t>4</w:t>
            </w:r>
            <w:r w:rsidRPr="00CB5E91">
              <w:t xml:space="preserve"> Number of services provided to victim</w:t>
            </w:r>
            <w:r w:rsidR="008460DC">
              <w:t>/</w:t>
            </w:r>
            <w:r w:rsidRPr="00CB5E91">
              <w:t>survivors of sexual and gender-based violence</w:t>
            </w:r>
            <w:r w:rsidR="00A707EA">
              <w:t xml:space="preserve"> (Tier</w:t>
            </w:r>
            <w:r w:rsidR="00FB399C">
              <w:t> </w:t>
            </w:r>
            <w:r w:rsidR="00A707EA">
              <w:t>2)</w:t>
            </w:r>
          </w:p>
        </w:tc>
        <w:tc>
          <w:tcPr>
            <w:tcW w:w="833" w:type="pct"/>
            <w:shd w:val="clear" w:color="auto" w:fill="F0DBD4" w:themeFill="accent5" w:themeFillTint="33"/>
          </w:tcPr>
          <w:p w14:paraId="20CDA1D6" w14:textId="4B8575A3"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500</w:t>
            </w:r>
            <w:r w:rsidR="007D66BA">
              <w:t> </w:t>
            </w:r>
            <w:r w:rsidRPr="00CB5E91">
              <w:t>instances of service provision to victim</w:t>
            </w:r>
            <w:r w:rsidR="00C46356">
              <w:t>/</w:t>
            </w:r>
            <w:r w:rsidRPr="00CB5E91">
              <w:t>survivors</w:t>
            </w:r>
          </w:p>
        </w:tc>
        <w:tc>
          <w:tcPr>
            <w:tcW w:w="833" w:type="pct"/>
            <w:shd w:val="clear" w:color="auto" w:fill="F0DBD4" w:themeFill="accent5" w:themeFillTint="33"/>
          </w:tcPr>
          <w:p w14:paraId="0BC651E2" w14:textId="362AA4E3"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1</w:t>
            </w:r>
            <w:r w:rsidR="00AB4D08">
              <w:t>,</w:t>
            </w:r>
            <w:r w:rsidRPr="00CB5E91">
              <w:t>500</w:t>
            </w:r>
            <w:r w:rsidR="007D66BA">
              <w:t> </w:t>
            </w:r>
            <w:r w:rsidRPr="00CB5E91">
              <w:t>instances of service provision to victim</w:t>
            </w:r>
            <w:r w:rsidR="00C46356">
              <w:t>/</w:t>
            </w:r>
            <w:r w:rsidRPr="00CB5E91">
              <w:t>survivors</w:t>
            </w:r>
          </w:p>
        </w:tc>
        <w:tc>
          <w:tcPr>
            <w:tcW w:w="833" w:type="pct"/>
            <w:shd w:val="clear" w:color="auto" w:fill="F0DBD4" w:themeFill="accent5" w:themeFillTint="33"/>
          </w:tcPr>
          <w:p w14:paraId="523FF4FC" w14:textId="407F34FB" w:rsidR="00E2349E" w:rsidRPr="00CB5E91" w:rsidRDefault="00E2349E">
            <w:pPr>
              <w:pStyle w:val="TableBodyCopy"/>
              <w:cnfStyle w:val="000000000000" w:firstRow="0" w:lastRow="0" w:firstColumn="0" w:lastColumn="0" w:oddVBand="0" w:evenVBand="0" w:oddHBand="0" w:evenHBand="0" w:firstRowFirstColumn="0" w:firstRowLastColumn="0" w:lastRowFirstColumn="0" w:lastRowLastColumn="0"/>
            </w:pPr>
            <w:r w:rsidRPr="00CB5E91">
              <w:t>1</w:t>
            </w:r>
            <w:r w:rsidR="00AB4D08">
              <w:t>,</w:t>
            </w:r>
            <w:r w:rsidRPr="00CB5E91">
              <w:t>500</w:t>
            </w:r>
            <w:r w:rsidR="007D66BA">
              <w:t> </w:t>
            </w:r>
            <w:r w:rsidRPr="00CB5E91">
              <w:t>instances of service provision to victim</w:t>
            </w:r>
            <w:r w:rsidR="00C46356">
              <w:t>/</w:t>
            </w:r>
            <w:r w:rsidRPr="00CB5E91">
              <w:t>survivors</w:t>
            </w:r>
          </w:p>
        </w:tc>
        <w:tc>
          <w:tcPr>
            <w:tcW w:w="833" w:type="pct"/>
            <w:shd w:val="clear" w:color="auto" w:fill="F0DBD4" w:themeFill="accent5" w:themeFillTint="33"/>
          </w:tcPr>
          <w:p w14:paraId="7AA655FD" w14:textId="2437B180" w:rsidR="00E2349E" w:rsidRPr="00CB5E91" w:rsidRDefault="00086C72" w:rsidP="008B700F">
            <w:pPr>
              <w:pStyle w:val="TableBodyCopy"/>
              <w:cnfStyle w:val="000000000000" w:firstRow="0" w:lastRow="0" w:firstColumn="0" w:lastColumn="0" w:oddVBand="0" w:evenVBand="0" w:oddHBand="0" w:evenHBand="0" w:firstRowFirstColumn="0" w:firstRowLastColumn="0" w:lastRowFirstColumn="0" w:lastRowLastColumn="0"/>
            </w:pPr>
            <w:r>
              <w:t>SD</w:t>
            </w:r>
            <w:r w:rsidR="00E2349E" w:rsidRPr="00CB5E91">
              <w:t>G5</w:t>
            </w:r>
          </w:p>
        </w:tc>
      </w:tr>
      <w:tr w:rsidR="00AD50DB" w:rsidRPr="00CB5E91" w14:paraId="64E1D205" w14:textId="77777777" w:rsidTr="009F632F">
        <w:trPr>
          <w:cnfStyle w:val="000000100000" w:firstRow="0" w:lastRow="0" w:firstColumn="0" w:lastColumn="0" w:oddVBand="0" w:evenVBand="0" w:oddHBand="1" w:evenHBand="0" w:firstRowFirstColumn="0" w:firstRowLastColumn="0" w:lastRowFirstColumn="0" w:lastRowLastColumn="0"/>
          <w:cantSplit/>
          <w:trHeight w:val="692"/>
        </w:trPr>
        <w:tc>
          <w:tcPr>
            <w:cnfStyle w:val="001000000000" w:firstRow="0" w:lastRow="0" w:firstColumn="1" w:lastColumn="0" w:oddVBand="0" w:evenVBand="0" w:oddHBand="0" w:evenHBand="0" w:firstRowFirstColumn="0" w:firstRowLastColumn="0" w:lastRowFirstColumn="0" w:lastRowLastColumn="0"/>
            <w:tcW w:w="833" w:type="pct"/>
            <w:shd w:val="clear" w:color="auto" w:fill="F0DBD4" w:themeFill="accent5" w:themeFillTint="33"/>
          </w:tcPr>
          <w:p w14:paraId="7CCC5DAC" w14:textId="60833BEB" w:rsidR="00E25BFA" w:rsidRPr="00CB5E91" w:rsidRDefault="00365712" w:rsidP="00E25BFA">
            <w:pPr>
              <w:pStyle w:val="TableBodyCopy"/>
            </w:pPr>
            <w:r w:rsidRPr="00CB5E91">
              <w:lastRenderedPageBreak/>
              <w:t>Outcome 3.2</w:t>
            </w:r>
          </w:p>
        </w:tc>
        <w:tc>
          <w:tcPr>
            <w:tcW w:w="833" w:type="pct"/>
            <w:shd w:val="clear" w:color="auto" w:fill="F0DBD4" w:themeFill="accent5" w:themeFillTint="33"/>
          </w:tcPr>
          <w:p w14:paraId="473297EE" w14:textId="33615BC6" w:rsidR="00E25BFA" w:rsidRPr="00E13BE7" w:rsidRDefault="00E25BFA" w:rsidP="00E25BFA">
            <w:pPr>
              <w:pStyle w:val="TableBodyCopy"/>
              <w:cnfStyle w:val="000000100000" w:firstRow="0" w:lastRow="0" w:firstColumn="0" w:lastColumn="0" w:oddVBand="0" w:evenVBand="0" w:oddHBand="1" w:evenHBand="0" w:firstRowFirstColumn="0" w:firstRowLastColumn="0" w:lastRowFirstColumn="0" w:lastRowLastColumn="0"/>
            </w:pPr>
            <w:r w:rsidRPr="00E13BE7">
              <w:t xml:space="preserve">3.2.5 Improved </w:t>
            </w:r>
            <w:r w:rsidR="00D30EEE">
              <w:t>Philippine Government</w:t>
            </w:r>
            <w:r w:rsidRPr="00E13BE7">
              <w:t xml:space="preserve"> planning, policy formulation and budgeting for gender equality, disability and social inclusion </w:t>
            </w:r>
            <w:r w:rsidR="00A50112">
              <w:t>(GEDSI)</w:t>
            </w:r>
          </w:p>
        </w:tc>
        <w:tc>
          <w:tcPr>
            <w:tcW w:w="833" w:type="pct"/>
            <w:shd w:val="clear" w:color="auto" w:fill="F0DBD4" w:themeFill="accent5" w:themeFillTint="33"/>
          </w:tcPr>
          <w:p w14:paraId="3D7C894C" w14:textId="07431360" w:rsidR="00E25BFA" w:rsidRPr="00E13BE7" w:rsidRDefault="00225796" w:rsidP="00E25BFA">
            <w:pPr>
              <w:pStyle w:val="TableBodyCopy"/>
              <w:cnfStyle w:val="000000100000" w:firstRow="0" w:lastRow="0" w:firstColumn="0" w:lastColumn="0" w:oddVBand="0" w:evenVBand="0" w:oddHBand="1" w:evenHBand="0" w:firstRowFirstColumn="0" w:firstRowLastColumn="0" w:lastRowFirstColumn="0" w:lastRowLastColumn="0"/>
              <w:rPr>
                <w:szCs w:val="22"/>
                <w:lang w:eastAsia="en-AU"/>
              </w:rPr>
            </w:pPr>
            <w:r>
              <w:rPr>
                <w:szCs w:val="22"/>
                <w:lang w:eastAsia="en-AU"/>
              </w:rPr>
              <w:t>1</w:t>
            </w:r>
            <w:r w:rsidR="00345EAD">
              <w:rPr>
                <w:szCs w:val="22"/>
                <w:lang w:eastAsia="en-AU"/>
              </w:rPr>
              <w:t> </w:t>
            </w:r>
            <w:r w:rsidR="00D30EEE">
              <w:t xml:space="preserve">Philippine Government </w:t>
            </w:r>
            <w:r w:rsidR="00E25BFA" w:rsidRPr="00E13BE7">
              <w:rPr>
                <w:szCs w:val="22"/>
                <w:lang w:eastAsia="en-AU"/>
              </w:rPr>
              <w:t xml:space="preserve">policy is created or enhanced on gender mainstreaming, </w:t>
            </w:r>
            <w:r w:rsidR="00A50112">
              <w:rPr>
                <w:szCs w:val="22"/>
                <w:lang w:eastAsia="en-AU"/>
              </w:rPr>
              <w:t>g</w:t>
            </w:r>
            <w:r w:rsidR="00E25BFA" w:rsidRPr="00E13BE7">
              <w:rPr>
                <w:szCs w:val="22"/>
                <w:lang w:eastAsia="en-AU"/>
              </w:rPr>
              <w:t xml:space="preserve">ender and </w:t>
            </w:r>
            <w:r w:rsidR="00A50112">
              <w:rPr>
                <w:szCs w:val="22"/>
                <w:lang w:eastAsia="en-AU"/>
              </w:rPr>
              <w:t>d</w:t>
            </w:r>
            <w:r w:rsidR="00E25BFA" w:rsidRPr="00E13BE7">
              <w:rPr>
                <w:szCs w:val="22"/>
                <w:lang w:eastAsia="en-AU"/>
              </w:rPr>
              <w:t xml:space="preserve">evelopment </w:t>
            </w:r>
            <w:r w:rsidR="00D84BBB">
              <w:rPr>
                <w:szCs w:val="22"/>
                <w:lang w:eastAsia="en-AU"/>
              </w:rPr>
              <w:t xml:space="preserve">(GAD) </w:t>
            </w:r>
            <w:r w:rsidR="00E25BFA" w:rsidRPr="00E13BE7">
              <w:rPr>
                <w:szCs w:val="22"/>
                <w:lang w:eastAsia="en-AU"/>
              </w:rPr>
              <w:t>budgets, gender-based violence or adolescent pregnancy</w:t>
            </w:r>
          </w:p>
          <w:p w14:paraId="7AFB5675" w14:textId="26EB1F2D" w:rsidR="00E25BFA" w:rsidRPr="00E13BE7" w:rsidRDefault="00D30EEE" w:rsidP="00E25BFA">
            <w:pPr>
              <w:pStyle w:val="TableBodyCopy"/>
              <w:cnfStyle w:val="000000100000" w:firstRow="0" w:lastRow="0" w:firstColumn="0" w:lastColumn="0" w:oddVBand="0" w:evenVBand="0" w:oddHBand="1" w:evenHBand="0" w:firstRowFirstColumn="0" w:firstRowLastColumn="0" w:lastRowFirstColumn="0" w:lastRowLastColumn="0"/>
            </w:pPr>
            <w:r>
              <w:t>The Philippine Government</w:t>
            </w:r>
            <w:r w:rsidR="00E25BFA" w:rsidRPr="00E13BE7">
              <w:rPr>
                <w:szCs w:val="22"/>
                <w:lang w:eastAsia="en-AU"/>
              </w:rPr>
              <w:t>’s definition of disability is more aligned with the international Washington Group questions</w:t>
            </w:r>
          </w:p>
        </w:tc>
        <w:tc>
          <w:tcPr>
            <w:tcW w:w="833" w:type="pct"/>
            <w:shd w:val="clear" w:color="auto" w:fill="F0DBD4" w:themeFill="accent5" w:themeFillTint="33"/>
          </w:tcPr>
          <w:p w14:paraId="1043FC8D" w14:textId="426730C2" w:rsidR="00E25BFA" w:rsidRPr="00E13BE7" w:rsidRDefault="00225796" w:rsidP="00E25BFA">
            <w:pPr>
              <w:pStyle w:val="TableBodyCopy"/>
              <w:cnfStyle w:val="000000100000" w:firstRow="0" w:lastRow="0" w:firstColumn="0" w:lastColumn="0" w:oddVBand="0" w:evenVBand="0" w:oddHBand="1" w:evenHBand="0" w:firstRowFirstColumn="0" w:firstRowLastColumn="0" w:lastRowFirstColumn="0" w:lastRowLastColumn="0"/>
              <w:rPr>
                <w:szCs w:val="22"/>
                <w:lang w:eastAsia="en-AU"/>
              </w:rPr>
            </w:pPr>
            <w:r>
              <w:rPr>
                <w:szCs w:val="22"/>
                <w:lang w:eastAsia="en-AU"/>
              </w:rPr>
              <w:t>5</w:t>
            </w:r>
            <w:r w:rsidR="00345EAD">
              <w:rPr>
                <w:szCs w:val="22"/>
                <w:lang w:eastAsia="en-AU"/>
              </w:rPr>
              <w:t> </w:t>
            </w:r>
            <w:r w:rsidR="00D30EEE">
              <w:t>Philippine Government</w:t>
            </w:r>
            <w:r w:rsidR="00D30EEE" w:rsidRPr="00E13BE7" w:rsidDel="00D30EEE">
              <w:rPr>
                <w:szCs w:val="22"/>
                <w:lang w:eastAsia="en-AU"/>
              </w:rPr>
              <w:t xml:space="preserve"> </w:t>
            </w:r>
            <w:r w:rsidR="00E25BFA" w:rsidRPr="00E13BE7">
              <w:rPr>
                <w:szCs w:val="22"/>
                <w:lang w:eastAsia="en-AU"/>
              </w:rPr>
              <w:t xml:space="preserve">policies are created or enhanced on gender equality, gender mainstreaming, </w:t>
            </w:r>
            <w:r w:rsidR="00D84BBB">
              <w:rPr>
                <w:szCs w:val="22"/>
                <w:lang w:eastAsia="en-AU"/>
              </w:rPr>
              <w:t>GAD</w:t>
            </w:r>
            <w:r w:rsidR="00E25BFA" w:rsidRPr="00E13BE7">
              <w:rPr>
                <w:szCs w:val="22"/>
                <w:lang w:eastAsia="en-AU"/>
              </w:rPr>
              <w:t xml:space="preserve"> budgets, gender-based violence or adolescent pregnancy</w:t>
            </w:r>
          </w:p>
          <w:p w14:paraId="36786752" w14:textId="1092788C" w:rsidR="00E25BFA" w:rsidRPr="00E13BE7" w:rsidRDefault="00E25BFA" w:rsidP="00E25BFA">
            <w:pPr>
              <w:pStyle w:val="TableBodyCopy"/>
              <w:cnfStyle w:val="000000100000" w:firstRow="0" w:lastRow="0" w:firstColumn="0" w:lastColumn="0" w:oddVBand="0" w:evenVBand="0" w:oddHBand="1" w:evenHBand="0" w:firstRowFirstColumn="0" w:firstRowLastColumn="0" w:lastRowFirstColumn="0" w:lastRowLastColumn="0"/>
              <w:rPr>
                <w:szCs w:val="22"/>
                <w:lang w:eastAsia="en-AU"/>
              </w:rPr>
            </w:pPr>
            <w:r w:rsidRPr="00E13BE7">
              <w:rPr>
                <w:szCs w:val="22"/>
                <w:lang w:eastAsia="en-AU"/>
              </w:rPr>
              <w:t>Gender equality activities funded by GAD budget allocations increasingly support services for gender equality (measured by percentage increase from 2024</w:t>
            </w:r>
            <w:r w:rsidR="006B4C85">
              <w:t>–</w:t>
            </w:r>
            <w:r w:rsidRPr="00E13BE7">
              <w:rPr>
                <w:szCs w:val="22"/>
                <w:lang w:eastAsia="en-AU"/>
              </w:rPr>
              <w:t xml:space="preserve">25 baseline, with select </w:t>
            </w:r>
            <w:r w:rsidR="009C31A8">
              <w:rPr>
                <w:szCs w:val="22"/>
                <w:lang w:eastAsia="en-AU"/>
              </w:rPr>
              <w:t xml:space="preserve">Philippine Government </w:t>
            </w:r>
            <w:r w:rsidRPr="00E13BE7">
              <w:rPr>
                <w:szCs w:val="22"/>
                <w:lang w:eastAsia="en-AU"/>
              </w:rPr>
              <w:t>national and local governments)</w:t>
            </w:r>
          </w:p>
          <w:p w14:paraId="1730ADE8" w14:textId="2001854A" w:rsidR="00E25BFA" w:rsidRPr="00E13BE7" w:rsidRDefault="00D30EEE" w:rsidP="00E25BFA">
            <w:pPr>
              <w:pStyle w:val="TableBodyCopy"/>
              <w:cnfStyle w:val="000000100000" w:firstRow="0" w:lastRow="0" w:firstColumn="0" w:lastColumn="0" w:oddVBand="0" w:evenVBand="0" w:oddHBand="1" w:evenHBand="0" w:firstRowFirstColumn="0" w:firstRowLastColumn="0" w:lastRowFirstColumn="0" w:lastRowLastColumn="0"/>
            </w:pPr>
            <w:r>
              <w:rPr>
                <w:szCs w:val="22"/>
                <w:lang w:eastAsia="en-AU"/>
              </w:rPr>
              <w:t xml:space="preserve">The </w:t>
            </w:r>
            <w:r>
              <w:t>Philippine Government</w:t>
            </w:r>
            <w:r w:rsidR="00E25BFA" w:rsidRPr="00E13BE7">
              <w:rPr>
                <w:szCs w:val="22"/>
                <w:lang w:eastAsia="en-AU"/>
              </w:rPr>
              <w:t>’s disability identification system and registry more accurately identify people with disability</w:t>
            </w:r>
            <w:r w:rsidR="00044947">
              <w:rPr>
                <w:szCs w:val="22"/>
                <w:lang w:eastAsia="en-AU"/>
              </w:rPr>
              <w:t>,</w:t>
            </w:r>
            <w:r w:rsidR="00E25BFA" w:rsidRPr="00E13BE7">
              <w:rPr>
                <w:szCs w:val="22"/>
                <w:lang w:eastAsia="en-AU"/>
              </w:rPr>
              <w:t xml:space="preserve"> </w:t>
            </w:r>
            <w:r w:rsidR="00044947">
              <w:rPr>
                <w:szCs w:val="22"/>
                <w:lang w:eastAsia="en-AU"/>
              </w:rPr>
              <w:t xml:space="preserve">as </w:t>
            </w:r>
            <w:r w:rsidR="00E25BFA" w:rsidRPr="00E13BE7">
              <w:rPr>
                <w:szCs w:val="22"/>
                <w:lang w:eastAsia="en-AU"/>
              </w:rPr>
              <w:t>measured by reduced discrepancies between</w:t>
            </w:r>
            <w:r w:rsidR="00044947">
              <w:rPr>
                <w:szCs w:val="22"/>
                <w:lang w:eastAsia="en-AU"/>
              </w:rPr>
              <w:t xml:space="preserve"> National Council on Disability</w:t>
            </w:r>
            <w:r w:rsidR="00C20257">
              <w:rPr>
                <w:szCs w:val="22"/>
                <w:lang w:eastAsia="en-AU"/>
              </w:rPr>
              <w:t xml:space="preserve"> Affairs</w:t>
            </w:r>
            <w:r w:rsidR="00E25BFA" w:rsidRPr="00E13BE7">
              <w:rPr>
                <w:szCs w:val="22"/>
                <w:lang w:eastAsia="en-AU"/>
              </w:rPr>
              <w:t xml:space="preserve"> </w:t>
            </w:r>
            <w:r w:rsidR="00044947">
              <w:rPr>
                <w:szCs w:val="22"/>
                <w:lang w:eastAsia="en-AU"/>
              </w:rPr>
              <w:t>(</w:t>
            </w:r>
            <w:r w:rsidR="00E25BFA" w:rsidRPr="00E13BE7">
              <w:rPr>
                <w:szCs w:val="22"/>
                <w:lang w:eastAsia="en-AU"/>
              </w:rPr>
              <w:t>NCDA</w:t>
            </w:r>
            <w:r w:rsidR="00044947">
              <w:rPr>
                <w:szCs w:val="22"/>
                <w:lang w:eastAsia="en-AU"/>
              </w:rPr>
              <w:t>)</w:t>
            </w:r>
            <w:r w:rsidR="00E25BFA" w:rsidRPr="00E13BE7">
              <w:rPr>
                <w:szCs w:val="22"/>
                <w:lang w:eastAsia="en-AU"/>
              </w:rPr>
              <w:t xml:space="preserve">, </w:t>
            </w:r>
            <w:r w:rsidR="00044947">
              <w:rPr>
                <w:szCs w:val="22"/>
                <w:lang w:eastAsia="en-AU"/>
              </w:rPr>
              <w:t>Department of Health (</w:t>
            </w:r>
            <w:r w:rsidR="00082515">
              <w:rPr>
                <w:szCs w:val="22"/>
                <w:lang w:eastAsia="en-AU"/>
              </w:rPr>
              <w:t>D</w:t>
            </w:r>
            <w:r w:rsidR="00C20257">
              <w:rPr>
                <w:szCs w:val="22"/>
                <w:lang w:eastAsia="en-AU"/>
              </w:rPr>
              <w:t>OH</w:t>
            </w:r>
            <w:r w:rsidR="00044947">
              <w:rPr>
                <w:szCs w:val="22"/>
                <w:lang w:eastAsia="en-AU"/>
              </w:rPr>
              <w:t>)</w:t>
            </w:r>
            <w:r w:rsidR="00E25BFA" w:rsidRPr="00E13BE7">
              <w:rPr>
                <w:szCs w:val="22"/>
                <w:lang w:eastAsia="en-AU"/>
              </w:rPr>
              <w:t xml:space="preserve"> and </w:t>
            </w:r>
            <w:r w:rsidR="00044947">
              <w:rPr>
                <w:szCs w:val="22"/>
                <w:lang w:eastAsia="en-AU"/>
              </w:rPr>
              <w:t>local government unit (</w:t>
            </w:r>
            <w:r w:rsidR="00E25BFA" w:rsidRPr="00E13BE7">
              <w:rPr>
                <w:szCs w:val="22"/>
                <w:lang w:eastAsia="en-AU"/>
              </w:rPr>
              <w:t>LGU</w:t>
            </w:r>
            <w:r w:rsidR="00044947">
              <w:rPr>
                <w:szCs w:val="22"/>
                <w:lang w:eastAsia="en-AU"/>
              </w:rPr>
              <w:t>)</w:t>
            </w:r>
            <w:r w:rsidR="00E25BFA" w:rsidRPr="00E13BE7">
              <w:rPr>
                <w:szCs w:val="22"/>
                <w:lang w:eastAsia="en-AU"/>
              </w:rPr>
              <w:t xml:space="preserve"> data</w:t>
            </w:r>
          </w:p>
        </w:tc>
        <w:tc>
          <w:tcPr>
            <w:tcW w:w="833" w:type="pct"/>
            <w:shd w:val="clear" w:color="auto" w:fill="F0DBD4" w:themeFill="accent5" w:themeFillTint="33"/>
          </w:tcPr>
          <w:p w14:paraId="49B9B8FE" w14:textId="4E059365" w:rsidR="00E25BFA" w:rsidRPr="00E13BE7" w:rsidRDefault="00225796" w:rsidP="00E25BFA">
            <w:pPr>
              <w:pStyle w:val="TableBodyCopy"/>
              <w:cnfStyle w:val="000000100000" w:firstRow="0" w:lastRow="0" w:firstColumn="0" w:lastColumn="0" w:oddVBand="0" w:evenVBand="0" w:oddHBand="1" w:evenHBand="0" w:firstRowFirstColumn="0" w:firstRowLastColumn="0" w:lastRowFirstColumn="0" w:lastRowLastColumn="0"/>
              <w:rPr>
                <w:szCs w:val="22"/>
                <w:lang w:eastAsia="en-AU"/>
              </w:rPr>
            </w:pPr>
            <w:r>
              <w:rPr>
                <w:szCs w:val="22"/>
                <w:lang w:eastAsia="en-AU"/>
              </w:rPr>
              <w:t>5</w:t>
            </w:r>
            <w:r w:rsidR="00345EAD">
              <w:rPr>
                <w:szCs w:val="22"/>
                <w:lang w:eastAsia="en-AU"/>
              </w:rPr>
              <w:t> </w:t>
            </w:r>
            <w:r w:rsidR="00D30EEE">
              <w:t>Philippine Government</w:t>
            </w:r>
            <w:r w:rsidR="00E25BFA" w:rsidRPr="00E13BE7">
              <w:rPr>
                <w:szCs w:val="22"/>
                <w:lang w:eastAsia="en-AU"/>
              </w:rPr>
              <w:t xml:space="preserve"> policies are created or enhanced on gender equality, gender mainstreaming, </w:t>
            </w:r>
            <w:r w:rsidR="00102410">
              <w:rPr>
                <w:szCs w:val="22"/>
                <w:lang w:eastAsia="en-AU"/>
              </w:rPr>
              <w:t>GAD</w:t>
            </w:r>
            <w:r w:rsidR="00E25BFA" w:rsidRPr="00E13BE7">
              <w:rPr>
                <w:szCs w:val="22"/>
                <w:lang w:eastAsia="en-AU"/>
              </w:rPr>
              <w:t xml:space="preserve"> budgets, gender-based violence or adolescent pregnancy</w:t>
            </w:r>
          </w:p>
          <w:p w14:paraId="5559E8A9" w14:textId="6E553E16" w:rsidR="00E25BFA" w:rsidRPr="00E13BE7" w:rsidRDefault="00E25BFA" w:rsidP="00E25BFA">
            <w:pPr>
              <w:pStyle w:val="TableBodyCopy"/>
              <w:cnfStyle w:val="000000100000" w:firstRow="0" w:lastRow="0" w:firstColumn="0" w:lastColumn="0" w:oddVBand="0" w:evenVBand="0" w:oddHBand="1" w:evenHBand="0" w:firstRowFirstColumn="0" w:firstRowLastColumn="0" w:lastRowFirstColumn="0" w:lastRowLastColumn="0"/>
              <w:rPr>
                <w:szCs w:val="22"/>
                <w:lang w:eastAsia="en-AU"/>
              </w:rPr>
            </w:pPr>
            <w:r w:rsidRPr="00E13BE7">
              <w:rPr>
                <w:szCs w:val="22"/>
                <w:lang w:eastAsia="en-AU"/>
              </w:rPr>
              <w:t>Gender equality activities funded by GAD budget allocations increasingly support services for gender equality (measured by percentage increase from 2024</w:t>
            </w:r>
            <w:r w:rsidR="006B4C85">
              <w:t>–</w:t>
            </w:r>
            <w:r w:rsidRPr="00E13BE7">
              <w:rPr>
                <w:szCs w:val="22"/>
                <w:lang w:eastAsia="en-AU"/>
              </w:rPr>
              <w:t xml:space="preserve">25 baseline, with select </w:t>
            </w:r>
            <w:r w:rsidR="00825223">
              <w:rPr>
                <w:szCs w:val="22"/>
                <w:lang w:eastAsia="en-AU"/>
              </w:rPr>
              <w:t>Philippine Government</w:t>
            </w:r>
            <w:r w:rsidR="00825223" w:rsidRPr="00E13BE7">
              <w:rPr>
                <w:szCs w:val="22"/>
                <w:lang w:eastAsia="en-AU"/>
              </w:rPr>
              <w:t xml:space="preserve"> </w:t>
            </w:r>
            <w:r w:rsidRPr="00E13BE7">
              <w:rPr>
                <w:szCs w:val="22"/>
                <w:lang w:eastAsia="en-AU"/>
              </w:rPr>
              <w:t>national and local governments)</w:t>
            </w:r>
          </w:p>
          <w:p w14:paraId="418C6A3C" w14:textId="1416F4CB" w:rsidR="00E25BFA" w:rsidRPr="00E13BE7" w:rsidRDefault="00D30EEE" w:rsidP="00E25BFA">
            <w:pPr>
              <w:pStyle w:val="TableBodyCopy"/>
              <w:cnfStyle w:val="000000100000" w:firstRow="0" w:lastRow="0" w:firstColumn="0" w:lastColumn="0" w:oddVBand="0" w:evenVBand="0" w:oddHBand="1" w:evenHBand="0" w:firstRowFirstColumn="0" w:firstRowLastColumn="0" w:lastRowFirstColumn="0" w:lastRowLastColumn="0"/>
            </w:pPr>
            <w:r>
              <w:rPr>
                <w:szCs w:val="22"/>
                <w:lang w:eastAsia="en-AU"/>
              </w:rPr>
              <w:t xml:space="preserve">The </w:t>
            </w:r>
            <w:r>
              <w:t>Philippine Government</w:t>
            </w:r>
            <w:r w:rsidR="00E25BFA" w:rsidRPr="00E13BE7">
              <w:rPr>
                <w:szCs w:val="22"/>
                <w:lang w:eastAsia="en-AU"/>
              </w:rPr>
              <w:t>’s disability identification system and registry more accurately identify people with disability</w:t>
            </w:r>
            <w:r w:rsidR="00044947">
              <w:rPr>
                <w:szCs w:val="22"/>
                <w:lang w:eastAsia="en-AU"/>
              </w:rPr>
              <w:t>, as</w:t>
            </w:r>
            <w:r w:rsidR="00E25BFA" w:rsidRPr="00E13BE7">
              <w:rPr>
                <w:szCs w:val="22"/>
                <w:lang w:eastAsia="en-AU"/>
              </w:rPr>
              <w:t xml:space="preserve"> measured by reduced discrepancies between NCDA, </w:t>
            </w:r>
            <w:r w:rsidR="00082515">
              <w:rPr>
                <w:szCs w:val="22"/>
                <w:lang w:eastAsia="en-AU"/>
              </w:rPr>
              <w:t>DOH</w:t>
            </w:r>
            <w:r w:rsidR="00E25BFA" w:rsidRPr="00E13BE7">
              <w:rPr>
                <w:szCs w:val="22"/>
                <w:lang w:eastAsia="en-AU"/>
              </w:rPr>
              <w:t xml:space="preserve"> and LGU data</w:t>
            </w:r>
          </w:p>
        </w:tc>
        <w:tc>
          <w:tcPr>
            <w:tcW w:w="833" w:type="pct"/>
            <w:shd w:val="clear" w:color="auto" w:fill="F0DBD4" w:themeFill="accent5" w:themeFillTint="33"/>
          </w:tcPr>
          <w:p w14:paraId="42D4482E" w14:textId="348F5935" w:rsidR="00E25BFA" w:rsidRPr="00CB5E91" w:rsidRDefault="00A808FA" w:rsidP="008B700F">
            <w:pPr>
              <w:pStyle w:val="TableBodyCopy"/>
              <w:cnfStyle w:val="000000100000" w:firstRow="0" w:lastRow="0" w:firstColumn="0" w:lastColumn="0" w:oddVBand="0" w:evenVBand="0" w:oddHBand="1" w:evenHBand="0" w:firstRowFirstColumn="0" w:firstRowLastColumn="0" w:lastRowFirstColumn="0" w:lastRowLastColumn="0"/>
            </w:pPr>
            <w:r>
              <w:t>SDG</w:t>
            </w:r>
            <w:r w:rsidR="00E25BFA" w:rsidRPr="00CB5E91">
              <w:t>10</w:t>
            </w:r>
            <w:r w:rsidR="00887CD9">
              <w:t>: Reduced inequalities</w:t>
            </w:r>
          </w:p>
        </w:tc>
      </w:tr>
    </w:tbl>
    <w:p w14:paraId="23D46622" w14:textId="2196A625" w:rsidR="00E25BFA" w:rsidRPr="00E25BFA" w:rsidRDefault="00BC7ECB" w:rsidP="008B700F">
      <w:pPr>
        <w:pStyle w:val="Tablenote"/>
      </w:pPr>
      <w:bookmarkStart w:id="8" w:name="Tn3a"/>
      <w:r>
        <w:t>a</w:t>
      </w:r>
      <w:r>
        <w:tab/>
      </w:r>
      <w:r w:rsidR="00E25BFA" w:rsidRPr="00E25BFA">
        <w:t xml:space="preserve">Calculated by taking an average of the past </w:t>
      </w:r>
      <w:r w:rsidR="0015093E">
        <w:t>three</w:t>
      </w:r>
      <w:r>
        <w:t> </w:t>
      </w:r>
      <w:r w:rsidR="00E25BFA" w:rsidRPr="00E25BFA">
        <w:t>years of results reported against this Tier</w:t>
      </w:r>
      <w:r w:rsidR="00FB399C">
        <w:t> </w:t>
      </w:r>
      <w:r w:rsidR="00E25BFA" w:rsidRPr="00E25BFA">
        <w:t>2 indicator.</w:t>
      </w:r>
    </w:p>
    <w:bookmarkEnd w:id="8"/>
    <w:p w14:paraId="4F584FA2" w14:textId="32C3E9C5" w:rsidR="00E2349E" w:rsidRPr="00E072C1" w:rsidRDefault="00365712" w:rsidP="008B700F">
      <w:pPr>
        <w:keepNext/>
      </w:pPr>
      <w:r w:rsidRPr="008B700F">
        <w:rPr>
          <w:b/>
          <w:bCs/>
        </w:rPr>
        <w:lastRenderedPageBreak/>
        <w:t>Cross</w:t>
      </w:r>
      <w:r w:rsidRPr="008B700F">
        <w:rPr>
          <w:b/>
          <w:bCs/>
        </w:rPr>
        <w:noBreakHyphen/>
        <w:t>program</w:t>
      </w:r>
    </w:p>
    <w:tbl>
      <w:tblPr>
        <w:tblStyle w:val="PlainTable1"/>
        <w:tblW w:w="4953" w:type="pct"/>
        <w:tblLook w:val="04A0" w:firstRow="1" w:lastRow="0" w:firstColumn="1" w:lastColumn="0" w:noHBand="0" w:noVBand="1"/>
        <w:tblCaption w:val="Cross-program Performance Assessment Framework"/>
        <w:tblDescription w:val="Expected results for the first 3 years of the DPP and against the Sustainable Development Goals"/>
      </w:tblPr>
      <w:tblGrid>
        <w:gridCol w:w="2380"/>
        <w:gridCol w:w="2380"/>
        <w:gridCol w:w="2382"/>
        <w:gridCol w:w="2379"/>
        <w:gridCol w:w="2379"/>
        <w:gridCol w:w="2382"/>
      </w:tblGrid>
      <w:tr w:rsidR="00AD50DB" w:rsidRPr="000117BD" w14:paraId="439D6486" w14:textId="77777777" w:rsidTr="009F632F">
        <w:trPr>
          <w:cnfStyle w:val="100000000000" w:firstRow="1" w:lastRow="0" w:firstColumn="0" w:lastColumn="0" w:oddVBand="0" w:evenVBand="0" w:oddHBand="0" w:evenHBand="0" w:firstRowFirstColumn="0" w:firstRowLastColumn="0" w:lastRowFirstColumn="0" w:lastRowLastColumn="0"/>
          <w:trHeight w:val="472"/>
          <w:tblHeader/>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auto"/>
              <w:left w:val="single" w:sz="4" w:space="0" w:color="auto"/>
              <w:bottom w:val="single" w:sz="4" w:space="0" w:color="auto"/>
              <w:right w:val="single" w:sz="4" w:space="0" w:color="auto"/>
            </w:tcBorders>
            <w:shd w:val="clear" w:color="auto" w:fill="3A586E"/>
          </w:tcPr>
          <w:p w14:paraId="7CD860A3" w14:textId="4FD02F5E" w:rsidR="00E2349E" w:rsidRPr="0087000A" w:rsidRDefault="0087000A" w:rsidP="0087000A">
            <w:pPr>
              <w:pStyle w:val="TableHeading"/>
              <w:rPr>
                <w:b/>
                <w:bCs/>
              </w:rPr>
            </w:pPr>
            <w:r>
              <w:rPr>
                <w:b/>
                <w:bCs/>
              </w:rPr>
              <w:t>Theme</w:t>
            </w:r>
          </w:p>
        </w:tc>
        <w:tc>
          <w:tcPr>
            <w:tcW w:w="833" w:type="pct"/>
            <w:tcBorders>
              <w:top w:val="single" w:sz="4" w:space="0" w:color="auto"/>
              <w:left w:val="single" w:sz="4" w:space="0" w:color="auto"/>
              <w:bottom w:val="single" w:sz="4" w:space="0" w:color="auto"/>
              <w:right w:val="single" w:sz="4" w:space="0" w:color="auto"/>
            </w:tcBorders>
            <w:shd w:val="clear" w:color="auto" w:fill="3A586E"/>
            <w:hideMark/>
          </w:tcPr>
          <w:p w14:paraId="14003A2A" w14:textId="77777777"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Indicator</w:t>
            </w:r>
          </w:p>
        </w:tc>
        <w:tc>
          <w:tcPr>
            <w:tcW w:w="834" w:type="pct"/>
            <w:tcBorders>
              <w:top w:val="single" w:sz="4" w:space="0" w:color="auto"/>
              <w:left w:val="single" w:sz="4" w:space="0" w:color="auto"/>
              <w:bottom w:val="single" w:sz="4" w:space="0" w:color="auto"/>
              <w:right w:val="single" w:sz="4" w:space="0" w:color="auto"/>
            </w:tcBorders>
            <w:shd w:val="clear" w:color="auto" w:fill="3A586E"/>
            <w:hideMark/>
          </w:tcPr>
          <w:p w14:paraId="6863C6B9" w14:textId="05887016"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 xml:space="preserve">Expected </w:t>
            </w:r>
            <w:r w:rsidR="005C1318" w:rsidRPr="0087000A">
              <w:rPr>
                <w:b/>
                <w:bCs/>
              </w:rPr>
              <w:t>r</w:t>
            </w:r>
            <w:r w:rsidRPr="0087000A">
              <w:rPr>
                <w:b/>
                <w:bCs/>
              </w:rPr>
              <w:t>esults</w:t>
            </w:r>
            <w:r w:rsidR="005C1318" w:rsidRPr="0087000A">
              <w:rPr>
                <w:b/>
                <w:bCs/>
              </w:rPr>
              <w:br/>
            </w:r>
            <w:r w:rsidRPr="0087000A">
              <w:rPr>
                <w:b/>
                <w:bCs/>
              </w:rPr>
              <w:t>2024</w:t>
            </w:r>
            <w:r w:rsidR="00296F02" w:rsidRPr="0087000A">
              <w:rPr>
                <w:b/>
                <w:bCs/>
              </w:rPr>
              <w:t>–</w:t>
            </w:r>
            <w:r w:rsidRPr="0087000A">
              <w:rPr>
                <w:b/>
                <w:bCs/>
              </w:rPr>
              <w:t>25</w:t>
            </w:r>
          </w:p>
        </w:tc>
        <w:tc>
          <w:tcPr>
            <w:tcW w:w="833" w:type="pct"/>
            <w:tcBorders>
              <w:top w:val="single" w:sz="4" w:space="0" w:color="auto"/>
              <w:left w:val="single" w:sz="4" w:space="0" w:color="auto"/>
              <w:bottom w:val="single" w:sz="4" w:space="0" w:color="auto"/>
              <w:right w:val="single" w:sz="4" w:space="0" w:color="auto"/>
            </w:tcBorders>
            <w:shd w:val="clear" w:color="auto" w:fill="3A586E"/>
            <w:hideMark/>
          </w:tcPr>
          <w:p w14:paraId="5DB9FAA0" w14:textId="195FDF6F"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 xml:space="preserve">Expected </w:t>
            </w:r>
            <w:r w:rsidR="005C1318" w:rsidRPr="0087000A">
              <w:rPr>
                <w:b/>
                <w:bCs/>
              </w:rPr>
              <w:t>r</w:t>
            </w:r>
            <w:r w:rsidRPr="0087000A">
              <w:rPr>
                <w:b/>
                <w:bCs/>
              </w:rPr>
              <w:t>esults</w:t>
            </w:r>
            <w:r w:rsidR="005C1318" w:rsidRPr="0087000A">
              <w:rPr>
                <w:b/>
                <w:bCs/>
              </w:rPr>
              <w:br/>
            </w:r>
            <w:r w:rsidRPr="0087000A">
              <w:rPr>
                <w:b/>
                <w:bCs/>
              </w:rPr>
              <w:t>2025</w:t>
            </w:r>
            <w:r w:rsidR="00296F02" w:rsidRPr="0087000A">
              <w:rPr>
                <w:b/>
                <w:bCs/>
              </w:rPr>
              <w:t>–</w:t>
            </w:r>
            <w:r w:rsidRPr="0087000A">
              <w:rPr>
                <w:b/>
                <w:bCs/>
              </w:rPr>
              <w:t>26</w:t>
            </w:r>
          </w:p>
        </w:tc>
        <w:tc>
          <w:tcPr>
            <w:tcW w:w="833" w:type="pct"/>
            <w:tcBorders>
              <w:top w:val="single" w:sz="4" w:space="0" w:color="auto"/>
              <w:left w:val="single" w:sz="4" w:space="0" w:color="auto"/>
              <w:bottom w:val="single" w:sz="4" w:space="0" w:color="auto"/>
              <w:right w:val="single" w:sz="4" w:space="0" w:color="auto"/>
            </w:tcBorders>
            <w:shd w:val="clear" w:color="auto" w:fill="3A586E"/>
            <w:hideMark/>
          </w:tcPr>
          <w:p w14:paraId="5C5025D0" w14:textId="3877656B"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 xml:space="preserve">Expected </w:t>
            </w:r>
            <w:r w:rsidR="005C1318" w:rsidRPr="0087000A">
              <w:rPr>
                <w:b/>
                <w:bCs/>
              </w:rPr>
              <w:t>r</w:t>
            </w:r>
            <w:r w:rsidRPr="0087000A">
              <w:rPr>
                <w:b/>
                <w:bCs/>
              </w:rPr>
              <w:t>esults</w:t>
            </w:r>
            <w:r w:rsidR="005C1318" w:rsidRPr="0087000A">
              <w:rPr>
                <w:b/>
                <w:bCs/>
              </w:rPr>
              <w:br/>
            </w:r>
            <w:r w:rsidRPr="0087000A">
              <w:rPr>
                <w:b/>
                <w:bCs/>
              </w:rPr>
              <w:t>2026</w:t>
            </w:r>
            <w:r w:rsidR="00E26223" w:rsidRPr="0087000A">
              <w:rPr>
                <w:b/>
                <w:bCs/>
              </w:rPr>
              <w:t>–</w:t>
            </w:r>
            <w:r w:rsidRPr="0087000A">
              <w:rPr>
                <w:b/>
                <w:bCs/>
              </w:rPr>
              <w:t>27</w:t>
            </w:r>
          </w:p>
        </w:tc>
        <w:tc>
          <w:tcPr>
            <w:tcW w:w="834" w:type="pct"/>
            <w:tcBorders>
              <w:top w:val="single" w:sz="4" w:space="0" w:color="auto"/>
              <w:left w:val="single" w:sz="4" w:space="0" w:color="auto"/>
              <w:bottom w:val="single" w:sz="4" w:space="0" w:color="auto"/>
              <w:right w:val="single" w:sz="4" w:space="0" w:color="auto"/>
            </w:tcBorders>
            <w:shd w:val="clear" w:color="auto" w:fill="3A586E"/>
          </w:tcPr>
          <w:p w14:paraId="09C77342" w14:textId="577A980E" w:rsidR="00E2349E" w:rsidRPr="0087000A" w:rsidRDefault="00E2349E" w:rsidP="0087000A">
            <w:pPr>
              <w:pStyle w:val="TableHeading"/>
              <w:cnfStyle w:val="100000000000" w:firstRow="1" w:lastRow="0" w:firstColumn="0" w:lastColumn="0" w:oddVBand="0" w:evenVBand="0" w:oddHBand="0" w:evenHBand="0" w:firstRowFirstColumn="0" w:firstRowLastColumn="0" w:lastRowFirstColumn="0" w:lastRowLastColumn="0"/>
              <w:rPr>
                <w:b/>
                <w:bCs/>
              </w:rPr>
            </w:pPr>
            <w:r w:rsidRPr="0087000A">
              <w:rPr>
                <w:b/>
                <w:bCs/>
              </w:rPr>
              <w:t>S</w:t>
            </w:r>
            <w:r w:rsidR="00E26223" w:rsidRPr="0087000A">
              <w:rPr>
                <w:b/>
                <w:bCs/>
              </w:rPr>
              <w:t xml:space="preserve">ustainable </w:t>
            </w:r>
            <w:r w:rsidRPr="0087000A">
              <w:rPr>
                <w:b/>
                <w:bCs/>
              </w:rPr>
              <w:t>D</w:t>
            </w:r>
            <w:r w:rsidR="00E26223" w:rsidRPr="0087000A">
              <w:rPr>
                <w:b/>
                <w:bCs/>
              </w:rPr>
              <w:t>evelopment</w:t>
            </w:r>
            <w:r w:rsidRPr="0087000A">
              <w:rPr>
                <w:b/>
                <w:bCs/>
              </w:rPr>
              <w:t xml:space="preserve"> Goal</w:t>
            </w:r>
            <w:r w:rsidR="005C1318" w:rsidRPr="0087000A">
              <w:rPr>
                <w:b/>
                <w:bCs/>
              </w:rPr>
              <w:t>s</w:t>
            </w:r>
            <w:r w:rsidR="00E26223" w:rsidRPr="0087000A">
              <w:rPr>
                <w:b/>
                <w:bCs/>
              </w:rPr>
              <w:t xml:space="preserve"> </w:t>
            </w:r>
            <w:r w:rsidRPr="0087000A">
              <w:rPr>
                <w:b/>
                <w:bCs/>
              </w:rPr>
              <w:t>(</w:t>
            </w:r>
            <w:r w:rsidR="00E26223" w:rsidRPr="0087000A">
              <w:rPr>
                <w:b/>
                <w:bCs/>
              </w:rPr>
              <w:t>SDG</w:t>
            </w:r>
            <w:r w:rsidRPr="0087000A">
              <w:rPr>
                <w:b/>
                <w:bCs/>
              </w:rPr>
              <w:t>s)</w:t>
            </w:r>
          </w:p>
        </w:tc>
      </w:tr>
      <w:tr w:rsidR="008B700F" w:rsidRPr="00CB5E91" w14:paraId="60F64DE9" w14:textId="77777777" w:rsidTr="009F632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auto"/>
              <w:left w:val="single" w:sz="4" w:space="0" w:color="auto"/>
              <w:bottom w:val="single" w:sz="4" w:space="0" w:color="auto"/>
              <w:right w:val="single" w:sz="4" w:space="0" w:color="auto"/>
            </w:tcBorders>
            <w:shd w:val="clear" w:color="auto" w:fill="D2DEE7"/>
          </w:tcPr>
          <w:p w14:paraId="08262F57" w14:textId="2D806D50" w:rsidR="003C34E8" w:rsidRPr="003C34E8" w:rsidRDefault="003C34E8" w:rsidP="003C34E8">
            <w:pPr>
              <w:pStyle w:val="TableBodyCopy"/>
              <w:rPr>
                <w:b w:val="0"/>
                <w:bCs w:val="0"/>
              </w:rPr>
            </w:pPr>
            <w:r w:rsidRPr="003C34E8">
              <w:rPr>
                <w:b w:val="0"/>
                <w:bCs w:val="0"/>
              </w:rPr>
              <w:t>Gender equality</w:t>
            </w:r>
          </w:p>
        </w:tc>
        <w:tc>
          <w:tcPr>
            <w:tcW w:w="833" w:type="pct"/>
            <w:tcBorders>
              <w:top w:val="single" w:sz="4" w:space="0" w:color="auto"/>
              <w:left w:val="single" w:sz="4" w:space="0" w:color="auto"/>
              <w:bottom w:val="single" w:sz="4" w:space="0" w:color="auto"/>
              <w:right w:val="single" w:sz="4" w:space="0" w:color="auto"/>
            </w:tcBorders>
            <w:shd w:val="clear" w:color="auto" w:fill="D2DEE7"/>
            <w:hideMark/>
          </w:tcPr>
          <w:p w14:paraId="3BF2DB19" w14:textId="03A2D165" w:rsidR="003C34E8" w:rsidRPr="00F42A8C" w:rsidRDefault="004100C1" w:rsidP="003C34E8">
            <w:pPr>
              <w:pStyle w:val="TableBodyCopy"/>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Percentage</w:t>
            </w:r>
            <w:r w:rsidR="003C34E8" w:rsidRPr="00F42A8C">
              <w:rPr>
                <w:rFonts w:asciiTheme="majorHAnsi" w:eastAsiaTheme="majorEastAsia" w:hAnsiTheme="majorHAnsi" w:cstheme="majorBidi"/>
                <w:color w:val="000000" w:themeColor="text1"/>
              </w:rPr>
              <w:t xml:space="preserve"> of all Philippines </w:t>
            </w:r>
            <w:r w:rsidR="00713008">
              <w:rPr>
                <w:rFonts w:asciiTheme="majorHAnsi" w:eastAsiaTheme="majorEastAsia" w:hAnsiTheme="majorHAnsi" w:cstheme="majorBidi"/>
                <w:color w:val="000000" w:themeColor="text1"/>
              </w:rPr>
              <w:t>p</w:t>
            </w:r>
            <w:r w:rsidR="003C34E8" w:rsidRPr="00F42A8C">
              <w:rPr>
                <w:rFonts w:asciiTheme="majorHAnsi" w:eastAsiaTheme="majorEastAsia" w:hAnsiTheme="majorHAnsi" w:cstheme="majorBidi"/>
                <w:color w:val="000000" w:themeColor="text1"/>
              </w:rPr>
              <w:t xml:space="preserve">rogram investments </w:t>
            </w:r>
            <w:r w:rsidR="00713008">
              <w:rPr>
                <w:rFonts w:asciiTheme="majorHAnsi" w:eastAsiaTheme="majorEastAsia" w:hAnsiTheme="majorHAnsi" w:cstheme="majorBidi"/>
                <w:color w:val="000000" w:themeColor="text1"/>
              </w:rPr>
              <w:t>that</w:t>
            </w:r>
            <w:r w:rsidR="003C34E8" w:rsidRPr="00F42A8C">
              <w:rPr>
                <w:rFonts w:asciiTheme="majorHAnsi" w:eastAsiaTheme="majorEastAsia" w:hAnsiTheme="majorHAnsi" w:cstheme="majorBidi"/>
                <w:color w:val="000000" w:themeColor="text1"/>
              </w:rPr>
              <w:t xml:space="preserve"> address gender equality effectively </w:t>
            </w:r>
            <w:r w:rsidR="005B0FC1">
              <w:rPr>
                <w:rFonts w:asciiTheme="majorHAnsi" w:eastAsiaTheme="majorEastAsia" w:hAnsiTheme="majorHAnsi" w:cstheme="majorBidi"/>
                <w:color w:val="000000" w:themeColor="text1"/>
              </w:rPr>
              <w:t>(Tier</w:t>
            </w:r>
            <w:r w:rsidR="00FB399C">
              <w:rPr>
                <w:rFonts w:asciiTheme="majorHAnsi" w:eastAsiaTheme="majorEastAsia" w:hAnsiTheme="majorHAnsi" w:cstheme="majorBidi"/>
                <w:color w:val="000000" w:themeColor="text1"/>
              </w:rPr>
              <w:t> </w:t>
            </w:r>
            <w:r w:rsidR="005B0FC1">
              <w:rPr>
                <w:rFonts w:asciiTheme="majorHAnsi" w:eastAsiaTheme="majorEastAsia" w:hAnsiTheme="majorHAnsi" w:cstheme="majorBidi"/>
                <w:color w:val="000000" w:themeColor="text1"/>
              </w:rPr>
              <w:t>3)</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6ECC144A" w14:textId="77777777" w:rsidR="003C34E8" w:rsidRPr="00CB5E91" w:rsidRDefault="003C34E8" w:rsidP="003C34E8">
            <w:pPr>
              <w:pStyle w:val="TableBodyCopy"/>
              <w:cnfStyle w:val="000000100000" w:firstRow="0" w:lastRow="0" w:firstColumn="0" w:lastColumn="0" w:oddVBand="0" w:evenVBand="0" w:oddHBand="1" w:evenHBand="0" w:firstRowFirstColumn="0" w:firstRowLastColumn="0" w:lastRowFirstColumn="0" w:lastRowLastColumn="0"/>
            </w:pPr>
            <w:r w:rsidRPr="00CB5E91">
              <w:t>80%</w:t>
            </w:r>
          </w:p>
        </w:tc>
        <w:tc>
          <w:tcPr>
            <w:tcW w:w="833" w:type="pct"/>
            <w:tcBorders>
              <w:top w:val="single" w:sz="4" w:space="0" w:color="auto"/>
              <w:left w:val="single" w:sz="4" w:space="0" w:color="auto"/>
              <w:bottom w:val="single" w:sz="4" w:space="0" w:color="auto"/>
              <w:right w:val="single" w:sz="4" w:space="0" w:color="auto"/>
            </w:tcBorders>
            <w:shd w:val="clear" w:color="auto" w:fill="D2DEE7"/>
            <w:hideMark/>
          </w:tcPr>
          <w:p w14:paraId="26333C4B" w14:textId="77777777" w:rsidR="003C34E8" w:rsidRPr="00CB5E91" w:rsidRDefault="003C34E8" w:rsidP="003C34E8">
            <w:pPr>
              <w:pStyle w:val="TableBodyCopy"/>
              <w:cnfStyle w:val="000000100000" w:firstRow="0" w:lastRow="0" w:firstColumn="0" w:lastColumn="0" w:oddVBand="0" w:evenVBand="0" w:oddHBand="1" w:evenHBand="0" w:firstRowFirstColumn="0" w:firstRowLastColumn="0" w:lastRowFirstColumn="0" w:lastRowLastColumn="0"/>
            </w:pPr>
            <w:r w:rsidRPr="00CB5E91">
              <w:t>80%</w:t>
            </w:r>
          </w:p>
        </w:tc>
        <w:tc>
          <w:tcPr>
            <w:tcW w:w="833" w:type="pct"/>
            <w:tcBorders>
              <w:top w:val="single" w:sz="4" w:space="0" w:color="auto"/>
              <w:left w:val="single" w:sz="4" w:space="0" w:color="auto"/>
              <w:bottom w:val="single" w:sz="4" w:space="0" w:color="auto"/>
              <w:right w:val="single" w:sz="4" w:space="0" w:color="auto"/>
            </w:tcBorders>
            <w:shd w:val="clear" w:color="auto" w:fill="D2DEE7"/>
            <w:hideMark/>
          </w:tcPr>
          <w:p w14:paraId="169CC1D2" w14:textId="77777777" w:rsidR="003C34E8" w:rsidRPr="00CB5E91" w:rsidRDefault="003C34E8" w:rsidP="003C34E8">
            <w:pPr>
              <w:pStyle w:val="TableBodyCopy"/>
              <w:cnfStyle w:val="000000100000" w:firstRow="0" w:lastRow="0" w:firstColumn="0" w:lastColumn="0" w:oddVBand="0" w:evenVBand="0" w:oddHBand="1" w:evenHBand="0" w:firstRowFirstColumn="0" w:firstRowLastColumn="0" w:lastRowFirstColumn="0" w:lastRowLastColumn="0"/>
            </w:pPr>
            <w:r w:rsidRPr="00CB5E91">
              <w:t>80%</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6CAF2F7D" w14:textId="554479EA" w:rsidR="006926F2" w:rsidRDefault="00A63F91">
            <w:pPr>
              <w:pStyle w:val="TableBodyCopy"/>
              <w:cnfStyle w:val="000000100000" w:firstRow="0" w:lastRow="0" w:firstColumn="0" w:lastColumn="0" w:oddVBand="0" w:evenVBand="0" w:oddHBand="1" w:evenHBand="0" w:firstRowFirstColumn="0" w:firstRowLastColumn="0" w:lastRowFirstColumn="0" w:lastRowLastColumn="0"/>
            </w:pPr>
            <w:r>
              <w:t>SD</w:t>
            </w:r>
            <w:r w:rsidR="003C34E8" w:rsidRPr="00CB5E91">
              <w:t>G5</w:t>
            </w:r>
            <w:r>
              <w:t>:</w:t>
            </w:r>
            <w:r w:rsidR="006926F2">
              <w:t xml:space="preserve"> Gender equality</w:t>
            </w:r>
          </w:p>
          <w:p w14:paraId="349205D3" w14:textId="245EA0A0" w:rsidR="003C34E8" w:rsidRPr="00CB5E91" w:rsidRDefault="006926F2" w:rsidP="008B700F">
            <w:pPr>
              <w:pStyle w:val="TableBodyCopy"/>
              <w:cnfStyle w:val="000000100000" w:firstRow="0" w:lastRow="0" w:firstColumn="0" w:lastColumn="0" w:oddVBand="0" w:evenVBand="0" w:oddHBand="1" w:evenHBand="0" w:firstRowFirstColumn="0" w:firstRowLastColumn="0" w:lastRowFirstColumn="0" w:lastRowLastColumn="0"/>
              <w:rPr>
                <w:sz w:val="17"/>
                <w:szCs w:val="17"/>
              </w:rPr>
            </w:pPr>
            <w:r>
              <w:t>SDG</w:t>
            </w:r>
            <w:r w:rsidR="003C34E8" w:rsidRPr="00CB5E91">
              <w:t>10</w:t>
            </w:r>
            <w:r>
              <w:t>: Reduced inequalities</w:t>
            </w:r>
          </w:p>
        </w:tc>
      </w:tr>
      <w:tr w:rsidR="008B700F" w:rsidRPr="00CB5E91" w14:paraId="65BF181A" w14:textId="77777777" w:rsidTr="009F632F">
        <w:trPr>
          <w:trHeight w:val="321"/>
        </w:trPr>
        <w:tc>
          <w:tcPr>
            <w:cnfStyle w:val="001000000000" w:firstRow="0" w:lastRow="0" w:firstColumn="1" w:lastColumn="0" w:oddVBand="0" w:evenVBand="0" w:oddHBand="0" w:evenHBand="0" w:firstRowFirstColumn="0" w:firstRowLastColumn="0" w:lastRowFirstColumn="0" w:lastRowLastColumn="0"/>
            <w:tcW w:w="833" w:type="pct"/>
            <w:tcBorders>
              <w:left w:val="single" w:sz="4" w:space="0" w:color="auto"/>
              <w:bottom w:val="single" w:sz="4" w:space="0" w:color="auto"/>
              <w:right w:val="single" w:sz="4" w:space="0" w:color="auto"/>
            </w:tcBorders>
            <w:shd w:val="clear" w:color="auto" w:fill="D2DEE7"/>
          </w:tcPr>
          <w:p w14:paraId="1BC431C4" w14:textId="32EE5348" w:rsidR="003C34E8" w:rsidRPr="003C34E8" w:rsidRDefault="003C34E8" w:rsidP="003C34E8">
            <w:pPr>
              <w:pStyle w:val="TableBodyCopy"/>
              <w:rPr>
                <w:b w:val="0"/>
                <w:bCs w:val="0"/>
              </w:rPr>
            </w:pPr>
            <w:r w:rsidRPr="003C34E8">
              <w:rPr>
                <w:b w:val="0"/>
                <w:bCs w:val="0"/>
              </w:rPr>
              <w:t>Disability equity</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50B5DEC7" w14:textId="2B70A233" w:rsidR="003C34E8" w:rsidRPr="00F42A8C" w:rsidRDefault="003C34E8" w:rsidP="003C34E8">
            <w:pPr>
              <w:pStyle w:val="TableBodyCopy"/>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00F42A8C">
              <w:rPr>
                <w:rFonts w:asciiTheme="majorHAnsi" w:eastAsiaTheme="majorEastAsia" w:hAnsiTheme="majorHAnsi" w:cstheme="majorBidi"/>
                <w:color w:val="000000" w:themeColor="text1"/>
              </w:rPr>
              <w:t>Percentage of investments effective in promoting disability inclusion</w:t>
            </w:r>
            <w:r w:rsidR="00DC5131">
              <w:rPr>
                <w:rFonts w:asciiTheme="majorHAnsi" w:eastAsiaTheme="majorEastAsia" w:hAnsiTheme="majorHAnsi" w:cstheme="majorBidi"/>
                <w:color w:val="000000" w:themeColor="text1"/>
              </w:rPr>
              <w:t xml:space="preserve"> (Tier</w:t>
            </w:r>
            <w:r w:rsidR="00FB399C">
              <w:rPr>
                <w:rFonts w:asciiTheme="majorHAnsi" w:eastAsiaTheme="majorEastAsia" w:hAnsiTheme="majorHAnsi" w:cstheme="majorBidi"/>
                <w:color w:val="000000" w:themeColor="text1"/>
              </w:rPr>
              <w:t> </w:t>
            </w:r>
            <w:r w:rsidR="00DC5131">
              <w:rPr>
                <w:rFonts w:asciiTheme="majorHAnsi" w:eastAsiaTheme="majorEastAsia" w:hAnsiTheme="majorHAnsi" w:cstheme="majorBidi"/>
                <w:color w:val="000000" w:themeColor="text1"/>
              </w:rPr>
              <w:t>3)</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6C30696F" w14:textId="35A70690" w:rsidR="003C34E8" w:rsidRPr="00CB5E91" w:rsidRDefault="00527431" w:rsidP="003C34E8">
            <w:pPr>
              <w:pStyle w:val="TableBodyCopy"/>
              <w:cnfStyle w:val="000000000000" w:firstRow="0" w:lastRow="0" w:firstColumn="0" w:lastColumn="0" w:oddVBand="0" w:evenVBand="0" w:oddHBand="0" w:evenHBand="0" w:firstRowFirstColumn="0" w:firstRowLastColumn="0" w:lastRowFirstColumn="0" w:lastRowLastColumn="0"/>
            </w:pPr>
            <w:r>
              <w:t>Results collected centrally</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1849ABCE" w14:textId="63B39C73" w:rsidR="003C34E8" w:rsidRPr="00CB5E91" w:rsidRDefault="00527431" w:rsidP="003C34E8">
            <w:pPr>
              <w:pStyle w:val="TableBodyCopy"/>
              <w:cnfStyle w:val="000000000000" w:firstRow="0" w:lastRow="0" w:firstColumn="0" w:lastColumn="0" w:oddVBand="0" w:evenVBand="0" w:oddHBand="0" w:evenHBand="0" w:firstRowFirstColumn="0" w:firstRowLastColumn="0" w:lastRowFirstColumn="0" w:lastRowLastColumn="0"/>
            </w:pPr>
            <w:r>
              <w:t>Results collected centrally</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5D50C7A4" w14:textId="7C85D552" w:rsidR="003C34E8" w:rsidRPr="00CB5E91" w:rsidRDefault="00527431" w:rsidP="003C34E8">
            <w:pPr>
              <w:pStyle w:val="TableBodyCopy"/>
              <w:cnfStyle w:val="000000000000" w:firstRow="0" w:lastRow="0" w:firstColumn="0" w:lastColumn="0" w:oddVBand="0" w:evenVBand="0" w:oddHBand="0" w:evenHBand="0" w:firstRowFirstColumn="0" w:firstRowLastColumn="0" w:lastRowFirstColumn="0" w:lastRowLastColumn="0"/>
            </w:pPr>
            <w:r>
              <w:t>Results collected centrally</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7F07B531" w14:textId="35559A0F" w:rsidR="003C34E8" w:rsidRPr="00CB5E91" w:rsidRDefault="006926F2" w:rsidP="008B700F">
            <w:pPr>
              <w:pStyle w:val="TableBodyCopy"/>
              <w:cnfStyle w:val="000000000000" w:firstRow="0" w:lastRow="0" w:firstColumn="0" w:lastColumn="0" w:oddVBand="0" w:evenVBand="0" w:oddHBand="0" w:evenHBand="0" w:firstRowFirstColumn="0" w:firstRowLastColumn="0" w:lastRowFirstColumn="0" w:lastRowLastColumn="0"/>
              <w:rPr>
                <w:sz w:val="17"/>
                <w:szCs w:val="17"/>
              </w:rPr>
            </w:pPr>
            <w:r>
              <w:t>SDG</w:t>
            </w:r>
            <w:r w:rsidR="003C34E8" w:rsidRPr="00CB5E91">
              <w:t xml:space="preserve">5, </w:t>
            </w:r>
            <w:r>
              <w:t>SDG</w:t>
            </w:r>
            <w:r w:rsidR="003C34E8" w:rsidRPr="00CB5E91">
              <w:t>10</w:t>
            </w:r>
          </w:p>
        </w:tc>
      </w:tr>
      <w:tr w:rsidR="008B700F" w:rsidRPr="00CB5E91" w14:paraId="4135A39F" w14:textId="77777777" w:rsidTr="009F632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3" w:type="pct"/>
            <w:tcBorders>
              <w:left w:val="single" w:sz="4" w:space="0" w:color="auto"/>
              <w:bottom w:val="single" w:sz="4" w:space="0" w:color="auto"/>
              <w:right w:val="single" w:sz="4" w:space="0" w:color="auto"/>
            </w:tcBorders>
            <w:shd w:val="clear" w:color="auto" w:fill="D2DEE7"/>
          </w:tcPr>
          <w:p w14:paraId="50C41551" w14:textId="7BFDB3FD" w:rsidR="003C34E8" w:rsidRPr="003C34E8" w:rsidRDefault="003C34E8" w:rsidP="003C34E8">
            <w:pPr>
              <w:pStyle w:val="TableBodyCopy"/>
              <w:rPr>
                <w:b w:val="0"/>
                <w:bCs w:val="0"/>
              </w:rPr>
            </w:pPr>
            <w:r w:rsidRPr="003C34E8">
              <w:rPr>
                <w:b w:val="0"/>
                <w:bCs w:val="0"/>
              </w:rPr>
              <w:t>Localisation</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0D72ACF4" w14:textId="71D281BC" w:rsidR="003C34E8" w:rsidRPr="00F42A8C" w:rsidRDefault="003C34E8" w:rsidP="003C34E8">
            <w:pPr>
              <w:pStyle w:val="TableBodyCopy"/>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sidRPr="00F42A8C">
              <w:rPr>
                <w:rFonts w:asciiTheme="majorHAnsi" w:eastAsiaTheme="majorEastAsia" w:hAnsiTheme="majorHAnsi" w:cstheme="majorBidi"/>
                <w:color w:val="000000" w:themeColor="text1"/>
              </w:rPr>
              <w:t xml:space="preserve">Number of local personnel, sub-contractors and staff engaged – Managing </w:t>
            </w:r>
            <w:proofErr w:type="spellStart"/>
            <w:r w:rsidRPr="00F42A8C">
              <w:rPr>
                <w:rFonts w:asciiTheme="majorHAnsi" w:eastAsiaTheme="majorEastAsia" w:hAnsiTheme="majorHAnsi" w:cstheme="majorBidi"/>
                <w:color w:val="000000" w:themeColor="text1"/>
              </w:rPr>
              <w:t>Contractors</w:t>
            </w:r>
            <w:hyperlink w:anchor="Tn3b" w:history="1">
              <w:r w:rsidR="000C735B" w:rsidRPr="008B700F">
                <w:rPr>
                  <w:rStyle w:val="Hyperlink"/>
                  <w:vertAlign w:val="superscript"/>
                </w:rPr>
                <w:t>b</w:t>
              </w:r>
              <w:proofErr w:type="spellEnd"/>
            </w:hyperlink>
            <w:r w:rsidR="00AA3B08" w:rsidRPr="008B700F">
              <w:t xml:space="preserve"> (Tier</w:t>
            </w:r>
            <w:r w:rsidR="00FB399C">
              <w:t> </w:t>
            </w:r>
            <w:r w:rsidR="00AA3B08" w:rsidRPr="008B700F">
              <w:t>3)</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0361CF08" w14:textId="5A29BB20" w:rsidR="003C34E8" w:rsidRDefault="00527431" w:rsidP="003C34E8">
            <w:pPr>
              <w:pStyle w:val="TableBodyCopy"/>
              <w:cnfStyle w:val="000000100000" w:firstRow="0" w:lastRow="0" w:firstColumn="0" w:lastColumn="0" w:oddVBand="0" w:evenVBand="0" w:oddHBand="1" w:evenHBand="0" w:firstRowFirstColumn="0" w:firstRowLastColumn="0" w:lastRowFirstColumn="0" w:lastRowLastColumn="0"/>
            </w:pPr>
            <w:r>
              <w:t>Results collected centrally</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5A5016D5" w14:textId="0DFC8DB9" w:rsidR="003C34E8" w:rsidRDefault="00527431" w:rsidP="003C34E8">
            <w:pPr>
              <w:pStyle w:val="TableBodyCopy"/>
              <w:cnfStyle w:val="000000100000" w:firstRow="0" w:lastRow="0" w:firstColumn="0" w:lastColumn="0" w:oddVBand="0" w:evenVBand="0" w:oddHBand="1" w:evenHBand="0" w:firstRowFirstColumn="0" w:firstRowLastColumn="0" w:lastRowFirstColumn="0" w:lastRowLastColumn="0"/>
            </w:pPr>
            <w:r>
              <w:t>Results collected centrally</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4D88DAAC" w14:textId="2CD5B68B" w:rsidR="003C34E8" w:rsidRDefault="00527431" w:rsidP="003C34E8">
            <w:pPr>
              <w:pStyle w:val="TableBodyCopy"/>
              <w:cnfStyle w:val="000000100000" w:firstRow="0" w:lastRow="0" w:firstColumn="0" w:lastColumn="0" w:oddVBand="0" w:evenVBand="0" w:oddHBand="1" w:evenHBand="0" w:firstRowFirstColumn="0" w:firstRowLastColumn="0" w:lastRowFirstColumn="0" w:lastRowLastColumn="0"/>
            </w:pPr>
            <w:r>
              <w:t>Results collected centrally</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1639C48A" w14:textId="3959E7AD" w:rsidR="003C34E8" w:rsidRPr="00CB5E91" w:rsidRDefault="006926F2" w:rsidP="008B700F">
            <w:pPr>
              <w:pStyle w:val="TableBodyCopy"/>
              <w:cnfStyle w:val="000000100000" w:firstRow="0" w:lastRow="0" w:firstColumn="0" w:lastColumn="0" w:oddVBand="0" w:evenVBand="0" w:oddHBand="1" w:evenHBand="0" w:firstRowFirstColumn="0" w:firstRowLastColumn="0" w:lastRowFirstColumn="0" w:lastRowLastColumn="0"/>
            </w:pPr>
            <w:r>
              <w:t>SDG</w:t>
            </w:r>
            <w:r w:rsidR="003C34E8" w:rsidRPr="00E25BFA">
              <w:t>1</w:t>
            </w:r>
            <w:r>
              <w:t>: No poverty</w:t>
            </w:r>
            <w:r w:rsidR="003C34E8" w:rsidRPr="00E25BFA">
              <w:t xml:space="preserve">, </w:t>
            </w:r>
            <w:r>
              <w:t>SDG</w:t>
            </w:r>
            <w:r w:rsidR="003C34E8" w:rsidRPr="00E25BFA">
              <w:t xml:space="preserve">5, </w:t>
            </w:r>
            <w:r>
              <w:t>SDG</w:t>
            </w:r>
            <w:r w:rsidR="003C34E8" w:rsidRPr="00E25BFA">
              <w:t>10</w:t>
            </w:r>
            <w:r>
              <w:t>,</w:t>
            </w:r>
            <w:r w:rsidR="003C34E8" w:rsidRPr="00E25BFA">
              <w:t xml:space="preserve"> </w:t>
            </w:r>
            <w:r>
              <w:t>SDG</w:t>
            </w:r>
            <w:r w:rsidR="003C34E8" w:rsidRPr="00E25BFA">
              <w:t>16</w:t>
            </w:r>
            <w:r>
              <w:t>: Peace, justice and strong institutions</w:t>
            </w:r>
          </w:p>
        </w:tc>
      </w:tr>
      <w:tr w:rsidR="008B700F" w:rsidRPr="00CB5E91" w14:paraId="17D0E994" w14:textId="77777777" w:rsidTr="009F632F">
        <w:trPr>
          <w:trHeight w:val="321"/>
        </w:trPr>
        <w:tc>
          <w:tcPr>
            <w:cnfStyle w:val="001000000000" w:firstRow="0" w:lastRow="0" w:firstColumn="1" w:lastColumn="0" w:oddVBand="0" w:evenVBand="0" w:oddHBand="0" w:evenHBand="0" w:firstRowFirstColumn="0" w:firstRowLastColumn="0" w:lastRowFirstColumn="0" w:lastRowLastColumn="0"/>
            <w:tcW w:w="833" w:type="pct"/>
            <w:tcBorders>
              <w:left w:val="single" w:sz="4" w:space="0" w:color="auto"/>
              <w:bottom w:val="single" w:sz="4" w:space="0" w:color="auto"/>
              <w:right w:val="single" w:sz="4" w:space="0" w:color="auto"/>
            </w:tcBorders>
            <w:shd w:val="clear" w:color="auto" w:fill="D2DEE7"/>
          </w:tcPr>
          <w:p w14:paraId="5CABB409" w14:textId="4EEEF203" w:rsidR="003C34E8" w:rsidRPr="003C34E8" w:rsidRDefault="003C34E8" w:rsidP="003C34E8">
            <w:pPr>
              <w:pStyle w:val="TableBodyCopy"/>
              <w:rPr>
                <w:b w:val="0"/>
                <w:bCs w:val="0"/>
              </w:rPr>
            </w:pPr>
            <w:r w:rsidRPr="003C34E8">
              <w:rPr>
                <w:b w:val="0"/>
                <w:bCs w:val="0"/>
              </w:rPr>
              <w:t>Localisation</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4226A100" w14:textId="5B69805C" w:rsidR="003C34E8" w:rsidRPr="00F42A8C" w:rsidRDefault="003C34E8" w:rsidP="003C34E8">
            <w:pPr>
              <w:pStyle w:val="TableBodyCopy"/>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00F42A8C">
              <w:rPr>
                <w:rFonts w:asciiTheme="majorHAnsi" w:eastAsiaTheme="majorEastAsia" w:hAnsiTheme="majorHAnsi" w:cstheme="majorBidi"/>
                <w:color w:val="000000" w:themeColor="text1"/>
              </w:rPr>
              <w:t xml:space="preserve">Number and dollar value of local contractors and grants (local supply chains) – Managing </w:t>
            </w:r>
            <w:proofErr w:type="spellStart"/>
            <w:r w:rsidRPr="00F42A8C">
              <w:rPr>
                <w:rFonts w:asciiTheme="majorHAnsi" w:eastAsiaTheme="majorEastAsia" w:hAnsiTheme="majorHAnsi" w:cstheme="majorBidi"/>
                <w:color w:val="000000" w:themeColor="text1"/>
              </w:rPr>
              <w:t>Contractors</w:t>
            </w:r>
            <w:hyperlink w:anchor="Tn3b" w:history="1">
              <w:r w:rsidR="00277DC1" w:rsidRPr="00277DC1">
                <w:rPr>
                  <w:rStyle w:val="Hyperlink"/>
                  <w:rFonts w:asciiTheme="majorHAnsi" w:eastAsiaTheme="majorEastAsia" w:hAnsiTheme="majorHAnsi" w:cstheme="majorBidi"/>
                  <w:vertAlign w:val="superscript"/>
                </w:rPr>
                <w:t>b</w:t>
              </w:r>
              <w:proofErr w:type="spellEnd"/>
            </w:hyperlink>
            <w:r w:rsidR="00AA3B08" w:rsidRPr="008B700F">
              <w:t xml:space="preserve"> </w:t>
            </w:r>
            <w:r w:rsidR="00AA3B08" w:rsidRPr="007C499F">
              <w:t>(Tier</w:t>
            </w:r>
            <w:r w:rsidR="00FB399C">
              <w:t> </w:t>
            </w:r>
            <w:r w:rsidR="00AA3B08" w:rsidRPr="007C499F">
              <w:t>3)</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5EFB4DC5" w14:textId="06F9E1C2" w:rsidR="003C34E8" w:rsidRDefault="00527431" w:rsidP="003C34E8">
            <w:pPr>
              <w:pStyle w:val="TableBodyCopy"/>
              <w:cnfStyle w:val="000000000000" w:firstRow="0" w:lastRow="0" w:firstColumn="0" w:lastColumn="0" w:oddVBand="0" w:evenVBand="0" w:oddHBand="0" w:evenHBand="0" w:firstRowFirstColumn="0" w:firstRowLastColumn="0" w:lastRowFirstColumn="0" w:lastRowLastColumn="0"/>
            </w:pPr>
            <w:r>
              <w:t>Results collected centrally</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69E3776C" w14:textId="3B569430" w:rsidR="003C34E8" w:rsidRDefault="00527431" w:rsidP="003C34E8">
            <w:pPr>
              <w:pStyle w:val="TableBodyCopy"/>
              <w:cnfStyle w:val="000000000000" w:firstRow="0" w:lastRow="0" w:firstColumn="0" w:lastColumn="0" w:oddVBand="0" w:evenVBand="0" w:oddHBand="0" w:evenHBand="0" w:firstRowFirstColumn="0" w:firstRowLastColumn="0" w:lastRowFirstColumn="0" w:lastRowLastColumn="0"/>
            </w:pPr>
            <w:r>
              <w:t>Results collected centrally</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566969E9" w14:textId="037FBE92" w:rsidR="003C34E8" w:rsidRDefault="00527431" w:rsidP="003C34E8">
            <w:pPr>
              <w:pStyle w:val="TableBodyCopy"/>
              <w:cnfStyle w:val="000000000000" w:firstRow="0" w:lastRow="0" w:firstColumn="0" w:lastColumn="0" w:oddVBand="0" w:evenVBand="0" w:oddHBand="0" w:evenHBand="0" w:firstRowFirstColumn="0" w:firstRowLastColumn="0" w:lastRowFirstColumn="0" w:lastRowLastColumn="0"/>
            </w:pPr>
            <w:r>
              <w:t>Results collected centrally</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2510FD44" w14:textId="0DA6E2C6" w:rsidR="003C34E8" w:rsidRPr="00CB5E91" w:rsidRDefault="006926F2" w:rsidP="008B700F">
            <w:pPr>
              <w:pStyle w:val="TableBodyCopy"/>
              <w:cnfStyle w:val="000000000000" w:firstRow="0" w:lastRow="0" w:firstColumn="0" w:lastColumn="0" w:oddVBand="0" w:evenVBand="0" w:oddHBand="0" w:evenHBand="0" w:firstRowFirstColumn="0" w:firstRowLastColumn="0" w:lastRowFirstColumn="0" w:lastRowLastColumn="0"/>
            </w:pPr>
            <w:r>
              <w:t>SDG</w:t>
            </w:r>
            <w:r w:rsidR="003C34E8" w:rsidRPr="00E25BFA">
              <w:t xml:space="preserve">1, </w:t>
            </w:r>
            <w:r>
              <w:t>SDG</w:t>
            </w:r>
            <w:r w:rsidR="003C34E8" w:rsidRPr="00E25BFA">
              <w:t xml:space="preserve">5, </w:t>
            </w:r>
            <w:r>
              <w:t>SDG</w:t>
            </w:r>
            <w:r w:rsidRPr="00E25BFA">
              <w:t>10</w:t>
            </w:r>
            <w:r>
              <w:t>, SDG</w:t>
            </w:r>
            <w:r w:rsidR="003C34E8" w:rsidRPr="00E25BFA">
              <w:t>16</w:t>
            </w:r>
          </w:p>
        </w:tc>
      </w:tr>
      <w:tr w:rsidR="008B700F" w:rsidRPr="00CB5E91" w14:paraId="32F7ACE7" w14:textId="77777777" w:rsidTr="009F632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3" w:type="pct"/>
            <w:tcBorders>
              <w:left w:val="single" w:sz="4" w:space="0" w:color="auto"/>
              <w:bottom w:val="single" w:sz="4" w:space="0" w:color="auto"/>
              <w:right w:val="single" w:sz="4" w:space="0" w:color="auto"/>
            </w:tcBorders>
            <w:shd w:val="clear" w:color="auto" w:fill="D2DEE7"/>
          </w:tcPr>
          <w:p w14:paraId="7C4E4560" w14:textId="3FC735BB" w:rsidR="003C34E8" w:rsidRPr="003C34E8" w:rsidRDefault="003C34E8" w:rsidP="003C34E8">
            <w:pPr>
              <w:pStyle w:val="TableBodyCopy"/>
              <w:rPr>
                <w:b w:val="0"/>
                <w:bCs w:val="0"/>
              </w:rPr>
            </w:pPr>
            <w:r w:rsidRPr="003C34E8">
              <w:rPr>
                <w:b w:val="0"/>
                <w:bCs w:val="0"/>
              </w:rPr>
              <w:t>Localisation</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61C878DF" w14:textId="75D1840B" w:rsidR="003C34E8" w:rsidRPr="00E25BFA" w:rsidRDefault="003E442E" w:rsidP="003C34E8">
            <w:pPr>
              <w:pStyle w:val="TableBodyCopy"/>
              <w:cnfStyle w:val="000000100000" w:firstRow="0" w:lastRow="0" w:firstColumn="0" w:lastColumn="0" w:oddVBand="0" w:evenVBand="0" w:oddHBand="1" w:evenHBand="0" w:firstRowFirstColumn="0" w:firstRowLastColumn="0" w:lastRowFirstColumn="0" w:lastRowLastColumn="0"/>
            </w:pPr>
            <w:r>
              <w:rPr>
                <w:rFonts w:asciiTheme="majorHAnsi" w:eastAsiaTheme="majorEastAsia" w:hAnsiTheme="majorHAnsi" w:cstheme="majorBidi"/>
                <w:color w:val="000000" w:themeColor="text1"/>
              </w:rPr>
              <w:t>Percentage</w:t>
            </w:r>
            <w:r w:rsidR="003C34E8" w:rsidRPr="00437D85">
              <w:rPr>
                <w:rFonts w:asciiTheme="majorHAnsi" w:eastAsiaTheme="majorEastAsia" w:hAnsiTheme="majorHAnsi" w:cstheme="majorBidi"/>
                <w:color w:val="000000" w:themeColor="text1"/>
              </w:rPr>
              <w:t xml:space="preserve"> of bilateral investment designs</w:t>
            </w:r>
            <w:r w:rsidR="003C34E8">
              <w:rPr>
                <w:rFonts w:asciiTheme="majorHAnsi" w:eastAsiaTheme="majorEastAsia" w:hAnsiTheme="majorHAnsi" w:cstheme="majorBidi"/>
                <w:color w:val="000000" w:themeColor="text1"/>
              </w:rPr>
              <w:t>,</w:t>
            </w:r>
            <w:r w:rsidR="003C34E8" w:rsidRPr="00437D85">
              <w:rPr>
                <w:rFonts w:asciiTheme="majorHAnsi" w:eastAsiaTheme="majorEastAsia" w:hAnsiTheme="majorHAnsi" w:cstheme="majorBidi"/>
                <w:color w:val="000000" w:themeColor="text1"/>
              </w:rPr>
              <w:t xml:space="preserve"> evaluations </w:t>
            </w:r>
            <w:r w:rsidR="003C34E8">
              <w:rPr>
                <w:rFonts w:asciiTheme="majorHAnsi" w:eastAsiaTheme="majorEastAsia" w:hAnsiTheme="majorHAnsi" w:cstheme="majorBidi"/>
                <w:color w:val="000000" w:themeColor="text1"/>
              </w:rPr>
              <w:t xml:space="preserve">and delivery </w:t>
            </w:r>
            <w:r w:rsidR="007E4785">
              <w:rPr>
                <w:rFonts w:asciiTheme="majorHAnsi" w:eastAsiaTheme="majorEastAsia" w:hAnsiTheme="majorHAnsi" w:cstheme="majorBidi"/>
                <w:color w:val="000000" w:themeColor="text1"/>
              </w:rPr>
              <w:t xml:space="preserve">that </w:t>
            </w:r>
            <w:r w:rsidR="003C34E8" w:rsidRPr="00437D85">
              <w:rPr>
                <w:rFonts w:asciiTheme="majorHAnsi" w:eastAsiaTheme="majorEastAsia" w:hAnsiTheme="majorHAnsi" w:cstheme="majorBidi"/>
                <w:color w:val="000000" w:themeColor="text1"/>
              </w:rPr>
              <w:t xml:space="preserve">include local participation </w:t>
            </w:r>
            <w:r w:rsidR="00AA3B08" w:rsidRPr="007C499F">
              <w:t>(Tier</w:t>
            </w:r>
            <w:r w:rsidR="00FB399C">
              <w:t> </w:t>
            </w:r>
            <w:r w:rsidR="00AA3B08" w:rsidRPr="007C499F">
              <w:t>3)</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62D1ECBC" w14:textId="2BFD48E4" w:rsidR="003C34E8" w:rsidRPr="00E25BFA" w:rsidRDefault="003C34E8" w:rsidP="003C34E8">
            <w:pPr>
              <w:pStyle w:val="TableBodyCopy"/>
              <w:cnfStyle w:val="000000100000" w:firstRow="0" w:lastRow="0" w:firstColumn="0" w:lastColumn="0" w:oddVBand="0" w:evenVBand="0" w:oddHBand="1" w:evenHBand="0" w:firstRowFirstColumn="0" w:firstRowLastColumn="0" w:lastRowFirstColumn="0" w:lastRowLastColumn="0"/>
            </w:pPr>
            <w:r>
              <w:t>80%</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2A73CD74" w14:textId="59803DA6" w:rsidR="003C34E8" w:rsidRPr="00E25BFA" w:rsidRDefault="003C34E8" w:rsidP="003C34E8">
            <w:pPr>
              <w:pStyle w:val="TableBodyCopy"/>
              <w:cnfStyle w:val="000000100000" w:firstRow="0" w:lastRow="0" w:firstColumn="0" w:lastColumn="0" w:oddVBand="0" w:evenVBand="0" w:oddHBand="1" w:evenHBand="0" w:firstRowFirstColumn="0" w:firstRowLastColumn="0" w:lastRowFirstColumn="0" w:lastRowLastColumn="0"/>
            </w:pPr>
            <w:r>
              <w:t>80%</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379D96DC" w14:textId="15CADE8D" w:rsidR="003C34E8" w:rsidRPr="00E25BFA" w:rsidRDefault="003C34E8" w:rsidP="003C34E8">
            <w:pPr>
              <w:pStyle w:val="TableBodyCopy"/>
              <w:cnfStyle w:val="000000100000" w:firstRow="0" w:lastRow="0" w:firstColumn="0" w:lastColumn="0" w:oddVBand="0" w:evenVBand="0" w:oddHBand="1" w:evenHBand="0" w:firstRowFirstColumn="0" w:firstRowLastColumn="0" w:lastRowFirstColumn="0" w:lastRowLastColumn="0"/>
            </w:pPr>
            <w:r>
              <w:t>80%</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33B146D8" w14:textId="4651EBBE" w:rsidR="003C34E8" w:rsidRPr="00E25BFA" w:rsidRDefault="006926F2" w:rsidP="008B700F">
            <w:pPr>
              <w:pStyle w:val="TableBodyCopy"/>
              <w:cnfStyle w:val="000000100000" w:firstRow="0" w:lastRow="0" w:firstColumn="0" w:lastColumn="0" w:oddVBand="0" w:evenVBand="0" w:oddHBand="1" w:evenHBand="0" w:firstRowFirstColumn="0" w:firstRowLastColumn="0" w:lastRowFirstColumn="0" w:lastRowLastColumn="0"/>
              <w:rPr>
                <w:sz w:val="17"/>
                <w:szCs w:val="17"/>
              </w:rPr>
            </w:pPr>
            <w:r>
              <w:t>SDG</w:t>
            </w:r>
            <w:r w:rsidR="003C34E8" w:rsidRPr="00E25BFA">
              <w:t xml:space="preserve">1, </w:t>
            </w:r>
            <w:r>
              <w:t>SDG</w:t>
            </w:r>
            <w:r w:rsidR="003C34E8" w:rsidRPr="00E25BFA">
              <w:t xml:space="preserve">5, </w:t>
            </w:r>
            <w:r>
              <w:t>SDG</w:t>
            </w:r>
            <w:r w:rsidR="003C34E8" w:rsidRPr="00E25BFA">
              <w:t>10</w:t>
            </w:r>
            <w:r>
              <w:t>,</w:t>
            </w:r>
            <w:r w:rsidR="003C34E8" w:rsidRPr="00E25BFA">
              <w:t xml:space="preserve"> </w:t>
            </w:r>
            <w:r>
              <w:t>SDG</w:t>
            </w:r>
            <w:r w:rsidR="003C34E8" w:rsidRPr="00E25BFA">
              <w:t>16</w:t>
            </w:r>
          </w:p>
        </w:tc>
      </w:tr>
      <w:tr w:rsidR="008B700F" w:rsidRPr="00CB5E91" w14:paraId="76CDB73C" w14:textId="77777777" w:rsidTr="009F632F">
        <w:trPr>
          <w:trHeight w:val="321"/>
        </w:trPr>
        <w:tc>
          <w:tcPr>
            <w:cnfStyle w:val="001000000000" w:firstRow="0" w:lastRow="0" w:firstColumn="1" w:lastColumn="0" w:oddVBand="0" w:evenVBand="0" w:oddHBand="0" w:evenHBand="0" w:firstRowFirstColumn="0" w:firstRowLastColumn="0" w:lastRowFirstColumn="0" w:lastRowLastColumn="0"/>
            <w:tcW w:w="833" w:type="pct"/>
            <w:tcBorders>
              <w:left w:val="single" w:sz="4" w:space="0" w:color="auto"/>
              <w:bottom w:val="single" w:sz="4" w:space="0" w:color="auto"/>
              <w:right w:val="single" w:sz="4" w:space="0" w:color="auto"/>
            </w:tcBorders>
            <w:shd w:val="clear" w:color="auto" w:fill="D2DEE7"/>
          </w:tcPr>
          <w:p w14:paraId="210CCEFE" w14:textId="58651C33" w:rsidR="003C34E8" w:rsidRPr="003C34E8" w:rsidRDefault="003C34E8" w:rsidP="003C34E8">
            <w:pPr>
              <w:pStyle w:val="TableBodyCopy"/>
              <w:rPr>
                <w:b w:val="0"/>
                <w:bCs w:val="0"/>
              </w:rPr>
            </w:pPr>
            <w:r w:rsidRPr="003C34E8">
              <w:rPr>
                <w:b w:val="0"/>
                <w:bCs w:val="0"/>
              </w:rPr>
              <w:t>Localisation</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036D9E2D" w14:textId="1A88E806" w:rsidR="003C34E8" w:rsidRPr="00CB5E91" w:rsidRDefault="003C34E8" w:rsidP="003C34E8">
            <w:pPr>
              <w:pStyle w:val="TableBodyCopy"/>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u w:val="single"/>
              </w:rPr>
            </w:pPr>
            <w:r w:rsidRPr="00CB5E91">
              <w:rPr>
                <w:rFonts w:asciiTheme="majorHAnsi" w:eastAsiaTheme="majorEastAsia" w:hAnsiTheme="majorHAnsi" w:cstheme="majorBidi"/>
                <w:color w:val="000000" w:themeColor="text1"/>
              </w:rPr>
              <w:t>Number of local government and non-government organisations supported and capacitated to address development challenges</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1F59C4CB" w14:textId="2D254E08" w:rsidR="003C34E8" w:rsidRPr="00CB5E91" w:rsidRDefault="003C34E8" w:rsidP="003C34E8">
            <w:pPr>
              <w:pStyle w:val="TableBodyCopy"/>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00CB5E91">
              <w:rPr>
                <w:rFonts w:asciiTheme="majorHAnsi" w:eastAsiaTheme="majorEastAsia" w:hAnsiTheme="majorHAnsi" w:cstheme="majorBidi"/>
                <w:color w:val="000000" w:themeColor="text1"/>
              </w:rPr>
              <w:t>10</w:t>
            </w:r>
            <w:r w:rsidR="00FB399C">
              <w:rPr>
                <w:rFonts w:asciiTheme="majorHAnsi" w:eastAsiaTheme="majorEastAsia" w:hAnsiTheme="majorHAnsi" w:cstheme="majorBidi"/>
                <w:color w:val="000000" w:themeColor="text1"/>
              </w:rPr>
              <w:t> </w:t>
            </w:r>
            <w:r w:rsidRPr="00CB5E91">
              <w:rPr>
                <w:rFonts w:asciiTheme="majorHAnsi" w:eastAsiaTheme="majorEastAsia" w:hAnsiTheme="majorHAnsi" w:cstheme="majorBidi"/>
                <w:color w:val="000000" w:themeColor="text1"/>
              </w:rPr>
              <w:t>local government and non-government organisations supported and capacitated</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51DF6C2C" w14:textId="61C843E0" w:rsidR="003C34E8" w:rsidRPr="00CB5E91" w:rsidRDefault="003C34E8" w:rsidP="003C34E8">
            <w:pPr>
              <w:pStyle w:val="TableBodyCopy"/>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00CB5E91">
              <w:rPr>
                <w:rFonts w:asciiTheme="majorHAnsi" w:eastAsiaTheme="majorEastAsia" w:hAnsiTheme="majorHAnsi" w:cstheme="majorBidi"/>
                <w:color w:val="000000" w:themeColor="text1"/>
              </w:rPr>
              <w:t>10</w:t>
            </w:r>
            <w:r w:rsidR="00FB399C">
              <w:rPr>
                <w:rFonts w:asciiTheme="majorHAnsi" w:eastAsiaTheme="majorEastAsia" w:hAnsiTheme="majorHAnsi" w:cstheme="majorBidi"/>
                <w:color w:val="000000" w:themeColor="text1"/>
              </w:rPr>
              <w:t> </w:t>
            </w:r>
            <w:r w:rsidRPr="00CB5E91">
              <w:rPr>
                <w:rFonts w:asciiTheme="majorHAnsi" w:eastAsiaTheme="majorEastAsia" w:hAnsiTheme="majorHAnsi" w:cstheme="majorBidi"/>
                <w:color w:val="000000" w:themeColor="text1"/>
              </w:rPr>
              <w:t>local government and non-government organisations supported and capacitated</w:t>
            </w:r>
          </w:p>
        </w:tc>
        <w:tc>
          <w:tcPr>
            <w:tcW w:w="833" w:type="pct"/>
            <w:tcBorders>
              <w:top w:val="single" w:sz="4" w:space="0" w:color="auto"/>
              <w:left w:val="single" w:sz="4" w:space="0" w:color="auto"/>
              <w:bottom w:val="single" w:sz="4" w:space="0" w:color="auto"/>
              <w:right w:val="single" w:sz="4" w:space="0" w:color="auto"/>
            </w:tcBorders>
            <w:shd w:val="clear" w:color="auto" w:fill="D2DEE7"/>
          </w:tcPr>
          <w:p w14:paraId="0345B851" w14:textId="422500C3" w:rsidR="003C34E8" w:rsidRPr="00CB5E91" w:rsidRDefault="003C34E8" w:rsidP="003C34E8">
            <w:pPr>
              <w:pStyle w:val="TableBodyCopy"/>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00CB5E91">
              <w:rPr>
                <w:rFonts w:asciiTheme="majorHAnsi" w:eastAsiaTheme="majorEastAsia" w:hAnsiTheme="majorHAnsi" w:cstheme="majorBidi"/>
                <w:color w:val="000000" w:themeColor="text1"/>
              </w:rPr>
              <w:t>10</w:t>
            </w:r>
            <w:r w:rsidR="00FB399C">
              <w:rPr>
                <w:rFonts w:asciiTheme="majorHAnsi" w:eastAsiaTheme="majorEastAsia" w:hAnsiTheme="majorHAnsi" w:cstheme="majorBidi"/>
                <w:color w:val="000000" w:themeColor="text1"/>
              </w:rPr>
              <w:t> </w:t>
            </w:r>
            <w:r w:rsidRPr="00CB5E91">
              <w:rPr>
                <w:rFonts w:asciiTheme="majorHAnsi" w:eastAsiaTheme="majorEastAsia" w:hAnsiTheme="majorHAnsi" w:cstheme="majorBidi"/>
                <w:color w:val="000000" w:themeColor="text1"/>
              </w:rPr>
              <w:t>local government and non-government organisations supported and capacitated</w:t>
            </w:r>
          </w:p>
        </w:tc>
        <w:tc>
          <w:tcPr>
            <w:tcW w:w="834" w:type="pct"/>
            <w:tcBorders>
              <w:top w:val="single" w:sz="4" w:space="0" w:color="auto"/>
              <w:left w:val="single" w:sz="4" w:space="0" w:color="auto"/>
              <w:bottom w:val="single" w:sz="4" w:space="0" w:color="auto"/>
              <w:right w:val="single" w:sz="4" w:space="0" w:color="auto"/>
            </w:tcBorders>
            <w:shd w:val="clear" w:color="auto" w:fill="D2DEE7"/>
          </w:tcPr>
          <w:p w14:paraId="24BCB738" w14:textId="751415E1" w:rsidR="003C34E8" w:rsidRPr="00CB5E91" w:rsidRDefault="006926F2" w:rsidP="008B700F">
            <w:pPr>
              <w:pStyle w:val="TableBodyCopy"/>
              <w:cnfStyle w:val="000000000000" w:firstRow="0" w:lastRow="0" w:firstColumn="0" w:lastColumn="0" w:oddVBand="0" w:evenVBand="0" w:oddHBand="0" w:evenHBand="0" w:firstRowFirstColumn="0" w:firstRowLastColumn="0" w:lastRowFirstColumn="0" w:lastRowLastColumn="0"/>
            </w:pPr>
            <w:r>
              <w:t>SDG</w:t>
            </w:r>
            <w:r w:rsidR="003C34E8" w:rsidRPr="00CB5E91">
              <w:t xml:space="preserve">1, </w:t>
            </w:r>
            <w:r>
              <w:t>SDG</w:t>
            </w:r>
            <w:r w:rsidR="003C34E8" w:rsidRPr="00CB5E91">
              <w:t xml:space="preserve">5, </w:t>
            </w:r>
            <w:r>
              <w:t>SDG</w:t>
            </w:r>
            <w:r w:rsidR="003C34E8" w:rsidRPr="00CB5E91">
              <w:t>10</w:t>
            </w:r>
            <w:r>
              <w:t>, SDG</w:t>
            </w:r>
            <w:r w:rsidR="003C34E8" w:rsidRPr="00CB5E91">
              <w:t>16</w:t>
            </w:r>
          </w:p>
        </w:tc>
      </w:tr>
    </w:tbl>
    <w:p w14:paraId="547785A6" w14:textId="42C6BF3E" w:rsidR="000C735B" w:rsidRDefault="000C735B" w:rsidP="00D942BB">
      <w:pPr>
        <w:pStyle w:val="Tablenote"/>
      </w:pPr>
      <w:bookmarkStart w:id="9" w:name="Tn3b"/>
      <w:r>
        <w:t>b</w:t>
      </w:r>
      <w:r>
        <w:tab/>
      </w:r>
      <w:r w:rsidRPr="008E09E8">
        <w:t>Targets are not required for this indicator.</w:t>
      </w:r>
      <w:bookmarkStart w:id="10" w:name="Tn3c"/>
      <w:bookmarkEnd w:id="9"/>
    </w:p>
    <w:bookmarkEnd w:id="10"/>
    <w:p w14:paraId="68C6E953" w14:textId="783B5712" w:rsidR="002F4955" w:rsidRPr="00CB5E91" w:rsidRDefault="002F4955" w:rsidP="002F4955">
      <w:pPr>
        <w:spacing w:after="0" w:line="240" w:lineRule="auto"/>
        <w:sectPr w:rsidR="002F4955" w:rsidRPr="00CB5E91" w:rsidSect="0053787B">
          <w:headerReference w:type="default" r:id="rId18"/>
          <w:footerReference w:type="default" r:id="rId19"/>
          <w:endnotePr>
            <w:numFmt w:val="decimal"/>
          </w:endnotePr>
          <w:pgSz w:w="16838" w:h="11906" w:orient="landscape" w:code="9"/>
          <w:pgMar w:top="1134" w:right="1418" w:bottom="851" w:left="992" w:header="340" w:footer="414" w:gutter="0"/>
          <w:cols w:space="708"/>
          <w:noEndnote/>
          <w:docGrid w:linePitch="360"/>
        </w:sectPr>
      </w:pPr>
    </w:p>
    <w:p w14:paraId="3F724164" w14:textId="44D1912A" w:rsidR="00B17494" w:rsidRPr="00CB5E91" w:rsidRDefault="00B17494" w:rsidP="008B700F">
      <w:pPr>
        <w:pStyle w:val="H2-Heading2"/>
      </w:pPr>
      <w:r w:rsidRPr="00CB5E91">
        <w:lastRenderedPageBreak/>
        <w:t>Annex 1</w:t>
      </w:r>
      <w:r w:rsidR="00FA7D4A">
        <w:t>: Supporting investments/activities</w:t>
      </w:r>
      <w:r w:rsidR="00342A91">
        <w:t xml:space="preserve"> in the Philippines</w:t>
      </w:r>
    </w:p>
    <w:p w14:paraId="1F58B0DF" w14:textId="0EED93B1" w:rsidR="00942175" w:rsidRDefault="00942175" w:rsidP="00942175">
      <w:pPr>
        <w:rPr>
          <w:lang w:eastAsia="en-AU"/>
        </w:rPr>
      </w:pPr>
      <w:r>
        <w:rPr>
          <w:lang w:eastAsia="en-AU"/>
        </w:rPr>
        <w:t xml:space="preserve">Australian Government </w:t>
      </w:r>
      <w:r w:rsidRPr="413282F0">
        <w:rPr>
          <w:lang w:eastAsia="en-AU"/>
        </w:rPr>
        <w:t>supporting investments/activities for Objective 1</w:t>
      </w:r>
      <w:r>
        <w:rPr>
          <w:lang w:eastAsia="en-AU"/>
        </w:rPr>
        <w:t xml:space="preserve"> </w:t>
      </w:r>
      <w:r w:rsidR="00136362">
        <w:rPr>
          <w:lang w:eastAsia="en-AU"/>
        </w:rPr>
        <w:t xml:space="preserve">– </w:t>
      </w:r>
      <w:r w:rsidRPr="00CB5E91">
        <w:t>Enhancing the conditions for stability</w:t>
      </w:r>
      <w:r>
        <w:rPr>
          <w:lang w:eastAsia="en-AU"/>
        </w:rPr>
        <w:t xml:space="preserve"> </w:t>
      </w:r>
      <w:r w:rsidRPr="413282F0">
        <w:rPr>
          <w:lang w:eastAsia="en-AU"/>
        </w:rPr>
        <w:t>(</w:t>
      </w:r>
      <w:r w:rsidRPr="1121DF86">
        <w:rPr>
          <w:rFonts w:eastAsia="Calibri Light"/>
        </w:rPr>
        <w:t xml:space="preserve">bilateral </w:t>
      </w:r>
      <w:r w:rsidRPr="1121DF86">
        <w:rPr>
          <w:lang w:eastAsia="en-AU"/>
        </w:rPr>
        <w:t>Official Development Assistance (ODA) as well as significant regional and global ODA</w:t>
      </w:r>
      <w:r>
        <w:rPr>
          <w:lang w:eastAsia="en-AU"/>
        </w:rPr>
        <w:t>,</w:t>
      </w:r>
      <w:r w:rsidRPr="1121DF86">
        <w:rPr>
          <w:lang w:eastAsia="en-AU"/>
        </w:rPr>
        <w:t xml:space="preserve"> and significant non-ODA development </w:t>
      </w:r>
      <w:r w:rsidRPr="413282F0">
        <w:rPr>
          <w:lang w:eastAsia="en-AU"/>
        </w:rPr>
        <w:t>investments</w:t>
      </w:r>
      <w:r>
        <w:rPr>
          <w:lang w:eastAsia="en-AU"/>
        </w:rPr>
        <w:t>/</w:t>
      </w:r>
      <w:r w:rsidRPr="1121DF86">
        <w:rPr>
          <w:lang w:eastAsia="en-AU"/>
        </w:rPr>
        <w:t>activities</w:t>
      </w:r>
      <w:r>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1"/>
        <w:tblDescription w:val="Investments and activities, duration and key partners"/>
      </w:tblPr>
      <w:tblGrid>
        <w:gridCol w:w="3398"/>
        <w:gridCol w:w="3399"/>
        <w:gridCol w:w="3397"/>
      </w:tblGrid>
      <w:tr w:rsidR="00B17494" w:rsidRPr="00CB5E91" w14:paraId="31894F8E" w14:textId="77777777" w:rsidTr="008B70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3CD76AA0" w14:textId="77777777" w:rsidR="00B17494" w:rsidRPr="002C7980" w:rsidRDefault="00B17494" w:rsidP="002C7980">
            <w:pPr>
              <w:pStyle w:val="TableHeading"/>
              <w:rPr>
                <w:b/>
                <w:bCs/>
              </w:rPr>
            </w:pPr>
            <w:r w:rsidRPr="002C7980">
              <w:rPr>
                <w:b/>
                <w:bCs/>
              </w:rPr>
              <w:t>Name of investment/activity</w:t>
            </w:r>
          </w:p>
        </w:tc>
        <w:tc>
          <w:tcPr>
            <w:tcW w:w="1667" w:type="pct"/>
          </w:tcPr>
          <w:p w14:paraId="2F224FF9" w14:textId="65E001BF" w:rsidR="00B17494" w:rsidRPr="002C7980" w:rsidRDefault="00923D39" w:rsidP="002C7980">
            <w:pPr>
              <w:pStyle w:val="TableHeading"/>
              <w:cnfStyle w:val="100000000000" w:firstRow="1" w:lastRow="0" w:firstColumn="0" w:lastColumn="0" w:oddVBand="0" w:evenVBand="0" w:oddHBand="0" w:evenHBand="0" w:firstRowFirstColumn="0" w:firstRowLastColumn="0" w:lastRowFirstColumn="0" w:lastRowLastColumn="0"/>
              <w:rPr>
                <w:b/>
                <w:bCs/>
              </w:rPr>
            </w:pPr>
            <w:r w:rsidRPr="002C7980">
              <w:rPr>
                <w:b/>
                <w:bCs/>
              </w:rPr>
              <w:t>D</w:t>
            </w:r>
            <w:r w:rsidR="00B17494" w:rsidRPr="002C7980">
              <w:rPr>
                <w:b/>
                <w:bCs/>
              </w:rPr>
              <w:t>uration</w:t>
            </w:r>
          </w:p>
        </w:tc>
        <w:tc>
          <w:tcPr>
            <w:tcW w:w="1667" w:type="pct"/>
          </w:tcPr>
          <w:p w14:paraId="5262C0BF" w14:textId="77777777" w:rsidR="00B17494" w:rsidRPr="002C7980" w:rsidRDefault="00B17494" w:rsidP="002C7980">
            <w:pPr>
              <w:pStyle w:val="TableHeading"/>
              <w:cnfStyle w:val="100000000000" w:firstRow="1" w:lastRow="0" w:firstColumn="0" w:lastColumn="0" w:oddVBand="0" w:evenVBand="0" w:oddHBand="0" w:evenHBand="0" w:firstRowFirstColumn="0" w:firstRowLastColumn="0" w:lastRowFirstColumn="0" w:lastRowLastColumn="0"/>
              <w:rPr>
                <w:b/>
                <w:bCs/>
              </w:rPr>
            </w:pPr>
            <w:r w:rsidRPr="002C7980">
              <w:rPr>
                <w:b/>
                <w:bCs/>
              </w:rPr>
              <w:t>Key partners</w:t>
            </w:r>
          </w:p>
        </w:tc>
      </w:tr>
      <w:tr w:rsidR="00B17494" w:rsidRPr="00CB5E91" w14:paraId="3D4EBD24"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24AC3D0" w14:textId="5DA39526" w:rsidR="00B17494" w:rsidRDefault="00B17494" w:rsidP="00DB02B9">
            <w:pPr>
              <w:pStyle w:val="TableBodyCopy"/>
              <w:rPr>
                <w:b w:val="0"/>
                <w:bCs w:val="0"/>
              </w:rPr>
            </w:pPr>
            <w:r w:rsidRPr="00CB5E91">
              <w:t>Philippine Civil Maritime Security Program</w:t>
            </w:r>
          </w:p>
          <w:p w14:paraId="3C34063C" w14:textId="0CAEDFC4" w:rsidR="00DB02B9" w:rsidRPr="00CB5E91" w:rsidRDefault="00DB02B9" w:rsidP="00DB02B9">
            <w:pPr>
              <w:pStyle w:val="TableBodyCopy"/>
            </w:pPr>
            <w:r>
              <w:t>(bilateral)</w:t>
            </w:r>
          </w:p>
        </w:tc>
        <w:tc>
          <w:tcPr>
            <w:tcW w:w="1667" w:type="pct"/>
            <w:shd w:val="clear" w:color="auto" w:fill="D2DEE7" w:themeFill="accent1" w:themeFillTint="33"/>
          </w:tcPr>
          <w:p w14:paraId="202EA174" w14:textId="22E70077" w:rsidR="00B17494" w:rsidRPr="00CB5E91"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CB5E91">
              <w:t>20</w:t>
            </w:r>
            <w:r w:rsidR="0044141A">
              <w:t>20</w:t>
            </w:r>
            <w:r w:rsidR="00FE1874">
              <w:t>–</w:t>
            </w:r>
            <w:r w:rsidR="00191ACD">
              <w:t>20</w:t>
            </w:r>
            <w:r w:rsidRPr="00CB5E91">
              <w:t>24</w:t>
            </w:r>
          </w:p>
          <w:p w14:paraId="32DFF0E2" w14:textId="71DF41A1" w:rsidR="00A00C08" w:rsidRPr="00CB5E91" w:rsidRDefault="001E189B" w:rsidP="00DB02B9">
            <w:pPr>
              <w:pStyle w:val="TableBodyCopy"/>
              <w:cnfStyle w:val="000000100000" w:firstRow="0" w:lastRow="0" w:firstColumn="0" w:lastColumn="0" w:oddVBand="0" w:evenVBand="0" w:oddHBand="1" w:evenHBand="0" w:firstRowFirstColumn="0" w:firstRowLastColumn="0" w:lastRowFirstColumn="0" w:lastRowLastColumn="0"/>
            </w:pPr>
            <w:r w:rsidRPr="00CB5E91">
              <w:t xml:space="preserve">Successor program </w:t>
            </w:r>
            <w:r w:rsidR="00C93060" w:rsidRPr="00CB5E91">
              <w:t>202</w:t>
            </w:r>
            <w:r w:rsidR="0044141A">
              <w:t>5</w:t>
            </w:r>
            <w:r w:rsidR="00FE1874">
              <w:t>–</w:t>
            </w:r>
            <w:r w:rsidR="00191ACD">
              <w:t>20</w:t>
            </w:r>
            <w:r w:rsidR="007E28F2" w:rsidRPr="00CB5E91">
              <w:t>29</w:t>
            </w:r>
          </w:p>
        </w:tc>
        <w:tc>
          <w:tcPr>
            <w:tcW w:w="1667" w:type="pct"/>
            <w:shd w:val="clear" w:color="auto" w:fill="F2F2F2" w:themeFill="background1" w:themeFillShade="F2"/>
          </w:tcPr>
          <w:p w14:paraId="5428D3B6" w14:textId="42324A6D" w:rsidR="00B17494" w:rsidRPr="00D95099"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D95099">
              <w:t>Philippine Coast Guard</w:t>
            </w:r>
            <w:r w:rsidR="00CF1C96" w:rsidRPr="00D95099">
              <w:t>;</w:t>
            </w:r>
            <w:r w:rsidRPr="00D95099">
              <w:t xml:space="preserve"> Department of Environment and Natural Resources</w:t>
            </w:r>
            <w:r w:rsidR="00CF1C96" w:rsidRPr="00D95099">
              <w:t>;</w:t>
            </w:r>
            <w:r w:rsidRPr="00D95099">
              <w:t xml:space="preserve"> Philippine National Police</w:t>
            </w:r>
            <w:r w:rsidR="00D82272" w:rsidRPr="00D95099">
              <w:t> </w:t>
            </w:r>
            <w:r w:rsidRPr="00D95099">
              <w:t>(PNP) Maritime</w:t>
            </w:r>
            <w:r w:rsidR="00CF1C96" w:rsidRPr="00D95099">
              <w:t xml:space="preserve"> </w:t>
            </w:r>
            <w:r w:rsidR="0044141A" w:rsidRPr="00D95099">
              <w:t>Group</w:t>
            </w:r>
            <w:r w:rsidR="00C8048B" w:rsidRPr="00D95099">
              <w:t>;</w:t>
            </w:r>
            <w:r w:rsidRPr="00D95099">
              <w:t xml:space="preserve"> Palawan Council for Sustainable Development</w:t>
            </w:r>
            <w:r w:rsidR="00C8048B" w:rsidRPr="00D95099">
              <w:t xml:space="preserve">; </w:t>
            </w:r>
            <w:r w:rsidR="0044141A" w:rsidRPr="00D95099">
              <w:t>University of the Philippines</w:t>
            </w:r>
            <w:r w:rsidR="00C8048B" w:rsidRPr="00D95099">
              <w:t xml:space="preserve"> </w:t>
            </w:r>
            <w:r w:rsidR="0044141A" w:rsidRPr="00D95099">
              <w:t xml:space="preserve">Marine </w:t>
            </w:r>
            <w:r w:rsidR="00822E05" w:rsidRPr="00D95099">
              <w:t>Science</w:t>
            </w:r>
            <w:r w:rsidR="0044141A" w:rsidRPr="00D95099">
              <w:t xml:space="preserve"> Insti</w:t>
            </w:r>
            <w:r w:rsidR="00822E05" w:rsidRPr="00D95099">
              <w:t>tute</w:t>
            </w:r>
            <w:r w:rsidR="00C8048B" w:rsidRPr="00D95099">
              <w:t xml:space="preserve">; </w:t>
            </w:r>
            <w:r w:rsidRPr="00D95099">
              <w:t>development partners</w:t>
            </w:r>
          </w:p>
        </w:tc>
      </w:tr>
      <w:tr w:rsidR="00B17494" w:rsidRPr="00CB5E91" w14:paraId="4C831A74"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9868EA6" w14:textId="32C20543" w:rsidR="00DB02B9" w:rsidRDefault="00B17494" w:rsidP="00DB02B9">
            <w:pPr>
              <w:pStyle w:val="TableBodyCopy"/>
              <w:rPr>
                <w:b w:val="0"/>
                <w:bCs w:val="0"/>
              </w:rPr>
            </w:pPr>
            <w:r w:rsidRPr="00CB5E91">
              <w:t xml:space="preserve">Peacebuilding in Conflict-Affected Mindanao </w:t>
            </w:r>
            <w:r w:rsidR="00ED61AD">
              <w:t xml:space="preserve">Phase </w:t>
            </w:r>
            <w:r w:rsidRPr="00CB5E91">
              <w:t>2</w:t>
            </w:r>
          </w:p>
          <w:p w14:paraId="10BAE79F" w14:textId="679DB4A9" w:rsidR="00B17494" w:rsidRPr="00CB5E91" w:rsidRDefault="00DB02B9" w:rsidP="00DB02B9">
            <w:pPr>
              <w:pStyle w:val="TableBodyCopy"/>
            </w:pPr>
            <w:r>
              <w:t>(bilateral)</w:t>
            </w:r>
          </w:p>
        </w:tc>
        <w:tc>
          <w:tcPr>
            <w:tcW w:w="1667" w:type="pct"/>
            <w:shd w:val="clear" w:color="auto" w:fill="D2DEE7" w:themeFill="accent1" w:themeFillTint="33"/>
          </w:tcPr>
          <w:p w14:paraId="6D54748F" w14:textId="1E5E091F" w:rsidR="00B17494" w:rsidRPr="00CB5E91"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CB5E91">
              <w:t>2023</w:t>
            </w:r>
            <w:r w:rsidR="00FE1874">
              <w:t>–</w:t>
            </w:r>
            <w:r w:rsidR="00191ACD">
              <w:t>20</w:t>
            </w:r>
            <w:r w:rsidRPr="00CB5E91">
              <w:t>28</w:t>
            </w:r>
          </w:p>
        </w:tc>
        <w:tc>
          <w:tcPr>
            <w:tcW w:w="1667" w:type="pct"/>
            <w:shd w:val="clear" w:color="auto" w:fill="F2F2F2" w:themeFill="background1" w:themeFillShade="F2"/>
          </w:tcPr>
          <w:p w14:paraId="5C087BD2" w14:textId="4A67392E" w:rsidR="00B17494" w:rsidRPr="00D95099"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D95099">
              <w:t>Office of the Presidential Adviser on Peace, Reconciliation and Unity</w:t>
            </w:r>
            <w:r w:rsidR="00C8048B" w:rsidRPr="00D95099">
              <w:t>;</w:t>
            </w:r>
            <w:r w:rsidRPr="00D95099">
              <w:t xml:space="preserve"> </w:t>
            </w:r>
            <w:r w:rsidR="00CD4A71" w:rsidRPr="00D95099">
              <w:t>Bangsamoro Autonomous Region in Muslim Mindanao (</w:t>
            </w:r>
            <w:r w:rsidRPr="00D95099">
              <w:t>BARMM</w:t>
            </w:r>
            <w:r w:rsidR="00CD4A71" w:rsidRPr="00D95099">
              <w:t>)</w:t>
            </w:r>
            <w:r w:rsidRPr="00D95099">
              <w:t xml:space="preserve"> ministries</w:t>
            </w:r>
            <w:r w:rsidR="00CD4A71" w:rsidRPr="00D95099">
              <w:t>;</w:t>
            </w:r>
            <w:r w:rsidRPr="00D95099">
              <w:t xml:space="preserve"> civil society organisations (CSOs)</w:t>
            </w:r>
            <w:r w:rsidR="00CD4A71" w:rsidRPr="00D95099">
              <w:t>;</w:t>
            </w:r>
            <w:r w:rsidRPr="00D95099">
              <w:t xml:space="preserve"> development partners</w:t>
            </w:r>
          </w:p>
        </w:tc>
      </w:tr>
      <w:tr w:rsidR="00B17494" w:rsidRPr="00CB5E91" w14:paraId="59B8DC5C"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BBC8FA8" w14:textId="77777777" w:rsidR="00B17494" w:rsidRDefault="00B17494" w:rsidP="00DB02B9">
            <w:pPr>
              <w:pStyle w:val="TableBodyCopy"/>
              <w:rPr>
                <w:b w:val="0"/>
                <w:bCs w:val="0"/>
              </w:rPr>
            </w:pPr>
            <w:r w:rsidRPr="00CB5E91">
              <w:t>Strengthening Philippine Justice Responses to Violent Extremism</w:t>
            </w:r>
          </w:p>
          <w:p w14:paraId="5C9AB4F2" w14:textId="4425C5B3" w:rsidR="00DB02B9" w:rsidRPr="00CB5E91" w:rsidRDefault="00DB02B9" w:rsidP="00DB02B9">
            <w:pPr>
              <w:pStyle w:val="TableBodyCopy"/>
            </w:pPr>
            <w:r>
              <w:t>(bilateral)</w:t>
            </w:r>
          </w:p>
        </w:tc>
        <w:tc>
          <w:tcPr>
            <w:tcW w:w="1667" w:type="pct"/>
            <w:shd w:val="clear" w:color="auto" w:fill="D2DEE7" w:themeFill="accent1" w:themeFillTint="33"/>
          </w:tcPr>
          <w:p w14:paraId="361C9BD4" w14:textId="75096E14" w:rsidR="00B17494" w:rsidRPr="00CB5E91"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CB5E91">
              <w:t>2020</w:t>
            </w:r>
            <w:r w:rsidR="00FE1874">
              <w:t>–</w:t>
            </w:r>
            <w:r w:rsidR="00191ACD">
              <w:t>20</w:t>
            </w:r>
            <w:r w:rsidRPr="00CB5E91">
              <w:t>26</w:t>
            </w:r>
          </w:p>
        </w:tc>
        <w:tc>
          <w:tcPr>
            <w:tcW w:w="1667" w:type="pct"/>
            <w:shd w:val="clear" w:color="auto" w:fill="F2F2F2" w:themeFill="background1" w:themeFillShade="F2"/>
          </w:tcPr>
          <w:p w14:paraId="0292EDC9" w14:textId="5CF0B692" w:rsidR="00B17494" w:rsidRPr="00D95099"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D95099">
              <w:t>Department of the Interior and Local Government (DILG</w:t>
            </w:r>
            <w:r w:rsidR="00CD4A71" w:rsidRPr="00D95099">
              <w:t xml:space="preserve">); </w:t>
            </w:r>
            <w:r w:rsidRPr="00D95099">
              <w:t>Department of Justice</w:t>
            </w:r>
            <w:r w:rsidR="00CD4A71" w:rsidRPr="00D95099">
              <w:t xml:space="preserve">; </w:t>
            </w:r>
            <w:r w:rsidRPr="00D95099">
              <w:t>Supreme Court</w:t>
            </w:r>
            <w:r w:rsidR="00CD4A71" w:rsidRPr="00D95099">
              <w:t xml:space="preserve">; </w:t>
            </w:r>
            <w:r w:rsidR="00191ACD" w:rsidRPr="00D95099">
              <w:t>Anti-</w:t>
            </w:r>
            <w:r w:rsidRPr="00D95099">
              <w:t>Money Laundering Council</w:t>
            </w:r>
            <w:r w:rsidR="00191ACD" w:rsidRPr="00D95099">
              <w:t xml:space="preserve">; </w:t>
            </w:r>
            <w:r w:rsidRPr="00D95099">
              <w:t>development partners</w:t>
            </w:r>
          </w:p>
        </w:tc>
      </w:tr>
      <w:tr w:rsidR="00B17494" w:rsidRPr="00CB5E91" w14:paraId="61F3B65A"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F3BBDA6" w14:textId="282899C7" w:rsidR="00B17494" w:rsidRDefault="00B17494" w:rsidP="00DB02B9">
            <w:pPr>
              <w:pStyle w:val="TableBodyCopy"/>
              <w:rPr>
                <w:b w:val="0"/>
                <w:bCs w:val="0"/>
              </w:rPr>
            </w:pPr>
            <w:r w:rsidRPr="00CB5E91">
              <w:t xml:space="preserve">Fostering Advancement of Inclusive and Rights-Based </w:t>
            </w:r>
            <w:r w:rsidR="009E6B0F" w:rsidRPr="00CB5E91">
              <w:t>(FAIR)</w:t>
            </w:r>
            <w:r w:rsidR="009E6B0F">
              <w:t xml:space="preserve"> </w:t>
            </w:r>
            <w:r w:rsidRPr="00CB5E91">
              <w:t>Justice</w:t>
            </w:r>
          </w:p>
          <w:p w14:paraId="23EA92F0" w14:textId="00CEB4F1" w:rsidR="00DB02B9" w:rsidRPr="00CB5E91" w:rsidRDefault="00DB02B9" w:rsidP="00DB02B9">
            <w:pPr>
              <w:pStyle w:val="TableBodyCopy"/>
            </w:pPr>
            <w:r>
              <w:t>(bilateral)</w:t>
            </w:r>
          </w:p>
        </w:tc>
        <w:tc>
          <w:tcPr>
            <w:tcW w:w="1667" w:type="pct"/>
            <w:shd w:val="clear" w:color="auto" w:fill="D2DEE7" w:themeFill="accent1" w:themeFillTint="33"/>
          </w:tcPr>
          <w:p w14:paraId="7913BFAD" w14:textId="1AD2DE3C" w:rsidR="00B17494" w:rsidRPr="00CB5E91"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CB5E91">
              <w:t>2024</w:t>
            </w:r>
            <w:r w:rsidR="00FE1874">
              <w:t>–</w:t>
            </w:r>
            <w:r w:rsidR="00191ACD">
              <w:t>20</w:t>
            </w:r>
            <w:r w:rsidRPr="00CB5E91">
              <w:t>29</w:t>
            </w:r>
          </w:p>
        </w:tc>
        <w:tc>
          <w:tcPr>
            <w:tcW w:w="1667" w:type="pct"/>
            <w:shd w:val="clear" w:color="auto" w:fill="F2F2F2" w:themeFill="background1" w:themeFillShade="F2"/>
          </w:tcPr>
          <w:p w14:paraId="05AD3C6C" w14:textId="0E217727" w:rsidR="00B17494" w:rsidRPr="00D95099"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D95099">
              <w:t>Supreme Court</w:t>
            </w:r>
            <w:r w:rsidR="007656DE" w:rsidRPr="00D95099">
              <w:t>;</w:t>
            </w:r>
            <w:r w:rsidRPr="00D95099">
              <w:t xml:space="preserve"> other justice agencies</w:t>
            </w:r>
            <w:r w:rsidR="007656DE" w:rsidRPr="00D95099">
              <w:t xml:space="preserve">; </w:t>
            </w:r>
            <w:r w:rsidRPr="00D95099">
              <w:t>CSOs</w:t>
            </w:r>
          </w:p>
        </w:tc>
      </w:tr>
      <w:tr w:rsidR="00B17494" w:rsidRPr="00CB5E91" w14:paraId="0966FB13"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99A76BF" w14:textId="007AF26A" w:rsidR="00B17494" w:rsidRDefault="00B17494" w:rsidP="00DB02B9">
            <w:pPr>
              <w:pStyle w:val="TableBodyCopy"/>
              <w:rPr>
                <w:b w:val="0"/>
                <w:bCs w:val="0"/>
              </w:rPr>
            </w:pPr>
            <w:r w:rsidRPr="00CB5E91">
              <w:t>Protracted Crisis Recovery Assistance</w:t>
            </w:r>
          </w:p>
          <w:p w14:paraId="5DA78099" w14:textId="6202FA52" w:rsidR="00DB02B9" w:rsidRPr="00CB5E91" w:rsidRDefault="00DB02B9" w:rsidP="00DB02B9">
            <w:pPr>
              <w:pStyle w:val="TableBodyCopy"/>
            </w:pPr>
            <w:r>
              <w:t>(bilateral)</w:t>
            </w:r>
          </w:p>
        </w:tc>
        <w:tc>
          <w:tcPr>
            <w:tcW w:w="1667" w:type="pct"/>
            <w:shd w:val="clear" w:color="auto" w:fill="D2DEE7" w:themeFill="accent1" w:themeFillTint="33"/>
          </w:tcPr>
          <w:p w14:paraId="7DFD489E" w14:textId="34E4B9C2" w:rsidR="00B17494" w:rsidRPr="00CB5E91"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CB5E91">
              <w:t>2022</w:t>
            </w:r>
            <w:r w:rsidR="00FE1874">
              <w:t>–</w:t>
            </w:r>
            <w:r w:rsidR="00191ACD">
              <w:t>20</w:t>
            </w:r>
            <w:r w:rsidRPr="00CB5E91">
              <w:t>26</w:t>
            </w:r>
          </w:p>
        </w:tc>
        <w:tc>
          <w:tcPr>
            <w:tcW w:w="1667" w:type="pct"/>
            <w:shd w:val="clear" w:color="auto" w:fill="F2F2F2" w:themeFill="background1" w:themeFillShade="F2"/>
          </w:tcPr>
          <w:p w14:paraId="78D7C9D5" w14:textId="45B70FDB" w:rsidR="00B17494" w:rsidRPr="00D95099"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D95099">
              <w:t>Department of Social Welfare and Development (DSWD)</w:t>
            </w:r>
            <w:r w:rsidR="007656DE" w:rsidRPr="00D95099">
              <w:t>;</w:t>
            </w:r>
            <w:r w:rsidRPr="00D95099">
              <w:t xml:space="preserve"> development partners</w:t>
            </w:r>
          </w:p>
        </w:tc>
      </w:tr>
      <w:tr w:rsidR="00B17494" w:rsidRPr="00CB5E91" w14:paraId="308CC348"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D0E9EFD" w14:textId="77777777" w:rsidR="00B17494" w:rsidRDefault="00B17494" w:rsidP="00DB02B9">
            <w:pPr>
              <w:pStyle w:val="TableBodyCopy"/>
              <w:rPr>
                <w:b w:val="0"/>
                <w:bCs w:val="0"/>
              </w:rPr>
            </w:pPr>
            <w:r w:rsidRPr="00CB5E91">
              <w:t>Education Pathways to Peace in Mindanao</w:t>
            </w:r>
          </w:p>
          <w:p w14:paraId="4EBAC3C5" w14:textId="1AE42C19" w:rsidR="00DB02B9" w:rsidRPr="00CB5E91" w:rsidRDefault="00DB02B9" w:rsidP="00DB02B9">
            <w:pPr>
              <w:pStyle w:val="TableBodyCopy"/>
            </w:pPr>
            <w:r>
              <w:t>(bilateral)</w:t>
            </w:r>
          </w:p>
        </w:tc>
        <w:tc>
          <w:tcPr>
            <w:tcW w:w="1667" w:type="pct"/>
            <w:shd w:val="clear" w:color="auto" w:fill="D2DEE7" w:themeFill="accent1" w:themeFillTint="33"/>
          </w:tcPr>
          <w:p w14:paraId="6DF53B6C" w14:textId="1AE8303C" w:rsidR="00B17494" w:rsidRPr="00CB5E91"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CB5E91">
              <w:t>2015</w:t>
            </w:r>
            <w:r w:rsidR="000F5602">
              <w:t>–20</w:t>
            </w:r>
            <w:r w:rsidRPr="00CB5E91">
              <w:t>26</w:t>
            </w:r>
          </w:p>
        </w:tc>
        <w:tc>
          <w:tcPr>
            <w:tcW w:w="1667" w:type="pct"/>
            <w:shd w:val="clear" w:color="auto" w:fill="F2F2F2" w:themeFill="background1" w:themeFillShade="F2"/>
          </w:tcPr>
          <w:p w14:paraId="73F59CC9" w14:textId="07B27460" w:rsidR="00B17494" w:rsidRPr="00D95099" w:rsidRDefault="001243DB" w:rsidP="00DB02B9">
            <w:pPr>
              <w:pStyle w:val="TableBodyCopy"/>
              <w:cnfStyle w:val="000000000000" w:firstRow="0" w:lastRow="0" w:firstColumn="0" w:lastColumn="0" w:oddVBand="0" w:evenVBand="0" w:oddHBand="0" w:evenHBand="0" w:firstRowFirstColumn="0" w:firstRowLastColumn="0" w:lastRowFirstColumn="0" w:lastRowLastColumn="0"/>
            </w:pPr>
            <w:r w:rsidRPr="00D95099">
              <w:t xml:space="preserve">Department of Education; </w:t>
            </w:r>
            <w:r w:rsidR="00B17494" w:rsidRPr="00D95099">
              <w:t xml:space="preserve">BARMM Ministry </w:t>
            </w:r>
            <w:r w:rsidR="009F3A71" w:rsidRPr="00D95099">
              <w:t>of</w:t>
            </w:r>
            <w:r w:rsidR="00B17494" w:rsidRPr="00D95099">
              <w:t xml:space="preserve"> Basic, Higher and Technical Education</w:t>
            </w:r>
            <w:r w:rsidR="007656DE" w:rsidRPr="00D95099">
              <w:t xml:space="preserve">; </w:t>
            </w:r>
            <w:r w:rsidR="00B17494" w:rsidRPr="00D95099">
              <w:t>development partners</w:t>
            </w:r>
          </w:p>
        </w:tc>
      </w:tr>
      <w:tr w:rsidR="00B17494" w:rsidRPr="00CB5E91" w14:paraId="095D4A67"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8B9CC6B" w14:textId="77777777" w:rsidR="00DB02B9" w:rsidRDefault="00B17494" w:rsidP="00DB02B9">
            <w:pPr>
              <w:pStyle w:val="TableBodyCopy"/>
            </w:pPr>
            <w:r w:rsidRPr="00CB5E91">
              <w:t>Defence cooperation</w:t>
            </w:r>
          </w:p>
          <w:p w14:paraId="232C692A" w14:textId="04A3127A" w:rsidR="00DB02B9" w:rsidRPr="008B700F" w:rsidRDefault="00DB02B9" w:rsidP="00DB02B9">
            <w:pPr>
              <w:pStyle w:val="TableBodyCopy"/>
              <w:rPr>
                <w:b w:val="0"/>
                <w:bCs w:val="0"/>
              </w:rPr>
            </w:pPr>
            <w:r>
              <w:t>(bilateral)</w:t>
            </w:r>
          </w:p>
        </w:tc>
        <w:tc>
          <w:tcPr>
            <w:tcW w:w="1667" w:type="pct"/>
            <w:shd w:val="clear" w:color="auto" w:fill="D2DEE7" w:themeFill="accent1" w:themeFillTint="33"/>
          </w:tcPr>
          <w:p w14:paraId="79CB3916" w14:textId="20229B3C" w:rsidR="00B17494" w:rsidRPr="00CB5E91" w:rsidRDefault="00923D39" w:rsidP="00DB02B9">
            <w:pPr>
              <w:pStyle w:val="TableBodyCopy"/>
              <w:cnfStyle w:val="000000100000" w:firstRow="0" w:lastRow="0" w:firstColumn="0" w:lastColumn="0" w:oddVBand="0" w:evenVBand="0" w:oddHBand="1" w:evenHBand="0" w:firstRowFirstColumn="0" w:firstRowLastColumn="0" w:lastRowFirstColumn="0" w:lastRowLastColumn="0"/>
            </w:pPr>
            <w:r>
              <w:t>Ongoing</w:t>
            </w:r>
          </w:p>
        </w:tc>
        <w:tc>
          <w:tcPr>
            <w:tcW w:w="1667" w:type="pct"/>
            <w:shd w:val="clear" w:color="auto" w:fill="F2F2F2" w:themeFill="background1" w:themeFillShade="F2"/>
          </w:tcPr>
          <w:p w14:paraId="0459F01D" w14:textId="77777777" w:rsidR="00B17494" w:rsidRPr="00D95099"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D95099">
              <w:t>Armed Forces of the Philippines</w:t>
            </w:r>
          </w:p>
        </w:tc>
      </w:tr>
      <w:tr w:rsidR="00B17494" w:rsidRPr="00CB5E91" w14:paraId="0B1908FF"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314459D" w14:textId="5E9C3031" w:rsidR="00B17494" w:rsidRDefault="00B17494" w:rsidP="00DB02B9">
            <w:pPr>
              <w:pStyle w:val="TableBodyCopy"/>
              <w:rPr>
                <w:b w:val="0"/>
                <w:bCs w:val="0"/>
              </w:rPr>
            </w:pPr>
            <w:r w:rsidRPr="00CB5E91">
              <w:t>Australian Federal Police</w:t>
            </w:r>
          </w:p>
          <w:p w14:paraId="5AFBF7EE" w14:textId="09FFC149" w:rsidR="00DB02B9" w:rsidRPr="00CB5E91" w:rsidRDefault="00DB02B9" w:rsidP="00DB02B9">
            <w:pPr>
              <w:pStyle w:val="TableBodyCopy"/>
            </w:pPr>
            <w:r>
              <w:t>(bilateral)</w:t>
            </w:r>
          </w:p>
        </w:tc>
        <w:tc>
          <w:tcPr>
            <w:tcW w:w="1667" w:type="pct"/>
            <w:shd w:val="clear" w:color="auto" w:fill="D2DEE7" w:themeFill="accent1" w:themeFillTint="33"/>
          </w:tcPr>
          <w:p w14:paraId="0F634D3D" w14:textId="1173D6FC" w:rsidR="00B17494" w:rsidRPr="00CB5E91" w:rsidRDefault="00923D39" w:rsidP="00DB02B9">
            <w:pPr>
              <w:pStyle w:val="TableBodyCopy"/>
              <w:cnfStyle w:val="000000000000" w:firstRow="0" w:lastRow="0" w:firstColumn="0" w:lastColumn="0" w:oddVBand="0" w:evenVBand="0" w:oddHBand="0" w:evenHBand="0" w:firstRowFirstColumn="0" w:firstRowLastColumn="0" w:lastRowFirstColumn="0" w:lastRowLastColumn="0"/>
            </w:pPr>
            <w:r>
              <w:t>Ongoing</w:t>
            </w:r>
          </w:p>
        </w:tc>
        <w:tc>
          <w:tcPr>
            <w:tcW w:w="1667" w:type="pct"/>
            <w:shd w:val="clear" w:color="auto" w:fill="F2F2F2" w:themeFill="background1" w:themeFillShade="F2"/>
          </w:tcPr>
          <w:p w14:paraId="6F96E696" w14:textId="06162AF1" w:rsidR="00B528FB" w:rsidRPr="00D95099" w:rsidRDefault="007656DE" w:rsidP="00DB02B9">
            <w:pPr>
              <w:pStyle w:val="TableBodyCopy"/>
              <w:cnfStyle w:val="000000000000" w:firstRow="0" w:lastRow="0" w:firstColumn="0" w:lastColumn="0" w:oddVBand="0" w:evenVBand="0" w:oddHBand="0" w:evenHBand="0" w:firstRowFirstColumn="0" w:firstRowLastColumn="0" w:lastRowFirstColumn="0" w:lastRowLastColumn="0"/>
            </w:pPr>
            <w:r w:rsidRPr="00D95099">
              <w:t>PNP</w:t>
            </w:r>
            <w:r w:rsidR="003C11DB" w:rsidRPr="00D95099">
              <w:t>; N</w:t>
            </w:r>
            <w:r w:rsidR="00B528FB" w:rsidRPr="00D95099">
              <w:t>ational Bureau of Investigation</w:t>
            </w:r>
          </w:p>
        </w:tc>
      </w:tr>
      <w:tr w:rsidR="00B17494" w:rsidRPr="00CB5E91" w14:paraId="7F0325B9"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D8DFCAA" w14:textId="01EEE97A" w:rsidR="00B17494" w:rsidRDefault="00B17494" w:rsidP="00DB02B9">
            <w:pPr>
              <w:pStyle w:val="TableBodyCopy"/>
              <w:rPr>
                <w:b w:val="0"/>
                <w:bCs w:val="0"/>
              </w:rPr>
            </w:pPr>
            <w:r w:rsidRPr="00CB5E91">
              <w:t>ASEAN</w:t>
            </w:r>
            <w:r w:rsidR="007656DE">
              <w:t>–</w:t>
            </w:r>
            <w:r w:rsidRPr="00CB5E91">
              <w:t>Australia Counter Trafficking Program</w:t>
            </w:r>
          </w:p>
          <w:p w14:paraId="1AA321C8" w14:textId="59B89C77" w:rsidR="00DB02B9" w:rsidRPr="00CB5E91" w:rsidRDefault="00DB02B9" w:rsidP="00DB02B9">
            <w:pPr>
              <w:pStyle w:val="TableBodyCopy"/>
            </w:pPr>
            <w:r>
              <w:t>(regional/global)</w:t>
            </w:r>
          </w:p>
        </w:tc>
        <w:tc>
          <w:tcPr>
            <w:tcW w:w="1667" w:type="pct"/>
            <w:shd w:val="clear" w:color="auto" w:fill="D2DEE7" w:themeFill="accent1" w:themeFillTint="33"/>
          </w:tcPr>
          <w:p w14:paraId="49219CCA" w14:textId="22FF6B24" w:rsidR="00B17494" w:rsidRPr="00CB5E91"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CB5E91">
              <w:t>2018</w:t>
            </w:r>
            <w:r w:rsidR="00FE1874">
              <w:t>–</w:t>
            </w:r>
            <w:r w:rsidR="00191ACD">
              <w:t>20</w:t>
            </w:r>
            <w:r w:rsidRPr="00CB5E91">
              <w:t>28</w:t>
            </w:r>
          </w:p>
        </w:tc>
        <w:tc>
          <w:tcPr>
            <w:tcW w:w="1667" w:type="pct"/>
            <w:shd w:val="clear" w:color="auto" w:fill="F2F2F2" w:themeFill="background1" w:themeFillShade="F2"/>
          </w:tcPr>
          <w:p w14:paraId="2988C53B" w14:textId="02758CC3" w:rsidR="00B17494" w:rsidRPr="00D95099"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D95099">
              <w:t xml:space="preserve">ASEAN </w:t>
            </w:r>
            <w:r w:rsidR="007656DE" w:rsidRPr="00D95099">
              <w:t>M</w:t>
            </w:r>
            <w:r w:rsidRPr="00D95099">
              <w:t xml:space="preserve">ember </w:t>
            </w:r>
            <w:r w:rsidR="007656DE" w:rsidRPr="00D95099">
              <w:t>S</w:t>
            </w:r>
            <w:r w:rsidRPr="00D95099">
              <w:t>tates; CSOs</w:t>
            </w:r>
          </w:p>
        </w:tc>
      </w:tr>
      <w:tr w:rsidR="00B17494" w:rsidRPr="00CB5E91" w14:paraId="2E4D7627"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D413B0C" w14:textId="77777777" w:rsidR="00B17494" w:rsidRDefault="00B17494" w:rsidP="00DB02B9">
            <w:pPr>
              <w:pStyle w:val="TableBodyCopy"/>
              <w:rPr>
                <w:b w:val="0"/>
                <w:bCs w:val="0"/>
              </w:rPr>
            </w:pPr>
            <w:r w:rsidRPr="00CB5E91">
              <w:t>Women, Peace and Security</w:t>
            </w:r>
          </w:p>
          <w:p w14:paraId="36CB1A60" w14:textId="3B0C8E0E" w:rsidR="00DB02B9" w:rsidRPr="00CB5E91" w:rsidRDefault="00DB02B9" w:rsidP="00DB02B9">
            <w:pPr>
              <w:pStyle w:val="TableBodyCopy"/>
            </w:pPr>
            <w:r>
              <w:t>(regional/global)</w:t>
            </w:r>
          </w:p>
        </w:tc>
        <w:tc>
          <w:tcPr>
            <w:tcW w:w="1667" w:type="pct"/>
            <w:shd w:val="clear" w:color="auto" w:fill="D2DEE7" w:themeFill="accent1" w:themeFillTint="33"/>
          </w:tcPr>
          <w:p w14:paraId="28BFAB92" w14:textId="72A5BF06" w:rsidR="00B17494" w:rsidRPr="00CB5E91"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CB5E91">
              <w:t>2022</w:t>
            </w:r>
            <w:r w:rsidR="00C676C1">
              <w:t>–</w:t>
            </w:r>
            <w:r w:rsidR="00191ACD">
              <w:t>20</w:t>
            </w:r>
            <w:r w:rsidRPr="00CB5E91">
              <w:t>27</w:t>
            </w:r>
          </w:p>
        </w:tc>
        <w:tc>
          <w:tcPr>
            <w:tcW w:w="1667" w:type="pct"/>
            <w:shd w:val="clear" w:color="auto" w:fill="F2F2F2" w:themeFill="background1" w:themeFillShade="F2"/>
          </w:tcPr>
          <w:p w14:paraId="5C25B995" w14:textId="5B9E2D23" w:rsidR="00B17494" w:rsidRPr="00D95099"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D95099">
              <w:t>UN Women</w:t>
            </w:r>
            <w:r w:rsidR="007656DE" w:rsidRPr="00D95099">
              <w:t xml:space="preserve">; </w:t>
            </w:r>
            <w:r w:rsidRPr="00D95099">
              <w:t>CSOs</w:t>
            </w:r>
          </w:p>
        </w:tc>
      </w:tr>
      <w:tr w:rsidR="00B17494" w:rsidRPr="00CB5E91" w14:paraId="4C2E2180"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454B920" w14:textId="77777777" w:rsidR="00B17494" w:rsidRDefault="00B17494" w:rsidP="00DB02B9">
            <w:pPr>
              <w:pStyle w:val="TableBodyCopy"/>
              <w:rPr>
                <w:b w:val="0"/>
                <w:bCs w:val="0"/>
              </w:rPr>
            </w:pPr>
            <w:r w:rsidRPr="00CB5E91">
              <w:lastRenderedPageBreak/>
              <w:t>Marine Resources Initiative</w:t>
            </w:r>
          </w:p>
          <w:p w14:paraId="6CBA74A8" w14:textId="6A52270C" w:rsidR="00DB02B9" w:rsidRPr="00CB5E91" w:rsidRDefault="00DB02B9" w:rsidP="00DB02B9">
            <w:pPr>
              <w:pStyle w:val="TableBodyCopy"/>
            </w:pPr>
            <w:r>
              <w:t>(regional/global)</w:t>
            </w:r>
          </w:p>
        </w:tc>
        <w:tc>
          <w:tcPr>
            <w:tcW w:w="1667" w:type="pct"/>
            <w:shd w:val="clear" w:color="auto" w:fill="D2DEE7" w:themeFill="accent1" w:themeFillTint="33"/>
          </w:tcPr>
          <w:p w14:paraId="460EFE19" w14:textId="2EB48466" w:rsidR="00B17494"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CB5E91">
              <w:t>2020</w:t>
            </w:r>
            <w:r w:rsidR="00C676C1">
              <w:t>–</w:t>
            </w:r>
            <w:r w:rsidR="00191ACD">
              <w:t>20</w:t>
            </w:r>
            <w:r w:rsidRPr="00CB5E91">
              <w:t xml:space="preserve">24 </w:t>
            </w:r>
            <w:r w:rsidR="00191ACD">
              <w:t>(</w:t>
            </w:r>
            <w:r w:rsidRPr="00CB5E91">
              <w:t>non-ODA</w:t>
            </w:r>
            <w:r w:rsidR="00191ACD">
              <w:t>)</w:t>
            </w:r>
          </w:p>
          <w:p w14:paraId="481A3D9A" w14:textId="4B4B57C5" w:rsidR="00D92399" w:rsidRPr="00CB5E91" w:rsidRDefault="00E016DC" w:rsidP="00DB02B9">
            <w:pPr>
              <w:pStyle w:val="TableBodyCopy"/>
              <w:cnfStyle w:val="000000100000" w:firstRow="0" w:lastRow="0" w:firstColumn="0" w:lastColumn="0" w:oddVBand="0" w:evenVBand="0" w:oddHBand="1" w:evenHBand="0" w:firstRowFirstColumn="0" w:firstRowLastColumn="0" w:lastRowFirstColumn="0" w:lastRowLastColumn="0"/>
            </w:pPr>
            <w:r>
              <w:t xml:space="preserve">Successor program </w:t>
            </w:r>
            <w:r w:rsidR="00D92399">
              <w:t>2024</w:t>
            </w:r>
            <w:r w:rsidR="00C676C1">
              <w:t>–</w:t>
            </w:r>
            <w:r w:rsidR="00191ACD">
              <w:t>20</w:t>
            </w:r>
            <w:r w:rsidR="00D92399">
              <w:t xml:space="preserve">28 </w:t>
            </w:r>
            <w:r w:rsidR="00191ACD">
              <w:t>(</w:t>
            </w:r>
            <w:r w:rsidR="00D92399">
              <w:t>non-ODA</w:t>
            </w:r>
            <w:r w:rsidR="00191ACD">
              <w:t>)</w:t>
            </w:r>
          </w:p>
        </w:tc>
        <w:tc>
          <w:tcPr>
            <w:tcW w:w="1667" w:type="pct"/>
            <w:shd w:val="clear" w:color="auto" w:fill="F2F2F2" w:themeFill="background1" w:themeFillShade="F2"/>
          </w:tcPr>
          <w:p w14:paraId="31BA1E6E" w14:textId="1999CA48" w:rsidR="00B17494" w:rsidRPr="00D95099" w:rsidRDefault="004B0E8C" w:rsidP="00DB02B9">
            <w:pPr>
              <w:pStyle w:val="TableBodyCopy"/>
              <w:cnfStyle w:val="000000100000" w:firstRow="0" w:lastRow="0" w:firstColumn="0" w:lastColumn="0" w:oddVBand="0" w:evenVBand="0" w:oddHBand="1" w:evenHBand="0" w:firstRowFirstColumn="0" w:firstRowLastColumn="0" w:lastRowFirstColumn="0" w:lastRowLastColumn="0"/>
            </w:pPr>
            <w:r w:rsidRPr="00D95099">
              <w:t>Southeast Asia</w:t>
            </w:r>
            <w:r w:rsidR="00BA46D7" w:rsidRPr="00D95099">
              <w:t>n</w:t>
            </w:r>
            <w:r w:rsidRPr="00D95099">
              <w:t xml:space="preserve"> partners</w:t>
            </w:r>
          </w:p>
        </w:tc>
      </w:tr>
      <w:tr w:rsidR="00B17494" w:rsidRPr="00CB5E91" w14:paraId="463421A1"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04DF02D" w14:textId="3BF1F776" w:rsidR="00B17494" w:rsidRDefault="00B17494" w:rsidP="00DB02B9">
            <w:pPr>
              <w:pStyle w:val="TableBodyCopy"/>
              <w:rPr>
                <w:b w:val="0"/>
                <w:bCs w:val="0"/>
              </w:rPr>
            </w:pPr>
            <w:r w:rsidRPr="00CB5E91">
              <w:t xml:space="preserve">Combating Illegal, Unreported and Unregulated Fishing </w:t>
            </w:r>
            <w:r w:rsidR="0010270A">
              <w:t xml:space="preserve">and Promoting Sustainable Fisheries </w:t>
            </w:r>
            <w:r w:rsidRPr="00CB5E91">
              <w:t>in Southeast Asia</w:t>
            </w:r>
          </w:p>
          <w:p w14:paraId="20C8068A" w14:textId="47B3DDC9" w:rsidR="00DB02B9" w:rsidRPr="00CB5E91" w:rsidRDefault="00DB02B9" w:rsidP="00DB02B9">
            <w:pPr>
              <w:pStyle w:val="TableBodyCopy"/>
            </w:pPr>
            <w:r>
              <w:t>(regional/global)</w:t>
            </w:r>
          </w:p>
        </w:tc>
        <w:tc>
          <w:tcPr>
            <w:tcW w:w="1667" w:type="pct"/>
            <w:shd w:val="clear" w:color="auto" w:fill="D2DEE7" w:themeFill="accent1" w:themeFillTint="33"/>
          </w:tcPr>
          <w:p w14:paraId="5221976F" w14:textId="7BEECA3E" w:rsidR="00F26278" w:rsidRPr="00CB5E91"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CB5E91">
              <w:t>2019</w:t>
            </w:r>
            <w:r w:rsidR="00C676C1">
              <w:t>–</w:t>
            </w:r>
            <w:r w:rsidR="00191ACD">
              <w:t>20</w:t>
            </w:r>
            <w:r w:rsidRPr="00CB5E91">
              <w:t>26</w:t>
            </w:r>
            <w:r w:rsidR="00D92399">
              <w:t xml:space="preserve"> </w:t>
            </w:r>
            <w:r w:rsidR="00191ACD">
              <w:t>(</w:t>
            </w:r>
            <w:r w:rsidR="00E016DC">
              <w:t xml:space="preserve">mix of </w:t>
            </w:r>
            <w:r w:rsidR="00D92399">
              <w:t>ODA</w:t>
            </w:r>
            <w:r w:rsidR="00F26278">
              <w:t xml:space="preserve"> </w:t>
            </w:r>
            <w:r w:rsidR="00E016DC">
              <w:t>and</w:t>
            </w:r>
            <w:r w:rsidR="00F26278">
              <w:t xml:space="preserve"> non-ODA</w:t>
            </w:r>
            <w:r w:rsidR="00191ACD">
              <w:t>)</w:t>
            </w:r>
          </w:p>
        </w:tc>
        <w:tc>
          <w:tcPr>
            <w:tcW w:w="1667" w:type="pct"/>
            <w:shd w:val="clear" w:color="auto" w:fill="F2F2F2" w:themeFill="background1" w:themeFillShade="F2"/>
          </w:tcPr>
          <w:p w14:paraId="6DBB518B" w14:textId="0A3FDB94" w:rsidR="00B17494" w:rsidRPr="00D95099"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D95099">
              <w:t>Southeast Asia</w:t>
            </w:r>
            <w:r w:rsidR="005E7FC2" w:rsidRPr="00D95099">
              <w:t>n</w:t>
            </w:r>
            <w:r w:rsidRPr="00D95099">
              <w:t xml:space="preserve"> government partners</w:t>
            </w:r>
          </w:p>
        </w:tc>
      </w:tr>
      <w:tr w:rsidR="00B17494" w:rsidRPr="00CB5E91" w14:paraId="4402E386"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64E4181" w14:textId="77777777" w:rsidR="00B17494" w:rsidRDefault="00B17494" w:rsidP="00DB02B9">
            <w:pPr>
              <w:pStyle w:val="TableBodyCopy"/>
              <w:rPr>
                <w:b w:val="0"/>
                <w:bCs w:val="0"/>
              </w:rPr>
            </w:pPr>
            <w:r w:rsidRPr="00CB5E91">
              <w:t>Maritime consultancy</w:t>
            </w:r>
          </w:p>
          <w:p w14:paraId="58FAF920" w14:textId="76F88CE8" w:rsidR="00DB02B9" w:rsidRPr="00CB5E91" w:rsidRDefault="00DB02B9" w:rsidP="00DB02B9">
            <w:pPr>
              <w:pStyle w:val="TableBodyCopy"/>
            </w:pPr>
            <w:r>
              <w:t>(regional/global)</w:t>
            </w:r>
          </w:p>
        </w:tc>
        <w:tc>
          <w:tcPr>
            <w:tcW w:w="1667" w:type="pct"/>
            <w:shd w:val="clear" w:color="auto" w:fill="D2DEE7" w:themeFill="accent1" w:themeFillTint="33"/>
          </w:tcPr>
          <w:p w14:paraId="3DB1351C" w14:textId="13A5E3D7" w:rsidR="00B17494" w:rsidRPr="00CB5E91"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CB5E91">
              <w:t>2022</w:t>
            </w:r>
            <w:r w:rsidR="00C676C1">
              <w:t>–</w:t>
            </w:r>
            <w:r w:rsidR="00191ACD">
              <w:t>20</w:t>
            </w:r>
            <w:r w:rsidRPr="00CB5E91">
              <w:t>26</w:t>
            </w:r>
            <w:r w:rsidR="00E0127D" w:rsidRPr="00CB5E91">
              <w:t xml:space="preserve"> </w:t>
            </w:r>
            <w:r w:rsidR="00191ACD">
              <w:t>(</w:t>
            </w:r>
            <w:r w:rsidRPr="00CB5E91">
              <w:t>non-ODA</w:t>
            </w:r>
            <w:r w:rsidR="00191ACD">
              <w:t>)</w:t>
            </w:r>
          </w:p>
        </w:tc>
        <w:tc>
          <w:tcPr>
            <w:tcW w:w="1667" w:type="pct"/>
            <w:shd w:val="clear" w:color="auto" w:fill="F2F2F2" w:themeFill="background1" w:themeFillShade="F2"/>
          </w:tcPr>
          <w:p w14:paraId="524F3722" w14:textId="5E225B89" w:rsidR="00B17494" w:rsidRPr="00D95099" w:rsidRDefault="00B17494" w:rsidP="00DB02B9">
            <w:pPr>
              <w:pStyle w:val="TableBodyCopy"/>
              <w:cnfStyle w:val="000000100000" w:firstRow="0" w:lastRow="0" w:firstColumn="0" w:lastColumn="0" w:oddVBand="0" w:evenVBand="0" w:oddHBand="1" w:evenHBand="0" w:firstRowFirstColumn="0" w:firstRowLastColumn="0" w:lastRowFirstColumn="0" w:lastRowLastColumn="0"/>
            </w:pPr>
            <w:r w:rsidRPr="00D95099">
              <w:t>Philippine Coast Guard</w:t>
            </w:r>
            <w:r w:rsidR="00576A1D" w:rsidRPr="00D95099">
              <w:t>;</w:t>
            </w:r>
            <w:r w:rsidRPr="00D95099">
              <w:t xml:space="preserve"> maritime policy sector</w:t>
            </w:r>
          </w:p>
        </w:tc>
      </w:tr>
      <w:tr w:rsidR="00914531" w:rsidRPr="00CB5E91" w14:paraId="63DA7588"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3D7875E" w14:textId="77777777" w:rsidR="00914531" w:rsidRDefault="00914531" w:rsidP="00DB02B9">
            <w:pPr>
              <w:pStyle w:val="TableBodyCopy"/>
              <w:rPr>
                <w:b w:val="0"/>
                <w:bCs w:val="0"/>
              </w:rPr>
            </w:pPr>
            <w:r w:rsidRPr="00914531">
              <w:t>Blue Security initiative</w:t>
            </w:r>
          </w:p>
          <w:p w14:paraId="5CEEBAC5" w14:textId="512F3B02" w:rsidR="00DB02B9" w:rsidRPr="00CB5E91" w:rsidRDefault="00DB02B9" w:rsidP="00DB02B9">
            <w:pPr>
              <w:pStyle w:val="TableBodyCopy"/>
            </w:pPr>
            <w:r>
              <w:t>(regional/global)</w:t>
            </w:r>
          </w:p>
        </w:tc>
        <w:tc>
          <w:tcPr>
            <w:tcW w:w="1667" w:type="pct"/>
            <w:shd w:val="clear" w:color="auto" w:fill="D2DEE7" w:themeFill="accent1" w:themeFillTint="33"/>
          </w:tcPr>
          <w:p w14:paraId="4D80124C" w14:textId="7621A8A7" w:rsidR="00914531" w:rsidRPr="00CB5E91" w:rsidRDefault="00BC5478" w:rsidP="00DB02B9">
            <w:pPr>
              <w:pStyle w:val="TableBodyCopy"/>
              <w:cnfStyle w:val="000000000000" w:firstRow="0" w:lastRow="0" w:firstColumn="0" w:lastColumn="0" w:oddVBand="0" w:evenVBand="0" w:oddHBand="0" w:evenHBand="0" w:firstRowFirstColumn="0" w:firstRowLastColumn="0" w:lastRowFirstColumn="0" w:lastRowLastColumn="0"/>
            </w:pPr>
            <w:r w:rsidRPr="00BC5478">
              <w:t>2022–</w:t>
            </w:r>
            <w:r w:rsidR="00191ACD">
              <w:t>20</w:t>
            </w:r>
            <w:r w:rsidRPr="00BC5478">
              <w:t xml:space="preserve">25 </w:t>
            </w:r>
            <w:r w:rsidR="00191ACD">
              <w:t>(</w:t>
            </w:r>
            <w:r w:rsidR="000A1E89" w:rsidRPr="00BC5478">
              <w:t xml:space="preserve">mix of </w:t>
            </w:r>
            <w:r w:rsidR="00914531" w:rsidRPr="00BC5478">
              <w:t>ODA and non-ODA</w:t>
            </w:r>
            <w:r w:rsidR="00191ACD">
              <w:t>)</w:t>
            </w:r>
          </w:p>
        </w:tc>
        <w:tc>
          <w:tcPr>
            <w:tcW w:w="1667" w:type="pct"/>
            <w:shd w:val="clear" w:color="auto" w:fill="F2F2F2" w:themeFill="background1" w:themeFillShade="F2"/>
          </w:tcPr>
          <w:p w14:paraId="454ADBAE" w14:textId="42EE7A5F" w:rsidR="00914531" w:rsidRPr="00D95099" w:rsidRDefault="00914531" w:rsidP="00DB02B9">
            <w:pPr>
              <w:pStyle w:val="TableBodyCopy"/>
              <w:cnfStyle w:val="000000000000" w:firstRow="0" w:lastRow="0" w:firstColumn="0" w:lastColumn="0" w:oddVBand="0" w:evenVBand="0" w:oddHBand="0" w:evenHBand="0" w:firstRowFirstColumn="0" w:firstRowLastColumn="0" w:lastRowFirstColumn="0" w:lastRowLastColumn="0"/>
            </w:pPr>
            <w:r w:rsidRPr="00D95099">
              <w:t xml:space="preserve">Southeast Asian </w:t>
            </w:r>
            <w:r w:rsidR="00B30D06" w:rsidRPr="00D95099">
              <w:t>government partners;</w:t>
            </w:r>
            <w:r w:rsidRPr="00D95099">
              <w:t xml:space="preserve"> other ASEAN </w:t>
            </w:r>
            <w:r w:rsidR="00576A1D" w:rsidRPr="00D95099">
              <w:t>Member States (</w:t>
            </w:r>
            <w:r w:rsidRPr="00D95099">
              <w:t>non-ODA</w:t>
            </w:r>
            <w:r w:rsidR="00576A1D" w:rsidRPr="00D95099">
              <w:t>)</w:t>
            </w:r>
          </w:p>
        </w:tc>
      </w:tr>
      <w:tr w:rsidR="003C11DB" w:rsidRPr="00CB5E91" w14:paraId="27076072"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6A85619" w14:textId="28F1A96F" w:rsidR="003C11DB" w:rsidRDefault="003C11DB" w:rsidP="00DB02B9">
            <w:pPr>
              <w:pStyle w:val="TableBodyCopy"/>
              <w:rPr>
                <w:b w:val="0"/>
                <w:bCs w:val="0"/>
                <w:color w:val="000000"/>
              </w:rPr>
            </w:pPr>
            <w:r>
              <w:rPr>
                <w:color w:val="000000"/>
              </w:rPr>
              <w:t xml:space="preserve">Law of the Sea </w:t>
            </w:r>
            <w:r w:rsidR="00982631">
              <w:rPr>
                <w:color w:val="000000"/>
              </w:rPr>
              <w:t>t</w:t>
            </w:r>
            <w:r>
              <w:rPr>
                <w:color w:val="000000"/>
              </w:rPr>
              <w:t>raining</w:t>
            </w:r>
          </w:p>
          <w:p w14:paraId="1C9EEF1F" w14:textId="34627F76" w:rsidR="00DB02B9" w:rsidRPr="00914531" w:rsidRDefault="00DB02B9" w:rsidP="00DB02B9">
            <w:pPr>
              <w:pStyle w:val="TableBodyCopy"/>
            </w:pPr>
            <w:r>
              <w:t>(regional/global)</w:t>
            </w:r>
          </w:p>
        </w:tc>
        <w:tc>
          <w:tcPr>
            <w:tcW w:w="1667" w:type="pct"/>
            <w:shd w:val="clear" w:color="auto" w:fill="D2DEE7" w:themeFill="accent1" w:themeFillTint="33"/>
          </w:tcPr>
          <w:p w14:paraId="18483328" w14:textId="51D97610" w:rsidR="003C11DB" w:rsidRPr="00BC5478" w:rsidRDefault="000B187A" w:rsidP="00DB02B9">
            <w:pPr>
              <w:pStyle w:val="TableBodyCopy"/>
              <w:cnfStyle w:val="000000100000" w:firstRow="0" w:lastRow="0" w:firstColumn="0" w:lastColumn="0" w:oddVBand="0" w:evenVBand="0" w:oddHBand="1" w:evenHBand="0" w:firstRowFirstColumn="0" w:firstRowLastColumn="0" w:lastRowFirstColumn="0" w:lastRowLastColumn="0"/>
            </w:pPr>
            <w:r>
              <w:t>2024</w:t>
            </w:r>
            <w:r w:rsidR="00C676C1">
              <w:t>–</w:t>
            </w:r>
            <w:r w:rsidR="00191ACD">
              <w:t>20</w:t>
            </w:r>
            <w:r>
              <w:t>30</w:t>
            </w:r>
          </w:p>
        </w:tc>
        <w:tc>
          <w:tcPr>
            <w:tcW w:w="1667" w:type="pct"/>
            <w:shd w:val="clear" w:color="auto" w:fill="F2F2F2" w:themeFill="background1" w:themeFillShade="F2"/>
          </w:tcPr>
          <w:p w14:paraId="24DF5688" w14:textId="54897C34" w:rsidR="003C11DB" w:rsidRPr="00D95099" w:rsidRDefault="003C11DB" w:rsidP="00DB02B9">
            <w:pPr>
              <w:pStyle w:val="TableBodyCopy"/>
              <w:cnfStyle w:val="000000100000" w:firstRow="0" w:lastRow="0" w:firstColumn="0" w:lastColumn="0" w:oddVBand="0" w:evenVBand="0" w:oddHBand="1" w:evenHBand="0" w:firstRowFirstColumn="0" w:firstRowLastColumn="0" w:lastRowFirstColumn="0" w:lastRowLastColumn="0"/>
            </w:pPr>
            <w:r w:rsidRPr="00D95099">
              <w:t>Indonesia</w:t>
            </w:r>
            <w:r w:rsidR="00AF1CC0" w:rsidRPr="00D95099">
              <w:t xml:space="preserve">; </w:t>
            </w:r>
            <w:r w:rsidRPr="00D95099">
              <w:t>Vietnam</w:t>
            </w:r>
            <w:r w:rsidR="00AF1CC0" w:rsidRPr="00D95099">
              <w:t xml:space="preserve">; </w:t>
            </w:r>
            <w:r w:rsidRPr="00D95099">
              <w:t>Malaysia</w:t>
            </w:r>
            <w:r w:rsidR="00AF1CC0" w:rsidRPr="00D95099">
              <w:t xml:space="preserve">; </w:t>
            </w:r>
            <w:r w:rsidRPr="00D95099">
              <w:t>the Philippines</w:t>
            </w:r>
            <w:r w:rsidR="00AF1CC0" w:rsidRPr="00D95099">
              <w:t>;</w:t>
            </w:r>
            <w:r w:rsidRPr="00D95099">
              <w:t xml:space="preserve"> Brunei</w:t>
            </w:r>
          </w:p>
        </w:tc>
      </w:tr>
      <w:tr w:rsidR="00B17494" w:rsidRPr="00CB5E91" w14:paraId="53BA241A"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73B0048" w14:textId="0225278B" w:rsidR="00B17494" w:rsidRDefault="00B17494" w:rsidP="00DB02B9">
            <w:pPr>
              <w:pStyle w:val="TableBodyCopy"/>
              <w:rPr>
                <w:rFonts w:eastAsia="Times New Roman"/>
                <w:color w:val="313E48"/>
              </w:rPr>
            </w:pPr>
            <w:r w:rsidRPr="00CB5E91">
              <w:rPr>
                <w:rFonts w:eastAsia="Times New Roman"/>
                <w:color w:val="313E48"/>
              </w:rPr>
              <w:t>C</w:t>
            </w:r>
            <w:r w:rsidRPr="00CB5E91">
              <w:t>yber and Critical Tech Cooperation Program</w:t>
            </w:r>
          </w:p>
          <w:p w14:paraId="3DDF7328" w14:textId="68987691" w:rsidR="00DB02B9" w:rsidRPr="00CB5E91" w:rsidRDefault="00DB02B9" w:rsidP="00DB02B9">
            <w:pPr>
              <w:pStyle w:val="TableBodyCopy"/>
            </w:pPr>
            <w:r>
              <w:t>(regional/global)</w:t>
            </w:r>
          </w:p>
        </w:tc>
        <w:tc>
          <w:tcPr>
            <w:tcW w:w="1667" w:type="pct"/>
            <w:shd w:val="clear" w:color="auto" w:fill="D2DEE7" w:themeFill="accent1" w:themeFillTint="33"/>
          </w:tcPr>
          <w:p w14:paraId="40519974" w14:textId="666AB332" w:rsidR="00B17494" w:rsidRPr="00CB5E91"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CB5E91">
              <w:t>2016</w:t>
            </w:r>
            <w:r w:rsidR="00C676C1">
              <w:t>–</w:t>
            </w:r>
            <w:r w:rsidR="00191ACD">
              <w:t>20</w:t>
            </w:r>
            <w:r w:rsidRPr="00CB5E91">
              <w:t>25</w:t>
            </w:r>
          </w:p>
        </w:tc>
        <w:tc>
          <w:tcPr>
            <w:tcW w:w="1667" w:type="pct"/>
            <w:shd w:val="clear" w:color="auto" w:fill="F2F2F2" w:themeFill="background1" w:themeFillShade="F2"/>
          </w:tcPr>
          <w:p w14:paraId="1578BB67" w14:textId="26696BBF" w:rsidR="00B17494" w:rsidRPr="00D95099" w:rsidRDefault="00B17494" w:rsidP="00DB02B9">
            <w:pPr>
              <w:pStyle w:val="TableBodyCopy"/>
              <w:cnfStyle w:val="000000000000" w:firstRow="0" w:lastRow="0" w:firstColumn="0" w:lastColumn="0" w:oddVBand="0" w:evenVBand="0" w:oddHBand="0" w:evenHBand="0" w:firstRowFirstColumn="0" w:firstRowLastColumn="0" w:lastRowFirstColumn="0" w:lastRowLastColumn="0"/>
            </w:pPr>
            <w:r w:rsidRPr="00D95099">
              <w:rPr>
                <w:rFonts w:eastAsia="Times New Roman"/>
              </w:rPr>
              <w:t>ASEAN; universities; private sector</w:t>
            </w:r>
          </w:p>
        </w:tc>
      </w:tr>
    </w:tbl>
    <w:p w14:paraId="1368356B" w14:textId="36643263" w:rsidR="00E13C67" w:rsidRDefault="00E13C67" w:rsidP="00E13C67">
      <w:pPr>
        <w:rPr>
          <w:lang w:eastAsia="en-AU"/>
        </w:rPr>
      </w:pPr>
      <w:r>
        <w:rPr>
          <w:lang w:eastAsia="en-AU"/>
        </w:rPr>
        <w:t xml:space="preserve">Australian Government </w:t>
      </w:r>
      <w:r w:rsidRPr="413282F0">
        <w:rPr>
          <w:lang w:eastAsia="en-AU"/>
        </w:rPr>
        <w:t xml:space="preserve">supporting investments/activities for Objective </w:t>
      </w:r>
      <w:r>
        <w:rPr>
          <w:lang w:eastAsia="en-AU"/>
        </w:rPr>
        <w:t>2</w:t>
      </w:r>
      <w:r w:rsidRPr="413282F0">
        <w:rPr>
          <w:lang w:eastAsia="en-AU"/>
        </w:rPr>
        <w:t xml:space="preserve"> </w:t>
      </w:r>
      <w:r w:rsidR="002C7980">
        <w:rPr>
          <w:lang w:eastAsia="en-AU"/>
        </w:rPr>
        <w:t xml:space="preserve">– </w:t>
      </w:r>
      <w:r w:rsidRPr="00CB5E91">
        <w:t xml:space="preserve">Bolstering inclusive and sustainable economic growth </w:t>
      </w:r>
      <w:r w:rsidRPr="413282F0">
        <w:rPr>
          <w:lang w:eastAsia="en-AU"/>
        </w:rPr>
        <w:t>(</w:t>
      </w:r>
      <w:r w:rsidRPr="1121DF86">
        <w:rPr>
          <w:rFonts w:eastAsia="Calibri Light"/>
        </w:rPr>
        <w:t xml:space="preserve">bilateral </w:t>
      </w:r>
      <w:r w:rsidRPr="1121DF86">
        <w:rPr>
          <w:lang w:eastAsia="en-AU"/>
        </w:rPr>
        <w:t>Official Development Assistance (ODA) as well as significant regional and global ODA</w:t>
      </w:r>
      <w:r>
        <w:rPr>
          <w:lang w:eastAsia="en-AU"/>
        </w:rPr>
        <w:t>,</w:t>
      </w:r>
      <w:r w:rsidRPr="1121DF86">
        <w:rPr>
          <w:lang w:eastAsia="en-AU"/>
        </w:rPr>
        <w:t xml:space="preserve"> and significant non-ODA development </w:t>
      </w:r>
      <w:r w:rsidRPr="413282F0">
        <w:rPr>
          <w:lang w:eastAsia="en-AU"/>
        </w:rPr>
        <w:t>investments</w:t>
      </w:r>
      <w:r>
        <w:rPr>
          <w:lang w:eastAsia="en-AU"/>
        </w:rPr>
        <w:t>/</w:t>
      </w:r>
      <w:r w:rsidRPr="1121DF86">
        <w:rPr>
          <w:lang w:eastAsia="en-AU"/>
        </w:rPr>
        <w:t>activities</w:t>
      </w:r>
      <w:r>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2"/>
        <w:tblDescription w:val="Investments and activities, duration and key partners"/>
      </w:tblPr>
      <w:tblGrid>
        <w:gridCol w:w="3398"/>
        <w:gridCol w:w="3399"/>
        <w:gridCol w:w="3397"/>
      </w:tblGrid>
      <w:tr w:rsidR="00B17494" w:rsidRPr="00CB5E91" w14:paraId="74AD2E98" w14:textId="77777777" w:rsidTr="008B70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4A3C7C65" w14:textId="77841AE7" w:rsidR="00B17494" w:rsidRPr="002C7980" w:rsidRDefault="00B17494" w:rsidP="002C7980">
            <w:pPr>
              <w:pStyle w:val="TableHeading"/>
              <w:rPr>
                <w:b/>
                <w:bCs/>
              </w:rPr>
            </w:pPr>
            <w:r w:rsidRPr="002C7980">
              <w:rPr>
                <w:b/>
                <w:bCs/>
              </w:rPr>
              <w:t xml:space="preserve">Name of </w:t>
            </w:r>
            <w:r w:rsidR="001010EA" w:rsidRPr="002C7980">
              <w:rPr>
                <w:b/>
                <w:bCs/>
              </w:rPr>
              <w:t>i</w:t>
            </w:r>
            <w:r w:rsidRPr="002C7980">
              <w:rPr>
                <w:b/>
                <w:bCs/>
              </w:rPr>
              <w:t>nvestment</w:t>
            </w:r>
            <w:r w:rsidR="001F141E">
              <w:rPr>
                <w:b/>
                <w:bCs/>
              </w:rPr>
              <w:t>/activity</w:t>
            </w:r>
          </w:p>
        </w:tc>
        <w:tc>
          <w:tcPr>
            <w:tcW w:w="1667" w:type="pct"/>
          </w:tcPr>
          <w:p w14:paraId="0D7D1439" w14:textId="35573C0E" w:rsidR="00B17494" w:rsidRPr="002C7980" w:rsidRDefault="002C7980" w:rsidP="002C7980">
            <w:pPr>
              <w:pStyle w:val="TableHeading"/>
              <w:cnfStyle w:val="100000000000" w:firstRow="1" w:lastRow="0" w:firstColumn="0" w:lastColumn="0" w:oddVBand="0" w:evenVBand="0" w:oddHBand="0" w:evenHBand="0" w:firstRowFirstColumn="0" w:firstRowLastColumn="0" w:lastRowFirstColumn="0" w:lastRowLastColumn="0"/>
              <w:rPr>
                <w:b/>
                <w:bCs/>
              </w:rPr>
            </w:pPr>
            <w:r>
              <w:rPr>
                <w:b/>
                <w:bCs/>
              </w:rPr>
              <w:t>D</w:t>
            </w:r>
            <w:r w:rsidR="00B17494" w:rsidRPr="002C7980">
              <w:rPr>
                <w:b/>
                <w:bCs/>
              </w:rPr>
              <w:t>uration</w:t>
            </w:r>
          </w:p>
        </w:tc>
        <w:tc>
          <w:tcPr>
            <w:tcW w:w="1666" w:type="pct"/>
          </w:tcPr>
          <w:p w14:paraId="127D86E8" w14:textId="77777777" w:rsidR="00B17494" w:rsidRPr="002C7980" w:rsidRDefault="00B17494" w:rsidP="002C7980">
            <w:pPr>
              <w:pStyle w:val="TableHeading"/>
              <w:cnfStyle w:val="100000000000" w:firstRow="1" w:lastRow="0" w:firstColumn="0" w:lastColumn="0" w:oddVBand="0" w:evenVBand="0" w:oddHBand="0" w:evenHBand="0" w:firstRowFirstColumn="0" w:firstRowLastColumn="0" w:lastRowFirstColumn="0" w:lastRowLastColumn="0"/>
              <w:rPr>
                <w:b/>
                <w:bCs/>
              </w:rPr>
            </w:pPr>
            <w:r w:rsidRPr="002C7980">
              <w:rPr>
                <w:b/>
                <w:bCs/>
              </w:rPr>
              <w:t>Key partners</w:t>
            </w:r>
          </w:p>
        </w:tc>
      </w:tr>
      <w:tr w:rsidR="00B17494" w:rsidRPr="00CB5E91" w14:paraId="6704D93E"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07F0CD9" w14:textId="77777777" w:rsidR="00B17494" w:rsidRDefault="00B17494" w:rsidP="0041126B">
            <w:pPr>
              <w:pStyle w:val="TableBodyCopy"/>
              <w:rPr>
                <w:b w:val="0"/>
                <w:bCs w:val="0"/>
              </w:rPr>
            </w:pPr>
            <w:r w:rsidRPr="00CB5E91">
              <w:t>Advancing Multilateral Partnerships for Economic Development</w:t>
            </w:r>
          </w:p>
          <w:p w14:paraId="1F218051" w14:textId="63D8F87B" w:rsidR="00DB02B9" w:rsidRPr="00CB5E91" w:rsidRDefault="00DB02B9" w:rsidP="008B700F">
            <w:pPr>
              <w:pStyle w:val="TableBodyCopy"/>
            </w:pPr>
            <w:r>
              <w:t>(bilateral)</w:t>
            </w:r>
          </w:p>
        </w:tc>
        <w:tc>
          <w:tcPr>
            <w:tcW w:w="1667" w:type="pct"/>
            <w:shd w:val="clear" w:color="auto" w:fill="D2DEE7" w:themeFill="accent1" w:themeFillTint="33"/>
          </w:tcPr>
          <w:p w14:paraId="6344759F" w14:textId="4E996DD2" w:rsidR="00B17494" w:rsidRPr="00A346BE"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41126B">
              <w:t>2019</w:t>
            </w:r>
            <w:r w:rsidR="00C676C1">
              <w:t>–</w:t>
            </w:r>
            <w:r w:rsidR="00191ACD">
              <w:t>20</w:t>
            </w:r>
            <w:r w:rsidRPr="0041126B">
              <w:t>29</w:t>
            </w:r>
          </w:p>
        </w:tc>
        <w:tc>
          <w:tcPr>
            <w:tcW w:w="1666" w:type="pct"/>
            <w:shd w:val="clear" w:color="auto" w:fill="F2F2F2" w:themeFill="background1" w:themeFillShade="F2"/>
          </w:tcPr>
          <w:p w14:paraId="30C3EA6B" w14:textId="5CEF2C72"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National Economic and Development Authority (NEDA)</w:t>
            </w:r>
            <w:r w:rsidR="00C215E9" w:rsidRPr="001A6D95">
              <w:t>;</w:t>
            </w:r>
            <w:r w:rsidRPr="001A6D95">
              <w:t xml:space="preserve"> Department of Finance</w:t>
            </w:r>
            <w:r w:rsidR="00AF1CC0" w:rsidRPr="001A6D95">
              <w:t xml:space="preserve">; </w:t>
            </w:r>
            <w:r w:rsidRPr="001A6D95">
              <w:t>Department of Budget and Management</w:t>
            </w:r>
            <w:r w:rsidR="00AF1CC0" w:rsidRPr="001A6D95">
              <w:t xml:space="preserve">; </w:t>
            </w:r>
            <w:r w:rsidRPr="001A6D95">
              <w:t>Department of Transportation (</w:t>
            </w:r>
            <w:proofErr w:type="spellStart"/>
            <w:r w:rsidRPr="001A6D95">
              <w:t>DOTr</w:t>
            </w:r>
            <w:proofErr w:type="spellEnd"/>
            <w:r w:rsidR="00AF1CC0" w:rsidRPr="001A6D95">
              <w:t xml:space="preserve">); </w:t>
            </w:r>
            <w:r w:rsidRPr="001A6D95">
              <w:t>Department of Public Works and Highways</w:t>
            </w:r>
            <w:r w:rsidR="00AF1CC0" w:rsidRPr="001A6D95">
              <w:t xml:space="preserve">; </w:t>
            </w:r>
            <w:r w:rsidRPr="001A6D95">
              <w:t xml:space="preserve">World Bank; Asian Development Bank; </w:t>
            </w:r>
            <w:r w:rsidR="00AF1CC0" w:rsidRPr="001A6D95">
              <w:t>United Nations Children’s Fund (</w:t>
            </w:r>
            <w:r w:rsidRPr="001A6D95">
              <w:t>UNICEF</w:t>
            </w:r>
            <w:r w:rsidR="00AF1CC0" w:rsidRPr="001A6D95">
              <w:t>)</w:t>
            </w:r>
            <w:r w:rsidRPr="001A6D95">
              <w:t xml:space="preserve">; </w:t>
            </w:r>
            <w:r w:rsidR="008A705A" w:rsidRPr="001A6D95">
              <w:t>International Finance Corporation (</w:t>
            </w:r>
            <w:r w:rsidRPr="001A6D95">
              <w:t>IFC</w:t>
            </w:r>
            <w:r w:rsidR="008A705A" w:rsidRPr="001A6D95">
              <w:t>)</w:t>
            </w:r>
          </w:p>
        </w:tc>
      </w:tr>
      <w:tr w:rsidR="00B17494" w:rsidRPr="00CB5E91" w14:paraId="3EF789D4"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CC4293E" w14:textId="40D7EDA4" w:rsidR="00B17494" w:rsidRDefault="00B17494" w:rsidP="00DB02B9">
            <w:pPr>
              <w:pStyle w:val="TableBodyCopy"/>
              <w:rPr>
                <w:b w:val="0"/>
                <w:bCs w:val="0"/>
              </w:rPr>
            </w:pPr>
            <w:r w:rsidRPr="00CB5E91">
              <w:t xml:space="preserve">Economic and </w:t>
            </w:r>
            <w:r w:rsidR="00FA3AEA">
              <w:t>p</w:t>
            </w:r>
            <w:r w:rsidRPr="00CB5E91">
              <w:t xml:space="preserve">rivate </w:t>
            </w:r>
            <w:r w:rsidR="00FA3AEA">
              <w:t>s</w:t>
            </w:r>
            <w:r w:rsidRPr="00CB5E91">
              <w:t xml:space="preserve">ector </w:t>
            </w:r>
            <w:r w:rsidR="00FA3AEA">
              <w:t>d</w:t>
            </w:r>
            <w:r w:rsidRPr="00CB5E91">
              <w:t xml:space="preserve">evelopment </w:t>
            </w:r>
            <w:r w:rsidR="00FA3AEA">
              <w:t>p</w:t>
            </w:r>
            <w:r w:rsidRPr="00CB5E91">
              <w:t>rogram</w:t>
            </w:r>
          </w:p>
          <w:p w14:paraId="400F1F94" w14:textId="1C6F1009" w:rsidR="00DB02B9" w:rsidRPr="00CB5E91" w:rsidRDefault="00DB02B9" w:rsidP="008B700F">
            <w:pPr>
              <w:pStyle w:val="TableBodyCopy"/>
            </w:pPr>
            <w:r>
              <w:t>(bilateral)</w:t>
            </w:r>
          </w:p>
        </w:tc>
        <w:tc>
          <w:tcPr>
            <w:tcW w:w="1667" w:type="pct"/>
            <w:shd w:val="clear" w:color="auto" w:fill="D2DEE7" w:themeFill="accent1" w:themeFillTint="33"/>
          </w:tcPr>
          <w:p w14:paraId="1F3B3481" w14:textId="0A926AE9"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2024</w:t>
            </w:r>
            <w:r w:rsidR="00C676C1">
              <w:t>–</w:t>
            </w:r>
            <w:r w:rsidR="00191ACD">
              <w:t>20</w:t>
            </w:r>
            <w:r w:rsidRPr="0041126B">
              <w:t>29</w:t>
            </w:r>
          </w:p>
        </w:tc>
        <w:tc>
          <w:tcPr>
            <w:tcW w:w="1666" w:type="pct"/>
            <w:shd w:val="clear" w:color="auto" w:fill="F2F2F2" w:themeFill="background1" w:themeFillShade="F2"/>
          </w:tcPr>
          <w:p w14:paraId="3D59F422" w14:textId="3C6BD3D2" w:rsidR="00B17494" w:rsidRPr="001A6D95" w:rsidRDefault="008A705A" w:rsidP="008B700F">
            <w:pPr>
              <w:pStyle w:val="TableBodyCopy"/>
              <w:cnfStyle w:val="000000000000" w:firstRow="0" w:lastRow="0" w:firstColumn="0" w:lastColumn="0" w:oddVBand="0" w:evenVBand="0" w:oddHBand="0" w:evenHBand="0" w:firstRowFirstColumn="0" w:firstRowLastColumn="0" w:lastRowFirstColumn="0" w:lastRowLastColumn="0"/>
            </w:pPr>
            <w:r w:rsidRPr="001A6D95">
              <w:t>To be confirmed (</w:t>
            </w:r>
            <w:r w:rsidR="00B17494" w:rsidRPr="001A6D95">
              <w:t>TBC</w:t>
            </w:r>
            <w:r w:rsidRPr="001A6D95">
              <w:t>)</w:t>
            </w:r>
          </w:p>
        </w:tc>
      </w:tr>
      <w:tr w:rsidR="00B17494" w:rsidRPr="00CB5E91" w14:paraId="56D8D3D1"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9A0D07F" w14:textId="1AC80B13" w:rsidR="00DB02B9" w:rsidRDefault="00B17494" w:rsidP="00DB02B9">
            <w:pPr>
              <w:pStyle w:val="TableBodyCopy"/>
              <w:rPr>
                <w:b w:val="0"/>
                <w:bCs w:val="0"/>
              </w:rPr>
            </w:pPr>
            <w:r w:rsidRPr="00CB5E91">
              <w:t>Education Quality for Inclusive Prosperity</w:t>
            </w:r>
            <w:r w:rsidR="00E9281A">
              <w:t xml:space="preserve"> (EQUIP)</w:t>
            </w:r>
          </w:p>
          <w:p w14:paraId="396F5CD0" w14:textId="36C478A2" w:rsidR="00B17494" w:rsidRPr="00CB5E91" w:rsidRDefault="00DB02B9" w:rsidP="008B700F">
            <w:pPr>
              <w:pStyle w:val="TableBodyCopy"/>
            </w:pPr>
            <w:r>
              <w:t>(bilateral)</w:t>
            </w:r>
          </w:p>
        </w:tc>
        <w:tc>
          <w:tcPr>
            <w:tcW w:w="1667" w:type="pct"/>
            <w:shd w:val="clear" w:color="auto" w:fill="D2DEE7" w:themeFill="accent1" w:themeFillTint="33"/>
          </w:tcPr>
          <w:p w14:paraId="00486664" w14:textId="2A54A057" w:rsidR="00B17494" w:rsidRPr="00A346BE" w:rsidRDefault="00C64E45" w:rsidP="008B700F">
            <w:pPr>
              <w:pStyle w:val="TableBodyCopy"/>
              <w:cnfStyle w:val="000000100000" w:firstRow="0" w:lastRow="0" w:firstColumn="0" w:lastColumn="0" w:oddVBand="0" w:evenVBand="0" w:oddHBand="1" w:evenHBand="0" w:firstRowFirstColumn="0" w:firstRowLastColumn="0" w:lastRowFirstColumn="0" w:lastRowLastColumn="0"/>
            </w:pPr>
            <w:r>
              <w:t>2025</w:t>
            </w:r>
            <w:r w:rsidR="00A33875">
              <w:t>–</w:t>
            </w:r>
            <w:r>
              <w:t>2029</w:t>
            </w:r>
          </w:p>
        </w:tc>
        <w:tc>
          <w:tcPr>
            <w:tcW w:w="1666" w:type="pct"/>
            <w:shd w:val="clear" w:color="auto" w:fill="F2F2F2" w:themeFill="background1" w:themeFillShade="F2"/>
          </w:tcPr>
          <w:p w14:paraId="748CC119" w14:textId="5E7B6AEA"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 xml:space="preserve">Department of Education; Technical Education </w:t>
            </w:r>
            <w:r w:rsidR="00B540F5" w:rsidRPr="001A6D95">
              <w:t>a</w:t>
            </w:r>
            <w:r w:rsidRPr="001A6D95">
              <w:t xml:space="preserve">nd Skills Development Authority; </w:t>
            </w:r>
            <w:r w:rsidR="00C64E45" w:rsidRPr="001A6D95">
              <w:t>industry and private sector</w:t>
            </w:r>
          </w:p>
        </w:tc>
      </w:tr>
      <w:tr w:rsidR="00B17494" w:rsidRPr="00CB5E91" w14:paraId="59DE9B87"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87E1766" w14:textId="0AF7552F" w:rsidR="00B17494" w:rsidRDefault="0028113B" w:rsidP="00DB02B9">
            <w:pPr>
              <w:pStyle w:val="TableBodyCopy"/>
              <w:rPr>
                <w:b w:val="0"/>
                <w:bCs w:val="0"/>
              </w:rPr>
            </w:pPr>
            <w:r>
              <w:t>Australia Awards and Alumni Engagement Program</w:t>
            </w:r>
            <w:r w:rsidR="003A7D02">
              <w:t xml:space="preserve"> – </w:t>
            </w:r>
            <w:r>
              <w:t>Philippines</w:t>
            </w:r>
          </w:p>
          <w:p w14:paraId="5742EB31" w14:textId="58546BC3" w:rsidR="00DB02B9" w:rsidRPr="00CB5E91" w:rsidRDefault="00DB02B9" w:rsidP="008B700F">
            <w:pPr>
              <w:pStyle w:val="TableBodyCopy"/>
            </w:pPr>
            <w:r>
              <w:t>(bilateral)</w:t>
            </w:r>
          </w:p>
        </w:tc>
        <w:tc>
          <w:tcPr>
            <w:tcW w:w="1667" w:type="pct"/>
            <w:shd w:val="clear" w:color="auto" w:fill="D2DEE7" w:themeFill="accent1" w:themeFillTint="33"/>
          </w:tcPr>
          <w:p w14:paraId="3D4590B7" w14:textId="4D8B9DAD"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2017</w:t>
            </w:r>
            <w:r w:rsidR="00C676C1">
              <w:t>–</w:t>
            </w:r>
            <w:r w:rsidR="00191ACD">
              <w:t>20</w:t>
            </w:r>
            <w:r w:rsidRPr="0041126B">
              <w:t>25</w:t>
            </w:r>
          </w:p>
        </w:tc>
        <w:tc>
          <w:tcPr>
            <w:tcW w:w="1666" w:type="pct"/>
            <w:shd w:val="clear" w:color="auto" w:fill="F2F2F2" w:themeFill="background1" w:themeFillShade="F2"/>
          </w:tcPr>
          <w:p w14:paraId="30CD951F" w14:textId="002CD922" w:rsidR="00B17494" w:rsidRPr="001A6D95"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1A6D95">
              <w:t xml:space="preserve">Various </w:t>
            </w:r>
            <w:r w:rsidR="0028113B" w:rsidRPr="001A6D95">
              <w:t xml:space="preserve">Philippine Government </w:t>
            </w:r>
            <w:r w:rsidRPr="001A6D95">
              <w:t>agencies; development partners</w:t>
            </w:r>
          </w:p>
        </w:tc>
      </w:tr>
      <w:tr w:rsidR="00B17494" w:rsidRPr="00CB5E91" w14:paraId="7D6C287D" w14:textId="77777777" w:rsidTr="001A6D9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D17574F" w14:textId="77777777" w:rsidR="00B17494" w:rsidRDefault="00B17494" w:rsidP="00DB02B9">
            <w:pPr>
              <w:pStyle w:val="TableBodyCopy"/>
              <w:rPr>
                <w:b w:val="0"/>
                <w:bCs w:val="0"/>
              </w:rPr>
            </w:pPr>
            <w:r w:rsidRPr="00CB5E91">
              <w:lastRenderedPageBreak/>
              <w:t>Australia Awards Scholarships</w:t>
            </w:r>
          </w:p>
          <w:p w14:paraId="4C017F01" w14:textId="237D2D7E" w:rsidR="00DB02B9" w:rsidRPr="00CB5E91" w:rsidRDefault="00DB02B9" w:rsidP="008B700F">
            <w:pPr>
              <w:pStyle w:val="TableBodyCopy"/>
            </w:pPr>
            <w:r>
              <w:t>(bilateral)</w:t>
            </w:r>
          </w:p>
        </w:tc>
        <w:tc>
          <w:tcPr>
            <w:tcW w:w="1667" w:type="pct"/>
            <w:shd w:val="clear" w:color="auto" w:fill="D2DEE7" w:themeFill="accent1" w:themeFillTint="33"/>
          </w:tcPr>
          <w:p w14:paraId="707237F4" w14:textId="53929450" w:rsidR="00B17494" w:rsidRPr="00A346BE" w:rsidRDefault="000B187A" w:rsidP="008B700F">
            <w:pPr>
              <w:pStyle w:val="TableBodyCopy"/>
              <w:cnfStyle w:val="000000100000" w:firstRow="0" w:lastRow="0" w:firstColumn="0" w:lastColumn="0" w:oddVBand="0" w:evenVBand="0" w:oddHBand="1" w:evenHBand="0" w:firstRowFirstColumn="0" w:firstRowLastColumn="0" w:lastRowFirstColumn="0" w:lastRowLastColumn="0"/>
            </w:pPr>
            <w:r w:rsidRPr="0041126B">
              <w:t>2025</w:t>
            </w:r>
            <w:r w:rsidR="00C676C1">
              <w:t>–</w:t>
            </w:r>
            <w:r w:rsidR="00191ACD">
              <w:t>20</w:t>
            </w:r>
            <w:r w:rsidRPr="0041126B">
              <w:t>30</w:t>
            </w:r>
          </w:p>
        </w:tc>
        <w:tc>
          <w:tcPr>
            <w:tcW w:w="1666" w:type="pct"/>
            <w:shd w:val="clear" w:color="auto" w:fill="F2F2F2" w:themeFill="background1" w:themeFillShade="F2"/>
          </w:tcPr>
          <w:p w14:paraId="68D98FBD" w14:textId="77777777"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Australian universities</w:t>
            </w:r>
          </w:p>
        </w:tc>
      </w:tr>
      <w:tr w:rsidR="00B17494" w:rsidRPr="00CB5E91" w14:paraId="2E384E43"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C2D27A7" w14:textId="77777777" w:rsidR="00B17494" w:rsidRDefault="00B17494" w:rsidP="00DB02B9">
            <w:pPr>
              <w:pStyle w:val="TableBodyCopy"/>
              <w:rPr>
                <w:b w:val="0"/>
                <w:bCs w:val="0"/>
              </w:rPr>
            </w:pPr>
            <w:r w:rsidRPr="00CB5E91">
              <w:t>Investing in Women</w:t>
            </w:r>
          </w:p>
          <w:p w14:paraId="395A33A7" w14:textId="7B5701EA" w:rsidR="00DB02B9" w:rsidRPr="00CB5E91" w:rsidRDefault="00DB02B9" w:rsidP="008B700F">
            <w:pPr>
              <w:pStyle w:val="TableBodyCopy"/>
            </w:pPr>
            <w:r>
              <w:t>(bilateral)</w:t>
            </w:r>
          </w:p>
        </w:tc>
        <w:tc>
          <w:tcPr>
            <w:tcW w:w="1667" w:type="pct"/>
            <w:shd w:val="clear" w:color="auto" w:fill="D2DEE7" w:themeFill="accent1" w:themeFillTint="33"/>
          </w:tcPr>
          <w:p w14:paraId="547C6B67" w14:textId="3950AC49"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2023</w:t>
            </w:r>
            <w:r w:rsidR="00C676C1">
              <w:t>–</w:t>
            </w:r>
            <w:r w:rsidR="00191ACD">
              <w:t>20</w:t>
            </w:r>
            <w:r w:rsidRPr="0041126B">
              <w:t>27</w:t>
            </w:r>
          </w:p>
        </w:tc>
        <w:tc>
          <w:tcPr>
            <w:tcW w:w="1666" w:type="pct"/>
            <w:shd w:val="clear" w:color="auto" w:fill="F2F2F2" w:themeFill="background1" w:themeFillShade="F2"/>
          </w:tcPr>
          <w:p w14:paraId="4431312C" w14:textId="5FCB950C" w:rsidR="00B17494" w:rsidRPr="001A6D95"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1A6D95">
              <w:t>DSWD</w:t>
            </w:r>
            <w:r w:rsidR="007B4699" w:rsidRPr="001A6D95">
              <w:t>;</w:t>
            </w:r>
            <w:r w:rsidRPr="001A6D95">
              <w:t xml:space="preserve"> NEDA</w:t>
            </w:r>
            <w:r w:rsidR="007B4699" w:rsidRPr="001A6D95">
              <w:t>;</w:t>
            </w:r>
            <w:r w:rsidRPr="001A6D95">
              <w:t xml:space="preserve"> Department of Trade and Industry (DTI)</w:t>
            </w:r>
          </w:p>
        </w:tc>
      </w:tr>
      <w:tr w:rsidR="00B17494" w:rsidRPr="00CB5E91" w14:paraId="5ED3CBF9"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98F75C3" w14:textId="45EACAE2" w:rsidR="00B17494" w:rsidRDefault="00B17494" w:rsidP="00DB02B9">
            <w:pPr>
              <w:pStyle w:val="TableBodyCopy"/>
              <w:rPr>
                <w:b w:val="0"/>
                <w:bCs w:val="0"/>
              </w:rPr>
            </w:pPr>
            <w:r w:rsidRPr="00CB5E91">
              <w:t>Coalitions for Change</w:t>
            </w:r>
            <w:r w:rsidR="00FD6F59">
              <w:t xml:space="preserve"> (CfC)</w:t>
            </w:r>
          </w:p>
          <w:p w14:paraId="411F1BAF" w14:textId="0FA5B720" w:rsidR="00DB02B9" w:rsidRPr="00CB5E91" w:rsidRDefault="00DB02B9" w:rsidP="008B700F">
            <w:pPr>
              <w:pStyle w:val="TableBodyCopy"/>
            </w:pPr>
            <w:r>
              <w:t>(bilateral)</w:t>
            </w:r>
          </w:p>
        </w:tc>
        <w:tc>
          <w:tcPr>
            <w:tcW w:w="1667" w:type="pct"/>
            <w:shd w:val="clear" w:color="auto" w:fill="D2DEE7" w:themeFill="accent1" w:themeFillTint="33"/>
          </w:tcPr>
          <w:p w14:paraId="6175DD04" w14:textId="2021D42A" w:rsidR="00B17494" w:rsidRPr="003016AD"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3016AD">
              <w:t>2024</w:t>
            </w:r>
            <w:r w:rsidR="00C676C1" w:rsidRPr="003016AD">
              <w:t>–</w:t>
            </w:r>
            <w:r w:rsidR="00191ACD" w:rsidRPr="003016AD">
              <w:t>20</w:t>
            </w:r>
            <w:r w:rsidRPr="003016AD">
              <w:t>30</w:t>
            </w:r>
          </w:p>
        </w:tc>
        <w:tc>
          <w:tcPr>
            <w:tcW w:w="1666" w:type="pct"/>
            <w:shd w:val="clear" w:color="auto" w:fill="F2F2F2" w:themeFill="background1" w:themeFillShade="F2"/>
          </w:tcPr>
          <w:p w14:paraId="01ACD77F" w14:textId="4CD50AD3"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 xml:space="preserve">Various </w:t>
            </w:r>
            <w:r w:rsidR="0028113B" w:rsidRPr="001A6D95">
              <w:t xml:space="preserve">Philippine Government </w:t>
            </w:r>
            <w:r w:rsidRPr="001A6D95">
              <w:t>agencies; CSOs</w:t>
            </w:r>
          </w:p>
        </w:tc>
      </w:tr>
      <w:tr w:rsidR="00B17494" w:rsidRPr="00CB5E91" w14:paraId="31FEF5A7"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7811604" w14:textId="56185779" w:rsidR="00B17494" w:rsidRDefault="00FF4826" w:rsidP="00DB02B9">
            <w:pPr>
              <w:pStyle w:val="TableBodyCopy"/>
              <w:rPr>
                <w:b w:val="0"/>
                <w:bCs w:val="0"/>
              </w:rPr>
            </w:pPr>
            <w:r>
              <w:t xml:space="preserve">Australian Centre for International </w:t>
            </w:r>
            <w:r w:rsidR="00B17494" w:rsidRPr="00CB5E91">
              <w:t>Agricultural Research (ACIAR)</w:t>
            </w:r>
          </w:p>
          <w:p w14:paraId="7E44E912" w14:textId="0E368A9F" w:rsidR="00DB02B9" w:rsidRPr="00CB5E91" w:rsidRDefault="00DB02B9" w:rsidP="008B700F">
            <w:pPr>
              <w:pStyle w:val="TableBodyCopy"/>
            </w:pPr>
            <w:r>
              <w:t>(bilateral)</w:t>
            </w:r>
          </w:p>
        </w:tc>
        <w:tc>
          <w:tcPr>
            <w:tcW w:w="1667" w:type="pct"/>
            <w:shd w:val="clear" w:color="auto" w:fill="D2DEE7" w:themeFill="accent1" w:themeFillTint="33"/>
          </w:tcPr>
          <w:p w14:paraId="34AE51AC" w14:textId="240D2A01"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2024</w:t>
            </w:r>
            <w:r w:rsidR="00C676C1">
              <w:t>–</w:t>
            </w:r>
            <w:r w:rsidR="00191ACD">
              <w:t>20</w:t>
            </w:r>
            <w:r w:rsidRPr="0041126B">
              <w:t>29</w:t>
            </w:r>
          </w:p>
        </w:tc>
        <w:tc>
          <w:tcPr>
            <w:tcW w:w="1666" w:type="pct"/>
            <w:shd w:val="clear" w:color="auto" w:fill="F2F2F2" w:themeFill="background1" w:themeFillShade="F2"/>
          </w:tcPr>
          <w:p w14:paraId="1E801053" w14:textId="359EFF2C" w:rsidR="00B17494" w:rsidRPr="001A6D95"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1A6D95">
              <w:t>Department of Science and Technology (D</w:t>
            </w:r>
            <w:r w:rsidR="00E83DB0" w:rsidRPr="001A6D95">
              <w:t>O</w:t>
            </w:r>
            <w:r w:rsidRPr="001A6D95">
              <w:t xml:space="preserve">ST); local government units; academic institutions; </w:t>
            </w:r>
            <w:r w:rsidR="00E82CE2" w:rsidRPr="001A6D95">
              <w:t>non-government organisations (</w:t>
            </w:r>
            <w:r w:rsidRPr="001A6D95">
              <w:t>NGOs</w:t>
            </w:r>
            <w:r w:rsidR="00E82CE2" w:rsidRPr="001A6D95">
              <w:t>)</w:t>
            </w:r>
          </w:p>
        </w:tc>
      </w:tr>
      <w:tr w:rsidR="00B17494" w:rsidRPr="00CB5E91" w14:paraId="1515B31B"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7FEC9E0" w14:textId="2FB00A09" w:rsidR="00B17494" w:rsidRDefault="00B17494" w:rsidP="00DB02B9">
            <w:pPr>
              <w:pStyle w:val="TableBodyCopy"/>
              <w:rPr>
                <w:b w:val="0"/>
                <w:bCs w:val="0"/>
              </w:rPr>
            </w:pPr>
            <w:r w:rsidRPr="00CB5E91">
              <w:t>Research for Inclusive Development Initiative</w:t>
            </w:r>
          </w:p>
          <w:p w14:paraId="1D22D5AC" w14:textId="24935577" w:rsidR="00DB02B9" w:rsidRPr="00CB5E91" w:rsidRDefault="00DB02B9" w:rsidP="008B700F">
            <w:pPr>
              <w:pStyle w:val="TableBodyCopy"/>
            </w:pPr>
            <w:r>
              <w:t>(bilateral)</w:t>
            </w:r>
          </w:p>
        </w:tc>
        <w:tc>
          <w:tcPr>
            <w:tcW w:w="1667" w:type="pct"/>
            <w:shd w:val="clear" w:color="auto" w:fill="D2DEE7" w:themeFill="accent1" w:themeFillTint="33"/>
          </w:tcPr>
          <w:p w14:paraId="5C6BDE55" w14:textId="0F7DC6F3" w:rsidR="00B17494" w:rsidRPr="00A346BE"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41126B">
              <w:t>2019</w:t>
            </w:r>
            <w:r w:rsidR="00C676C1">
              <w:t>–</w:t>
            </w:r>
            <w:r w:rsidR="00191ACD">
              <w:t>20</w:t>
            </w:r>
            <w:r w:rsidRPr="0041126B">
              <w:t>26</w:t>
            </w:r>
          </w:p>
        </w:tc>
        <w:tc>
          <w:tcPr>
            <w:tcW w:w="1666" w:type="pct"/>
            <w:shd w:val="clear" w:color="auto" w:fill="F2F2F2" w:themeFill="background1" w:themeFillShade="F2"/>
          </w:tcPr>
          <w:p w14:paraId="313D3B38" w14:textId="67461D49"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 xml:space="preserve">NEDA; </w:t>
            </w:r>
            <w:r w:rsidR="00E82CE2" w:rsidRPr="001A6D95">
              <w:t xml:space="preserve">United Nations </w:t>
            </w:r>
            <w:r w:rsidRPr="001A6D95">
              <w:t>partners</w:t>
            </w:r>
          </w:p>
        </w:tc>
      </w:tr>
      <w:tr w:rsidR="00B17494" w:rsidRPr="00CB5E91" w14:paraId="40B71138"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B32B598" w14:textId="34AA7045" w:rsidR="00B17494" w:rsidRDefault="00E82CE2" w:rsidP="00DB02B9">
            <w:pPr>
              <w:pStyle w:val="TableBodyCopy"/>
              <w:rPr>
                <w:b w:val="0"/>
                <w:bCs w:val="0"/>
              </w:rPr>
            </w:pPr>
            <w:r w:rsidRPr="00CB5E91">
              <w:t>Australian National University</w:t>
            </w:r>
            <w:r>
              <w:t xml:space="preserve"> (</w:t>
            </w:r>
            <w:r w:rsidR="00B17494" w:rsidRPr="00CB5E91">
              <w:t>ANU</w:t>
            </w:r>
            <w:r>
              <w:t>)</w:t>
            </w:r>
            <w:r w:rsidR="00B17494" w:rsidRPr="00CB5E91">
              <w:t xml:space="preserve"> Philippines Institute</w:t>
            </w:r>
          </w:p>
          <w:p w14:paraId="7C84CB87" w14:textId="636D7935" w:rsidR="00DB02B9" w:rsidRPr="00CB5E91" w:rsidRDefault="00DB02B9" w:rsidP="008B700F">
            <w:pPr>
              <w:pStyle w:val="TableBodyCopy"/>
            </w:pPr>
            <w:r>
              <w:t>(bilateral)</w:t>
            </w:r>
          </w:p>
        </w:tc>
        <w:tc>
          <w:tcPr>
            <w:tcW w:w="1667" w:type="pct"/>
            <w:shd w:val="clear" w:color="auto" w:fill="D2DEE7" w:themeFill="accent1" w:themeFillTint="33"/>
          </w:tcPr>
          <w:p w14:paraId="0D80E724" w14:textId="78DD0ED2"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202</w:t>
            </w:r>
            <w:r w:rsidR="00792456" w:rsidRPr="0041126B">
              <w:t>3</w:t>
            </w:r>
            <w:r w:rsidR="00C676C1">
              <w:t>–</w:t>
            </w:r>
            <w:r w:rsidR="00191ACD">
              <w:t>20</w:t>
            </w:r>
            <w:r w:rsidRPr="0041126B">
              <w:t>28</w:t>
            </w:r>
          </w:p>
        </w:tc>
        <w:tc>
          <w:tcPr>
            <w:tcW w:w="1666" w:type="pct"/>
            <w:shd w:val="clear" w:color="auto" w:fill="F2F2F2" w:themeFill="background1" w:themeFillShade="F2"/>
          </w:tcPr>
          <w:p w14:paraId="2530158A" w14:textId="538E8DD1" w:rsidR="00B17494" w:rsidRPr="001A6D95" w:rsidRDefault="00D63168" w:rsidP="008B700F">
            <w:pPr>
              <w:pStyle w:val="TableBodyCopy"/>
              <w:cnfStyle w:val="000000000000" w:firstRow="0" w:lastRow="0" w:firstColumn="0" w:lastColumn="0" w:oddVBand="0" w:evenVBand="0" w:oddHBand="0" w:evenHBand="0" w:firstRowFirstColumn="0" w:firstRowLastColumn="0" w:lastRowFirstColumn="0" w:lastRowLastColumn="0"/>
            </w:pPr>
            <w:r w:rsidRPr="001A6D95">
              <w:t>ANU</w:t>
            </w:r>
          </w:p>
        </w:tc>
      </w:tr>
      <w:tr w:rsidR="00B17494" w:rsidRPr="00CB5E91" w14:paraId="65CE4102"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652485A" w14:textId="4184D70C" w:rsidR="00B17494" w:rsidRDefault="0015093E" w:rsidP="00DB02B9">
            <w:pPr>
              <w:pStyle w:val="TableBodyCopy"/>
              <w:rPr>
                <w:b w:val="0"/>
                <w:bCs w:val="0"/>
              </w:rPr>
            </w:pPr>
            <w:r>
              <w:t>Austrade</w:t>
            </w:r>
          </w:p>
          <w:p w14:paraId="4A1C7320" w14:textId="5DAE86C6" w:rsidR="00DB02B9" w:rsidRPr="00CB5E91" w:rsidRDefault="00DB02B9" w:rsidP="008B700F">
            <w:pPr>
              <w:pStyle w:val="TableBodyCopy"/>
              <w:rPr>
                <w:highlight w:val="yellow"/>
              </w:rPr>
            </w:pPr>
            <w:r>
              <w:t>(bilateral)</w:t>
            </w:r>
          </w:p>
        </w:tc>
        <w:tc>
          <w:tcPr>
            <w:tcW w:w="1667" w:type="pct"/>
            <w:shd w:val="clear" w:color="auto" w:fill="D2DEE7" w:themeFill="accent1" w:themeFillTint="33"/>
          </w:tcPr>
          <w:p w14:paraId="40796E0A" w14:textId="492BCE33" w:rsidR="00B17494" w:rsidRPr="00A346BE" w:rsidRDefault="004C4730" w:rsidP="008B700F">
            <w:pPr>
              <w:pStyle w:val="TableBodyCopy"/>
              <w:cnfStyle w:val="000000100000" w:firstRow="0" w:lastRow="0" w:firstColumn="0" w:lastColumn="0" w:oddVBand="0" w:evenVBand="0" w:oddHBand="1" w:evenHBand="0" w:firstRowFirstColumn="0" w:firstRowLastColumn="0" w:lastRowFirstColumn="0" w:lastRowLastColumn="0"/>
            </w:pPr>
            <w:r w:rsidRPr="0041126B">
              <w:t>Ongoing i</w:t>
            </w:r>
            <w:r w:rsidR="00B17494" w:rsidRPr="0041126B">
              <w:t>nvestment cooperation and facilitation</w:t>
            </w:r>
          </w:p>
        </w:tc>
        <w:tc>
          <w:tcPr>
            <w:tcW w:w="1666" w:type="pct"/>
            <w:shd w:val="clear" w:color="auto" w:fill="F2F2F2" w:themeFill="background1" w:themeFillShade="F2"/>
          </w:tcPr>
          <w:p w14:paraId="0D7F4031" w14:textId="77777777"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Private sector</w:t>
            </w:r>
          </w:p>
        </w:tc>
      </w:tr>
      <w:tr w:rsidR="00B17494" w:rsidRPr="00CB5E91" w14:paraId="3433B8C4"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C97AC15" w14:textId="4247BC3C" w:rsidR="00DB02B9" w:rsidRDefault="00B17494" w:rsidP="00DB02B9">
            <w:pPr>
              <w:pStyle w:val="TableBodyCopy"/>
              <w:rPr>
                <w:b w:val="0"/>
                <w:bCs w:val="0"/>
              </w:rPr>
            </w:pPr>
            <w:r w:rsidRPr="00CB5E91">
              <w:t>ASEAN</w:t>
            </w:r>
            <w:r w:rsidR="00D63168">
              <w:t>–</w:t>
            </w:r>
            <w:r w:rsidRPr="00CB5E91">
              <w:t>Australia Smart Cities</w:t>
            </w:r>
          </w:p>
          <w:p w14:paraId="19B24036" w14:textId="550D16F9" w:rsidR="00B17494" w:rsidRPr="00CB5E91" w:rsidRDefault="00DB02B9" w:rsidP="008B700F">
            <w:pPr>
              <w:pStyle w:val="TableBodyCopy"/>
            </w:pPr>
            <w:r>
              <w:t>(regiona</w:t>
            </w:r>
            <w:r w:rsidR="00A74DA9">
              <w:t>l/global funding)</w:t>
            </w:r>
          </w:p>
        </w:tc>
        <w:tc>
          <w:tcPr>
            <w:tcW w:w="1667" w:type="pct"/>
            <w:shd w:val="clear" w:color="auto" w:fill="D2DEE7" w:themeFill="accent1" w:themeFillTint="33"/>
          </w:tcPr>
          <w:p w14:paraId="0F27FB8E" w14:textId="10F97BB9"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2018</w:t>
            </w:r>
            <w:r w:rsidR="00C676C1">
              <w:t>–</w:t>
            </w:r>
            <w:r w:rsidR="00191ACD">
              <w:t>20</w:t>
            </w:r>
            <w:r w:rsidRPr="0041126B">
              <w:t>24</w:t>
            </w:r>
          </w:p>
        </w:tc>
        <w:tc>
          <w:tcPr>
            <w:tcW w:w="1666" w:type="pct"/>
            <w:shd w:val="clear" w:color="auto" w:fill="F2F2F2" w:themeFill="background1" w:themeFillShade="F2"/>
          </w:tcPr>
          <w:p w14:paraId="0BEA3D06" w14:textId="412A3EC6" w:rsidR="00B17494" w:rsidRPr="001A6D95"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1A6D95">
              <w:t xml:space="preserve">ASEAN </w:t>
            </w:r>
            <w:r w:rsidR="00D63168" w:rsidRPr="001A6D95">
              <w:t>Member States</w:t>
            </w:r>
          </w:p>
        </w:tc>
      </w:tr>
      <w:tr w:rsidR="00B17494" w:rsidRPr="00CB5E91" w14:paraId="55B00AE2"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DD5B547" w14:textId="77777777" w:rsidR="00B17494" w:rsidRDefault="00B17494" w:rsidP="00DB02B9">
            <w:pPr>
              <w:pStyle w:val="TableBodyCopy"/>
              <w:rPr>
                <w:b w:val="0"/>
                <w:bCs w:val="0"/>
              </w:rPr>
            </w:pPr>
            <w:r w:rsidRPr="00CB5E91">
              <w:t>Global Partnership for Education</w:t>
            </w:r>
          </w:p>
          <w:p w14:paraId="3F4409C6" w14:textId="2A9817E5" w:rsidR="00A74DA9" w:rsidRPr="00CB5E91" w:rsidRDefault="00A74DA9" w:rsidP="008B700F">
            <w:pPr>
              <w:pStyle w:val="TableBodyCopy"/>
            </w:pPr>
            <w:r>
              <w:t>(regional/global funding)</w:t>
            </w:r>
          </w:p>
        </w:tc>
        <w:tc>
          <w:tcPr>
            <w:tcW w:w="1667" w:type="pct"/>
            <w:shd w:val="clear" w:color="auto" w:fill="D2DEE7" w:themeFill="accent1" w:themeFillTint="33"/>
          </w:tcPr>
          <w:p w14:paraId="6861EE1D" w14:textId="04BCDFA8" w:rsidR="00B17494" w:rsidRPr="0041126B"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A346BE">
              <w:t>2021</w:t>
            </w:r>
            <w:r w:rsidR="00C676C1">
              <w:t>–</w:t>
            </w:r>
            <w:r w:rsidR="00191ACD">
              <w:t>20</w:t>
            </w:r>
            <w:r w:rsidRPr="00A346BE">
              <w:t>25</w:t>
            </w:r>
          </w:p>
        </w:tc>
        <w:tc>
          <w:tcPr>
            <w:tcW w:w="1666" w:type="pct"/>
            <w:shd w:val="clear" w:color="auto" w:fill="F2F2F2" w:themeFill="background1" w:themeFillShade="F2"/>
          </w:tcPr>
          <w:p w14:paraId="0FF8C526" w14:textId="55E38890"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Southeast Asia</w:t>
            </w:r>
            <w:r w:rsidR="009F3A71" w:rsidRPr="001A6D95">
              <w:t>n</w:t>
            </w:r>
            <w:r w:rsidRPr="001A6D95">
              <w:t xml:space="preserve"> government partners; CSOs; </w:t>
            </w:r>
            <w:r w:rsidR="00D63168" w:rsidRPr="001A6D95">
              <w:t xml:space="preserve">United Nations </w:t>
            </w:r>
            <w:r w:rsidRPr="001A6D95">
              <w:t>agencies; multilateral development banks; private sector</w:t>
            </w:r>
          </w:p>
        </w:tc>
      </w:tr>
      <w:tr w:rsidR="00B17494" w:rsidRPr="00CB5E91" w14:paraId="2CDAB1F4"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7FCF167" w14:textId="77777777" w:rsidR="00B17494" w:rsidRDefault="00B17494" w:rsidP="00DB02B9">
            <w:pPr>
              <w:pStyle w:val="TableBodyCopy"/>
              <w:rPr>
                <w:b w:val="0"/>
                <w:bCs w:val="0"/>
              </w:rPr>
            </w:pPr>
            <w:r w:rsidRPr="00CB5E91">
              <w:t>Impact Private Sector Partnerships</w:t>
            </w:r>
          </w:p>
          <w:p w14:paraId="5D9E7643" w14:textId="7DC5D5A7" w:rsidR="00A74DA9" w:rsidRPr="00CB5E91" w:rsidRDefault="00A74DA9" w:rsidP="008B700F">
            <w:pPr>
              <w:pStyle w:val="TableBodyCopy"/>
            </w:pPr>
            <w:r>
              <w:t>(regional/global funding)</w:t>
            </w:r>
          </w:p>
        </w:tc>
        <w:tc>
          <w:tcPr>
            <w:tcW w:w="1667" w:type="pct"/>
            <w:shd w:val="clear" w:color="auto" w:fill="D2DEE7" w:themeFill="accent1" w:themeFillTint="33"/>
          </w:tcPr>
          <w:p w14:paraId="232BD357" w14:textId="2394A6EE" w:rsidR="00B17494" w:rsidRPr="0041126B"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A346BE">
              <w:t>2018</w:t>
            </w:r>
            <w:r w:rsidR="00C676C1">
              <w:t>–</w:t>
            </w:r>
            <w:r w:rsidR="00191ACD">
              <w:t>20</w:t>
            </w:r>
            <w:r w:rsidRPr="00A346BE">
              <w:t>27</w:t>
            </w:r>
          </w:p>
        </w:tc>
        <w:tc>
          <w:tcPr>
            <w:tcW w:w="1666" w:type="pct"/>
            <w:shd w:val="clear" w:color="auto" w:fill="F2F2F2" w:themeFill="background1" w:themeFillShade="F2"/>
          </w:tcPr>
          <w:p w14:paraId="635772C4" w14:textId="77777777" w:rsidR="00B17494" w:rsidRPr="001A6D95"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1A6D95">
              <w:t>Private sector partners</w:t>
            </w:r>
          </w:p>
        </w:tc>
      </w:tr>
      <w:tr w:rsidR="00B17494" w:rsidRPr="00CB5E91" w14:paraId="5778FCB8"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A4F4C3B" w14:textId="18D4CF75" w:rsidR="00A74DA9" w:rsidRDefault="00B17494" w:rsidP="00DB02B9">
            <w:pPr>
              <w:pStyle w:val="TableBodyCopy"/>
              <w:rPr>
                <w:b w:val="0"/>
                <w:bCs w:val="0"/>
              </w:rPr>
            </w:pPr>
            <w:r w:rsidRPr="00CB5E91">
              <w:t>ASEAN</w:t>
            </w:r>
            <w:r w:rsidR="00D63168">
              <w:t>–</w:t>
            </w:r>
            <w:r w:rsidRPr="00CB5E91">
              <w:t>Australia Digital Trade Standards Initiative</w:t>
            </w:r>
          </w:p>
          <w:p w14:paraId="5CE9B4EE" w14:textId="37276A8F" w:rsidR="00B17494" w:rsidRPr="00CB5E91" w:rsidRDefault="00A74DA9" w:rsidP="008B700F">
            <w:pPr>
              <w:pStyle w:val="TableBodyCopy"/>
              <w:rPr>
                <w:rFonts w:ascii="Aptos Narrow" w:hAnsi="Aptos Narrow"/>
                <w:szCs w:val="22"/>
                <w:shd w:val="clear" w:color="auto" w:fill="FFFFFF"/>
              </w:rPr>
            </w:pPr>
            <w:r>
              <w:t>(regional/global funding)</w:t>
            </w:r>
          </w:p>
        </w:tc>
        <w:tc>
          <w:tcPr>
            <w:tcW w:w="1667" w:type="pct"/>
            <w:shd w:val="clear" w:color="auto" w:fill="D2DEE7" w:themeFill="accent1" w:themeFillTint="33"/>
          </w:tcPr>
          <w:p w14:paraId="7C365B2A" w14:textId="63010396" w:rsidR="00B17494" w:rsidRPr="00A346BE"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41126B">
              <w:t>2018</w:t>
            </w:r>
            <w:r w:rsidR="00C676C1">
              <w:t>–</w:t>
            </w:r>
            <w:r w:rsidR="00191ACD">
              <w:t>20</w:t>
            </w:r>
            <w:r w:rsidRPr="0041126B">
              <w:t>24</w:t>
            </w:r>
          </w:p>
        </w:tc>
        <w:tc>
          <w:tcPr>
            <w:tcW w:w="1666" w:type="pct"/>
            <w:shd w:val="clear" w:color="auto" w:fill="F2F2F2" w:themeFill="background1" w:themeFillShade="F2"/>
          </w:tcPr>
          <w:p w14:paraId="4C54421C" w14:textId="7C909144"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 xml:space="preserve">ASEAN </w:t>
            </w:r>
            <w:r w:rsidR="00D63168" w:rsidRPr="001A6D95">
              <w:t>Member States;</w:t>
            </w:r>
            <w:r w:rsidRPr="001A6D95">
              <w:t xml:space="preserve"> private sector</w:t>
            </w:r>
          </w:p>
        </w:tc>
      </w:tr>
      <w:tr w:rsidR="00B17494" w:rsidRPr="00CB5E91" w14:paraId="0F851A65"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C7270CB" w14:textId="203AC925" w:rsidR="00A74DA9" w:rsidRDefault="00B17494" w:rsidP="00DB02B9">
            <w:pPr>
              <w:pStyle w:val="TableBodyCopy"/>
              <w:rPr>
                <w:rFonts w:eastAsia="Times New Roman"/>
                <w:b w:val="0"/>
                <w:bCs w:val="0"/>
                <w:szCs w:val="20"/>
              </w:rPr>
            </w:pPr>
            <w:r w:rsidRPr="00CB5E91">
              <w:t xml:space="preserve">Australia for ASEAN Digital Transformation and Futures Skills </w:t>
            </w:r>
            <w:r w:rsidR="00B17E06">
              <w:t>I</w:t>
            </w:r>
            <w:r w:rsidRPr="00CB5E91">
              <w:t>nitiative</w:t>
            </w:r>
          </w:p>
          <w:p w14:paraId="578402CC" w14:textId="5121E818" w:rsidR="00B17494" w:rsidRPr="00CB5E91" w:rsidRDefault="00A74DA9" w:rsidP="008B700F">
            <w:pPr>
              <w:pStyle w:val="TableBodyCopy"/>
            </w:pPr>
            <w:r>
              <w:t>(regional/global funding)</w:t>
            </w:r>
          </w:p>
        </w:tc>
        <w:tc>
          <w:tcPr>
            <w:tcW w:w="1667" w:type="pct"/>
            <w:shd w:val="clear" w:color="auto" w:fill="D2DEE7" w:themeFill="accent1" w:themeFillTint="33"/>
          </w:tcPr>
          <w:p w14:paraId="7E6C31C9" w14:textId="1CD1CD71"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2022</w:t>
            </w:r>
            <w:r w:rsidR="006E5CFA">
              <w:t>–</w:t>
            </w:r>
            <w:r w:rsidR="00191ACD">
              <w:t>20</w:t>
            </w:r>
            <w:r w:rsidRPr="0041126B">
              <w:t>25</w:t>
            </w:r>
            <w:r w:rsidRPr="008B700F">
              <w:t> </w:t>
            </w:r>
          </w:p>
        </w:tc>
        <w:tc>
          <w:tcPr>
            <w:tcW w:w="1666" w:type="pct"/>
            <w:shd w:val="clear" w:color="auto" w:fill="F2F2F2" w:themeFill="background1" w:themeFillShade="F2"/>
          </w:tcPr>
          <w:p w14:paraId="17BED885" w14:textId="37C33108" w:rsidR="00B17494" w:rsidRPr="001A6D95"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1A6D95">
              <w:t xml:space="preserve">ASEAN </w:t>
            </w:r>
            <w:r w:rsidR="00D63168" w:rsidRPr="001A6D95">
              <w:t xml:space="preserve">Member </w:t>
            </w:r>
            <w:r w:rsidRPr="001A6D95">
              <w:t>States </w:t>
            </w:r>
          </w:p>
        </w:tc>
      </w:tr>
      <w:tr w:rsidR="00B17494" w:rsidRPr="00CB5E91" w14:paraId="52D9E85C"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1AD09E9" w14:textId="6369BC6E" w:rsidR="00B17494" w:rsidRDefault="00FB0CB0" w:rsidP="00DB02B9">
            <w:pPr>
              <w:pStyle w:val="TableBodyCopy"/>
              <w:rPr>
                <w:b w:val="0"/>
                <w:bCs w:val="0"/>
              </w:rPr>
            </w:pPr>
            <w:r>
              <w:t>Australia for ASEAN (</w:t>
            </w:r>
            <w:r w:rsidR="00B17494" w:rsidRPr="00CB5E91">
              <w:t>Aus4ASEAN</w:t>
            </w:r>
            <w:r>
              <w:t>)</w:t>
            </w:r>
            <w:r w:rsidR="00B17494" w:rsidRPr="00CB5E91">
              <w:t xml:space="preserve"> Futures</w:t>
            </w:r>
          </w:p>
          <w:p w14:paraId="00525163" w14:textId="7662147F" w:rsidR="00A74DA9" w:rsidRPr="00CB5E91" w:rsidRDefault="00A74DA9" w:rsidP="008B700F">
            <w:pPr>
              <w:pStyle w:val="TableBodyCopy"/>
            </w:pPr>
            <w:r>
              <w:t>(regional/global funding)</w:t>
            </w:r>
          </w:p>
        </w:tc>
        <w:tc>
          <w:tcPr>
            <w:tcW w:w="1667" w:type="pct"/>
            <w:shd w:val="clear" w:color="auto" w:fill="D2DEE7" w:themeFill="accent1" w:themeFillTint="33"/>
          </w:tcPr>
          <w:p w14:paraId="00A0D631" w14:textId="563CD699" w:rsidR="00B17494" w:rsidRPr="00A346BE"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41126B">
              <w:t>2020</w:t>
            </w:r>
            <w:r w:rsidR="006E5CFA">
              <w:t>–</w:t>
            </w:r>
            <w:r w:rsidRPr="0041126B">
              <w:t>2032</w:t>
            </w:r>
          </w:p>
        </w:tc>
        <w:tc>
          <w:tcPr>
            <w:tcW w:w="1666" w:type="pct"/>
            <w:shd w:val="clear" w:color="auto" w:fill="F2F2F2" w:themeFill="background1" w:themeFillShade="F2"/>
          </w:tcPr>
          <w:p w14:paraId="3545D3C4" w14:textId="1151276F"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 xml:space="preserve">ASEAN </w:t>
            </w:r>
            <w:r w:rsidR="00FB0CB0" w:rsidRPr="001A6D95">
              <w:t>M</w:t>
            </w:r>
            <w:r w:rsidRPr="001A6D95">
              <w:t xml:space="preserve">ember </w:t>
            </w:r>
            <w:r w:rsidR="00FB0CB0" w:rsidRPr="001A6D95">
              <w:t>States</w:t>
            </w:r>
          </w:p>
        </w:tc>
      </w:tr>
      <w:tr w:rsidR="00B17494" w:rsidRPr="00CB5E91" w14:paraId="4D5B52C8"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EA7CE27" w14:textId="77777777" w:rsidR="00B17494" w:rsidRDefault="00B17494" w:rsidP="00DB02B9">
            <w:pPr>
              <w:pStyle w:val="TableBodyCopy"/>
              <w:rPr>
                <w:b w:val="0"/>
                <w:bCs w:val="0"/>
              </w:rPr>
            </w:pPr>
            <w:r w:rsidRPr="00CB5E91">
              <w:lastRenderedPageBreak/>
              <w:t>Partnerships for Infrastructure (P4I)</w:t>
            </w:r>
          </w:p>
          <w:p w14:paraId="0CB3F4D1" w14:textId="026536E2" w:rsidR="00A74DA9" w:rsidRPr="00CB5E91" w:rsidRDefault="00A74DA9" w:rsidP="008B700F">
            <w:pPr>
              <w:pStyle w:val="TableBodyCopy"/>
              <w:rPr>
                <w:rFonts w:ascii="Aptos Narrow" w:hAnsi="Aptos Narrow"/>
                <w:szCs w:val="22"/>
                <w:shd w:val="clear" w:color="auto" w:fill="FFFFFF"/>
              </w:rPr>
            </w:pPr>
            <w:r>
              <w:t>(regional/global funding)</w:t>
            </w:r>
          </w:p>
        </w:tc>
        <w:tc>
          <w:tcPr>
            <w:tcW w:w="1667" w:type="pct"/>
            <w:shd w:val="clear" w:color="auto" w:fill="D2DEE7" w:themeFill="accent1" w:themeFillTint="33"/>
          </w:tcPr>
          <w:p w14:paraId="6EC3BA8F" w14:textId="71628BE3"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2024</w:t>
            </w:r>
            <w:r w:rsidR="006E5CFA">
              <w:t>–</w:t>
            </w:r>
            <w:r w:rsidR="00191ACD">
              <w:t>20</w:t>
            </w:r>
            <w:r w:rsidRPr="0041126B">
              <w:t>28 (phase 2)</w:t>
            </w:r>
          </w:p>
        </w:tc>
        <w:tc>
          <w:tcPr>
            <w:tcW w:w="1666" w:type="pct"/>
            <w:shd w:val="clear" w:color="auto" w:fill="F2F2F2" w:themeFill="background1" w:themeFillShade="F2"/>
          </w:tcPr>
          <w:p w14:paraId="65D8E879" w14:textId="7FF90ADF" w:rsidR="00B17494" w:rsidRPr="001A6D95"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1A6D95">
              <w:t>Southeast Asia</w:t>
            </w:r>
            <w:r w:rsidR="009F3A71" w:rsidRPr="001A6D95">
              <w:t>n</w:t>
            </w:r>
            <w:r w:rsidRPr="001A6D95">
              <w:t xml:space="preserve"> government partners (in the Philippines</w:t>
            </w:r>
            <w:r w:rsidR="00D95099" w:rsidRPr="001A6D95">
              <w:t>:</w:t>
            </w:r>
            <w:r w:rsidRPr="001A6D95">
              <w:t xml:space="preserve"> Government Procurement Policy Board</w:t>
            </w:r>
            <w:r w:rsidR="00D95099" w:rsidRPr="001A6D95">
              <w:t>;</w:t>
            </w:r>
            <w:r w:rsidRPr="001A6D95">
              <w:t xml:space="preserve"> Public</w:t>
            </w:r>
            <w:r w:rsidR="003A39D4" w:rsidRPr="001A6D95">
              <w:t>-</w:t>
            </w:r>
            <w:r w:rsidRPr="001A6D95">
              <w:t xml:space="preserve">Private Partnership </w:t>
            </w:r>
            <w:proofErr w:type="spellStart"/>
            <w:r w:rsidRPr="001A6D95">
              <w:t>Cente</w:t>
            </w:r>
            <w:r w:rsidR="003A39D4" w:rsidRPr="001A6D95">
              <w:t>r</w:t>
            </w:r>
            <w:proofErr w:type="spellEnd"/>
            <w:r w:rsidR="00D95099" w:rsidRPr="001A6D95">
              <w:t>;</w:t>
            </w:r>
            <w:r w:rsidRPr="001A6D95">
              <w:t xml:space="preserve"> </w:t>
            </w:r>
            <w:proofErr w:type="spellStart"/>
            <w:r w:rsidRPr="001A6D95">
              <w:t>DOTr</w:t>
            </w:r>
            <w:proofErr w:type="spellEnd"/>
            <w:r w:rsidR="00D95099" w:rsidRPr="001A6D95">
              <w:t>;</w:t>
            </w:r>
            <w:r w:rsidRPr="001A6D95">
              <w:t xml:space="preserve"> Department of Energy</w:t>
            </w:r>
            <w:r w:rsidR="00D95099" w:rsidRPr="001A6D95">
              <w:t>;</w:t>
            </w:r>
            <w:r w:rsidRPr="001A6D95">
              <w:t xml:space="preserve"> Department of Information</w:t>
            </w:r>
            <w:r w:rsidR="008E3587" w:rsidRPr="001A6D95">
              <w:t xml:space="preserve"> and</w:t>
            </w:r>
            <w:r w:rsidRPr="001A6D95">
              <w:t xml:space="preserve"> Communications Technology)</w:t>
            </w:r>
          </w:p>
        </w:tc>
      </w:tr>
      <w:tr w:rsidR="00B17494" w:rsidRPr="00CB5E91" w14:paraId="712FCE26"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482D922" w14:textId="77777777" w:rsidR="00B17494" w:rsidRDefault="00B17494" w:rsidP="00DB02B9">
            <w:pPr>
              <w:pStyle w:val="TableBodyCopy"/>
              <w:rPr>
                <w:b w:val="0"/>
                <w:bCs w:val="0"/>
              </w:rPr>
            </w:pPr>
            <w:r w:rsidRPr="00CB5E91">
              <w:t>Southeast Asia investment deals team</w:t>
            </w:r>
          </w:p>
          <w:p w14:paraId="4383A0EB" w14:textId="7AD0AC70" w:rsidR="00A74DA9" w:rsidRPr="00CB5E91" w:rsidRDefault="00A74DA9" w:rsidP="008B700F">
            <w:pPr>
              <w:pStyle w:val="TableBodyCopy"/>
              <w:rPr>
                <w:rFonts w:ascii="Aptos Narrow" w:hAnsi="Aptos Narrow"/>
                <w:szCs w:val="22"/>
                <w:shd w:val="clear" w:color="auto" w:fill="FFFFFF"/>
              </w:rPr>
            </w:pPr>
            <w:r>
              <w:t>(regional/global funding)</w:t>
            </w:r>
          </w:p>
        </w:tc>
        <w:tc>
          <w:tcPr>
            <w:tcW w:w="1667" w:type="pct"/>
            <w:shd w:val="clear" w:color="auto" w:fill="D2DEE7" w:themeFill="accent1" w:themeFillTint="33"/>
          </w:tcPr>
          <w:p w14:paraId="2AAF9724" w14:textId="2ED5056E" w:rsidR="00B17494" w:rsidRPr="00A346BE"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41126B">
              <w:t>2024</w:t>
            </w:r>
            <w:r w:rsidR="006E5CFA">
              <w:t>–</w:t>
            </w:r>
            <w:r w:rsidR="00191ACD">
              <w:t>20</w:t>
            </w:r>
            <w:r w:rsidRPr="0041126B">
              <w:t>28</w:t>
            </w:r>
            <w:r w:rsidR="00CC6D62" w:rsidRPr="0041126B">
              <w:t xml:space="preserve"> </w:t>
            </w:r>
            <w:r w:rsidR="00191ACD">
              <w:t>(</w:t>
            </w:r>
            <w:r w:rsidRPr="0041126B">
              <w:t>non-ODA</w:t>
            </w:r>
            <w:r w:rsidR="00191ACD">
              <w:t>)</w:t>
            </w:r>
          </w:p>
        </w:tc>
        <w:tc>
          <w:tcPr>
            <w:tcW w:w="1666" w:type="pct"/>
            <w:shd w:val="clear" w:color="auto" w:fill="F2F2F2" w:themeFill="background1" w:themeFillShade="F2"/>
          </w:tcPr>
          <w:p w14:paraId="2D45FE0C" w14:textId="79F44D35"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Southeast Asia</w:t>
            </w:r>
            <w:r w:rsidR="009F3A71" w:rsidRPr="001A6D95">
              <w:t>n</w:t>
            </w:r>
            <w:r w:rsidRPr="001A6D95">
              <w:t xml:space="preserve"> government partners; private sector</w:t>
            </w:r>
          </w:p>
        </w:tc>
      </w:tr>
      <w:tr w:rsidR="00B17494" w:rsidRPr="00CB5E91" w14:paraId="44B1B842"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69C77D1" w14:textId="102317A2" w:rsidR="00B17494" w:rsidRDefault="00B17494" w:rsidP="00DB02B9">
            <w:pPr>
              <w:pStyle w:val="TableBodyCopy"/>
              <w:rPr>
                <w:b w:val="0"/>
                <w:bCs w:val="0"/>
                <w:szCs w:val="22"/>
              </w:rPr>
            </w:pPr>
            <w:r w:rsidRPr="00CB5E91">
              <w:t>Southeast Asia Business Exchange Program</w:t>
            </w:r>
          </w:p>
          <w:p w14:paraId="5204860F" w14:textId="0BAD3CE2" w:rsidR="00A74DA9" w:rsidRPr="00CB5E91" w:rsidRDefault="00A74DA9" w:rsidP="008B700F">
            <w:pPr>
              <w:pStyle w:val="TableBodyCopy"/>
              <w:rPr>
                <w:szCs w:val="22"/>
              </w:rPr>
            </w:pPr>
            <w:r>
              <w:t>(regional/global funding)</w:t>
            </w:r>
          </w:p>
        </w:tc>
        <w:tc>
          <w:tcPr>
            <w:tcW w:w="1667" w:type="pct"/>
            <w:shd w:val="clear" w:color="auto" w:fill="D2DEE7" w:themeFill="accent1" w:themeFillTint="33"/>
          </w:tcPr>
          <w:p w14:paraId="1297C9D7" w14:textId="3D3E2766"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2024</w:t>
            </w:r>
            <w:r w:rsidR="006E5CFA">
              <w:t>–</w:t>
            </w:r>
            <w:r w:rsidR="00191ACD">
              <w:t>20</w:t>
            </w:r>
            <w:r w:rsidRPr="0041126B">
              <w:t>28 </w:t>
            </w:r>
          </w:p>
        </w:tc>
        <w:tc>
          <w:tcPr>
            <w:tcW w:w="1666" w:type="pct"/>
            <w:shd w:val="clear" w:color="auto" w:fill="F2F2F2" w:themeFill="background1" w:themeFillShade="F2"/>
          </w:tcPr>
          <w:p w14:paraId="6426EF28" w14:textId="35D76572" w:rsidR="00B17494" w:rsidRPr="001A6D95"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1A6D95">
              <w:t>Southeast Asia</w:t>
            </w:r>
            <w:r w:rsidR="009F3A71" w:rsidRPr="001A6D95">
              <w:t>n</w:t>
            </w:r>
            <w:r w:rsidRPr="001A6D95">
              <w:t xml:space="preserve"> government partners; private sector</w:t>
            </w:r>
          </w:p>
        </w:tc>
      </w:tr>
      <w:tr w:rsidR="00B17494" w:rsidRPr="00CB5E91" w14:paraId="28C80399" w14:textId="77777777" w:rsidTr="008B700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656BEAA" w14:textId="346CABF5" w:rsidR="00B17494" w:rsidRDefault="00B17494" w:rsidP="00DB02B9">
            <w:pPr>
              <w:pStyle w:val="TableBodyCopy"/>
              <w:rPr>
                <w:b w:val="0"/>
                <w:bCs w:val="0"/>
              </w:rPr>
            </w:pPr>
            <w:r w:rsidRPr="00CB5E91">
              <w:t>Southeast Asia and Australia Government</w:t>
            </w:r>
            <w:r w:rsidR="00190277">
              <w:t>-</w:t>
            </w:r>
            <w:r w:rsidRPr="00CB5E91">
              <w:t>to</w:t>
            </w:r>
            <w:r w:rsidR="00190277">
              <w:t>-</w:t>
            </w:r>
            <w:r w:rsidRPr="00CB5E91">
              <w:t>Government Partnerships</w:t>
            </w:r>
          </w:p>
          <w:p w14:paraId="70F696F0" w14:textId="18DD3449" w:rsidR="00A74DA9" w:rsidRPr="00CB5E91" w:rsidRDefault="00A74DA9" w:rsidP="008B700F">
            <w:pPr>
              <w:pStyle w:val="TableBodyCopy"/>
            </w:pPr>
            <w:r>
              <w:t>(regional/global funding)</w:t>
            </w:r>
          </w:p>
        </w:tc>
        <w:tc>
          <w:tcPr>
            <w:tcW w:w="1667" w:type="pct"/>
            <w:shd w:val="clear" w:color="auto" w:fill="D2DEE7" w:themeFill="accent1" w:themeFillTint="33"/>
          </w:tcPr>
          <w:p w14:paraId="3F0962A8" w14:textId="480DA73A" w:rsidR="00B17494" w:rsidRPr="00A346BE"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41126B">
              <w:t>2024</w:t>
            </w:r>
            <w:r w:rsidR="006E5CFA">
              <w:t>–</w:t>
            </w:r>
            <w:r w:rsidR="00191ACD">
              <w:t>20</w:t>
            </w:r>
            <w:r w:rsidRPr="0041126B">
              <w:t>28</w:t>
            </w:r>
          </w:p>
        </w:tc>
        <w:tc>
          <w:tcPr>
            <w:tcW w:w="1666" w:type="pct"/>
            <w:shd w:val="clear" w:color="auto" w:fill="F2F2F2" w:themeFill="background1" w:themeFillShade="F2"/>
          </w:tcPr>
          <w:p w14:paraId="661AAF68" w14:textId="1C5997F6" w:rsidR="00B17494" w:rsidRPr="001A6D95"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1A6D95">
              <w:t>Southeast Asia</w:t>
            </w:r>
            <w:r w:rsidR="009F3A71" w:rsidRPr="001A6D95">
              <w:t>n</w:t>
            </w:r>
            <w:r w:rsidRPr="001A6D95">
              <w:t xml:space="preserve"> government partners</w:t>
            </w:r>
          </w:p>
        </w:tc>
      </w:tr>
      <w:tr w:rsidR="00B17494" w:rsidRPr="00CB5E91" w14:paraId="46375B4E" w14:textId="77777777" w:rsidTr="008B700F">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71DFA1C" w14:textId="77777777" w:rsidR="00A74DA9" w:rsidRDefault="00B17494" w:rsidP="00DB02B9">
            <w:pPr>
              <w:pStyle w:val="TableBodyCopy"/>
              <w:rPr>
                <w:b w:val="0"/>
                <w:bCs w:val="0"/>
              </w:rPr>
            </w:pPr>
            <w:r w:rsidRPr="00CB5E91">
              <w:t>Women’s World Banking</w:t>
            </w:r>
          </w:p>
          <w:p w14:paraId="1C3EBDC1" w14:textId="2D4E56D4" w:rsidR="00B17494" w:rsidRPr="00CB5E91" w:rsidRDefault="00A74DA9" w:rsidP="008B700F">
            <w:pPr>
              <w:pStyle w:val="TableBodyCopy"/>
            </w:pPr>
            <w:r>
              <w:t>(regional/global funding)</w:t>
            </w:r>
            <w:r w:rsidR="00B17494" w:rsidRPr="00CB5E91">
              <w:t> </w:t>
            </w:r>
          </w:p>
        </w:tc>
        <w:tc>
          <w:tcPr>
            <w:tcW w:w="1667" w:type="pct"/>
            <w:shd w:val="clear" w:color="auto" w:fill="D2DEE7" w:themeFill="accent1" w:themeFillTint="33"/>
          </w:tcPr>
          <w:p w14:paraId="2E025F4B" w14:textId="4ED53203" w:rsidR="00B17494" w:rsidRPr="00A346BE"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41126B">
              <w:t>2016</w:t>
            </w:r>
            <w:r w:rsidR="006E5CFA">
              <w:t>–</w:t>
            </w:r>
            <w:r w:rsidR="00191ACD">
              <w:t>20</w:t>
            </w:r>
            <w:r w:rsidRPr="0041126B">
              <w:t>24 </w:t>
            </w:r>
            <w:r w:rsidRPr="008B700F">
              <w:t> </w:t>
            </w:r>
          </w:p>
        </w:tc>
        <w:tc>
          <w:tcPr>
            <w:tcW w:w="1666" w:type="pct"/>
            <w:shd w:val="clear" w:color="auto" w:fill="F2F2F2" w:themeFill="background1" w:themeFillShade="F2"/>
          </w:tcPr>
          <w:p w14:paraId="2C0E9358" w14:textId="1EC94F07" w:rsidR="00B17494" w:rsidRPr="001A6D95"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1A6D95">
              <w:t>Southeast Asia</w:t>
            </w:r>
            <w:r w:rsidR="009F3A71" w:rsidRPr="001A6D95">
              <w:t>n</w:t>
            </w:r>
            <w:r w:rsidRPr="001A6D95">
              <w:t xml:space="preserve"> government partners</w:t>
            </w:r>
          </w:p>
        </w:tc>
      </w:tr>
    </w:tbl>
    <w:p w14:paraId="2FCF9981" w14:textId="036F6983" w:rsidR="00460137" w:rsidRDefault="00460137" w:rsidP="00460137">
      <w:pPr>
        <w:rPr>
          <w:lang w:eastAsia="en-AU"/>
        </w:rPr>
      </w:pPr>
      <w:r>
        <w:rPr>
          <w:lang w:eastAsia="en-AU"/>
        </w:rPr>
        <w:t xml:space="preserve">Australian Government </w:t>
      </w:r>
      <w:r w:rsidRPr="413282F0">
        <w:rPr>
          <w:lang w:eastAsia="en-AU"/>
        </w:rPr>
        <w:t xml:space="preserve">supporting investments/activities for Objective </w:t>
      </w:r>
      <w:r>
        <w:rPr>
          <w:lang w:eastAsia="en-AU"/>
        </w:rPr>
        <w:t xml:space="preserve">3 </w:t>
      </w:r>
      <w:r w:rsidR="001F141E">
        <w:rPr>
          <w:lang w:eastAsia="en-AU"/>
        </w:rPr>
        <w:t xml:space="preserve">– </w:t>
      </w:r>
      <w:r w:rsidR="006F19C6">
        <w:t>Increasing</w:t>
      </w:r>
      <w:r w:rsidRPr="00CB5E91">
        <w:t xml:space="preserve"> institutional and community resilience to social, economic and climate-related shocks</w:t>
      </w:r>
      <w:r w:rsidRPr="413282F0">
        <w:rPr>
          <w:lang w:eastAsia="en-AU"/>
        </w:rPr>
        <w:t xml:space="preserve"> (</w:t>
      </w:r>
      <w:r w:rsidRPr="1121DF86">
        <w:rPr>
          <w:rFonts w:eastAsia="Calibri Light"/>
        </w:rPr>
        <w:t xml:space="preserve">bilateral </w:t>
      </w:r>
      <w:r w:rsidRPr="1121DF86">
        <w:rPr>
          <w:lang w:eastAsia="en-AU"/>
        </w:rPr>
        <w:t>Official Development Assistance (ODA) as well as significant regional and global ODA</w:t>
      </w:r>
      <w:r>
        <w:rPr>
          <w:lang w:eastAsia="en-AU"/>
        </w:rPr>
        <w:t>,</w:t>
      </w:r>
      <w:r w:rsidRPr="1121DF86">
        <w:rPr>
          <w:lang w:eastAsia="en-AU"/>
        </w:rPr>
        <w:t xml:space="preserve"> and significant non-ODA development </w:t>
      </w:r>
      <w:r w:rsidRPr="413282F0">
        <w:rPr>
          <w:lang w:eastAsia="en-AU"/>
        </w:rPr>
        <w:t>investments</w:t>
      </w:r>
      <w:r>
        <w:rPr>
          <w:lang w:eastAsia="en-AU"/>
        </w:rPr>
        <w:t>/</w:t>
      </w:r>
      <w:r w:rsidRPr="1121DF86">
        <w:rPr>
          <w:lang w:eastAsia="en-AU"/>
        </w:rPr>
        <w:t>activities</w:t>
      </w:r>
      <w:r>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3"/>
        <w:tblDescription w:val="Investments and activities, duration and key partners"/>
      </w:tblPr>
      <w:tblGrid>
        <w:gridCol w:w="3398"/>
        <w:gridCol w:w="3399"/>
        <w:gridCol w:w="3397"/>
      </w:tblGrid>
      <w:tr w:rsidR="00B17494" w:rsidRPr="00CB5E91" w14:paraId="2697465E" w14:textId="77777777" w:rsidTr="008B700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667" w:type="pct"/>
          </w:tcPr>
          <w:p w14:paraId="7A253BC7" w14:textId="65612294" w:rsidR="00B17494" w:rsidRPr="00936A3C" w:rsidRDefault="00B17494" w:rsidP="00936A3C">
            <w:pPr>
              <w:pStyle w:val="TableHeading"/>
              <w:rPr>
                <w:b/>
                <w:bCs/>
              </w:rPr>
            </w:pPr>
            <w:r w:rsidRPr="00936A3C">
              <w:rPr>
                <w:b/>
                <w:bCs/>
              </w:rPr>
              <w:t xml:space="preserve">Name of </w:t>
            </w:r>
            <w:r w:rsidR="002D6410" w:rsidRPr="00936A3C">
              <w:rPr>
                <w:b/>
                <w:bCs/>
              </w:rPr>
              <w:t>i</w:t>
            </w:r>
            <w:r w:rsidRPr="00936A3C">
              <w:rPr>
                <w:b/>
                <w:bCs/>
              </w:rPr>
              <w:t>nvestment</w:t>
            </w:r>
            <w:r w:rsidR="001F141E">
              <w:rPr>
                <w:b/>
                <w:bCs/>
              </w:rPr>
              <w:t>/activity</w:t>
            </w:r>
          </w:p>
        </w:tc>
        <w:tc>
          <w:tcPr>
            <w:tcW w:w="1667" w:type="pct"/>
          </w:tcPr>
          <w:p w14:paraId="01733D74" w14:textId="3165C69A" w:rsidR="00B17494" w:rsidRPr="00936A3C" w:rsidRDefault="00936A3C" w:rsidP="00936A3C">
            <w:pPr>
              <w:pStyle w:val="TableHeading"/>
              <w:cnfStyle w:val="100000000000" w:firstRow="1" w:lastRow="0" w:firstColumn="0" w:lastColumn="0" w:oddVBand="0" w:evenVBand="0" w:oddHBand="0" w:evenHBand="0" w:firstRowFirstColumn="0" w:firstRowLastColumn="0" w:lastRowFirstColumn="0" w:lastRowLastColumn="0"/>
              <w:rPr>
                <w:b/>
                <w:bCs/>
              </w:rPr>
            </w:pPr>
            <w:r>
              <w:rPr>
                <w:b/>
                <w:bCs/>
              </w:rPr>
              <w:t>D</w:t>
            </w:r>
            <w:r w:rsidR="00B17494" w:rsidRPr="00936A3C">
              <w:rPr>
                <w:b/>
                <w:bCs/>
              </w:rPr>
              <w:t>uration</w:t>
            </w:r>
          </w:p>
        </w:tc>
        <w:tc>
          <w:tcPr>
            <w:tcW w:w="1667" w:type="pct"/>
          </w:tcPr>
          <w:p w14:paraId="3D093DDE" w14:textId="77777777" w:rsidR="00B17494" w:rsidRPr="00936A3C" w:rsidRDefault="00B17494" w:rsidP="00936A3C">
            <w:pPr>
              <w:pStyle w:val="TableHeading"/>
              <w:cnfStyle w:val="100000000000" w:firstRow="1" w:lastRow="0" w:firstColumn="0" w:lastColumn="0" w:oddVBand="0" w:evenVBand="0" w:oddHBand="0" w:evenHBand="0" w:firstRowFirstColumn="0" w:firstRowLastColumn="0" w:lastRowFirstColumn="0" w:lastRowLastColumn="0"/>
              <w:rPr>
                <w:b/>
                <w:bCs/>
              </w:rPr>
            </w:pPr>
            <w:r w:rsidRPr="00936A3C">
              <w:rPr>
                <w:b/>
                <w:bCs/>
              </w:rPr>
              <w:t>Key partners</w:t>
            </w:r>
          </w:p>
        </w:tc>
      </w:tr>
      <w:tr w:rsidR="00B17494" w:rsidRPr="00CB5E91" w14:paraId="29864DD3"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42D310A" w14:textId="77777777" w:rsidR="00B17494" w:rsidRDefault="00B17494" w:rsidP="00A74DA9">
            <w:pPr>
              <w:pStyle w:val="TableBodyCopy"/>
              <w:rPr>
                <w:b w:val="0"/>
                <w:bCs w:val="0"/>
              </w:rPr>
            </w:pPr>
            <w:r w:rsidRPr="00CB5E91">
              <w:t>Humanitarian Response and Early Recovery Support (HEART)</w:t>
            </w:r>
          </w:p>
          <w:p w14:paraId="459EDF46" w14:textId="19D7A97F" w:rsidR="00A74DA9" w:rsidRPr="00CB5E91" w:rsidRDefault="00A74DA9" w:rsidP="008B700F">
            <w:pPr>
              <w:pStyle w:val="TableBodyCopy"/>
            </w:pPr>
            <w:r>
              <w:t>(bilateral)</w:t>
            </w:r>
          </w:p>
        </w:tc>
        <w:tc>
          <w:tcPr>
            <w:tcW w:w="1667" w:type="pct"/>
            <w:shd w:val="clear" w:color="auto" w:fill="D2DEE7" w:themeFill="accent1" w:themeFillTint="33"/>
          </w:tcPr>
          <w:p w14:paraId="7AE8473C" w14:textId="23672043" w:rsidR="00B17494" w:rsidRPr="00CB5E91"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CB5E91">
              <w:t>2022</w:t>
            </w:r>
            <w:r w:rsidR="006E5CFA">
              <w:t>–</w:t>
            </w:r>
            <w:r w:rsidR="00191ACD">
              <w:t>20</w:t>
            </w:r>
            <w:r w:rsidRPr="00CB5E91">
              <w:t>28</w:t>
            </w:r>
          </w:p>
        </w:tc>
        <w:tc>
          <w:tcPr>
            <w:tcW w:w="1667" w:type="pct"/>
            <w:shd w:val="clear" w:color="auto" w:fill="F2F2F2" w:themeFill="background1" w:themeFillShade="F2"/>
          </w:tcPr>
          <w:p w14:paraId="3C01BB96" w14:textId="22F21722" w:rsidR="00B17494" w:rsidRPr="00F84294"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F84294">
              <w:t xml:space="preserve">DSWD; Office of Civil </w:t>
            </w:r>
            <w:proofErr w:type="spellStart"/>
            <w:r w:rsidRPr="00F84294">
              <w:t>Defense</w:t>
            </w:r>
            <w:proofErr w:type="spellEnd"/>
            <w:r w:rsidRPr="00F84294">
              <w:t xml:space="preserve"> (OCD); Department of Health (D</w:t>
            </w:r>
            <w:r w:rsidR="00196755" w:rsidRPr="00F84294">
              <w:t>O</w:t>
            </w:r>
            <w:r w:rsidR="00CF2F8C" w:rsidRPr="00F84294">
              <w:t>H</w:t>
            </w:r>
            <w:r w:rsidRPr="00F84294">
              <w:t>); development partners</w:t>
            </w:r>
          </w:p>
        </w:tc>
      </w:tr>
      <w:tr w:rsidR="00B17494" w:rsidRPr="00CB5E91" w14:paraId="391E41C1"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0038754" w14:textId="77777777" w:rsidR="00B17494" w:rsidRDefault="00B17494" w:rsidP="00A74DA9">
            <w:pPr>
              <w:pStyle w:val="TableBodyCopy"/>
              <w:rPr>
                <w:b w:val="0"/>
                <w:bCs w:val="0"/>
              </w:rPr>
            </w:pPr>
            <w:r w:rsidRPr="00CB5E91">
              <w:t>Social Protection, Inclusion and Gender Equality (SPRING)</w:t>
            </w:r>
          </w:p>
          <w:p w14:paraId="20645373" w14:textId="226B3F30" w:rsidR="00A74DA9" w:rsidRPr="00CB5E91" w:rsidRDefault="00A74DA9" w:rsidP="008B700F">
            <w:pPr>
              <w:pStyle w:val="TableBodyCopy"/>
            </w:pPr>
            <w:r>
              <w:t>(bilateral)</w:t>
            </w:r>
          </w:p>
        </w:tc>
        <w:tc>
          <w:tcPr>
            <w:tcW w:w="1667" w:type="pct"/>
            <w:shd w:val="clear" w:color="auto" w:fill="D2DEE7" w:themeFill="accent1" w:themeFillTint="33"/>
          </w:tcPr>
          <w:p w14:paraId="43E2144E" w14:textId="3C6E2CD2" w:rsidR="00B17494" w:rsidRPr="00CB5E91"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CB5E91">
              <w:t>2024</w:t>
            </w:r>
            <w:r w:rsidR="006E5CFA">
              <w:t>–</w:t>
            </w:r>
            <w:r w:rsidR="00191ACD">
              <w:t>20</w:t>
            </w:r>
            <w:r w:rsidR="001B36A1" w:rsidRPr="00CB5E91">
              <w:t>29</w:t>
            </w:r>
          </w:p>
        </w:tc>
        <w:tc>
          <w:tcPr>
            <w:tcW w:w="1667" w:type="pct"/>
            <w:shd w:val="clear" w:color="auto" w:fill="F2F2F2" w:themeFill="background1" w:themeFillShade="F2"/>
          </w:tcPr>
          <w:p w14:paraId="5331D0A6" w14:textId="77777777" w:rsidR="00B17494" w:rsidRPr="00F84294"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F84294">
              <w:t>DSWD; Philippine Commission on Women (PCW); DILG; National Council on Disability Affairs (NCDA); National Commission on Indigenous Peoples (NCIP); NEDA</w:t>
            </w:r>
          </w:p>
        </w:tc>
      </w:tr>
      <w:tr w:rsidR="00B17494" w:rsidRPr="00CB5E91" w14:paraId="5AA58093"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01C4369" w14:textId="77777777" w:rsidR="00B17494" w:rsidRDefault="00B17494" w:rsidP="00A74DA9">
            <w:pPr>
              <w:pStyle w:val="TableBodyCopy"/>
              <w:rPr>
                <w:b w:val="0"/>
                <w:bCs w:val="0"/>
              </w:rPr>
            </w:pPr>
            <w:r w:rsidRPr="00CB5E91">
              <w:t>Strengthening Institutions and Empowering Localities against Disasters and Climate Change (SHIELD)</w:t>
            </w:r>
          </w:p>
          <w:p w14:paraId="58CD4D99" w14:textId="3752F18E" w:rsidR="00A74DA9" w:rsidRPr="00CB5E91" w:rsidRDefault="00A74DA9" w:rsidP="008B700F">
            <w:pPr>
              <w:pStyle w:val="TableBodyCopy"/>
            </w:pPr>
            <w:r>
              <w:t>(bilateral)</w:t>
            </w:r>
          </w:p>
        </w:tc>
        <w:tc>
          <w:tcPr>
            <w:tcW w:w="1667" w:type="pct"/>
            <w:shd w:val="clear" w:color="auto" w:fill="D2DEE7" w:themeFill="accent1" w:themeFillTint="33"/>
          </w:tcPr>
          <w:p w14:paraId="5726C12B" w14:textId="69BA5A57" w:rsidR="00B17494" w:rsidRPr="00CB5E91"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CB5E91">
              <w:t>2018</w:t>
            </w:r>
            <w:r w:rsidR="006E5CFA">
              <w:t>–</w:t>
            </w:r>
            <w:r w:rsidR="00191ACD">
              <w:t>20</w:t>
            </w:r>
            <w:r w:rsidRPr="00CB5E91">
              <w:t>28</w:t>
            </w:r>
          </w:p>
        </w:tc>
        <w:tc>
          <w:tcPr>
            <w:tcW w:w="1667" w:type="pct"/>
            <w:shd w:val="clear" w:color="auto" w:fill="F2F2F2" w:themeFill="background1" w:themeFillShade="F2"/>
          </w:tcPr>
          <w:p w14:paraId="04CD7F9E" w14:textId="0B3EADF7" w:rsidR="00B17494" w:rsidRPr="00F84294"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F84294">
              <w:t>DILG; D</w:t>
            </w:r>
            <w:r w:rsidR="00196755" w:rsidRPr="00F84294">
              <w:t>O</w:t>
            </w:r>
            <w:r w:rsidR="00CF2F8C" w:rsidRPr="00F84294">
              <w:t>ST</w:t>
            </w:r>
            <w:r w:rsidRPr="00F84294">
              <w:t>; OCD</w:t>
            </w:r>
          </w:p>
        </w:tc>
      </w:tr>
      <w:tr w:rsidR="00B17494" w:rsidRPr="00CB5E91" w14:paraId="01DF1457"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86F6B64" w14:textId="77777777" w:rsidR="00B17494" w:rsidRDefault="00B17494" w:rsidP="00A74DA9">
            <w:pPr>
              <w:pStyle w:val="TableBodyCopy"/>
              <w:rPr>
                <w:b w:val="0"/>
                <w:bCs w:val="0"/>
              </w:rPr>
            </w:pPr>
            <w:bookmarkStart w:id="11" w:name="_Hlk157599324"/>
            <w:r w:rsidRPr="00CB5E91">
              <w:t>Response and Recovery Assistance to the Philippines</w:t>
            </w:r>
            <w:bookmarkEnd w:id="11"/>
          </w:p>
          <w:p w14:paraId="1A427FBD" w14:textId="35779001" w:rsidR="00A74DA9" w:rsidRPr="00CB5E91" w:rsidRDefault="00A74DA9" w:rsidP="008B700F">
            <w:pPr>
              <w:pStyle w:val="TableBodyCopy"/>
            </w:pPr>
            <w:r>
              <w:t>(bilateral)</w:t>
            </w:r>
          </w:p>
        </w:tc>
        <w:tc>
          <w:tcPr>
            <w:tcW w:w="1667" w:type="pct"/>
            <w:shd w:val="clear" w:color="auto" w:fill="D2DEE7" w:themeFill="accent1" w:themeFillTint="33"/>
          </w:tcPr>
          <w:p w14:paraId="042B4490" w14:textId="48E082CF" w:rsidR="00B17494" w:rsidRPr="00CB5E91"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CB5E91">
              <w:t>2017</w:t>
            </w:r>
            <w:r w:rsidR="006E5CFA">
              <w:t>–</w:t>
            </w:r>
            <w:r w:rsidR="00191ACD">
              <w:t>20</w:t>
            </w:r>
            <w:r w:rsidRPr="00CB5E91">
              <w:t>24</w:t>
            </w:r>
          </w:p>
        </w:tc>
        <w:tc>
          <w:tcPr>
            <w:tcW w:w="1667" w:type="pct"/>
            <w:shd w:val="clear" w:color="auto" w:fill="F2F2F2" w:themeFill="background1" w:themeFillShade="F2"/>
          </w:tcPr>
          <w:p w14:paraId="0AF2060F" w14:textId="77777777" w:rsidR="00B17494" w:rsidRPr="00F84294"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F84294">
              <w:t>DSWD; development partners</w:t>
            </w:r>
          </w:p>
        </w:tc>
      </w:tr>
      <w:tr w:rsidR="00B17494" w:rsidRPr="00CB5E91" w14:paraId="63C2AD7D"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BCFF5DD" w14:textId="11298E5D" w:rsidR="00B17494" w:rsidRDefault="00B17494" w:rsidP="00A74DA9">
            <w:pPr>
              <w:pStyle w:val="TableBodyCopy"/>
              <w:rPr>
                <w:b w:val="0"/>
                <w:bCs w:val="0"/>
              </w:rPr>
            </w:pPr>
            <w:r w:rsidRPr="00CB5E91">
              <w:t>Enhancing Child Protection System to Keep Filipino Children Safe</w:t>
            </w:r>
            <w:r w:rsidR="00420D6C">
              <w:t xml:space="preserve"> Online (</w:t>
            </w:r>
            <w:proofErr w:type="spellStart"/>
            <w:r w:rsidR="00420D6C" w:rsidRPr="00CB5E91">
              <w:t>SaferKids</w:t>
            </w:r>
            <w:r w:rsidR="00420D6C">
              <w:t>PH</w:t>
            </w:r>
            <w:proofErr w:type="spellEnd"/>
            <w:r w:rsidR="00420D6C">
              <w:t>)</w:t>
            </w:r>
          </w:p>
          <w:p w14:paraId="661C0B7F" w14:textId="0417FBD3" w:rsidR="00A74DA9" w:rsidRPr="00CB5E91" w:rsidRDefault="00A74DA9" w:rsidP="008B700F">
            <w:pPr>
              <w:pStyle w:val="TableBodyCopy"/>
            </w:pPr>
            <w:r>
              <w:t>(bilateral)</w:t>
            </w:r>
          </w:p>
        </w:tc>
        <w:tc>
          <w:tcPr>
            <w:tcW w:w="1667" w:type="pct"/>
            <w:shd w:val="clear" w:color="auto" w:fill="D2DEE7" w:themeFill="accent1" w:themeFillTint="33"/>
          </w:tcPr>
          <w:p w14:paraId="5CF1E253" w14:textId="024737EB" w:rsidR="00B17494" w:rsidRPr="00CB5E91"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CB5E91">
              <w:t>2018</w:t>
            </w:r>
            <w:r w:rsidR="006E5CFA">
              <w:t>–</w:t>
            </w:r>
            <w:r w:rsidR="00191ACD">
              <w:t>20</w:t>
            </w:r>
            <w:r w:rsidRPr="00CB5E91">
              <w:t>26</w:t>
            </w:r>
          </w:p>
        </w:tc>
        <w:tc>
          <w:tcPr>
            <w:tcW w:w="1667" w:type="pct"/>
            <w:shd w:val="clear" w:color="auto" w:fill="F2F2F2" w:themeFill="background1" w:themeFillShade="F2"/>
          </w:tcPr>
          <w:p w14:paraId="46847D2B" w14:textId="77777777" w:rsidR="00B17494" w:rsidRPr="00F84294"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F84294">
              <w:t>Australian Federal Police; UNICEF</w:t>
            </w:r>
          </w:p>
        </w:tc>
      </w:tr>
      <w:tr w:rsidR="00B17494" w:rsidRPr="00CB5E91" w14:paraId="5A36DFB7"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053600D" w14:textId="77777777" w:rsidR="00B17494" w:rsidRDefault="00B17494" w:rsidP="00A74DA9">
            <w:pPr>
              <w:pStyle w:val="TableBodyCopy"/>
              <w:rPr>
                <w:b w:val="0"/>
                <w:bCs w:val="0"/>
              </w:rPr>
            </w:pPr>
            <w:r w:rsidRPr="00CB5E91">
              <w:lastRenderedPageBreak/>
              <w:t>Direct Aid Program (DAP)</w:t>
            </w:r>
          </w:p>
          <w:p w14:paraId="3E869091" w14:textId="33877AA5" w:rsidR="00A74DA9" w:rsidRPr="00CB5E91" w:rsidRDefault="00A74DA9" w:rsidP="008B700F">
            <w:pPr>
              <w:pStyle w:val="TableBodyCopy"/>
            </w:pPr>
            <w:r>
              <w:t>(bilateral)</w:t>
            </w:r>
          </w:p>
        </w:tc>
        <w:tc>
          <w:tcPr>
            <w:tcW w:w="1667" w:type="pct"/>
            <w:shd w:val="clear" w:color="auto" w:fill="D2DEE7" w:themeFill="accent1" w:themeFillTint="33"/>
          </w:tcPr>
          <w:p w14:paraId="7E391CCB" w14:textId="0138D358" w:rsidR="00B17494" w:rsidRPr="00CB5E91" w:rsidRDefault="004C4730" w:rsidP="008B700F">
            <w:pPr>
              <w:pStyle w:val="TableBodyCopy"/>
              <w:cnfStyle w:val="000000000000" w:firstRow="0" w:lastRow="0" w:firstColumn="0" w:lastColumn="0" w:oddVBand="0" w:evenVBand="0" w:oddHBand="0" w:evenHBand="0" w:firstRowFirstColumn="0" w:firstRowLastColumn="0" w:lastRowFirstColumn="0" w:lastRowLastColumn="0"/>
            </w:pPr>
            <w:r>
              <w:t xml:space="preserve">Current phase </w:t>
            </w:r>
            <w:r w:rsidR="00B17494" w:rsidRPr="00CB5E91">
              <w:t>2019</w:t>
            </w:r>
            <w:r w:rsidR="006E5CFA">
              <w:t>–</w:t>
            </w:r>
            <w:r w:rsidR="00191ACD">
              <w:t>20</w:t>
            </w:r>
            <w:r w:rsidR="00B17494" w:rsidRPr="00CB5E91">
              <w:t>24</w:t>
            </w:r>
          </w:p>
          <w:p w14:paraId="4B64E3B1" w14:textId="7C108772" w:rsidR="00A367CC" w:rsidRPr="00CB5E91" w:rsidRDefault="004C4730" w:rsidP="008B700F">
            <w:pPr>
              <w:pStyle w:val="TableBodyCopy"/>
              <w:cnfStyle w:val="000000000000" w:firstRow="0" w:lastRow="0" w:firstColumn="0" w:lastColumn="0" w:oddVBand="0" w:evenVBand="0" w:oddHBand="0" w:evenHBand="0" w:firstRowFirstColumn="0" w:firstRowLastColumn="0" w:lastRowFirstColumn="0" w:lastRowLastColumn="0"/>
            </w:pPr>
            <w:r>
              <w:t xml:space="preserve">Next phase </w:t>
            </w:r>
            <w:r w:rsidR="00E16101" w:rsidRPr="00CB5E91">
              <w:t>2025</w:t>
            </w:r>
            <w:r w:rsidR="006E5CFA">
              <w:t>–</w:t>
            </w:r>
            <w:r w:rsidR="00191ACD">
              <w:t>20</w:t>
            </w:r>
            <w:r w:rsidR="00E16101" w:rsidRPr="00CB5E91">
              <w:t>31</w:t>
            </w:r>
          </w:p>
        </w:tc>
        <w:tc>
          <w:tcPr>
            <w:tcW w:w="1667" w:type="pct"/>
            <w:shd w:val="clear" w:color="auto" w:fill="F2F2F2" w:themeFill="background1" w:themeFillShade="F2"/>
          </w:tcPr>
          <w:p w14:paraId="787FCF0B" w14:textId="42871D95" w:rsidR="00B17494" w:rsidRPr="007D3008"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7D3008">
              <w:t xml:space="preserve">Various </w:t>
            </w:r>
            <w:r w:rsidR="00420D6C" w:rsidRPr="007D3008">
              <w:t xml:space="preserve">NGOs; </w:t>
            </w:r>
            <w:r w:rsidRPr="007D3008">
              <w:t>CSOs</w:t>
            </w:r>
          </w:p>
        </w:tc>
      </w:tr>
      <w:tr w:rsidR="00B17494" w:rsidRPr="00CB5E91" w14:paraId="27A0F7D8"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AEDE0CE" w14:textId="77777777" w:rsidR="00B17494" w:rsidRDefault="00B17494" w:rsidP="00A74DA9">
            <w:pPr>
              <w:pStyle w:val="TableBodyCopy"/>
              <w:rPr>
                <w:b w:val="0"/>
                <w:bCs w:val="0"/>
              </w:rPr>
            </w:pPr>
            <w:r w:rsidRPr="00CB5E91">
              <w:t>COVID-19 Assistance and Response for Enhanced Systems (CARES)</w:t>
            </w:r>
          </w:p>
          <w:p w14:paraId="0631601A" w14:textId="6399F505" w:rsidR="00A74DA9" w:rsidRPr="00CB5E91" w:rsidRDefault="00A74DA9" w:rsidP="008B700F">
            <w:pPr>
              <w:pStyle w:val="TableBodyCopy"/>
            </w:pPr>
            <w:r>
              <w:t>(bilateral)</w:t>
            </w:r>
          </w:p>
        </w:tc>
        <w:tc>
          <w:tcPr>
            <w:tcW w:w="1667" w:type="pct"/>
            <w:shd w:val="clear" w:color="auto" w:fill="D2DEE7" w:themeFill="accent1" w:themeFillTint="33"/>
          </w:tcPr>
          <w:p w14:paraId="2F407926" w14:textId="5486B757" w:rsidR="00B17494" w:rsidRPr="00CB5E91"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CB5E91">
              <w:t>2020</w:t>
            </w:r>
            <w:r w:rsidR="006E5CFA">
              <w:t>–</w:t>
            </w:r>
            <w:r w:rsidR="00191ACD">
              <w:t>20</w:t>
            </w:r>
            <w:r w:rsidRPr="00CB5E91">
              <w:t>25</w:t>
            </w:r>
          </w:p>
        </w:tc>
        <w:tc>
          <w:tcPr>
            <w:tcW w:w="1667" w:type="pct"/>
            <w:shd w:val="clear" w:color="auto" w:fill="F2F2F2" w:themeFill="background1" w:themeFillShade="F2"/>
          </w:tcPr>
          <w:p w14:paraId="57746704" w14:textId="2B175F0C" w:rsidR="00B17494" w:rsidRPr="007D3008"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7D3008">
              <w:t>D</w:t>
            </w:r>
            <w:r w:rsidR="00196755" w:rsidRPr="007D3008">
              <w:t>O</w:t>
            </w:r>
            <w:r w:rsidRPr="007D3008">
              <w:t xml:space="preserve">H; DSWD </w:t>
            </w:r>
          </w:p>
        </w:tc>
      </w:tr>
      <w:tr w:rsidR="00B17494" w:rsidRPr="00CB5E91" w14:paraId="7F38D7D4"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CD767A9" w14:textId="2779E0E6" w:rsidR="00B17494" w:rsidRDefault="00B17494" w:rsidP="00A74DA9">
            <w:pPr>
              <w:pStyle w:val="TableBodyCopy"/>
              <w:rPr>
                <w:b w:val="0"/>
                <w:bCs w:val="0"/>
              </w:rPr>
            </w:pPr>
            <w:r w:rsidRPr="00CB5E91">
              <w:t xml:space="preserve">New </w:t>
            </w:r>
            <w:r w:rsidR="00EE03E3">
              <w:t>c</w:t>
            </w:r>
            <w:r w:rsidRPr="00CB5E91">
              <w:t xml:space="preserve">limate </w:t>
            </w:r>
            <w:r w:rsidR="00EE03E3">
              <w:t>c</w:t>
            </w:r>
            <w:r w:rsidRPr="00CB5E91">
              <w:t>hange program</w:t>
            </w:r>
          </w:p>
          <w:p w14:paraId="6550E8D1" w14:textId="23D59323" w:rsidR="00A74DA9" w:rsidRPr="00CB5E91" w:rsidRDefault="00A74DA9" w:rsidP="008B700F">
            <w:pPr>
              <w:pStyle w:val="TableBodyCopy"/>
            </w:pPr>
            <w:r>
              <w:t>(bilateral)</w:t>
            </w:r>
          </w:p>
        </w:tc>
        <w:tc>
          <w:tcPr>
            <w:tcW w:w="1667" w:type="pct"/>
            <w:shd w:val="clear" w:color="auto" w:fill="D2DEE7" w:themeFill="accent1" w:themeFillTint="33"/>
          </w:tcPr>
          <w:p w14:paraId="6C008179" w14:textId="186E250C" w:rsidR="00B17494" w:rsidRPr="00CB5E91"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CB5E91">
              <w:t>TBC</w:t>
            </w:r>
          </w:p>
        </w:tc>
        <w:tc>
          <w:tcPr>
            <w:tcW w:w="1667" w:type="pct"/>
            <w:shd w:val="clear" w:color="auto" w:fill="F2F2F2" w:themeFill="background1" w:themeFillShade="F2"/>
          </w:tcPr>
          <w:p w14:paraId="6A740035" w14:textId="3AA61F75" w:rsidR="00B17494" w:rsidRPr="007D3008"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7D3008">
              <w:t>Various national and subnational government agencies; NGOs</w:t>
            </w:r>
          </w:p>
        </w:tc>
      </w:tr>
      <w:tr w:rsidR="00B17494" w:rsidRPr="00CB5E91" w14:paraId="3A0F7ABA"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F70FFEB" w14:textId="77777777" w:rsidR="00B17494" w:rsidRDefault="00B17494" w:rsidP="00A74DA9">
            <w:pPr>
              <w:pStyle w:val="TableBodyCopy"/>
              <w:rPr>
                <w:b w:val="0"/>
                <w:bCs w:val="0"/>
              </w:rPr>
            </w:pPr>
            <w:r w:rsidRPr="00CB5E91">
              <w:t>Australia NGO Cooperation Program (ANCP)</w:t>
            </w:r>
          </w:p>
          <w:p w14:paraId="0CAE134E" w14:textId="74BA5888" w:rsidR="00A74DA9" w:rsidRPr="00CB5E91" w:rsidRDefault="00A74DA9" w:rsidP="008B700F">
            <w:pPr>
              <w:pStyle w:val="TableBodyCopy"/>
            </w:pPr>
            <w:r>
              <w:t>(global)</w:t>
            </w:r>
          </w:p>
        </w:tc>
        <w:tc>
          <w:tcPr>
            <w:tcW w:w="1667" w:type="pct"/>
            <w:shd w:val="clear" w:color="auto" w:fill="D2DEE7" w:themeFill="accent1" w:themeFillTint="33"/>
          </w:tcPr>
          <w:p w14:paraId="0D275827" w14:textId="57DE4A2B" w:rsidR="00B17494" w:rsidRPr="00CB5E91" w:rsidRDefault="004C4730" w:rsidP="008B700F">
            <w:pPr>
              <w:pStyle w:val="TableBodyCopy"/>
              <w:cnfStyle w:val="000000100000" w:firstRow="0" w:lastRow="0" w:firstColumn="0" w:lastColumn="0" w:oddVBand="0" w:evenVBand="0" w:oddHBand="1" w:evenHBand="0" w:firstRowFirstColumn="0" w:firstRowLastColumn="0" w:lastRowFirstColumn="0" w:lastRowLastColumn="0"/>
              <w:rPr>
                <w:highlight w:val="yellow"/>
              </w:rPr>
            </w:pPr>
            <w:r>
              <w:t>Ongoing</w:t>
            </w:r>
          </w:p>
        </w:tc>
        <w:tc>
          <w:tcPr>
            <w:tcW w:w="1667" w:type="pct"/>
            <w:shd w:val="clear" w:color="auto" w:fill="F2F2F2" w:themeFill="background1" w:themeFillShade="F2"/>
          </w:tcPr>
          <w:p w14:paraId="396D8837" w14:textId="5F2D9375" w:rsidR="00B17494" w:rsidRPr="007D3008"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7D3008">
              <w:t>Various NGOs</w:t>
            </w:r>
            <w:r w:rsidR="00164473" w:rsidRPr="007D3008">
              <w:t xml:space="preserve">; </w:t>
            </w:r>
            <w:r w:rsidRPr="007D3008">
              <w:t>CSOs</w:t>
            </w:r>
          </w:p>
        </w:tc>
      </w:tr>
      <w:tr w:rsidR="00B17494" w:rsidRPr="00CB5E91" w14:paraId="13F2D1ED"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1B46356" w14:textId="77777777" w:rsidR="00B17494" w:rsidRDefault="00B17494" w:rsidP="00A74DA9">
            <w:pPr>
              <w:pStyle w:val="TableBodyCopy"/>
              <w:rPr>
                <w:b w:val="0"/>
                <w:bCs w:val="0"/>
              </w:rPr>
            </w:pPr>
            <w:r w:rsidRPr="00CB5E91">
              <w:t>Australian Volunteers</w:t>
            </w:r>
          </w:p>
          <w:p w14:paraId="7EE3F5C0" w14:textId="2BE3453B" w:rsidR="00A74DA9" w:rsidRPr="00CB5E91" w:rsidRDefault="00A74DA9" w:rsidP="008B700F">
            <w:pPr>
              <w:pStyle w:val="TableBodyCopy"/>
            </w:pPr>
            <w:r>
              <w:t>(global)</w:t>
            </w:r>
          </w:p>
        </w:tc>
        <w:tc>
          <w:tcPr>
            <w:tcW w:w="1667" w:type="pct"/>
            <w:shd w:val="clear" w:color="auto" w:fill="D2DEE7" w:themeFill="accent1" w:themeFillTint="33"/>
          </w:tcPr>
          <w:p w14:paraId="0A57D232" w14:textId="32F734AF" w:rsidR="00B17494" w:rsidRPr="00CB5E91" w:rsidRDefault="00637F38" w:rsidP="008B700F">
            <w:pPr>
              <w:pStyle w:val="TableBodyCopy"/>
              <w:cnfStyle w:val="000000000000" w:firstRow="0" w:lastRow="0" w:firstColumn="0" w:lastColumn="0" w:oddVBand="0" w:evenVBand="0" w:oddHBand="0" w:evenHBand="0" w:firstRowFirstColumn="0" w:firstRowLastColumn="0" w:lastRowFirstColumn="0" w:lastRowLastColumn="0"/>
              <w:rPr>
                <w:highlight w:val="yellow"/>
              </w:rPr>
            </w:pPr>
            <w:r>
              <w:t>2017</w:t>
            </w:r>
            <w:r w:rsidR="006E5CFA">
              <w:t>–</w:t>
            </w:r>
            <w:r w:rsidR="00191ACD">
              <w:t>20</w:t>
            </w:r>
            <w:r>
              <w:t>27</w:t>
            </w:r>
            <w:r w:rsidR="00191ACD">
              <w:t xml:space="preserve"> </w:t>
            </w:r>
          </w:p>
        </w:tc>
        <w:tc>
          <w:tcPr>
            <w:tcW w:w="1667" w:type="pct"/>
            <w:shd w:val="clear" w:color="auto" w:fill="F2F2F2" w:themeFill="background1" w:themeFillShade="F2"/>
          </w:tcPr>
          <w:p w14:paraId="66277CFD" w14:textId="77777777" w:rsidR="00B17494" w:rsidRPr="007D3008"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7D3008">
              <w:t>Philippine National Volunteer Service Coordinating Agency</w:t>
            </w:r>
          </w:p>
        </w:tc>
      </w:tr>
      <w:tr w:rsidR="00B17494" w:rsidRPr="00CB5E91" w14:paraId="335E9027"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CE198EE" w14:textId="77777777" w:rsidR="00B17494" w:rsidRDefault="00B17494" w:rsidP="00A74DA9">
            <w:pPr>
              <w:pStyle w:val="TableBodyCopy"/>
              <w:rPr>
                <w:b w:val="0"/>
                <w:bCs w:val="0"/>
              </w:rPr>
            </w:pPr>
            <w:r w:rsidRPr="00CB5E91">
              <w:t>Climate Resilient Communities</w:t>
            </w:r>
          </w:p>
          <w:p w14:paraId="656C26AB" w14:textId="48E3AA98" w:rsidR="00A74DA9" w:rsidRPr="00CB5E91" w:rsidRDefault="00A74DA9" w:rsidP="008B700F">
            <w:pPr>
              <w:pStyle w:val="TableBodyCopy"/>
            </w:pPr>
            <w:r>
              <w:t>(global)</w:t>
            </w:r>
          </w:p>
        </w:tc>
        <w:tc>
          <w:tcPr>
            <w:tcW w:w="1667" w:type="pct"/>
            <w:shd w:val="clear" w:color="auto" w:fill="D2DEE7" w:themeFill="accent1" w:themeFillTint="33"/>
          </w:tcPr>
          <w:p w14:paraId="01146975" w14:textId="0518E57B" w:rsidR="00B17494" w:rsidRPr="006E5CFA"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8B700F">
              <w:t>2024</w:t>
            </w:r>
            <w:r w:rsidR="006E5CFA" w:rsidRPr="006E5CFA">
              <w:t>–</w:t>
            </w:r>
            <w:r w:rsidR="007656DE">
              <w:t>20</w:t>
            </w:r>
            <w:r w:rsidRPr="008B700F">
              <w:t>29</w:t>
            </w:r>
          </w:p>
        </w:tc>
        <w:tc>
          <w:tcPr>
            <w:tcW w:w="1667" w:type="pct"/>
            <w:shd w:val="clear" w:color="auto" w:fill="F2F2F2" w:themeFill="background1" w:themeFillShade="F2"/>
          </w:tcPr>
          <w:p w14:paraId="071E603C" w14:textId="77777777" w:rsidR="00B17494" w:rsidRPr="007D3008"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7D3008">
              <w:t>Indo-Pacific government partners (TBC in the Philippines)</w:t>
            </w:r>
          </w:p>
        </w:tc>
      </w:tr>
      <w:tr w:rsidR="00B17494" w:rsidRPr="00CB5E91" w14:paraId="4F901B80"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368D208" w14:textId="4EFC3596" w:rsidR="00B17494" w:rsidRDefault="00B17494" w:rsidP="00A74DA9">
            <w:pPr>
              <w:pStyle w:val="TableBodyCopy"/>
              <w:rPr>
                <w:b w:val="0"/>
                <w:bCs w:val="0"/>
              </w:rPr>
            </w:pPr>
            <w:r w:rsidRPr="00CB5E91">
              <w:t xml:space="preserve">Indo-Pacific Sexual and Reproductive Health and Rights COVID-19 </w:t>
            </w:r>
            <w:r w:rsidR="0029085C">
              <w:t xml:space="preserve">Surge </w:t>
            </w:r>
            <w:r w:rsidRPr="00CB5E91">
              <w:t>Response (</w:t>
            </w:r>
            <w:r w:rsidR="0064356E">
              <w:t xml:space="preserve">SRHR </w:t>
            </w:r>
            <w:r w:rsidRPr="00CB5E91">
              <w:t>C-S</w:t>
            </w:r>
            <w:r w:rsidR="00D128AF">
              <w:t>urge</w:t>
            </w:r>
            <w:r w:rsidRPr="00CB5E91">
              <w:t>)</w:t>
            </w:r>
          </w:p>
          <w:p w14:paraId="4DCCE98B" w14:textId="280557ED" w:rsidR="00A74DA9" w:rsidRPr="00CB5E91" w:rsidRDefault="00A74DA9" w:rsidP="008B700F">
            <w:pPr>
              <w:pStyle w:val="TableBodyCopy"/>
            </w:pPr>
            <w:r>
              <w:t>(global)</w:t>
            </w:r>
          </w:p>
        </w:tc>
        <w:tc>
          <w:tcPr>
            <w:tcW w:w="1667" w:type="pct"/>
            <w:shd w:val="clear" w:color="auto" w:fill="D2DEE7" w:themeFill="accent1" w:themeFillTint="33"/>
          </w:tcPr>
          <w:p w14:paraId="77FF6033" w14:textId="2728540F" w:rsidR="00B17494"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CB5E91">
              <w:t>202</w:t>
            </w:r>
            <w:r w:rsidR="00D71528">
              <w:t>1</w:t>
            </w:r>
            <w:r w:rsidR="006E5CFA">
              <w:t>–</w:t>
            </w:r>
            <w:r w:rsidR="007656DE">
              <w:t>20</w:t>
            </w:r>
            <w:r w:rsidRPr="00CB5E91">
              <w:t>24</w:t>
            </w:r>
          </w:p>
          <w:p w14:paraId="492852A0" w14:textId="5DC713C0" w:rsidR="004C1608" w:rsidRPr="00CB5E91" w:rsidRDefault="004C1608" w:rsidP="008B700F">
            <w:pPr>
              <w:pStyle w:val="TableBodyCopy"/>
              <w:cnfStyle w:val="000000000000" w:firstRow="0" w:lastRow="0" w:firstColumn="0" w:lastColumn="0" w:oddVBand="0" w:evenVBand="0" w:oddHBand="0" w:evenHBand="0" w:firstRowFirstColumn="0" w:firstRowLastColumn="0" w:lastRowFirstColumn="0" w:lastRowLastColumn="0"/>
            </w:pPr>
            <w:r>
              <w:t xml:space="preserve">Successor </w:t>
            </w:r>
            <w:r w:rsidR="00A35603">
              <w:t>program 2024</w:t>
            </w:r>
            <w:r w:rsidR="006E5CFA">
              <w:t>–</w:t>
            </w:r>
            <w:r w:rsidR="007656DE">
              <w:t>20</w:t>
            </w:r>
            <w:r w:rsidR="004606CA">
              <w:t>28</w:t>
            </w:r>
          </w:p>
        </w:tc>
        <w:tc>
          <w:tcPr>
            <w:tcW w:w="1667" w:type="pct"/>
            <w:shd w:val="clear" w:color="auto" w:fill="F2F2F2" w:themeFill="background1" w:themeFillShade="F2"/>
          </w:tcPr>
          <w:p w14:paraId="34DE2C21" w14:textId="5FF070E3" w:rsidR="009715FE" w:rsidRPr="007D3008" w:rsidRDefault="009715FE" w:rsidP="008B700F">
            <w:pPr>
              <w:pStyle w:val="TableBodyCopy"/>
              <w:cnfStyle w:val="000000000000" w:firstRow="0" w:lastRow="0" w:firstColumn="0" w:lastColumn="0" w:oddVBand="0" w:evenVBand="0" w:oddHBand="0" w:evenHBand="0" w:firstRowFirstColumn="0" w:firstRowLastColumn="0" w:lastRowFirstColumn="0" w:lastRowLastColumn="0"/>
            </w:pPr>
            <w:r w:rsidRPr="007D3008">
              <w:t>Southeast Asia</w:t>
            </w:r>
            <w:r w:rsidR="009F3A71" w:rsidRPr="007D3008">
              <w:t>n</w:t>
            </w:r>
            <w:r w:rsidRPr="007D3008">
              <w:t xml:space="preserve"> and Pacific government partners</w:t>
            </w:r>
          </w:p>
          <w:p w14:paraId="2AF68D1B" w14:textId="679A7940" w:rsidR="00B17494" w:rsidRPr="007D3008" w:rsidRDefault="009715FE" w:rsidP="008B700F">
            <w:pPr>
              <w:pStyle w:val="TableBodyCopy"/>
              <w:cnfStyle w:val="000000000000" w:firstRow="0" w:lastRow="0" w:firstColumn="0" w:lastColumn="0" w:oddVBand="0" w:evenVBand="0" w:oddHBand="0" w:evenHBand="0" w:firstRowFirstColumn="0" w:firstRowLastColumn="0" w:lastRowFirstColumn="0" w:lastRowLastColumn="0"/>
            </w:pPr>
            <w:r w:rsidRPr="007D3008">
              <w:t xml:space="preserve">In the Philippines: </w:t>
            </w:r>
            <w:r w:rsidR="00B17494" w:rsidRPr="007D3008">
              <w:t>D</w:t>
            </w:r>
            <w:r w:rsidR="000E14C7" w:rsidRPr="007D3008">
              <w:t>O</w:t>
            </w:r>
            <w:r w:rsidR="00CF2F8C" w:rsidRPr="007D3008">
              <w:t>H</w:t>
            </w:r>
            <w:r w:rsidR="00B17494" w:rsidRPr="007D3008">
              <w:t>; development partners</w:t>
            </w:r>
          </w:p>
        </w:tc>
      </w:tr>
      <w:tr w:rsidR="00B17494" w:rsidRPr="00CB5E91" w14:paraId="765742B0"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93C8D74" w14:textId="77777777" w:rsidR="00B17494" w:rsidRDefault="00B17494" w:rsidP="00A74DA9">
            <w:pPr>
              <w:pStyle w:val="TableBodyCopy"/>
              <w:rPr>
                <w:b w:val="0"/>
                <w:bCs w:val="0"/>
              </w:rPr>
            </w:pPr>
            <w:r w:rsidRPr="00CB5E91">
              <w:t>Partnerships for a Healthy Region</w:t>
            </w:r>
          </w:p>
          <w:p w14:paraId="667BDD68" w14:textId="700ADEC9" w:rsidR="00A74DA9" w:rsidRPr="00CB5E91" w:rsidRDefault="00A74DA9" w:rsidP="008B700F">
            <w:pPr>
              <w:pStyle w:val="TableBodyCopy"/>
            </w:pPr>
            <w:r>
              <w:t>(global)</w:t>
            </w:r>
          </w:p>
        </w:tc>
        <w:tc>
          <w:tcPr>
            <w:tcW w:w="1667" w:type="pct"/>
            <w:shd w:val="clear" w:color="auto" w:fill="D2DEE7" w:themeFill="accent1" w:themeFillTint="33"/>
          </w:tcPr>
          <w:p w14:paraId="38E9CBCD" w14:textId="2C2A8197" w:rsidR="00B17494" w:rsidRPr="00CB5E91"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CB5E91">
              <w:t>2023</w:t>
            </w:r>
            <w:r w:rsidR="006E5CFA">
              <w:t>–</w:t>
            </w:r>
            <w:r w:rsidR="007656DE">
              <w:t>20</w:t>
            </w:r>
            <w:r w:rsidRPr="00CB5E91">
              <w:t>28</w:t>
            </w:r>
          </w:p>
        </w:tc>
        <w:tc>
          <w:tcPr>
            <w:tcW w:w="1667" w:type="pct"/>
            <w:shd w:val="clear" w:color="auto" w:fill="F2F2F2" w:themeFill="background1" w:themeFillShade="F2"/>
          </w:tcPr>
          <w:p w14:paraId="7C3C5C53" w14:textId="7DB35357" w:rsidR="00B17494" w:rsidRPr="007D3008"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7D3008">
              <w:t>Southeast Asia</w:t>
            </w:r>
            <w:r w:rsidR="009F3A71" w:rsidRPr="007D3008">
              <w:t>n</w:t>
            </w:r>
            <w:r w:rsidRPr="007D3008">
              <w:t xml:space="preserve"> and Pacific government partners; NGOs; universities; research institutions</w:t>
            </w:r>
          </w:p>
          <w:p w14:paraId="32AEC8B9" w14:textId="3F9C292E" w:rsidR="00B17494" w:rsidRPr="007D3008"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7D3008">
              <w:t xml:space="preserve">In the Philippines: </w:t>
            </w:r>
            <w:r w:rsidR="009A5420" w:rsidRPr="007D3008">
              <w:t>D</w:t>
            </w:r>
            <w:r w:rsidR="000E14C7" w:rsidRPr="007D3008">
              <w:t>O</w:t>
            </w:r>
            <w:r w:rsidR="009A5420" w:rsidRPr="007D3008">
              <w:t>H</w:t>
            </w:r>
            <w:r w:rsidRPr="007D3008">
              <w:t>; Food and Drug Administration (FDA); D</w:t>
            </w:r>
            <w:r w:rsidR="000E14C7" w:rsidRPr="007D3008">
              <w:t>O</w:t>
            </w:r>
            <w:r w:rsidR="00CF2F8C" w:rsidRPr="007D3008">
              <w:t>ST</w:t>
            </w:r>
          </w:p>
        </w:tc>
      </w:tr>
      <w:tr w:rsidR="00B17494" w:rsidRPr="00CB5E91" w14:paraId="02611793"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D180643" w14:textId="387F9CD2" w:rsidR="00B17494" w:rsidRDefault="00B17494" w:rsidP="00A74DA9">
            <w:pPr>
              <w:pStyle w:val="TableBodyCopy"/>
              <w:rPr>
                <w:b w:val="0"/>
                <w:bCs w:val="0"/>
              </w:rPr>
            </w:pPr>
            <w:r w:rsidRPr="00CB5E91">
              <w:t xml:space="preserve">Vaccine Access </w:t>
            </w:r>
            <w:r w:rsidR="00AF3EA6">
              <w:t xml:space="preserve">and </w:t>
            </w:r>
            <w:r w:rsidRPr="00CB5E91">
              <w:t xml:space="preserve">Health Security Initiative (VAHSI) and </w:t>
            </w:r>
            <w:r w:rsidR="006631F7" w:rsidRPr="00CB5E91">
              <w:t>Q</w:t>
            </w:r>
            <w:r w:rsidR="006631F7">
              <w:t>uad</w:t>
            </w:r>
            <w:r w:rsidR="006631F7" w:rsidRPr="00CB5E91">
              <w:t xml:space="preserve"> </w:t>
            </w:r>
            <w:r w:rsidRPr="00CB5E91">
              <w:t>Vaccine Partnership</w:t>
            </w:r>
          </w:p>
          <w:p w14:paraId="0CA63FD8" w14:textId="6C11ADFE" w:rsidR="00A74DA9" w:rsidRPr="00CB5E91" w:rsidRDefault="00A74DA9" w:rsidP="008B700F">
            <w:pPr>
              <w:pStyle w:val="TableBodyCopy"/>
            </w:pPr>
            <w:r>
              <w:t>(global)</w:t>
            </w:r>
          </w:p>
        </w:tc>
        <w:tc>
          <w:tcPr>
            <w:tcW w:w="1667" w:type="pct"/>
            <w:shd w:val="clear" w:color="auto" w:fill="D2DEE7" w:themeFill="accent1" w:themeFillTint="33"/>
          </w:tcPr>
          <w:p w14:paraId="60EBF624" w14:textId="2F04D0B2" w:rsidR="00B17494" w:rsidRPr="00CB5E91"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CB5E91">
              <w:t>2021</w:t>
            </w:r>
            <w:r w:rsidR="006E5CFA">
              <w:t>–</w:t>
            </w:r>
            <w:r w:rsidR="007656DE">
              <w:t>20</w:t>
            </w:r>
            <w:r w:rsidRPr="00CB5E91">
              <w:t>25</w:t>
            </w:r>
          </w:p>
        </w:tc>
        <w:tc>
          <w:tcPr>
            <w:tcW w:w="1667" w:type="pct"/>
            <w:shd w:val="clear" w:color="auto" w:fill="F2F2F2" w:themeFill="background1" w:themeFillShade="F2"/>
          </w:tcPr>
          <w:p w14:paraId="574EB784" w14:textId="1DD5F78B" w:rsidR="00B17494" w:rsidRPr="007D3008"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7D3008">
              <w:t>Southeast Asia</w:t>
            </w:r>
            <w:r w:rsidR="009F3A71" w:rsidRPr="007D3008">
              <w:t>n</w:t>
            </w:r>
            <w:r w:rsidRPr="007D3008">
              <w:t xml:space="preserve"> and Pacific government partners</w:t>
            </w:r>
          </w:p>
          <w:p w14:paraId="01E32723" w14:textId="4C2282AF" w:rsidR="00B17494" w:rsidRPr="007D3008"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7D3008">
              <w:t>In the Philippines: D</w:t>
            </w:r>
            <w:r w:rsidR="000E14C7" w:rsidRPr="007D3008">
              <w:t>O</w:t>
            </w:r>
            <w:r w:rsidRPr="007D3008">
              <w:t>H; FDA</w:t>
            </w:r>
          </w:p>
        </w:tc>
      </w:tr>
      <w:tr w:rsidR="00B17494" w:rsidRPr="00CB5E91" w14:paraId="4168CDDE"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38E35F9" w14:textId="2BACE74A" w:rsidR="00B17494" w:rsidRDefault="00B17494" w:rsidP="00A74DA9">
            <w:pPr>
              <w:pStyle w:val="TableBodyCopy"/>
              <w:rPr>
                <w:b w:val="0"/>
                <w:bCs w:val="0"/>
              </w:rPr>
            </w:pPr>
            <w:r w:rsidRPr="00CB5E91">
              <w:t>Southeast Asia Gender-</w:t>
            </w:r>
            <w:r w:rsidR="00420888">
              <w:t>b</w:t>
            </w:r>
            <w:r w:rsidRPr="00CB5E91">
              <w:t>ased Violence Prevention Platform</w:t>
            </w:r>
          </w:p>
          <w:p w14:paraId="61D21C2C" w14:textId="07A92179" w:rsidR="00A74DA9" w:rsidRPr="00CB5E91" w:rsidRDefault="00A74DA9" w:rsidP="008B700F">
            <w:pPr>
              <w:pStyle w:val="TableBodyCopy"/>
            </w:pPr>
            <w:r>
              <w:t>(regional)</w:t>
            </w:r>
          </w:p>
        </w:tc>
        <w:tc>
          <w:tcPr>
            <w:tcW w:w="1667" w:type="pct"/>
            <w:shd w:val="clear" w:color="auto" w:fill="D2DEE7" w:themeFill="accent1" w:themeFillTint="33"/>
          </w:tcPr>
          <w:p w14:paraId="548FB68B" w14:textId="62FC428C" w:rsidR="00B17494" w:rsidRPr="00CB5E91"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CB5E91">
              <w:t>2024</w:t>
            </w:r>
            <w:r w:rsidR="006E5CFA">
              <w:t>–</w:t>
            </w:r>
            <w:r w:rsidR="007656DE">
              <w:t>20</w:t>
            </w:r>
            <w:r w:rsidRPr="00CB5E91">
              <w:t>29</w:t>
            </w:r>
          </w:p>
        </w:tc>
        <w:tc>
          <w:tcPr>
            <w:tcW w:w="1667" w:type="pct"/>
            <w:shd w:val="clear" w:color="auto" w:fill="F2F2F2" w:themeFill="background1" w:themeFillShade="F2"/>
          </w:tcPr>
          <w:p w14:paraId="285AE0A4" w14:textId="62B1DFCA" w:rsidR="00B17494" w:rsidRPr="007D3008"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7D3008">
              <w:t>Southeast Asia</w:t>
            </w:r>
            <w:r w:rsidR="009F3A71" w:rsidRPr="007D3008">
              <w:t>n</w:t>
            </w:r>
            <w:r w:rsidRPr="007D3008">
              <w:t xml:space="preserve"> government partners</w:t>
            </w:r>
          </w:p>
        </w:tc>
      </w:tr>
      <w:tr w:rsidR="00B17494" w:rsidRPr="00CB5E91" w14:paraId="4CA2BEC7" w14:textId="77777777" w:rsidTr="008B700F">
        <w:trPr>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A7C93EA" w14:textId="77777777" w:rsidR="00B17494" w:rsidRDefault="00B17494" w:rsidP="00A74DA9">
            <w:pPr>
              <w:pStyle w:val="TableBodyCopy"/>
              <w:rPr>
                <w:b w:val="0"/>
                <w:bCs w:val="0"/>
              </w:rPr>
            </w:pPr>
            <w:r w:rsidRPr="00CB5E91">
              <w:t>Empowering Girls and Women through Social Protection in Southeast Asia</w:t>
            </w:r>
          </w:p>
          <w:p w14:paraId="6CAE92C4" w14:textId="7E75C8B0" w:rsidR="00A74DA9" w:rsidRPr="00CB5E91" w:rsidRDefault="00A74DA9" w:rsidP="008B700F">
            <w:pPr>
              <w:pStyle w:val="TableBodyCopy"/>
            </w:pPr>
            <w:r>
              <w:t>(regional)</w:t>
            </w:r>
          </w:p>
        </w:tc>
        <w:tc>
          <w:tcPr>
            <w:tcW w:w="1667" w:type="pct"/>
            <w:shd w:val="clear" w:color="auto" w:fill="D2DEE7" w:themeFill="accent1" w:themeFillTint="33"/>
          </w:tcPr>
          <w:p w14:paraId="64AFB7FB" w14:textId="49BA2145" w:rsidR="00B17494" w:rsidRPr="00CB5E91"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CB5E91">
              <w:t>2023</w:t>
            </w:r>
            <w:r w:rsidR="006E5CFA">
              <w:t>–</w:t>
            </w:r>
            <w:r w:rsidR="007656DE">
              <w:t>20</w:t>
            </w:r>
            <w:r w:rsidRPr="00CB5E91">
              <w:t>26</w:t>
            </w:r>
          </w:p>
        </w:tc>
        <w:tc>
          <w:tcPr>
            <w:tcW w:w="1667" w:type="pct"/>
            <w:shd w:val="clear" w:color="auto" w:fill="F2F2F2" w:themeFill="background1" w:themeFillShade="F2"/>
          </w:tcPr>
          <w:p w14:paraId="4431FC24" w14:textId="02AA7BB6" w:rsidR="00B17494" w:rsidRPr="007D3008" w:rsidRDefault="00B17494" w:rsidP="008B700F">
            <w:pPr>
              <w:pStyle w:val="TableBodyCopy"/>
              <w:cnfStyle w:val="000000000000" w:firstRow="0" w:lastRow="0" w:firstColumn="0" w:lastColumn="0" w:oddVBand="0" w:evenVBand="0" w:oddHBand="0" w:evenHBand="0" w:firstRowFirstColumn="0" w:firstRowLastColumn="0" w:lastRowFirstColumn="0" w:lastRowLastColumn="0"/>
            </w:pPr>
            <w:r w:rsidRPr="007D3008">
              <w:t>Southeast Asia</w:t>
            </w:r>
            <w:r w:rsidR="009F3A71" w:rsidRPr="007D3008">
              <w:t>n</w:t>
            </w:r>
            <w:r w:rsidRPr="007D3008">
              <w:t xml:space="preserve"> government partners; UNICEF</w:t>
            </w:r>
          </w:p>
        </w:tc>
      </w:tr>
      <w:tr w:rsidR="00B17494" w:rsidRPr="00CB5E91" w14:paraId="59F83BC6" w14:textId="77777777" w:rsidTr="008B70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44A3FFE" w14:textId="049B42BD" w:rsidR="00B17494" w:rsidRDefault="00B17494" w:rsidP="00A74DA9">
            <w:pPr>
              <w:pStyle w:val="TableBodyCopy"/>
              <w:rPr>
                <w:rFonts w:eastAsia="Times New Roman"/>
                <w:color w:val="313E48"/>
              </w:rPr>
            </w:pPr>
            <w:r w:rsidRPr="00CB5E91">
              <w:t>Australian Humanitarian Partnership Phase II</w:t>
            </w:r>
          </w:p>
          <w:p w14:paraId="1A7DBFFF" w14:textId="07A10ED0" w:rsidR="00A74DA9" w:rsidRPr="00CB5E91" w:rsidRDefault="00A74DA9" w:rsidP="008B700F">
            <w:pPr>
              <w:pStyle w:val="TableBodyCopy"/>
            </w:pPr>
            <w:r>
              <w:t>(global)</w:t>
            </w:r>
          </w:p>
        </w:tc>
        <w:tc>
          <w:tcPr>
            <w:tcW w:w="1667" w:type="pct"/>
            <w:shd w:val="clear" w:color="auto" w:fill="D2DEE7" w:themeFill="accent1" w:themeFillTint="33"/>
          </w:tcPr>
          <w:p w14:paraId="653B5C19" w14:textId="0E938259" w:rsidR="00B17494" w:rsidRPr="00CB5E91"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CB5E91">
              <w:t>2022</w:t>
            </w:r>
            <w:r w:rsidR="006E5CFA">
              <w:t>–</w:t>
            </w:r>
            <w:r w:rsidR="007656DE">
              <w:t>20</w:t>
            </w:r>
            <w:r w:rsidRPr="00CB5E91">
              <w:t>27 </w:t>
            </w:r>
            <w:r w:rsidR="003F1C35">
              <w:t>(</w:t>
            </w:r>
            <w:r w:rsidR="003D1BEA">
              <w:t xml:space="preserve">responsive mechanism accessed on an </w:t>
            </w:r>
            <w:r w:rsidR="003F1C35">
              <w:t>ad hoc basis)</w:t>
            </w:r>
          </w:p>
        </w:tc>
        <w:tc>
          <w:tcPr>
            <w:tcW w:w="1667" w:type="pct"/>
            <w:shd w:val="clear" w:color="auto" w:fill="F2F2F2" w:themeFill="background1" w:themeFillShade="F2"/>
          </w:tcPr>
          <w:p w14:paraId="31490958" w14:textId="4BFC550A" w:rsidR="00B17494" w:rsidRPr="007D3008" w:rsidRDefault="00B17494" w:rsidP="008B700F">
            <w:pPr>
              <w:pStyle w:val="TableBodyCopy"/>
              <w:cnfStyle w:val="000000100000" w:firstRow="0" w:lastRow="0" w:firstColumn="0" w:lastColumn="0" w:oddVBand="0" w:evenVBand="0" w:oddHBand="1" w:evenHBand="0" w:firstRowFirstColumn="0" w:firstRowLastColumn="0" w:lastRowFirstColumn="0" w:lastRowLastColumn="0"/>
            </w:pPr>
            <w:r w:rsidRPr="007D3008">
              <w:t>Southeast Asia</w:t>
            </w:r>
            <w:r w:rsidR="009F3A71" w:rsidRPr="007D3008">
              <w:t>n</w:t>
            </w:r>
            <w:r w:rsidRPr="007D3008">
              <w:t xml:space="preserve"> government partners;</w:t>
            </w:r>
            <w:r w:rsidRPr="007D3008">
              <w:rPr>
                <w:rFonts w:eastAsia="Times New Roman"/>
                <w:color w:val="313E48"/>
              </w:rPr>
              <w:t xml:space="preserve"> </w:t>
            </w:r>
            <w:r w:rsidRPr="007D3008">
              <w:t>CARE</w:t>
            </w:r>
            <w:r w:rsidR="00B94018" w:rsidRPr="007D3008">
              <w:t>;</w:t>
            </w:r>
            <w:r w:rsidRPr="007D3008">
              <w:t xml:space="preserve"> Caritas</w:t>
            </w:r>
            <w:r w:rsidR="00B94018" w:rsidRPr="007D3008">
              <w:t>;</w:t>
            </w:r>
            <w:r w:rsidRPr="007D3008">
              <w:t xml:space="preserve"> Oxfam</w:t>
            </w:r>
            <w:r w:rsidR="00B94018" w:rsidRPr="007D3008">
              <w:t>;</w:t>
            </w:r>
            <w:r w:rsidRPr="007D3008">
              <w:t xml:space="preserve"> Plan International</w:t>
            </w:r>
            <w:r w:rsidR="00B94018" w:rsidRPr="007D3008">
              <w:t>;</w:t>
            </w:r>
            <w:r w:rsidRPr="007D3008">
              <w:t xml:space="preserve"> Save the Children</w:t>
            </w:r>
            <w:r w:rsidR="00B94018" w:rsidRPr="007D3008">
              <w:t>;</w:t>
            </w:r>
            <w:r w:rsidRPr="007D3008">
              <w:t xml:space="preserve"> World Vision</w:t>
            </w:r>
          </w:p>
        </w:tc>
      </w:tr>
    </w:tbl>
    <w:p w14:paraId="7580F0B9" w14:textId="15A1FD15" w:rsidR="003139AE" w:rsidRDefault="003139AE">
      <w:pPr>
        <w:spacing w:after="0" w:line="240" w:lineRule="auto"/>
      </w:pPr>
      <w:r>
        <w:br w:type="page"/>
      </w:r>
    </w:p>
    <w:p w14:paraId="13CA53E9" w14:textId="4D7B7EA0" w:rsidR="00CC50D4" w:rsidRDefault="008F0762" w:rsidP="008F0762">
      <w:pPr>
        <w:pStyle w:val="H2-Heading2"/>
      </w:pPr>
      <w:r>
        <w:lastRenderedPageBreak/>
        <w:t>Endnotes</w:t>
      </w:r>
    </w:p>
    <w:p w14:paraId="1E319F2C" w14:textId="77777777" w:rsidR="00CC50D4" w:rsidRDefault="00CC50D4" w:rsidP="008F0762">
      <w:pPr>
        <w:pStyle w:val="H2-Heading2"/>
        <w:sectPr w:rsidR="00CC50D4" w:rsidSect="001373D8">
          <w:headerReference w:type="default" r:id="rId20"/>
          <w:footerReference w:type="default" r:id="rId21"/>
          <w:headerReference w:type="first" r:id="rId22"/>
          <w:endnotePr>
            <w:numFmt w:val="decimal"/>
          </w:endnotePr>
          <w:pgSz w:w="11906" w:h="16838" w:code="9"/>
          <w:pgMar w:top="1418" w:right="851" w:bottom="284" w:left="851" w:header="340" w:footer="415" w:gutter="0"/>
          <w:cols w:space="708"/>
          <w:docGrid w:linePitch="360"/>
        </w:sectPr>
      </w:pPr>
    </w:p>
    <w:p w14:paraId="5C67D631" w14:textId="08BCFD58" w:rsidR="008F0762" w:rsidRPr="00CB5E91" w:rsidRDefault="00194902" w:rsidP="008F0762">
      <w:pPr>
        <w:pStyle w:val="H2-Heading2"/>
      </w:pPr>
      <w:r>
        <w:t>Cover p</w:t>
      </w:r>
      <w:r w:rsidR="008F0762">
        <w:t>hoto credits</w:t>
      </w:r>
    </w:p>
    <w:p w14:paraId="2C6056D4" w14:textId="2A575021" w:rsidR="00DF7CE2" w:rsidRPr="00E452F0" w:rsidRDefault="00DF7CE2" w:rsidP="00DF7CE2">
      <w:pPr>
        <w:spacing w:before="0" w:after="0"/>
        <w:rPr>
          <w:sz w:val="20"/>
          <w:szCs w:val="20"/>
        </w:rPr>
      </w:pPr>
      <w:r w:rsidRPr="00E452F0">
        <w:rPr>
          <w:sz w:val="20"/>
          <w:szCs w:val="20"/>
        </w:rPr>
        <w:t xml:space="preserve">Top </w:t>
      </w:r>
      <w:r w:rsidR="00C809A7">
        <w:rPr>
          <w:sz w:val="20"/>
          <w:szCs w:val="20"/>
        </w:rPr>
        <w:t>row (from left to right)</w:t>
      </w:r>
      <w:r w:rsidRPr="00E452F0">
        <w:rPr>
          <w:sz w:val="20"/>
          <w:szCs w:val="20"/>
        </w:rPr>
        <w:t>:</w:t>
      </w:r>
    </w:p>
    <w:p w14:paraId="1CB05E13" w14:textId="3E96EA38" w:rsidR="00A966CE" w:rsidRPr="008B700F" w:rsidRDefault="00A966CE" w:rsidP="00423D80">
      <w:pPr>
        <w:pStyle w:val="NormalBullets-L1"/>
        <w:rPr>
          <w:sz w:val="20"/>
          <w:szCs w:val="20"/>
        </w:rPr>
      </w:pPr>
      <w:r w:rsidRPr="008B700F">
        <w:rPr>
          <w:sz w:val="20"/>
          <w:szCs w:val="20"/>
        </w:rPr>
        <w:t>Krishna Bagas, participant in the Strengthening Women’s Economic Empowerment and Just Energy Transition for Community and Climate Resilience project</w:t>
      </w:r>
      <w:r w:rsidR="00C57312">
        <w:rPr>
          <w:sz w:val="20"/>
          <w:szCs w:val="20"/>
        </w:rPr>
        <w:br/>
      </w:r>
      <w:r w:rsidRPr="008B700F">
        <w:rPr>
          <w:sz w:val="20"/>
          <w:szCs w:val="20"/>
        </w:rPr>
        <w:t xml:space="preserve">Credit: Geraldine Grace </w:t>
      </w:r>
      <w:proofErr w:type="spellStart"/>
      <w:r w:rsidRPr="008B700F">
        <w:rPr>
          <w:sz w:val="20"/>
          <w:szCs w:val="20"/>
        </w:rPr>
        <w:t>Hoggang</w:t>
      </w:r>
      <w:proofErr w:type="spellEnd"/>
      <w:r w:rsidRPr="008B700F">
        <w:rPr>
          <w:sz w:val="20"/>
          <w:szCs w:val="20"/>
        </w:rPr>
        <w:t xml:space="preserve">/Oxfam </w:t>
      </w:r>
      <w:proofErr w:type="spellStart"/>
      <w:r w:rsidRPr="008B700F">
        <w:rPr>
          <w:sz w:val="20"/>
          <w:szCs w:val="20"/>
        </w:rPr>
        <w:t>Pilipinas</w:t>
      </w:r>
      <w:proofErr w:type="spellEnd"/>
    </w:p>
    <w:p w14:paraId="34A6B593" w14:textId="72A9C040" w:rsidR="007A71E1" w:rsidRPr="007A71E1" w:rsidRDefault="007A71E1" w:rsidP="008B700F">
      <w:pPr>
        <w:pStyle w:val="NormalBullets-L1"/>
        <w:rPr>
          <w:sz w:val="20"/>
          <w:szCs w:val="20"/>
        </w:rPr>
      </w:pPr>
      <w:r w:rsidRPr="008B700F">
        <w:rPr>
          <w:sz w:val="20"/>
          <w:szCs w:val="20"/>
        </w:rPr>
        <w:t xml:space="preserve">Norma </w:t>
      </w:r>
      <w:proofErr w:type="spellStart"/>
      <w:r w:rsidRPr="008B700F">
        <w:rPr>
          <w:sz w:val="20"/>
          <w:szCs w:val="20"/>
        </w:rPr>
        <w:t>Saltico</w:t>
      </w:r>
      <w:proofErr w:type="spellEnd"/>
      <w:r w:rsidRPr="008B700F">
        <w:rPr>
          <w:sz w:val="20"/>
          <w:szCs w:val="20"/>
        </w:rPr>
        <w:t xml:space="preserve"> of </w:t>
      </w:r>
      <w:proofErr w:type="spellStart"/>
      <w:r w:rsidRPr="008B700F">
        <w:rPr>
          <w:sz w:val="20"/>
          <w:szCs w:val="20"/>
        </w:rPr>
        <w:t>Normalou</w:t>
      </w:r>
      <w:proofErr w:type="spellEnd"/>
      <w:r w:rsidRPr="008B700F">
        <w:rPr>
          <w:sz w:val="20"/>
          <w:szCs w:val="20"/>
        </w:rPr>
        <w:t xml:space="preserve"> Farm in Benguet, an investee of the </w:t>
      </w:r>
      <w:r w:rsidR="001448AD">
        <w:rPr>
          <w:sz w:val="20"/>
          <w:szCs w:val="20"/>
        </w:rPr>
        <w:t>Macquarie–</w:t>
      </w:r>
      <w:r w:rsidRPr="008B700F">
        <w:rPr>
          <w:sz w:val="20"/>
          <w:szCs w:val="20"/>
        </w:rPr>
        <w:t>Investing in Women</w:t>
      </w:r>
      <w:r w:rsidR="001448AD">
        <w:rPr>
          <w:sz w:val="20"/>
          <w:szCs w:val="20"/>
        </w:rPr>
        <w:t xml:space="preserve"> R</w:t>
      </w:r>
      <w:r w:rsidRPr="008B700F">
        <w:rPr>
          <w:sz w:val="20"/>
          <w:szCs w:val="20"/>
        </w:rPr>
        <w:t>esponsive Interventions Supporting Entrepreneurs (RISE) Fund</w:t>
      </w:r>
      <w:r>
        <w:rPr>
          <w:sz w:val="20"/>
          <w:szCs w:val="20"/>
        </w:rPr>
        <w:br/>
      </w:r>
      <w:r w:rsidRPr="008B700F">
        <w:rPr>
          <w:sz w:val="20"/>
          <w:szCs w:val="20"/>
        </w:rPr>
        <w:t xml:space="preserve">Credit: </w:t>
      </w:r>
      <w:proofErr w:type="spellStart"/>
      <w:r w:rsidRPr="008B700F">
        <w:rPr>
          <w:sz w:val="20"/>
          <w:szCs w:val="20"/>
        </w:rPr>
        <w:t>Flordeliz</w:t>
      </w:r>
      <w:proofErr w:type="spellEnd"/>
      <w:r w:rsidRPr="008B700F">
        <w:rPr>
          <w:sz w:val="20"/>
          <w:szCs w:val="20"/>
        </w:rPr>
        <w:t xml:space="preserve"> </w:t>
      </w:r>
      <w:proofErr w:type="spellStart"/>
      <w:r w:rsidRPr="008B700F">
        <w:rPr>
          <w:sz w:val="20"/>
          <w:szCs w:val="20"/>
        </w:rPr>
        <w:t>Ranola</w:t>
      </w:r>
      <w:proofErr w:type="spellEnd"/>
      <w:r w:rsidRPr="008B700F">
        <w:rPr>
          <w:sz w:val="20"/>
          <w:szCs w:val="20"/>
        </w:rPr>
        <w:t xml:space="preserve">, </w:t>
      </w:r>
      <w:r w:rsidR="00AE075E">
        <w:rPr>
          <w:sz w:val="20"/>
          <w:szCs w:val="20"/>
        </w:rPr>
        <w:t>care of</w:t>
      </w:r>
      <w:r w:rsidRPr="008B700F">
        <w:rPr>
          <w:sz w:val="20"/>
          <w:szCs w:val="20"/>
        </w:rPr>
        <w:t xml:space="preserve"> Investing in Women</w:t>
      </w:r>
    </w:p>
    <w:p w14:paraId="4D155CD7" w14:textId="413C58BF" w:rsidR="00DF7CE2" w:rsidRPr="00E452F0" w:rsidRDefault="00A966CE" w:rsidP="00DF7CE2">
      <w:pPr>
        <w:spacing w:before="0" w:after="0"/>
        <w:rPr>
          <w:sz w:val="20"/>
          <w:szCs w:val="20"/>
        </w:rPr>
      </w:pPr>
      <w:r>
        <w:rPr>
          <w:sz w:val="20"/>
          <w:szCs w:val="20"/>
        </w:rPr>
        <w:t xml:space="preserve">Bottom </w:t>
      </w:r>
      <w:r w:rsidR="002E6110">
        <w:rPr>
          <w:sz w:val="20"/>
          <w:szCs w:val="20"/>
        </w:rPr>
        <w:t xml:space="preserve">row (from </w:t>
      </w:r>
      <w:r>
        <w:rPr>
          <w:sz w:val="20"/>
          <w:szCs w:val="20"/>
        </w:rPr>
        <w:t>l</w:t>
      </w:r>
      <w:r w:rsidR="00DF7CE2" w:rsidRPr="00E452F0">
        <w:rPr>
          <w:sz w:val="20"/>
          <w:szCs w:val="20"/>
        </w:rPr>
        <w:t>eft</w:t>
      </w:r>
      <w:r w:rsidR="002E6110">
        <w:rPr>
          <w:sz w:val="20"/>
          <w:szCs w:val="20"/>
        </w:rPr>
        <w:t xml:space="preserve"> to right)</w:t>
      </w:r>
      <w:r w:rsidR="00DF7CE2" w:rsidRPr="00E452F0">
        <w:rPr>
          <w:sz w:val="20"/>
          <w:szCs w:val="20"/>
        </w:rPr>
        <w:t>:</w:t>
      </w:r>
    </w:p>
    <w:p w14:paraId="479775B4" w14:textId="52C362D2" w:rsidR="00DF7CE2" w:rsidRPr="009F59F2" w:rsidRDefault="004F2F75" w:rsidP="008B700F">
      <w:pPr>
        <w:pStyle w:val="NormalBullets-L1"/>
        <w:rPr>
          <w:sz w:val="20"/>
          <w:szCs w:val="20"/>
        </w:rPr>
      </w:pPr>
      <w:r w:rsidRPr="008B700F">
        <w:rPr>
          <w:sz w:val="20"/>
          <w:szCs w:val="20"/>
        </w:rPr>
        <w:t xml:space="preserve">Members of the </w:t>
      </w:r>
      <w:proofErr w:type="spellStart"/>
      <w:r w:rsidRPr="008B700F">
        <w:rPr>
          <w:sz w:val="20"/>
          <w:szCs w:val="20"/>
        </w:rPr>
        <w:t>Asosasyon</w:t>
      </w:r>
      <w:proofErr w:type="spellEnd"/>
      <w:r w:rsidRPr="008B700F">
        <w:rPr>
          <w:sz w:val="20"/>
          <w:szCs w:val="20"/>
        </w:rPr>
        <w:t xml:space="preserve"> ng </w:t>
      </w:r>
      <w:proofErr w:type="spellStart"/>
      <w:r w:rsidRPr="008B700F">
        <w:rPr>
          <w:sz w:val="20"/>
          <w:szCs w:val="20"/>
        </w:rPr>
        <w:t>mga</w:t>
      </w:r>
      <w:proofErr w:type="spellEnd"/>
      <w:r w:rsidRPr="008B700F">
        <w:rPr>
          <w:sz w:val="20"/>
          <w:szCs w:val="20"/>
        </w:rPr>
        <w:t xml:space="preserve"> </w:t>
      </w:r>
      <w:proofErr w:type="spellStart"/>
      <w:r w:rsidRPr="008B700F">
        <w:rPr>
          <w:sz w:val="20"/>
          <w:szCs w:val="20"/>
        </w:rPr>
        <w:t>Maliliit</w:t>
      </w:r>
      <w:proofErr w:type="spellEnd"/>
      <w:r w:rsidRPr="008B700F">
        <w:rPr>
          <w:sz w:val="20"/>
          <w:szCs w:val="20"/>
        </w:rPr>
        <w:t xml:space="preserve"> </w:t>
      </w:r>
      <w:proofErr w:type="spellStart"/>
      <w:r w:rsidRPr="008B700F">
        <w:rPr>
          <w:sz w:val="20"/>
          <w:szCs w:val="20"/>
        </w:rPr>
        <w:t>na</w:t>
      </w:r>
      <w:proofErr w:type="spellEnd"/>
      <w:r w:rsidRPr="008B700F">
        <w:rPr>
          <w:sz w:val="20"/>
          <w:szCs w:val="20"/>
        </w:rPr>
        <w:t xml:space="preserve"> </w:t>
      </w:r>
      <w:proofErr w:type="spellStart"/>
      <w:r w:rsidRPr="008B700F">
        <w:rPr>
          <w:sz w:val="20"/>
          <w:szCs w:val="20"/>
        </w:rPr>
        <w:t>Mangingisda</w:t>
      </w:r>
      <w:proofErr w:type="spellEnd"/>
      <w:r w:rsidRPr="008B700F">
        <w:rPr>
          <w:sz w:val="20"/>
          <w:szCs w:val="20"/>
        </w:rPr>
        <w:t xml:space="preserve"> (Association of Small Fisherfolks) at their monitoring site for a sea cucumber farm in the northern Philippines (</w:t>
      </w:r>
      <w:r w:rsidR="009F59F2" w:rsidRPr="009F59F2">
        <w:rPr>
          <w:sz w:val="20"/>
          <w:szCs w:val="20"/>
        </w:rPr>
        <w:t>f</w:t>
      </w:r>
      <w:r w:rsidRPr="008B700F">
        <w:rPr>
          <w:sz w:val="20"/>
          <w:szCs w:val="20"/>
        </w:rPr>
        <w:t xml:space="preserve">rom </w:t>
      </w:r>
      <w:r w:rsidRPr="009F59F2">
        <w:rPr>
          <w:sz w:val="20"/>
          <w:szCs w:val="20"/>
        </w:rPr>
        <w:t>left to right</w:t>
      </w:r>
      <w:r w:rsidRPr="008B700F">
        <w:rPr>
          <w:sz w:val="20"/>
          <w:szCs w:val="20"/>
        </w:rPr>
        <w:t xml:space="preserve">: Enrico </w:t>
      </w:r>
      <w:proofErr w:type="spellStart"/>
      <w:r w:rsidRPr="008B700F">
        <w:rPr>
          <w:sz w:val="20"/>
          <w:szCs w:val="20"/>
        </w:rPr>
        <w:t>Caasi</w:t>
      </w:r>
      <w:proofErr w:type="spellEnd"/>
      <w:r w:rsidRPr="008B700F">
        <w:rPr>
          <w:sz w:val="20"/>
          <w:szCs w:val="20"/>
        </w:rPr>
        <w:t xml:space="preserve">, Roger </w:t>
      </w:r>
      <w:proofErr w:type="spellStart"/>
      <w:r w:rsidRPr="008B700F">
        <w:rPr>
          <w:sz w:val="20"/>
          <w:szCs w:val="20"/>
        </w:rPr>
        <w:t>Corbillon</w:t>
      </w:r>
      <w:proofErr w:type="spellEnd"/>
      <w:r w:rsidRPr="008B700F">
        <w:rPr>
          <w:sz w:val="20"/>
          <w:szCs w:val="20"/>
        </w:rPr>
        <w:t xml:space="preserve"> and Gemma </w:t>
      </w:r>
      <w:proofErr w:type="spellStart"/>
      <w:r w:rsidRPr="008B700F">
        <w:rPr>
          <w:sz w:val="20"/>
          <w:szCs w:val="20"/>
        </w:rPr>
        <w:t>Candelario</w:t>
      </w:r>
      <w:proofErr w:type="spellEnd"/>
      <w:r w:rsidRPr="008B700F">
        <w:rPr>
          <w:sz w:val="20"/>
          <w:szCs w:val="20"/>
        </w:rPr>
        <w:t>)</w:t>
      </w:r>
      <w:r w:rsidR="009F59F2">
        <w:rPr>
          <w:sz w:val="20"/>
          <w:szCs w:val="20"/>
        </w:rPr>
        <w:br/>
      </w:r>
      <w:r w:rsidRPr="008B700F">
        <w:rPr>
          <w:sz w:val="20"/>
          <w:szCs w:val="20"/>
        </w:rPr>
        <w:t>Credit: Shannon Lester Cristal Paraico, DFAT</w:t>
      </w:r>
    </w:p>
    <w:p w14:paraId="29B29F33" w14:textId="73F7CEA5" w:rsidR="00AE132C" w:rsidRPr="00A16C45" w:rsidRDefault="00877579" w:rsidP="00A16C45">
      <w:pPr>
        <w:pStyle w:val="NormalBullets-L1"/>
        <w:rPr>
          <w:rFonts w:asciiTheme="minorHAnsi" w:eastAsiaTheme="minorEastAsia" w:hAnsiTheme="minorHAnsi" w:cstheme="minorBidi"/>
          <w:b/>
          <w:bCs/>
          <w:i/>
          <w:iCs/>
          <w:sz w:val="20"/>
          <w:szCs w:val="20"/>
        </w:rPr>
      </w:pPr>
      <w:r w:rsidRPr="008B700F">
        <w:rPr>
          <w:sz w:val="20"/>
          <w:szCs w:val="20"/>
        </w:rPr>
        <w:t>Dr Dexter dela Cruz, Australian Alumnus of the Year 2023, working on coral reef restoration</w:t>
      </w:r>
      <w:r w:rsidR="00B328FA">
        <w:rPr>
          <w:sz w:val="20"/>
          <w:szCs w:val="20"/>
        </w:rPr>
        <w:br/>
      </w:r>
      <w:r w:rsidRPr="008B700F">
        <w:rPr>
          <w:sz w:val="20"/>
          <w:szCs w:val="20"/>
        </w:rPr>
        <w:t>Credit: Australia Awards and Alumni Engagement Program</w:t>
      </w:r>
      <w:r w:rsidR="009E20E6">
        <w:rPr>
          <w:sz w:val="20"/>
          <w:szCs w:val="20"/>
        </w:rPr>
        <w:t xml:space="preserve"> –</w:t>
      </w:r>
      <w:r w:rsidR="000117F9">
        <w:rPr>
          <w:sz w:val="20"/>
          <w:szCs w:val="20"/>
        </w:rPr>
        <w:t xml:space="preserve"> </w:t>
      </w:r>
      <w:r w:rsidRPr="008B700F">
        <w:rPr>
          <w:sz w:val="20"/>
          <w:szCs w:val="20"/>
        </w:rPr>
        <w:t>Philippines</w:t>
      </w:r>
    </w:p>
    <w:sectPr w:rsidR="00AE132C" w:rsidRPr="00A16C45" w:rsidSect="00CC50D4">
      <w:endnotePr>
        <w:numFmt w:val="decimal"/>
      </w:endnotePr>
      <w:type w:val="continuous"/>
      <w:pgSz w:w="11906" w:h="16838" w:code="9"/>
      <w:pgMar w:top="1418" w:right="851" w:bottom="284" w:left="851" w:header="34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5CA0" w14:textId="77777777" w:rsidR="000C510D" w:rsidRPr="008B700F" w:rsidRDefault="000C510D" w:rsidP="00EE32FE">
      <w:pPr>
        <w:spacing w:after="0" w:line="240" w:lineRule="auto"/>
        <w:rPr>
          <w:sz w:val="2"/>
          <w:szCs w:val="2"/>
        </w:rPr>
      </w:pPr>
    </w:p>
  </w:endnote>
  <w:endnote w:type="continuationSeparator" w:id="0">
    <w:p w14:paraId="13E14C86" w14:textId="77777777" w:rsidR="000C510D" w:rsidRDefault="000C510D" w:rsidP="00EE32FE">
      <w:pPr>
        <w:spacing w:after="0" w:line="240" w:lineRule="auto"/>
      </w:pPr>
      <w:r>
        <w:continuationSeparator/>
      </w:r>
    </w:p>
  </w:endnote>
  <w:endnote w:type="continuationNotice" w:id="1">
    <w:p w14:paraId="7A4731B5" w14:textId="77777777" w:rsidR="000C510D" w:rsidRDefault="000C510D">
      <w:pPr>
        <w:spacing w:after="0" w:line="240" w:lineRule="auto"/>
      </w:pPr>
    </w:p>
  </w:endnote>
  <w:endnote w:id="2">
    <w:p w14:paraId="1240E018" w14:textId="3E566AAC" w:rsidR="007A7768" w:rsidRDefault="007A7768">
      <w:pPr>
        <w:pStyle w:val="EndnoteText"/>
      </w:pPr>
      <w:r>
        <w:rPr>
          <w:rStyle w:val="EndnoteReference"/>
        </w:rPr>
        <w:endnoteRef/>
      </w:r>
      <w:r>
        <w:t xml:space="preserve"> </w:t>
      </w:r>
      <w:r w:rsidR="00BD67F3">
        <w:t>Australian Government Department of Foreign Affairs and Trade</w:t>
      </w:r>
      <w:r w:rsidR="003D09D9">
        <w:t xml:space="preserve">, </w:t>
      </w:r>
      <w:r w:rsidR="003D09D9" w:rsidRPr="008B700F">
        <w:rPr>
          <w:i/>
          <w:iCs/>
        </w:rPr>
        <w:t xml:space="preserve">Joint </w:t>
      </w:r>
      <w:r w:rsidR="003D09D9">
        <w:rPr>
          <w:i/>
          <w:iCs/>
        </w:rPr>
        <w:t>d</w:t>
      </w:r>
      <w:r w:rsidR="003D09D9" w:rsidRPr="008B700F">
        <w:rPr>
          <w:i/>
          <w:iCs/>
        </w:rPr>
        <w:t>eclaration on a Strategic Partnership between the Republic of the Philippines and the Commonwealth of Australia</w:t>
      </w:r>
      <w:r w:rsidR="00152B5E">
        <w:t xml:space="preserve">, 2023. </w:t>
      </w:r>
      <w:r w:rsidRPr="007A7768">
        <w:t>https://www.dfat.gov.au/countries/joint-declaration-strategic-partnership-between-republic-philippines-and-commonwealth-australia</w:t>
      </w:r>
    </w:p>
  </w:endnote>
  <w:endnote w:id="3">
    <w:p w14:paraId="1ECB7C82" w14:textId="410E1CD2" w:rsidR="00A07826" w:rsidRDefault="00A07826">
      <w:pPr>
        <w:pStyle w:val="EndnoteText"/>
      </w:pPr>
      <w:r>
        <w:rPr>
          <w:rStyle w:val="EndnoteReference"/>
        </w:rPr>
        <w:endnoteRef/>
      </w:r>
      <w:r>
        <w:t xml:space="preserve"> </w:t>
      </w:r>
      <w:r w:rsidR="00264732">
        <w:t>Development Intelligence Lab</w:t>
      </w:r>
      <w:r w:rsidR="008B5D05">
        <w:t xml:space="preserve">, </w:t>
      </w:r>
      <w:r w:rsidR="008B5D05" w:rsidRPr="008B700F">
        <w:rPr>
          <w:i/>
          <w:iCs/>
        </w:rPr>
        <w:t>Pulse check x Philippines</w:t>
      </w:r>
      <w:r w:rsidR="008B5D05">
        <w:t>, 202</w:t>
      </w:r>
      <w:r w:rsidR="001B067D">
        <w:t xml:space="preserve">4. </w:t>
      </w:r>
      <w:r w:rsidR="00264732" w:rsidRPr="00264732">
        <w:t>https://www.devintelligencelab.com/pulse-check-sea/philippines</w:t>
      </w:r>
    </w:p>
  </w:endnote>
  <w:endnote w:id="4">
    <w:p w14:paraId="04B5B232" w14:textId="79DC7FBD" w:rsidR="006C62E0" w:rsidRDefault="006C62E0">
      <w:pPr>
        <w:pStyle w:val="EndnoteText"/>
      </w:pPr>
      <w:r>
        <w:rPr>
          <w:rStyle w:val="EndnoteReference"/>
        </w:rPr>
        <w:endnoteRef/>
      </w:r>
      <w:r>
        <w:t xml:space="preserve"> </w:t>
      </w:r>
      <w:r w:rsidR="006A1805">
        <w:t xml:space="preserve">Government of the Philippines National Economic and Development Authority, </w:t>
      </w:r>
      <w:r w:rsidR="006A1805">
        <w:rPr>
          <w:i/>
          <w:iCs/>
        </w:rPr>
        <w:t>Philippine development plan 2023–</w:t>
      </w:r>
      <w:r w:rsidR="006A1805" w:rsidRPr="0054655D">
        <w:rPr>
          <w:i/>
          <w:iCs/>
        </w:rPr>
        <w:t>2028</w:t>
      </w:r>
      <w:r w:rsidR="006A1805">
        <w:t>, 2023</w:t>
      </w:r>
      <w:r w:rsidR="007D2A2A">
        <w:t>. p. 17</w:t>
      </w:r>
      <w:r w:rsidR="006A1805">
        <w:t xml:space="preserve">. </w:t>
      </w:r>
      <w:r w:rsidR="006A1805" w:rsidRPr="006A1805">
        <w:t>https://neda.gov.ph/philippine-development-plan-2023-2028/</w:t>
      </w:r>
    </w:p>
  </w:endnote>
  <w:endnote w:id="5">
    <w:p w14:paraId="729A2DCA" w14:textId="23F287FA" w:rsidR="00514D90" w:rsidRPr="000D7FF0" w:rsidRDefault="00514D90">
      <w:pPr>
        <w:pStyle w:val="EndnoteText"/>
      </w:pPr>
      <w:r>
        <w:rPr>
          <w:rStyle w:val="EndnoteReference"/>
        </w:rPr>
        <w:endnoteRef/>
      </w:r>
      <w:r>
        <w:t xml:space="preserve"> </w:t>
      </w:r>
      <w:r w:rsidR="005066E0">
        <w:t xml:space="preserve">Chandler Institute of Governance, </w:t>
      </w:r>
      <w:r w:rsidR="005066E0">
        <w:rPr>
          <w:i/>
          <w:iCs/>
        </w:rPr>
        <w:t xml:space="preserve">Chandler </w:t>
      </w:r>
      <w:r w:rsidR="000D7FF0">
        <w:rPr>
          <w:i/>
          <w:iCs/>
        </w:rPr>
        <w:t>G</w:t>
      </w:r>
      <w:r w:rsidR="005066E0">
        <w:rPr>
          <w:i/>
          <w:iCs/>
        </w:rPr>
        <w:t xml:space="preserve">ood </w:t>
      </w:r>
      <w:r w:rsidR="000D7FF0">
        <w:rPr>
          <w:i/>
          <w:iCs/>
        </w:rPr>
        <w:t>G</w:t>
      </w:r>
      <w:r w:rsidR="005066E0">
        <w:rPr>
          <w:i/>
          <w:iCs/>
        </w:rPr>
        <w:t xml:space="preserve">overnment </w:t>
      </w:r>
      <w:r w:rsidR="000D7FF0">
        <w:rPr>
          <w:i/>
          <w:iCs/>
        </w:rPr>
        <w:t>I</w:t>
      </w:r>
      <w:r w:rsidR="005066E0">
        <w:rPr>
          <w:i/>
          <w:iCs/>
        </w:rPr>
        <w:t>ndex</w:t>
      </w:r>
      <w:r w:rsidR="000D7FF0">
        <w:rPr>
          <w:i/>
          <w:iCs/>
        </w:rPr>
        <w:t>: 2024 report</w:t>
      </w:r>
      <w:r w:rsidR="000D7FF0">
        <w:t xml:space="preserve">, 2024. </w:t>
      </w:r>
      <w:r w:rsidR="004B25DF" w:rsidRPr="004B25DF">
        <w:t>https://chandlergovernmentindex.com/</w:t>
      </w:r>
    </w:p>
  </w:endnote>
  <w:endnote w:id="6">
    <w:p w14:paraId="5A3A5407" w14:textId="48050DCA" w:rsidR="00CE2D68" w:rsidRDefault="00CE2D68">
      <w:pPr>
        <w:pStyle w:val="EndnoteText"/>
      </w:pPr>
      <w:r>
        <w:rPr>
          <w:rStyle w:val="EndnoteReference"/>
        </w:rPr>
        <w:endnoteRef/>
      </w:r>
      <w:r>
        <w:t xml:space="preserve"> World Justice Project, </w:t>
      </w:r>
      <w:r w:rsidRPr="00DE3D66">
        <w:rPr>
          <w:i/>
          <w:iCs/>
        </w:rPr>
        <w:t xml:space="preserve">WJP </w:t>
      </w:r>
      <w:r w:rsidR="00201904">
        <w:rPr>
          <w:i/>
          <w:iCs/>
        </w:rPr>
        <w:t>R</w:t>
      </w:r>
      <w:r w:rsidRPr="00DE3D66">
        <w:rPr>
          <w:i/>
          <w:iCs/>
        </w:rPr>
        <w:t xml:space="preserve">ule of </w:t>
      </w:r>
      <w:r w:rsidR="00201904">
        <w:rPr>
          <w:i/>
          <w:iCs/>
        </w:rPr>
        <w:t>L</w:t>
      </w:r>
      <w:r w:rsidRPr="00DE3D66">
        <w:rPr>
          <w:i/>
          <w:iCs/>
        </w:rPr>
        <w:t xml:space="preserve">aw </w:t>
      </w:r>
      <w:r w:rsidR="00201904">
        <w:rPr>
          <w:i/>
          <w:iCs/>
        </w:rPr>
        <w:t>I</w:t>
      </w:r>
      <w:r w:rsidRPr="00DE3D66">
        <w:rPr>
          <w:i/>
          <w:iCs/>
        </w:rPr>
        <w:t>ndex</w:t>
      </w:r>
      <w:r w:rsidR="00C35E45">
        <w:t>, 202</w:t>
      </w:r>
      <w:r w:rsidR="004B25DF">
        <w:t>3</w:t>
      </w:r>
      <w:r w:rsidR="00C35E45">
        <w:t xml:space="preserve">. </w:t>
      </w:r>
      <w:r w:rsidR="008F100D" w:rsidRPr="008F100D">
        <w:t>https://worldjusticeproject.org/rule-of-law-index/global/2023/Philippines/</w:t>
      </w:r>
    </w:p>
  </w:endnote>
  <w:endnote w:id="7">
    <w:p w14:paraId="69871314" w14:textId="0554319C" w:rsidR="007B61C3" w:rsidRDefault="007B61C3">
      <w:pPr>
        <w:pStyle w:val="EndnoteText"/>
      </w:pPr>
      <w:r>
        <w:rPr>
          <w:rStyle w:val="EndnoteReference"/>
        </w:rPr>
        <w:endnoteRef/>
      </w:r>
      <w:r>
        <w:t xml:space="preserve"> Organisation for Economic Co-operation and Development, </w:t>
      </w:r>
      <w:r w:rsidR="00F9329C" w:rsidRPr="008B700F">
        <w:rPr>
          <w:i/>
          <w:iCs/>
        </w:rPr>
        <w:t>Programme for International Student Assessment</w:t>
      </w:r>
      <w:r w:rsidR="00F9329C">
        <w:t xml:space="preserve">, 2022. </w:t>
      </w:r>
      <w:r w:rsidR="00F9329C" w:rsidRPr="00F9329C">
        <w:t>https://www.oecd-ilibrary.org/education/pisa_19963777</w:t>
      </w:r>
    </w:p>
  </w:endnote>
  <w:endnote w:id="8">
    <w:p w14:paraId="35D6E9DC" w14:textId="676C80FF" w:rsidR="007B6ABC" w:rsidRDefault="007B6ABC">
      <w:pPr>
        <w:pStyle w:val="EndnoteText"/>
      </w:pPr>
      <w:r>
        <w:rPr>
          <w:rStyle w:val="EndnoteReference"/>
        </w:rPr>
        <w:endnoteRef/>
      </w:r>
      <w:r>
        <w:t xml:space="preserve"> </w:t>
      </w:r>
      <w:proofErr w:type="spellStart"/>
      <w:r w:rsidR="00AE075E" w:rsidRPr="00AE075E">
        <w:t>Bündnis</w:t>
      </w:r>
      <w:proofErr w:type="spellEnd"/>
      <w:r w:rsidR="00AE075E" w:rsidRPr="00AE075E">
        <w:t xml:space="preserve"> </w:t>
      </w:r>
      <w:proofErr w:type="spellStart"/>
      <w:r w:rsidR="00AE075E" w:rsidRPr="00AE075E">
        <w:t>Entwicklung</w:t>
      </w:r>
      <w:proofErr w:type="spellEnd"/>
      <w:r w:rsidR="00AE075E" w:rsidRPr="00AE075E">
        <w:t xml:space="preserve"> </w:t>
      </w:r>
      <w:proofErr w:type="spellStart"/>
      <w:r w:rsidR="00AE075E" w:rsidRPr="00AE075E">
        <w:t>Hilft</w:t>
      </w:r>
      <w:proofErr w:type="spellEnd"/>
      <w:r w:rsidR="00CA7EF2">
        <w:t xml:space="preserve">, </w:t>
      </w:r>
      <w:proofErr w:type="spellStart"/>
      <w:r w:rsidR="00A26172" w:rsidRPr="008B700F">
        <w:rPr>
          <w:i/>
          <w:iCs/>
        </w:rPr>
        <w:t>World</w:t>
      </w:r>
      <w:r w:rsidR="00BB034C">
        <w:rPr>
          <w:i/>
          <w:iCs/>
        </w:rPr>
        <w:t>R</w:t>
      </w:r>
      <w:r w:rsidR="00A26172" w:rsidRPr="008B700F">
        <w:rPr>
          <w:i/>
          <w:iCs/>
        </w:rPr>
        <w:t>isk</w:t>
      </w:r>
      <w:r w:rsidR="00BB034C">
        <w:rPr>
          <w:i/>
          <w:iCs/>
        </w:rPr>
        <w:t>R</w:t>
      </w:r>
      <w:r w:rsidR="00A26172" w:rsidRPr="008B700F">
        <w:rPr>
          <w:i/>
          <w:iCs/>
        </w:rPr>
        <w:t>eport</w:t>
      </w:r>
      <w:proofErr w:type="spellEnd"/>
      <w:r w:rsidR="00A26172" w:rsidRPr="008B700F">
        <w:rPr>
          <w:i/>
          <w:iCs/>
        </w:rPr>
        <w:t xml:space="preserve"> 2023</w:t>
      </w:r>
      <w:r w:rsidR="00A26172">
        <w:t xml:space="preserve">, 2023. </w:t>
      </w:r>
      <w:r w:rsidR="00A26172" w:rsidRPr="00A26172">
        <w:t>https://weltrisikobericht.de/en/</w:t>
      </w:r>
    </w:p>
  </w:endnote>
  <w:endnote w:id="9">
    <w:p w14:paraId="651BCBD1" w14:textId="78AD351F" w:rsidR="00F922B5" w:rsidRDefault="00F922B5">
      <w:pPr>
        <w:pStyle w:val="EndnoteText"/>
      </w:pPr>
      <w:r>
        <w:rPr>
          <w:rStyle w:val="EndnoteReference"/>
        </w:rPr>
        <w:endnoteRef/>
      </w:r>
      <w:r>
        <w:t xml:space="preserve"> United Nations Development Programme, </w:t>
      </w:r>
      <w:r w:rsidRPr="008B700F">
        <w:rPr>
          <w:i/>
          <w:iCs/>
        </w:rPr>
        <w:t>2023 Gender Social Norms Index (G</w:t>
      </w:r>
      <w:r w:rsidR="00734FA3">
        <w:rPr>
          <w:i/>
          <w:iCs/>
        </w:rPr>
        <w:t>S</w:t>
      </w:r>
      <w:r w:rsidRPr="008B700F">
        <w:rPr>
          <w:i/>
          <w:iCs/>
        </w:rPr>
        <w:t>NI)</w:t>
      </w:r>
      <w:r>
        <w:t xml:space="preserve">, 2023. </w:t>
      </w:r>
      <w:r w:rsidRPr="00F922B5">
        <w:t>https://hdr.undp.org/content/2023-gender-social-norms-index-gsni#/indicies/GSNI</w:t>
      </w:r>
    </w:p>
  </w:endnote>
  <w:endnote w:id="10">
    <w:p w14:paraId="09198ABA" w14:textId="3B904F00" w:rsidR="00377DCD" w:rsidRDefault="00377DCD">
      <w:pPr>
        <w:pStyle w:val="EndnoteText"/>
      </w:pPr>
      <w:r>
        <w:rPr>
          <w:rStyle w:val="EndnoteReference"/>
        </w:rPr>
        <w:endnoteRef/>
      </w:r>
      <w:r>
        <w:t xml:space="preserve"> World Bank Group, </w:t>
      </w:r>
      <w:r w:rsidRPr="008B700F">
        <w:rPr>
          <w:i/>
          <w:iCs/>
        </w:rPr>
        <w:t>Doing business 2020</w:t>
      </w:r>
      <w:r>
        <w:t>, 2020</w:t>
      </w:r>
      <w:r w:rsidR="008D2131">
        <w:t xml:space="preserve">. </w:t>
      </w:r>
      <w:r w:rsidR="008D2131" w:rsidRPr="008D2131">
        <w:t>https://openknowledge.worldbank.org/server/api/core/bitstreams/75ea67f9-4bcb-5766-ada6-6963a992d64c/content</w:t>
      </w:r>
    </w:p>
  </w:endnote>
  <w:endnote w:id="11">
    <w:p w14:paraId="4D48FBDE" w14:textId="367C1F23" w:rsidR="00A738E0" w:rsidRDefault="00A738E0">
      <w:pPr>
        <w:pStyle w:val="EndnoteText"/>
      </w:pPr>
      <w:r>
        <w:rPr>
          <w:rStyle w:val="EndnoteReference"/>
        </w:rPr>
        <w:endnoteRef/>
      </w:r>
      <w:r>
        <w:t xml:space="preserve"> N Moore, </w:t>
      </w:r>
      <w:r w:rsidR="00CF2B69" w:rsidRPr="008B700F">
        <w:rPr>
          <w:i/>
          <w:iCs/>
        </w:rPr>
        <w:t xml:space="preserve">Invested: Australia’s Southeast Asia </w:t>
      </w:r>
      <w:r w:rsidR="00CF2B69">
        <w:rPr>
          <w:i/>
          <w:iCs/>
        </w:rPr>
        <w:t>e</w:t>
      </w:r>
      <w:r w:rsidR="00CF2B69" w:rsidRPr="008B700F">
        <w:rPr>
          <w:i/>
          <w:iCs/>
        </w:rPr>
        <w:t xml:space="preserve">conomic </w:t>
      </w:r>
      <w:r w:rsidR="00CF2B69">
        <w:rPr>
          <w:i/>
          <w:iCs/>
        </w:rPr>
        <w:t>s</w:t>
      </w:r>
      <w:r w:rsidR="00CF2B69" w:rsidRPr="008B700F">
        <w:rPr>
          <w:i/>
          <w:iCs/>
        </w:rPr>
        <w:t>trategy to 2040</w:t>
      </w:r>
      <w:r w:rsidR="00CF2B69">
        <w:t xml:space="preserve">, 2023. </w:t>
      </w:r>
      <w:r w:rsidR="00CF2B69" w:rsidRPr="00CF2B69">
        <w:t>https://www.dfat.gov.au/southeastasiaeconomicstrategy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01CA" w14:textId="77777777" w:rsidR="008B3595" w:rsidRDefault="008B3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31D6" w14:textId="69044E6E" w:rsidR="00011229" w:rsidRPr="00EC3C2B" w:rsidRDefault="006C10C7" w:rsidP="00DD44EA">
    <w:pPr>
      <w:pStyle w:val="Footer"/>
      <w:jc w:val="center"/>
      <w:rPr>
        <w:color w:val="FFFFFF" w:themeColor="background1"/>
      </w:rPr>
    </w:pPr>
    <w:sdt>
      <w:sdtPr>
        <w:id w:val="-530651449"/>
        <w:docPartObj>
          <w:docPartGallery w:val="Page Numbers (Bottom of Page)"/>
          <w:docPartUnique/>
        </w:docPartObj>
      </w:sdtPr>
      <w:sdtEndPr>
        <w:rPr>
          <w:color w:val="FFFFFF" w:themeColor="background1"/>
        </w:rPr>
      </w:sdtEndPr>
      <w:sdtContent/>
    </w:sdt>
    <w:r w:rsidR="005573E8">
      <w:fldChar w:fldCharType="begin"/>
    </w:r>
    <w:r w:rsidR="005573E8">
      <w:instrText xml:space="preserve"> PAGE   \* MERGEFORMAT </w:instrText>
    </w:r>
    <w:r w:rsidR="005573E8">
      <w:fldChar w:fldCharType="separate"/>
    </w:r>
    <w:r w:rsidR="005573E8">
      <w:t>1</w:t>
    </w:r>
    <w:r w:rsidR="005573E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477A" w14:textId="77777777" w:rsidR="008B3595" w:rsidRDefault="008B35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9A86" w14:textId="7121D43E" w:rsidR="0095666B" w:rsidRPr="0095666B" w:rsidRDefault="00046DCA" w:rsidP="00DD44E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306D" w14:textId="3810C4CA" w:rsidR="00011229" w:rsidRPr="005E31B1" w:rsidRDefault="005E31B1" w:rsidP="00E52220">
    <w:pPr>
      <w:pStyle w:val="Footer"/>
      <w:jc w:val="center"/>
    </w:pPr>
    <w:r w:rsidRPr="005E31B1">
      <w:rPr>
        <w:noProof/>
      </w:rPr>
      <w:fldChar w:fldCharType="begin"/>
    </w:r>
    <w:r w:rsidRPr="005E31B1">
      <w:rPr>
        <w:noProof/>
      </w:rPr>
      <w:instrText xml:space="preserve"> PAGE   \* MERGEFORMAT </w:instrText>
    </w:r>
    <w:r w:rsidRPr="005E31B1">
      <w:rPr>
        <w:noProof/>
      </w:rPr>
      <w:fldChar w:fldCharType="separate"/>
    </w:r>
    <w:r w:rsidRPr="005E31B1">
      <w:rPr>
        <w:noProof/>
      </w:rPr>
      <w:t>1</w:t>
    </w:r>
    <w:r w:rsidRPr="005E31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3BC4" w14:textId="77777777" w:rsidR="000C510D" w:rsidRDefault="000C510D" w:rsidP="00EE32FE">
      <w:pPr>
        <w:spacing w:after="0" w:line="240" w:lineRule="auto"/>
      </w:pPr>
      <w:r>
        <w:separator/>
      </w:r>
    </w:p>
  </w:footnote>
  <w:footnote w:type="continuationSeparator" w:id="0">
    <w:p w14:paraId="782C4CDB" w14:textId="77777777" w:rsidR="000C510D" w:rsidRDefault="000C510D" w:rsidP="00EE32FE">
      <w:pPr>
        <w:spacing w:after="0" w:line="240" w:lineRule="auto"/>
      </w:pPr>
      <w:r>
        <w:continuationSeparator/>
      </w:r>
    </w:p>
  </w:footnote>
  <w:footnote w:type="continuationNotice" w:id="1">
    <w:p w14:paraId="0A682736" w14:textId="77777777" w:rsidR="000C510D" w:rsidRDefault="000C5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9481" w14:textId="77777777" w:rsidR="008B3595" w:rsidRDefault="008B3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D79A" w14:textId="3D2C56A2" w:rsidR="00011229" w:rsidRPr="00B63B50" w:rsidRDefault="00011229" w:rsidP="002305CC">
    <w:pPr>
      <w:pStyle w:val="SECCLASSIFICATION"/>
      <w:rPr>
        <w:color w:val="FFFFFF" w:themeColor="background1"/>
      </w:rPr>
    </w:pPr>
    <w:r w:rsidRPr="00B63B50">
      <w:rPr>
        <w:color w:val="FFFFFF" w:themeColor="background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0A45" w14:textId="72D79A7C" w:rsidR="00011229" w:rsidRDefault="00961678" w:rsidP="008B3595">
    <w:pPr>
      <w:pStyle w:val="Header"/>
      <w:tabs>
        <w:tab w:val="clear" w:pos="4513"/>
        <w:tab w:val="clear" w:pos="9026"/>
        <w:tab w:val="left" w:pos="770"/>
      </w:tabs>
    </w:pPr>
    <w:r>
      <w:rPr>
        <w:noProof/>
      </w:rPr>
      <w:drawing>
        <wp:anchor distT="0" distB="0" distL="114300" distR="114300" simplePos="0" relativeHeight="251659277" behindDoc="1" locked="0" layoutInCell="1" allowOverlap="1" wp14:anchorId="160275C9" wp14:editId="06149079">
          <wp:simplePos x="0" y="0"/>
          <wp:positionH relativeFrom="column">
            <wp:posOffset>-531332</wp:posOffset>
          </wp:positionH>
          <wp:positionV relativeFrom="paragraph">
            <wp:posOffset>-234007</wp:posOffset>
          </wp:positionV>
          <wp:extent cx="7563600" cy="10699200"/>
          <wp:effectExtent l="0" t="0" r="0" b="6985"/>
          <wp:wrapNone/>
          <wp:docPr id="189566945" name="Picture 8" descr="Australian Government Department of Foreign Affairs and Trade banner.&#10;Photographs of: (left top) Krishna Bagas, a participant in the Strengthening Women’s Economic Empowerment and Just Energy Transition for Community and Climate Resilience project; (right top) Norma Saltico of Normalou Farm in Benguet, an investee of the Macquarie–Investing in Women Responsive Interventions Supporting Entrepreneurs (RISE) Fund; (left bottom) members of the Asosasyon ng mga Maliliit na Mangingisda (Association of Small Fisherfolks) at their monitoring site for a sea cucumber farm in the northern Philippines (from left to right: Enrico Caasi, Roger Corbillon and Gemma Candelario); and (right bottom) Dr Dexter dela Cruz, Australian Alumnus of the Year 2023, working on coral reef rest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6945" name="Picture 8" descr="Australian Government Department of Foreign Affairs and Trade banner.&#10;Photographs of: (left top) Krishna Bagas, a participant in the Strengthening Women’s Economic Empowerment and Just Energy Transition for Community and Climate Resilience project; (right top) Norma Saltico of Normalou Farm in Benguet, an investee of the Macquarie–Investing in Women Responsive Interventions Supporting Entrepreneurs (RISE) Fund; (left bottom) members of the Asosasyon ng mga Maliliit na Mangingisda (Association of Small Fisherfolks) at their monitoring site for a sea cucumber farm in the northern Philippines (from left to right: Enrico Caasi, Roger Corbillon and Gemma Candelario); and (right bottom) Dr Dexter dela Cruz, Australian Alumnus of the Year 2023, working on coral reef resto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106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3477" w14:textId="28AC32B3" w:rsidR="00D0298A" w:rsidRPr="00B63B50" w:rsidRDefault="00D0298A" w:rsidP="002305CC">
    <w:pPr>
      <w:pStyle w:val="SECCLASSIFICATION"/>
      <w:rPr>
        <w:color w:val="FFFFFF" w:themeColor="background1"/>
      </w:rPr>
    </w:pPr>
    <w:r w:rsidRPr="00B63B50">
      <w:rPr>
        <w:color w:val="FFFFFF" w:themeColor="background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20D" w14:textId="63BDAAD6" w:rsidR="00011229" w:rsidRPr="00B63B50" w:rsidRDefault="00011229" w:rsidP="002305CC">
    <w:pPr>
      <w:pStyle w:val="SECCLASSIFICATION"/>
      <w:rPr>
        <w:color w:val="FFFFFF" w:themeColor="background1"/>
      </w:rPr>
    </w:pPr>
    <w:r w:rsidRPr="00B63B50">
      <w:rPr>
        <w:color w:val="FFFFFF" w:themeColor="background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85DD" w14:textId="4C58AEBE" w:rsidR="00011229" w:rsidRDefault="00011229" w:rsidP="00FD087B">
    <w:pPr>
      <w:pStyle w:val="Header"/>
      <w:tabs>
        <w:tab w:val="left" w:pos="2127"/>
      </w:tabs>
    </w:pPr>
    <w:r>
      <w:rPr>
        <w:noProof/>
        <w:lang w:eastAsia="en-AU"/>
      </w:rPr>
      <mc:AlternateContent>
        <mc:Choice Requires="wps">
          <w:drawing>
            <wp:anchor distT="0" distB="0" distL="114300" distR="114300" simplePos="0" relativeHeight="251658253" behindDoc="0" locked="0" layoutInCell="1" allowOverlap="1" wp14:anchorId="650BD6E1" wp14:editId="0D42C097">
              <wp:simplePos x="0" y="0"/>
              <wp:positionH relativeFrom="column">
                <wp:posOffset>-429067</wp:posOffset>
              </wp:positionH>
              <wp:positionV relativeFrom="paragraph">
                <wp:posOffset>1612900</wp:posOffset>
              </wp:positionV>
              <wp:extent cx="7354957" cy="6464410"/>
              <wp:effectExtent l="0" t="0" r="0" b="0"/>
              <wp:wrapNone/>
              <wp:docPr id="10" name="Rectangle 10"/>
              <wp:cNvGraphicFramePr/>
              <a:graphic xmlns:a="http://schemas.openxmlformats.org/drawingml/2006/main">
                <a:graphicData uri="http://schemas.microsoft.com/office/word/2010/wordprocessingShape">
                  <wps:wsp>
                    <wps:cNvSpPr/>
                    <wps:spPr>
                      <a:xfrm>
                        <a:off x="0" y="0"/>
                        <a:ext cx="7354957" cy="646441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5747CA" id="Rectangle 10" o:spid="_x0000_s1026" style="position:absolute;margin-left:-33.8pt;margin-top:127pt;width:579.15pt;height:50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" fillcolor="white [3212]" stroked="f" strokeweight="1pt"/>
          </w:pict>
        </mc:Fallback>
      </mc:AlternateContent>
    </w:r>
    <w:r>
      <w:rPr>
        <w:noProof/>
        <w:lang w:eastAsia="en-AU"/>
      </w:rPr>
      <mc:AlternateContent>
        <mc:Choice Requires="wps">
          <w:drawing>
            <wp:anchor distT="0" distB="0" distL="114300" distR="114300" simplePos="0" relativeHeight="251658252" behindDoc="0" locked="0" layoutInCell="1" allowOverlap="1" wp14:anchorId="1CF5B884" wp14:editId="6BF03B3C">
              <wp:simplePos x="0" y="0"/>
              <wp:positionH relativeFrom="column">
                <wp:posOffset>3538634</wp:posOffset>
              </wp:positionH>
              <wp:positionV relativeFrom="paragraph">
                <wp:posOffset>579230</wp:posOffset>
              </wp:positionV>
              <wp:extent cx="3363402" cy="1900362"/>
              <wp:effectExtent l="0" t="0" r="8890" b="5080"/>
              <wp:wrapNone/>
              <wp:docPr id="6" name="Rectangle 6"/>
              <wp:cNvGraphicFramePr/>
              <a:graphic xmlns:a="http://schemas.openxmlformats.org/drawingml/2006/main">
                <a:graphicData uri="http://schemas.microsoft.com/office/word/2010/wordprocessingShape">
                  <wps:wsp>
                    <wps:cNvSpPr/>
                    <wps:spPr>
                      <a:xfrm>
                        <a:off x="0" y="0"/>
                        <a:ext cx="3363402" cy="190036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A42F8B8" id="Rectangle 6" o:spid="_x0000_s1026" style="position:absolute;margin-left:278.65pt;margin-top:45.6pt;width:264.85pt;height:149.6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0F2"/>
    <w:multiLevelType w:val="hybridMultilevel"/>
    <w:tmpl w:val="8174A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863C3"/>
    <w:multiLevelType w:val="hybridMultilevel"/>
    <w:tmpl w:val="3BB4F288"/>
    <w:lvl w:ilvl="0" w:tplc="806C2AA0">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790559"/>
    <w:multiLevelType w:val="hybridMultilevel"/>
    <w:tmpl w:val="90BE2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5664C0"/>
    <w:multiLevelType w:val="hybridMultilevel"/>
    <w:tmpl w:val="BC7A0B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9E12CEF"/>
    <w:multiLevelType w:val="hybridMultilevel"/>
    <w:tmpl w:val="0AE2F426"/>
    <w:lvl w:ilvl="0" w:tplc="C370500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B2B62"/>
    <w:multiLevelType w:val="hybridMultilevel"/>
    <w:tmpl w:val="C9322540"/>
    <w:lvl w:ilvl="0" w:tplc="FFFFFFFF">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6667B2"/>
    <w:multiLevelType w:val="hybridMultilevel"/>
    <w:tmpl w:val="DF7E9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7B88DE"/>
    <w:multiLevelType w:val="hybridMultilevel"/>
    <w:tmpl w:val="600E5D62"/>
    <w:lvl w:ilvl="0" w:tplc="EED4BCAC">
      <w:start w:val="1"/>
      <w:numFmt w:val="bullet"/>
      <w:lvlText w:val=""/>
      <w:lvlJc w:val="left"/>
      <w:pPr>
        <w:ind w:left="720" w:hanging="360"/>
      </w:pPr>
      <w:rPr>
        <w:rFonts w:ascii="Symbol" w:hAnsi="Symbol" w:hint="default"/>
      </w:rPr>
    </w:lvl>
    <w:lvl w:ilvl="1" w:tplc="CA825D50">
      <w:start w:val="1"/>
      <w:numFmt w:val="bullet"/>
      <w:lvlText w:val="o"/>
      <w:lvlJc w:val="left"/>
      <w:pPr>
        <w:ind w:left="1440" w:hanging="360"/>
      </w:pPr>
      <w:rPr>
        <w:rFonts w:ascii="Courier New" w:hAnsi="Courier New" w:hint="default"/>
      </w:rPr>
    </w:lvl>
    <w:lvl w:ilvl="2" w:tplc="541C1910">
      <w:start w:val="1"/>
      <w:numFmt w:val="bullet"/>
      <w:lvlText w:val=""/>
      <w:lvlJc w:val="left"/>
      <w:pPr>
        <w:ind w:left="2160" w:hanging="360"/>
      </w:pPr>
      <w:rPr>
        <w:rFonts w:ascii="Wingdings" w:hAnsi="Wingdings" w:hint="default"/>
      </w:rPr>
    </w:lvl>
    <w:lvl w:ilvl="3" w:tplc="C9ECD5C0">
      <w:start w:val="1"/>
      <w:numFmt w:val="bullet"/>
      <w:lvlText w:val=""/>
      <w:lvlJc w:val="left"/>
      <w:pPr>
        <w:ind w:left="2880" w:hanging="360"/>
      </w:pPr>
      <w:rPr>
        <w:rFonts w:ascii="Symbol" w:hAnsi="Symbol" w:hint="default"/>
      </w:rPr>
    </w:lvl>
    <w:lvl w:ilvl="4" w:tplc="C2FE284C">
      <w:start w:val="1"/>
      <w:numFmt w:val="bullet"/>
      <w:lvlText w:val="o"/>
      <w:lvlJc w:val="left"/>
      <w:pPr>
        <w:ind w:left="3600" w:hanging="360"/>
      </w:pPr>
      <w:rPr>
        <w:rFonts w:ascii="Courier New" w:hAnsi="Courier New" w:hint="default"/>
      </w:rPr>
    </w:lvl>
    <w:lvl w:ilvl="5" w:tplc="3D86C422">
      <w:start w:val="1"/>
      <w:numFmt w:val="bullet"/>
      <w:lvlText w:val=""/>
      <w:lvlJc w:val="left"/>
      <w:pPr>
        <w:ind w:left="4320" w:hanging="360"/>
      </w:pPr>
      <w:rPr>
        <w:rFonts w:ascii="Wingdings" w:hAnsi="Wingdings" w:hint="default"/>
      </w:rPr>
    </w:lvl>
    <w:lvl w:ilvl="6" w:tplc="D9AA0E1C">
      <w:start w:val="1"/>
      <w:numFmt w:val="bullet"/>
      <w:lvlText w:val=""/>
      <w:lvlJc w:val="left"/>
      <w:pPr>
        <w:ind w:left="5040" w:hanging="360"/>
      </w:pPr>
      <w:rPr>
        <w:rFonts w:ascii="Symbol" w:hAnsi="Symbol" w:hint="default"/>
      </w:rPr>
    </w:lvl>
    <w:lvl w:ilvl="7" w:tplc="C09836F2">
      <w:start w:val="1"/>
      <w:numFmt w:val="bullet"/>
      <w:lvlText w:val="o"/>
      <w:lvlJc w:val="left"/>
      <w:pPr>
        <w:ind w:left="5760" w:hanging="360"/>
      </w:pPr>
      <w:rPr>
        <w:rFonts w:ascii="Courier New" w:hAnsi="Courier New" w:hint="default"/>
      </w:rPr>
    </w:lvl>
    <w:lvl w:ilvl="8" w:tplc="706EBE68">
      <w:start w:val="1"/>
      <w:numFmt w:val="bullet"/>
      <w:lvlText w:val=""/>
      <w:lvlJc w:val="left"/>
      <w:pPr>
        <w:ind w:left="6480" w:hanging="360"/>
      </w:pPr>
      <w:rPr>
        <w:rFonts w:ascii="Wingdings" w:hAnsi="Wingdings" w:hint="default"/>
      </w:rPr>
    </w:lvl>
  </w:abstractNum>
  <w:abstractNum w:abstractNumId="8" w15:restartNumberingAfterBreak="0">
    <w:nsid w:val="11CC7DD8"/>
    <w:multiLevelType w:val="hybridMultilevel"/>
    <w:tmpl w:val="3E349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start w:val="1"/>
      <w:numFmt w:val="bullet"/>
      <w:lvlText w:val="o"/>
      <w:lvlJc w:val="left"/>
      <w:pPr>
        <w:ind w:left="1592" w:hanging="360"/>
      </w:pPr>
      <w:rPr>
        <w:rFonts w:ascii="Courier New" w:hAnsi="Courier New" w:cs="Courier New" w:hint="default"/>
      </w:rPr>
    </w:lvl>
    <w:lvl w:ilvl="2" w:tplc="0C090005">
      <w:start w:val="1"/>
      <w:numFmt w:val="bullet"/>
      <w:lvlText w:val=""/>
      <w:lvlJc w:val="left"/>
      <w:pPr>
        <w:ind w:left="2312" w:hanging="360"/>
      </w:pPr>
      <w:rPr>
        <w:rFonts w:ascii="Wingdings" w:hAnsi="Wingdings" w:hint="default"/>
      </w:rPr>
    </w:lvl>
    <w:lvl w:ilvl="3" w:tplc="0C090001">
      <w:start w:val="1"/>
      <w:numFmt w:val="bullet"/>
      <w:lvlText w:val=""/>
      <w:lvlJc w:val="left"/>
      <w:pPr>
        <w:ind w:left="3032" w:hanging="360"/>
      </w:pPr>
      <w:rPr>
        <w:rFonts w:ascii="Symbol" w:hAnsi="Symbol" w:hint="default"/>
      </w:rPr>
    </w:lvl>
    <w:lvl w:ilvl="4" w:tplc="0C090003">
      <w:start w:val="1"/>
      <w:numFmt w:val="bullet"/>
      <w:lvlText w:val="o"/>
      <w:lvlJc w:val="left"/>
      <w:pPr>
        <w:ind w:left="3752" w:hanging="360"/>
      </w:pPr>
      <w:rPr>
        <w:rFonts w:ascii="Courier New" w:hAnsi="Courier New" w:cs="Courier New" w:hint="default"/>
      </w:rPr>
    </w:lvl>
    <w:lvl w:ilvl="5" w:tplc="0C090005">
      <w:start w:val="1"/>
      <w:numFmt w:val="bullet"/>
      <w:lvlText w:val=""/>
      <w:lvlJc w:val="left"/>
      <w:pPr>
        <w:ind w:left="4472" w:hanging="360"/>
      </w:pPr>
      <w:rPr>
        <w:rFonts w:ascii="Wingdings" w:hAnsi="Wingdings" w:hint="default"/>
      </w:rPr>
    </w:lvl>
    <w:lvl w:ilvl="6" w:tplc="0C090001">
      <w:start w:val="1"/>
      <w:numFmt w:val="bullet"/>
      <w:lvlText w:val=""/>
      <w:lvlJc w:val="left"/>
      <w:pPr>
        <w:ind w:left="5192" w:hanging="360"/>
      </w:pPr>
      <w:rPr>
        <w:rFonts w:ascii="Symbol" w:hAnsi="Symbol" w:hint="default"/>
      </w:rPr>
    </w:lvl>
    <w:lvl w:ilvl="7" w:tplc="0C090003">
      <w:start w:val="1"/>
      <w:numFmt w:val="bullet"/>
      <w:lvlText w:val="o"/>
      <w:lvlJc w:val="left"/>
      <w:pPr>
        <w:ind w:left="5912" w:hanging="360"/>
      </w:pPr>
      <w:rPr>
        <w:rFonts w:ascii="Courier New" w:hAnsi="Courier New" w:cs="Courier New" w:hint="default"/>
      </w:rPr>
    </w:lvl>
    <w:lvl w:ilvl="8" w:tplc="0C090005">
      <w:start w:val="1"/>
      <w:numFmt w:val="bullet"/>
      <w:lvlText w:val=""/>
      <w:lvlJc w:val="left"/>
      <w:pPr>
        <w:ind w:left="6632" w:hanging="360"/>
      </w:pPr>
      <w:rPr>
        <w:rFonts w:ascii="Wingdings" w:hAnsi="Wingdings" w:hint="default"/>
      </w:rPr>
    </w:lvl>
  </w:abstractNum>
  <w:abstractNum w:abstractNumId="10" w15:restartNumberingAfterBreak="0">
    <w:nsid w:val="1DD53D2A"/>
    <w:multiLevelType w:val="hybridMultilevel"/>
    <w:tmpl w:val="957AE984"/>
    <w:lvl w:ilvl="0" w:tplc="229039E2">
      <w:start w:val="1"/>
      <w:numFmt w:val="bullet"/>
      <w:pStyle w:val="NormalBullets-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2D7028"/>
    <w:multiLevelType w:val="hybridMultilevel"/>
    <w:tmpl w:val="0794046C"/>
    <w:lvl w:ilvl="0" w:tplc="19B0D4A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20722D2"/>
    <w:multiLevelType w:val="hybridMultilevel"/>
    <w:tmpl w:val="3BB05A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8AA4C4C"/>
    <w:multiLevelType w:val="hybridMultilevel"/>
    <w:tmpl w:val="ACB63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1218D"/>
    <w:multiLevelType w:val="hybridMultilevel"/>
    <w:tmpl w:val="8612D6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573158"/>
    <w:multiLevelType w:val="hybridMultilevel"/>
    <w:tmpl w:val="64800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040BD2"/>
    <w:multiLevelType w:val="hybridMultilevel"/>
    <w:tmpl w:val="4366F4D8"/>
    <w:lvl w:ilvl="0" w:tplc="2C5E754A">
      <w:start w:val="1"/>
      <w:numFmt w:val="decimal"/>
      <w:lvlText w:val="%1."/>
      <w:lvlJc w:val="center"/>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4735664"/>
    <w:multiLevelType w:val="hybridMultilevel"/>
    <w:tmpl w:val="567A0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95DB4"/>
    <w:multiLevelType w:val="hybridMultilevel"/>
    <w:tmpl w:val="D472A79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61B5CE3"/>
    <w:multiLevelType w:val="hybridMultilevel"/>
    <w:tmpl w:val="2A4617D8"/>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1A1E04"/>
    <w:multiLevelType w:val="hybridMultilevel"/>
    <w:tmpl w:val="82489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396311"/>
    <w:multiLevelType w:val="hybridMultilevel"/>
    <w:tmpl w:val="8612D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C618EB"/>
    <w:multiLevelType w:val="hybridMultilevel"/>
    <w:tmpl w:val="AFA288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F93BC9"/>
    <w:multiLevelType w:val="hybridMultilevel"/>
    <w:tmpl w:val="040CB4B4"/>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5" w15:restartNumberingAfterBreak="0">
    <w:nsid w:val="3E4943B1"/>
    <w:multiLevelType w:val="multilevel"/>
    <w:tmpl w:val="C4E2A3E0"/>
    <w:lvl w:ilvl="0">
      <w:start w:val="1"/>
      <w:numFmt w:val="bullet"/>
      <w:pStyle w:val="NormalBullets-L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983D19"/>
    <w:multiLevelType w:val="hybridMultilevel"/>
    <w:tmpl w:val="4FC0FBBE"/>
    <w:lvl w:ilvl="0" w:tplc="6DEA0B58">
      <w:start w:val="1"/>
      <w:numFmt w:val="bullet"/>
      <w:pStyle w:val="NormalBullets-L3"/>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580FB7"/>
    <w:multiLevelType w:val="hybridMultilevel"/>
    <w:tmpl w:val="055ACAB4"/>
    <w:lvl w:ilvl="0" w:tplc="2FE821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77873"/>
    <w:multiLevelType w:val="hybridMultilevel"/>
    <w:tmpl w:val="10D8807C"/>
    <w:lvl w:ilvl="0" w:tplc="6926396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0A406D"/>
    <w:multiLevelType w:val="hybridMultilevel"/>
    <w:tmpl w:val="8EA85C4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0" w15:restartNumberingAfterBreak="0">
    <w:nsid w:val="506D18F9"/>
    <w:multiLevelType w:val="hybridMultilevel"/>
    <w:tmpl w:val="6DCC8A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EC2AB4"/>
    <w:multiLevelType w:val="hybridMultilevel"/>
    <w:tmpl w:val="78586CD4"/>
    <w:lvl w:ilvl="0" w:tplc="FFFFFFFF">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327922"/>
    <w:multiLevelType w:val="hybridMultilevel"/>
    <w:tmpl w:val="73EA4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F71CF0"/>
    <w:multiLevelType w:val="hybridMultilevel"/>
    <w:tmpl w:val="CF3CC1A6"/>
    <w:lvl w:ilvl="0" w:tplc="9384AB2E">
      <w:start w:val="1"/>
      <w:numFmt w:val="decimal"/>
      <w:lvlText w:val="%1."/>
      <w:lvlJc w:val="left"/>
      <w:pPr>
        <w:ind w:left="720" w:hanging="360"/>
      </w:pPr>
      <w:rPr>
        <w:b/>
        <w:bCs/>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5B6854"/>
    <w:multiLevelType w:val="hybridMultilevel"/>
    <w:tmpl w:val="4954A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AD02518"/>
    <w:multiLevelType w:val="multilevel"/>
    <w:tmpl w:val="1960D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126FC2"/>
    <w:multiLevelType w:val="hybridMultilevel"/>
    <w:tmpl w:val="842AD1E2"/>
    <w:lvl w:ilvl="0" w:tplc="5076300C">
      <w:start w:val="1"/>
      <w:numFmt w:val="bullet"/>
      <w:lvlText w:val=""/>
      <w:lvlJc w:val="left"/>
      <w:pPr>
        <w:ind w:left="1080" w:hanging="360"/>
      </w:pPr>
      <w:rPr>
        <w:rFonts w:ascii="Symbol" w:hAnsi="Symbol" w:hint="default"/>
      </w:rPr>
    </w:lvl>
    <w:lvl w:ilvl="1" w:tplc="C9DA367E" w:tentative="1">
      <w:start w:val="1"/>
      <w:numFmt w:val="bullet"/>
      <w:lvlText w:val="o"/>
      <w:lvlJc w:val="left"/>
      <w:pPr>
        <w:ind w:left="1800" w:hanging="360"/>
      </w:pPr>
      <w:rPr>
        <w:rFonts w:ascii="Courier New" w:hAnsi="Courier New" w:hint="default"/>
      </w:rPr>
    </w:lvl>
    <w:lvl w:ilvl="2" w:tplc="CED2C46C" w:tentative="1">
      <w:start w:val="1"/>
      <w:numFmt w:val="bullet"/>
      <w:lvlText w:val=""/>
      <w:lvlJc w:val="left"/>
      <w:pPr>
        <w:ind w:left="2520" w:hanging="360"/>
      </w:pPr>
      <w:rPr>
        <w:rFonts w:ascii="Wingdings" w:hAnsi="Wingdings" w:hint="default"/>
      </w:rPr>
    </w:lvl>
    <w:lvl w:ilvl="3" w:tplc="FE8AC018" w:tentative="1">
      <w:start w:val="1"/>
      <w:numFmt w:val="bullet"/>
      <w:lvlText w:val=""/>
      <w:lvlJc w:val="left"/>
      <w:pPr>
        <w:ind w:left="3240" w:hanging="360"/>
      </w:pPr>
      <w:rPr>
        <w:rFonts w:ascii="Symbol" w:hAnsi="Symbol" w:hint="default"/>
      </w:rPr>
    </w:lvl>
    <w:lvl w:ilvl="4" w:tplc="111CA9A0" w:tentative="1">
      <w:start w:val="1"/>
      <w:numFmt w:val="bullet"/>
      <w:lvlText w:val="o"/>
      <w:lvlJc w:val="left"/>
      <w:pPr>
        <w:ind w:left="3960" w:hanging="360"/>
      </w:pPr>
      <w:rPr>
        <w:rFonts w:ascii="Courier New" w:hAnsi="Courier New" w:hint="default"/>
      </w:rPr>
    </w:lvl>
    <w:lvl w:ilvl="5" w:tplc="F3AA61EC" w:tentative="1">
      <w:start w:val="1"/>
      <w:numFmt w:val="bullet"/>
      <w:lvlText w:val=""/>
      <w:lvlJc w:val="left"/>
      <w:pPr>
        <w:ind w:left="4680" w:hanging="360"/>
      </w:pPr>
      <w:rPr>
        <w:rFonts w:ascii="Wingdings" w:hAnsi="Wingdings" w:hint="default"/>
      </w:rPr>
    </w:lvl>
    <w:lvl w:ilvl="6" w:tplc="00A2998C" w:tentative="1">
      <w:start w:val="1"/>
      <w:numFmt w:val="bullet"/>
      <w:lvlText w:val=""/>
      <w:lvlJc w:val="left"/>
      <w:pPr>
        <w:ind w:left="5400" w:hanging="360"/>
      </w:pPr>
      <w:rPr>
        <w:rFonts w:ascii="Symbol" w:hAnsi="Symbol" w:hint="default"/>
      </w:rPr>
    </w:lvl>
    <w:lvl w:ilvl="7" w:tplc="2C02BC26" w:tentative="1">
      <w:start w:val="1"/>
      <w:numFmt w:val="bullet"/>
      <w:lvlText w:val="o"/>
      <w:lvlJc w:val="left"/>
      <w:pPr>
        <w:ind w:left="6120" w:hanging="360"/>
      </w:pPr>
      <w:rPr>
        <w:rFonts w:ascii="Courier New" w:hAnsi="Courier New" w:hint="default"/>
      </w:rPr>
    </w:lvl>
    <w:lvl w:ilvl="8" w:tplc="876EF842" w:tentative="1">
      <w:start w:val="1"/>
      <w:numFmt w:val="bullet"/>
      <w:lvlText w:val=""/>
      <w:lvlJc w:val="left"/>
      <w:pPr>
        <w:ind w:left="6840" w:hanging="360"/>
      </w:pPr>
      <w:rPr>
        <w:rFonts w:ascii="Wingdings" w:hAnsi="Wingdings" w:hint="default"/>
      </w:rPr>
    </w:lvl>
  </w:abstractNum>
  <w:abstractNum w:abstractNumId="37" w15:restartNumberingAfterBreak="0">
    <w:nsid w:val="5DEA24C7"/>
    <w:multiLevelType w:val="hybridMultilevel"/>
    <w:tmpl w:val="57A2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CE71D4"/>
    <w:multiLevelType w:val="hybridMultilevel"/>
    <w:tmpl w:val="40AC5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E81172"/>
    <w:multiLevelType w:val="hybridMultilevel"/>
    <w:tmpl w:val="D2209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87E5B61"/>
    <w:multiLevelType w:val="hybridMultilevel"/>
    <w:tmpl w:val="78586CD4"/>
    <w:lvl w:ilvl="0" w:tplc="FFFFFFFF">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7439780">
    <w:abstractNumId w:val="7"/>
  </w:num>
  <w:num w:numId="2" w16cid:durableId="1600603027">
    <w:abstractNumId w:val="16"/>
  </w:num>
  <w:num w:numId="3" w16cid:durableId="309284095">
    <w:abstractNumId w:val="16"/>
    <w:lvlOverride w:ilvl="0">
      <w:startOverride w:val="1"/>
    </w:lvlOverride>
  </w:num>
  <w:num w:numId="4" w16cid:durableId="1489514558">
    <w:abstractNumId w:val="16"/>
    <w:lvlOverride w:ilvl="0">
      <w:startOverride w:val="1"/>
    </w:lvlOverride>
  </w:num>
  <w:num w:numId="5" w16cid:durableId="1525945896">
    <w:abstractNumId w:val="27"/>
  </w:num>
  <w:num w:numId="6" w16cid:durableId="2092769316">
    <w:abstractNumId w:val="16"/>
    <w:lvlOverride w:ilvl="0">
      <w:startOverride w:val="1"/>
    </w:lvlOverride>
  </w:num>
  <w:num w:numId="7" w16cid:durableId="282929971">
    <w:abstractNumId w:val="16"/>
    <w:lvlOverride w:ilvl="0">
      <w:startOverride w:val="1"/>
    </w:lvlOverride>
  </w:num>
  <w:num w:numId="8" w16cid:durableId="1381901469">
    <w:abstractNumId w:val="25"/>
  </w:num>
  <w:num w:numId="9" w16cid:durableId="1790929036">
    <w:abstractNumId w:val="38"/>
  </w:num>
  <w:num w:numId="10" w16cid:durableId="517013636">
    <w:abstractNumId w:val="29"/>
  </w:num>
  <w:num w:numId="11" w16cid:durableId="539516012">
    <w:abstractNumId w:val="9"/>
  </w:num>
  <w:num w:numId="12" w16cid:durableId="1166824820">
    <w:abstractNumId w:val="24"/>
  </w:num>
  <w:num w:numId="13" w16cid:durableId="275409479">
    <w:abstractNumId w:val="37"/>
  </w:num>
  <w:num w:numId="14" w16cid:durableId="2118328612">
    <w:abstractNumId w:val="36"/>
  </w:num>
  <w:num w:numId="15" w16cid:durableId="101608953">
    <w:abstractNumId w:val="6"/>
  </w:num>
  <w:num w:numId="16" w16cid:durableId="1004287952">
    <w:abstractNumId w:val="4"/>
  </w:num>
  <w:num w:numId="17" w16cid:durableId="667441769">
    <w:abstractNumId w:val="28"/>
  </w:num>
  <w:num w:numId="18" w16cid:durableId="1208184308">
    <w:abstractNumId w:val="0"/>
  </w:num>
  <w:num w:numId="19" w16cid:durableId="1557358330">
    <w:abstractNumId w:val="27"/>
  </w:num>
  <w:num w:numId="20" w16cid:durableId="1396590697">
    <w:abstractNumId w:val="27"/>
  </w:num>
  <w:num w:numId="21" w16cid:durableId="1806267166">
    <w:abstractNumId w:val="27"/>
  </w:num>
  <w:num w:numId="22" w16cid:durableId="331220144">
    <w:abstractNumId w:val="27"/>
  </w:num>
  <w:num w:numId="23" w16cid:durableId="166794396">
    <w:abstractNumId w:val="27"/>
  </w:num>
  <w:num w:numId="24" w16cid:durableId="1335493837">
    <w:abstractNumId w:val="35"/>
  </w:num>
  <w:num w:numId="25" w16cid:durableId="740445462">
    <w:abstractNumId w:val="19"/>
  </w:num>
  <w:num w:numId="26" w16cid:durableId="723600152">
    <w:abstractNumId w:val="26"/>
  </w:num>
  <w:num w:numId="27" w16cid:durableId="826245015">
    <w:abstractNumId w:val="10"/>
  </w:num>
  <w:num w:numId="28" w16cid:durableId="2006088877">
    <w:abstractNumId w:val="33"/>
  </w:num>
  <w:num w:numId="29" w16cid:durableId="626006505">
    <w:abstractNumId w:val="22"/>
  </w:num>
  <w:num w:numId="30" w16cid:durableId="1953898847">
    <w:abstractNumId w:val="18"/>
  </w:num>
  <w:num w:numId="31" w16cid:durableId="635573056">
    <w:abstractNumId w:val="23"/>
  </w:num>
  <w:num w:numId="32" w16cid:durableId="1379276118">
    <w:abstractNumId w:val="14"/>
  </w:num>
  <w:num w:numId="33" w16cid:durableId="1312783132">
    <w:abstractNumId w:val="21"/>
  </w:num>
  <w:num w:numId="34" w16cid:durableId="1813669774">
    <w:abstractNumId w:val="1"/>
  </w:num>
  <w:num w:numId="35" w16cid:durableId="1114902746">
    <w:abstractNumId w:val="20"/>
  </w:num>
  <w:num w:numId="36" w16cid:durableId="1102603397">
    <w:abstractNumId w:val="30"/>
  </w:num>
  <w:num w:numId="37" w16cid:durableId="1616449394">
    <w:abstractNumId w:val="32"/>
  </w:num>
  <w:num w:numId="38" w16cid:durableId="906841593">
    <w:abstractNumId w:val="15"/>
  </w:num>
  <w:num w:numId="39" w16cid:durableId="1186290551">
    <w:abstractNumId w:val="12"/>
  </w:num>
  <w:num w:numId="40" w16cid:durableId="878476460">
    <w:abstractNumId w:val="17"/>
  </w:num>
  <w:num w:numId="41" w16cid:durableId="1532913980">
    <w:abstractNumId w:val="40"/>
  </w:num>
  <w:num w:numId="42" w16cid:durableId="1843549453">
    <w:abstractNumId w:val="13"/>
  </w:num>
  <w:num w:numId="43" w16cid:durableId="1895851377">
    <w:abstractNumId w:val="31"/>
  </w:num>
  <w:num w:numId="44" w16cid:durableId="371928425">
    <w:abstractNumId w:val="5"/>
  </w:num>
  <w:num w:numId="45" w16cid:durableId="1072703803">
    <w:abstractNumId w:val="3"/>
  </w:num>
  <w:num w:numId="46" w16cid:durableId="1396322137">
    <w:abstractNumId w:val="11"/>
  </w:num>
  <w:num w:numId="47" w16cid:durableId="964626488">
    <w:abstractNumId w:val="8"/>
  </w:num>
  <w:num w:numId="48" w16cid:durableId="1024131925">
    <w:abstractNumId w:val="2"/>
  </w:num>
  <w:num w:numId="49" w16cid:durableId="692733241">
    <w:abstractNumId w:val="39"/>
  </w:num>
  <w:num w:numId="50" w16cid:durableId="352345208">
    <w:abstractNumId w:val="34"/>
  </w:num>
  <w:num w:numId="51" w16cid:durableId="880702925">
    <w:abstractNumId w:val="25"/>
  </w:num>
  <w:num w:numId="52" w16cid:durableId="20263241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2B"/>
    <w:rsid w:val="00000027"/>
    <w:rsid w:val="000007E7"/>
    <w:rsid w:val="00001450"/>
    <w:rsid w:val="000022C7"/>
    <w:rsid w:val="0000260C"/>
    <w:rsid w:val="00003531"/>
    <w:rsid w:val="00003BC8"/>
    <w:rsid w:val="00004568"/>
    <w:rsid w:val="00004C9E"/>
    <w:rsid w:val="00006BAB"/>
    <w:rsid w:val="00007008"/>
    <w:rsid w:val="000072BE"/>
    <w:rsid w:val="00010B2D"/>
    <w:rsid w:val="0001115D"/>
    <w:rsid w:val="00011229"/>
    <w:rsid w:val="000117BD"/>
    <w:rsid w:val="000117F9"/>
    <w:rsid w:val="0001186A"/>
    <w:rsid w:val="00011E33"/>
    <w:rsid w:val="000128B8"/>
    <w:rsid w:val="000133F6"/>
    <w:rsid w:val="0001356D"/>
    <w:rsid w:val="00015097"/>
    <w:rsid w:val="00015AB5"/>
    <w:rsid w:val="00016A6F"/>
    <w:rsid w:val="00017D41"/>
    <w:rsid w:val="00020310"/>
    <w:rsid w:val="0002061F"/>
    <w:rsid w:val="00020852"/>
    <w:rsid w:val="00021016"/>
    <w:rsid w:val="00021E38"/>
    <w:rsid w:val="00023227"/>
    <w:rsid w:val="00023415"/>
    <w:rsid w:val="000239D9"/>
    <w:rsid w:val="000239F0"/>
    <w:rsid w:val="0002489D"/>
    <w:rsid w:val="00025428"/>
    <w:rsid w:val="00026313"/>
    <w:rsid w:val="00026DC4"/>
    <w:rsid w:val="00030257"/>
    <w:rsid w:val="00030679"/>
    <w:rsid w:val="000321C5"/>
    <w:rsid w:val="000323C2"/>
    <w:rsid w:val="000326BA"/>
    <w:rsid w:val="000334FB"/>
    <w:rsid w:val="00033722"/>
    <w:rsid w:val="00033A63"/>
    <w:rsid w:val="00034AE5"/>
    <w:rsid w:val="00034C25"/>
    <w:rsid w:val="00035532"/>
    <w:rsid w:val="00036879"/>
    <w:rsid w:val="00036AA9"/>
    <w:rsid w:val="000375DF"/>
    <w:rsid w:val="00037CCE"/>
    <w:rsid w:val="00041B73"/>
    <w:rsid w:val="00042C05"/>
    <w:rsid w:val="00042D55"/>
    <w:rsid w:val="00043285"/>
    <w:rsid w:val="00043B51"/>
    <w:rsid w:val="00043C6B"/>
    <w:rsid w:val="000440C4"/>
    <w:rsid w:val="00044813"/>
    <w:rsid w:val="00044947"/>
    <w:rsid w:val="000450C8"/>
    <w:rsid w:val="00045285"/>
    <w:rsid w:val="0004545A"/>
    <w:rsid w:val="000466FB"/>
    <w:rsid w:val="00046DCA"/>
    <w:rsid w:val="0005052E"/>
    <w:rsid w:val="00050C8C"/>
    <w:rsid w:val="0005114A"/>
    <w:rsid w:val="000515A7"/>
    <w:rsid w:val="000527FF"/>
    <w:rsid w:val="000533C3"/>
    <w:rsid w:val="000546C5"/>
    <w:rsid w:val="00054A1C"/>
    <w:rsid w:val="00054A77"/>
    <w:rsid w:val="00055C5C"/>
    <w:rsid w:val="00056CD0"/>
    <w:rsid w:val="0005726A"/>
    <w:rsid w:val="00057CF3"/>
    <w:rsid w:val="00057E82"/>
    <w:rsid w:val="00057EE5"/>
    <w:rsid w:val="00060CB0"/>
    <w:rsid w:val="00060F90"/>
    <w:rsid w:val="00062FB3"/>
    <w:rsid w:val="00064EB5"/>
    <w:rsid w:val="00065041"/>
    <w:rsid w:val="000663F1"/>
    <w:rsid w:val="0006654E"/>
    <w:rsid w:val="00066941"/>
    <w:rsid w:val="00066BB6"/>
    <w:rsid w:val="00066F11"/>
    <w:rsid w:val="000678BC"/>
    <w:rsid w:val="00067B9E"/>
    <w:rsid w:val="000703B6"/>
    <w:rsid w:val="00071C1A"/>
    <w:rsid w:val="00072179"/>
    <w:rsid w:val="00073920"/>
    <w:rsid w:val="00073FF0"/>
    <w:rsid w:val="000761FC"/>
    <w:rsid w:val="000777E4"/>
    <w:rsid w:val="00082145"/>
    <w:rsid w:val="00082515"/>
    <w:rsid w:val="00084B2A"/>
    <w:rsid w:val="00084EFA"/>
    <w:rsid w:val="00085055"/>
    <w:rsid w:val="00085073"/>
    <w:rsid w:val="000853C7"/>
    <w:rsid w:val="000854C4"/>
    <w:rsid w:val="000856CE"/>
    <w:rsid w:val="00085AC0"/>
    <w:rsid w:val="00085F1E"/>
    <w:rsid w:val="00086C72"/>
    <w:rsid w:val="000876DB"/>
    <w:rsid w:val="000877F6"/>
    <w:rsid w:val="00087995"/>
    <w:rsid w:val="00087A1F"/>
    <w:rsid w:val="00090975"/>
    <w:rsid w:val="00090F9F"/>
    <w:rsid w:val="000919CA"/>
    <w:rsid w:val="00091A02"/>
    <w:rsid w:val="00091CF9"/>
    <w:rsid w:val="000922F6"/>
    <w:rsid w:val="00092A6F"/>
    <w:rsid w:val="00093761"/>
    <w:rsid w:val="00093EF0"/>
    <w:rsid w:val="00093F46"/>
    <w:rsid w:val="000941AA"/>
    <w:rsid w:val="00095A02"/>
    <w:rsid w:val="00097D16"/>
    <w:rsid w:val="000A0032"/>
    <w:rsid w:val="000A0191"/>
    <w:rsid w:val="000A0841"/>
    <w:rsid w:val="000A08AB"/>
    <w:rsid w:val="000A0E17"/>
    <w:rsid w:val="000A17ED"/>
    <w:rsid w:val="000A1A26"/>
    <w:rsid w:val="000A1BB5"/>
    <w:rsid w:val="000A1E89"/>
    <w:rsid w:val="000A41A8"/>
    <w:rsid w:val="000A576C"/>
    <w:rsid w:val="000A5FC3"/>
    <w:rsid w:val="000A6982"/>
    <w:rsid w:val="000A747B"/>
    <w:rsid w:val="000B02D5"/>
    <w:rsid w:val="000B0C27"/>
    <w:rsid w:val="000B0D2F"/>
    <w:rsid w:val="000B187A"/>
    <w:rsid w:val="000B1ACF"/>
    <w:rsid w:val="000B344F"/>
    <w:rsid w:val="000B3F3A"/>
    <w:rsid w:val="000B416B"/>
    <w:rsid w:val="000B5379"/>
    <w:rsid w:val="000B60A5"/>
    <w:rsid w:val="000B7572"/>
    <w:rsid w:val="000C166F"/>
    <w:rsid w:val="000C2453"/>
    <w:rsid w:val="000C3C88"/>
    <w:rsid w:val="000C4668"/>
    <w:rsid w:val="000C4BA5"/>
    <w:rsid w:val="000C510D"/>
    <w:rsid w:val="000C586B"/>
    <w:rsid w:val="000C5E4E"/>
    <w:rsid w:val="000C6D74"/>
    <w:rsid w:val="000C6DAE"/>
    <w:rsid w:val="000C735B"/>
    <w:rsid w:val="000C7485"/>
    <w:rsid w:val="000D0085"/>
    <w:rsid w:val="000D156A"/>
    <w:rsid w:val="000D226D"/>
    <w:rsid w:val="000D2A53"/>
    <w:rsid w:val="000D396A"/>
    <w:rsid w:val="000D4094"/>
    <w:rsid w:val="000D4AA3"/>
    <w:rsid w:val="000D6179"/>
    <w:rsid w:val="000D63D8"/>
    <w:rsid w:val="000D6436"/>
    <w:rsid w:val="000D71BE"/>
    <w:rsid w:val="000D79F9"/>
    <w:rsid w:val="000D7E75"/>
    <w:rsid w:val="000D7E7C"/>
    <w:rsid w:val="000D7FF0"/>
    <w:rsid w:val="000E0870"/>
    <w:rsid w:val="000E14C7"/>
    <w:rsid w:val="000E28C8"/>
    <w:rsid w:val="000E2D91"/>
    <w:rsid w:val="000E36DE"/>
    <w:rsid w:val="000E3F7E"/>
    <w:rsid w:val="000E47AC"/>
    <w:rsid w:val="000E4E98"/>
    <w:rsid w:val="000E7CA8"/>
    <w:rsid w:val="000F0A89"/>
    <w:rsid w:val="000F0E02"/>
    <w:rsid w:val="000F22CA"/>
    <w:rsid w:val="000F23E2"/>
    <w:rsid w:val="000F30D4"/>
    <w:rsid w:val="000F3A15"/>
    <w:rsid w:val="000F3A8A"/>
    <w:rsid w:val="000F3D64"/>
    <w:rsid w:val="000F3EB4"/>
    <w:rsid w:val="000F44AD"/>
    <w:rsid w:val="000F5602"/>
    <w:rsid w:val="000F6BE5"/>
    <w:rsid w:val="000F78F7"/>
    <w:rsid w:val="000F7F15"/>
    <w:rsid w:val="001010EA"/>
    <w:rsid w:val="00101113"/>
    <w:rsid w:val="001019BE"/>
    <w:rsid w:val="00101AFB"/>
    <w:rsid w:val="00102410"/>
    <w:rsid w:val="0010270A"/>
    <w:rsid w:val="00103476"/>
    <w:rsid w:val="0010568B"/>
    <w:rsid w:val="001058D0"/>
    <w:rsid w:val="00105E78"/>
    <w:rsid w:val="0011116C"/>
    <w:rsid w:val="001111B8"/>
    <w:rsid w:val="00111838"/>
    <w:rsid w:val="00111D62"/>
    <w:rsid w:val="00112E5D"/>
    <w:rsid w:val="00114AE6"/>
    <w:rsid w:val="00117CCE"/>
    <w:rsid w:val="00120987"/>
    <w:rsid w:val="00121137"/>
    <w:rsid w:val="001243DB"/>
    <w:rsid w:val="00124516"/>
    <w:rsid w:val="00124912"/>
    <w:rsid w:val="0012568C"/>
    <w:rsid w:val="00125962"/>
    <w:rsid w:val="0013004A"/>
    <w:rsid w:val="00131A31"/>
    <w:rsid w:val="00131C48"/>
    <w:rsid w:val="00132945"/>
    <w:rsid w:val="00133C29"/>
    <w:rsid w:val="001348DD"/>
    <w:rsid w:val="00134F82"/>
    <w:rsid w:val="0013534F"/>
    <w:rsid w:val="0013561E"/>
    <w:rsid w:val="0013598F"/>
    <w:rsid w:val="00135F0C"/>
    <w:rsid w:val="00136362"/>
    <w:rsid w:val="0013689D"/>
    <w:rsid w:val="001373D8"/>
    <w:rsid w:val="001405B7"/>
    <w:rsid w:val="0014078B"/>
    <w:rsid w:val="00141688"/>
    <w:rsid w:val="00141BA4"/>
    <w:rsid w:val="00141D7F"/>
    <w:rsid w:val="00141FAF"/>
    <w:rsid w:val="00142023"/>
    <w:rsid w:val="001427DE"/>
    <w:rsid w:val="00142E01"/>
    <w:rsid w:val="00142F13"/>
    <w:rsid w:val="001448AD"/>
    <w:rsid w:val="00144910"/>
    <w:rsid w:val="0014669F"/>
    <w:rsid w:val="001471DF"/>
    <w:rsid w:val="00150618"/>
    <w:rsid w:val="0015093E"/>
    <w:rsid w:val="001521A5"/>
    <w:rsid w:val="00152421"/>
    <w:rsid w:val="001525FD"/>
    <w:rsid w:val="00152B5E"/>
    <w:rsid w:val="001544E1"/>
    <w:rsid w:val="0015569C"/>
    <w:rsid w:val="00155D85"/>
    <w:rsid w:val="00155F24"/>
    <w:rsid w:val="00157438"/>
    <w:rsid w:val="00157FE6"/>
    <w:rsid w:val="00160B4B"/>
    <w:rsid w:val="001614B6"/>
    <w:rsid w:val="00161F4A"/>
    <w:rsid w:val="00161F52"/>
    <w:rsid w:val="001626D5"/>
    <w:rsid w:val="00162754"/>
    <w:rsid w:val="001632B9"/>
    <w:rsid w:val="001640FE"/>
    <w:rsid w:val="00164473"/>
    <w:rsid w:val="001649F3"/>
    <w:rsid w:val="00165C72"/>
    <w:rsid w:val="00167D8C"/>
    <w:rsid w:val="00170206"/>
    <w:rsid w:val="00170C86"/>
    <w:rsid w:val="00171C91"/>
    <w:rsid w:val="00172377"/>
    <w:rsid w:val="00172690"/>
    <w:rsid w:val="00172BBA"/>
    <w:rsid w:val="00173742"/>
    <w:rsid w:val="00173C7F"/>
    <w:rsid w:val="00173F8D"/>
    <w:rsid w:val="001742A4"/>
    <w:rsid w:val="00175097"/>
    <w:rsid w:val="00175A9D"/>
    <w:rsid w:val="00176A6E"/>
    <w:rsid w:val="0017769D"/>
    <w:rsid w:val="0018060A"/>
    <w:rsid w:val="0018074C"/>
    <w:rsid w:val="00180847"/>
    <w:rsid w:val="001817F0"/>
    <w:rsid w:val="00181FE4"/>
    <w:rsid w:val="00182CC1"/>
    <w:rsid w:val="00182F63"/>
    <w:rsid w:val="0018332F"/>
    <w:rsid w:val="00183535"/>
    <w:rsid w:val="00184E33"/>
    <w:rsid w:val="00184E3A"/>
    <w:rsid w:val="0018535D"/>
    <w:rsid w:val="001858B5"/>
    <w:rsid w:val="00185C4D"/>
    <w:rsid w:val="001869DB"/>
    <w:rsid w:val="00186B6B"/>
    <w:rsid w:val="00187641"/>
    <w:rsid w:val="00187BA7"/>
    <w:rsid w:val="00190036"/>
    <w:rsid w:val="00190277"/>
    <w:rsid w:val="00190964"/>
    <w:rsid w:val="00191ACD"/>
    <w:rsid w:val="00191FB2"/>
    <w:rsid w:val="001924F8"/>
    <w:rsid w:val="0019338C"/>
    <w:rsid w:val="00193A38"/>
    <w:rsid w:val="0019429C"/>
    <w:rsid w:val="001942D2"/>
    <w:rsid w:val="00194902"/>
    <w:rsid w:val="001953EF"/>
    <w:rsid w:val="001958AE"/>
    <w:rsid w:val="00196673"/>
    <w:rsid w:val="00196755"/>
    <w:rsid w:val="0019675D"/>
    <w:rsid w:val="00197364"/>
    <w:rsid w:val="001A07E8"/>
    <w:rsid w:val="001A14B5"/>
    <w:rsid w:val="001A3A3B"/>
    <w:rsid w:val="001A56FC"/>
    <w:rsid w:val="001A5931"/>
    <w:rsid w:val="001A603C"/>
    <w:rsid w:val="001A6D95"/>
    <w:rsid w:val="001B032B"/>
    <w:rsid w:val="001B0605"/>
    <w:rsid w:val="001B067D"/>
    <w:rsid w:val="001B2033"/>
    <w:rsid w:val="001B2E94"/>
    <w:rsid w:val="001B36A1"/>
    <w:rsid w:val="001B4000"/>
    <w:rsid w:val="001B507F"/>
    <w:rsid w:val="001B5B10"/>
    <w:rsid w:val="001B70E5"/>
    <w:rsid w:val="001B75C3"/>
    <w:rsid w:val="001C0120"/>
    <w:rsid w:val="001C173C"/>
    <w:rsid w:val="001C2C68"/>
    <w:rsid w:val="001C2F3A"/>
    <w:rsid w:val="001C4637"/>
    <w:rsid w:val="001C5E2C"/>
    <w:rsid w:val="001C7AD5"/>
    <w:rsid w:val="001C7F37"/>
    <w:rsid w:val="001D05BC"/>
    <w:rsid w:val="001D05C0"/>
    <w:rsid w:val="001D25A6"/>
    <w:rsid w:val="001D29C1"/>
    <w:rsid w:val="001D2EA5"/>
    <w:rsid w:val="001D2EF2"/>
    <w:rsid w:val="001D4312"/>
    <w:rsid w:val="001D5B3A"/>
    <w:rsid w:val="001D6200"/>
    <w:rsid w:val="001D6425"/>
    <w:rsid w:val="001D6796"/>
    <w:rsid w:val="001D6B28"/>
    <w:rsid w:val="001D70C0"/>
    <w:rsid w:val="001D7724"/>
    <w:rsid w:val="001D7780"/>
    <w:rsid w:val="001D7CD5"/>
    <w:rsid w:val="001D7CDB"/>
    <w:rsid w:val="001E189B"/>
    <w:rsid w:val="001E33D0"/>
    <w:rsid w:val="001E3DED"/>
    <w:rsid w:val="001E496C"/>
    <w:rsid w:val="001E49B4"/>
    <w:rsid w:val="001E4F4F"/>
    <w:rsid w:val="001E5830"/>
    <w:rsid w:val="001E5CB8"/>
    <w:rsid w:val="001E6A94"/>
    <w:rsid w:val="001F141E"/>
    <w:rsid w:val="001F1750"/>
    <w:rsid w:val="001F180D"/>
    <w:rsid w:val="001F1BA1"/>
    <w:rsid w:val="001F1D95"/>
    <w:rsid w:val="001F1F66"/>
    <w:rsid w:val="001F23AC"/>
    <w:rsid w:val="001F2A5E"/>
    <w:rsid w:val="001F3011"/>
    <w:rsid w:val="001F37A8"/>
    <w:rsid w:val="001F3873"/>
    <w:rsid w:val="001F41AC"/>
    <w:rsid w:val="001F5EEC"/>
    <w:rsid w:val="001F60FB"/>
    <w:rsid w:val="001F74D3"/>
    <w:rsid w:val="002008A5"/>
    <w:rsid w:val="002014BF"/>
    <w:rsid w:val="00201904"/>
    <w:rsid w:val="0020249D"/>
    <w:rsid w:val="00202A01"/>
    <w:rsid w:val="00202DF9"/>
    <w:rsid w:val="002034B2"/>
    <w:rsid w:val="002038D5"/>
    <w:rsid w:val="00204D8F"/>
    <w:rsid w:val="00205A37"/>
    <w:rsid w:val="00206160"/>
    <w:rsid w:val="0020634C"/>
    <w:rsid w:val="00206461"/>
    <w:rsid w:val="00210584"/>
    <w:rsid w:val="00210C00"/>
    <w:rsid w:val="00211A15"/>
    <w:rsid w:val="00211BF4"/>
    <w:rsid w:val="0021436B"/>
    <w:rsid w:val="00214C7C"/>
    <w:rsid w:val="002167BA"/>
    <w:rsid w:val="00216C3B"/>
    <w:rsid w:val="002175DA"/>
    <w:rsid w:val="002176BD"/>
    <w:rsid w:val="0021791D"/>
    <w:rsid w:val="00217C7B"/>
    <w:rsid w:val="00217D02"/>
    <w:rsid w:val="0022001F"/>
    <w:rsid w:val="00220440"/>
    <w:rsid w:val="00220505"/>
    <w:rsid w:val="00220D47"/>
    <w:rsid w:val="00220D57"/>
    <w:rsid w:val="00220F0E"/>
    <w:rsid w:val="00222145"/>
    <w:rsid w:val="0022240C"/>
    <w:rsid w:val="00222DA3"/>
    <w:rsid w:val="00222E34"/>
    <w:rsid w:val="0022385C"/>
    <w:rsid w:val="00223B8E"/>
    <w:rsid w:val="00223FCE"/>
    <w:rsid w:val="00224C72"/>
    <w:rsid w:val="00225796"/>
    <w:rsid w:val="00226EC8"/>
    <w:rsid w:val="00227E18"/>
    <w:rsid w:val="002305CC"/>
    <w:rsid w:val="00231570"/>
    <w:rsid w:val="002315C7"/>
    <w:rsid w:val="0023222A"/>
    <w:rsid w:val="00232397"/>
    <w:rsid w:val="002324A7"/>
    <w:rsid w:val="00232F10"/>
    <w:rsid w:val="00233266"/>
    <w:rsid w:val="002338E5"/>
    <w:rsid w:val="00233C61"/>
    <w:rsid w:val="00233D7C"/>
    <w:rsid w:val="00234470"/>
    <w:rsid w:val="002352A4"/>
    <w:rsid w:val="002352C8"/>
    <w:rsid w:val="00235C11"/>
    <w:rsid w:val="00236D1A"/>
    <w:rsid w:val="00240712"/>
    <w:rsid w:val="00241054"/>
    <w:rsid w:val="00242235"/>
    <w:rsid w:val="00242306"/>
    <w:rsid w:val="00244B1D"/>
    <w:rsid w:val="00244C81"/>
    <w:rsid w:val="00245BBD"/>
    <w:rsid w:val="00245E2E"/>
    <w:rsid w:val="00246196"/>
    <w:rsid w:val="00247282"/>
    <w:rsid w:val="002473D9"/>
    <w:rsid w:val="00250087"/>
    <w:rsid w:val="00252524"/>
    <w:rsid w:val="002529F5"/>
    <w:rsid w:val="00252A4D"/>
    <w:rsid w:val="002533B2"/>
    <w:rsid w:val="0025742B"/>
    <w:rsid w:val="00257E17"/>
    <w:rsid w:val="0026183E"/>
    <w:rsid w:val="0026269F"/>
    <w:rsid w:val="002639D8"/>
    <w:rsid w:val="002642AD"/>
    <w:rsid w:val="00264378"/>
    <w:rsid w:val="00264732"/>
    <w:rsid w:val="00264A02"/>
    <w:rsid w:val="0026530D"/>
    <w:rsid w:val="002656F8"/>
    <w:rsid w:val="00266C4D"/>
    <w:rsid w:val="00267307"/>
    <w:rsid w:val="002673E2"/>
    <w:rsid w:val="0027014A"/>
    <w:rsid w:val="0027028E"/>
    <w:rsid w:val="0027136C"/>
    <w:rsid w:val="00271521"/>
    <w:rsid w:val="00272D2D"/>
    <w:rsid w:val="00272E8B"/>
    <w:rsid w:val="00273721"/>
    <w:rsid w:val="00274B01"/>
    <w:rsid w:val="00274E16"/>
    <w:rsid w:val="00275160"/>
    <w:rsid w:val="002756D4"/>
    <w:rsid w:val="00275C4B"/>
    <w:rsid w:val="002760F0"/>
    <w:rsid w:val="00276E15"/>
    <w:rsid w:val="00277DC1"/>
    <w:rsid w:val="00280128"/>
    <w:rsid w:val="00281104"/>
    <w:rsid w:val="0028113B"/>
    <w:rsid w:val="00281151"/>
    <w:rsid w:val="00281473"/>
    <w:rsid w:val="00282343"/>
    <w:rsid w:val="00282420"/>
    <w:rsid w:val="002836B2"/>
    <w:rsid w:val="00283A5D"/>
    <w:rsid w:val="00283FA9"/>
    <w:rsid w:val="00284037"/>
    <w:rsid w:val="00284150"/>
    <w:rsid w:val="00285151"/>
    <w:rsid w:val="00285817"/>
    <w:rsid w:val="002878D1"/>
    <w:rsid w:val="00287996"/>
    <w:rsid w:val="002902BA"/>
    <w:rsid w:val="0029085C"/>
    <w:rsid w:val="00290ECA"/>
    <w:rsid w:val="00291082"/>
    <w:rsid w:val="00291264"/>
    <w:rsid w:val="00291500"/>
    <w:rsid w:val="00291F4D"/>
    <w:rsid w:val="00292013"/>
    <w:rsid w:val="002923D5"/>
    <w:rsid w:val="002925CB"/>
    <w:rsid w:val="0029274D"/>
    <w:rsid w:val="0029514A"/>
    <w:rsid w:val="00295175"/>
    <w:rsid w:val="002955A6"/>
    <w:rsid w:val="00296F02"/>
    <w:rsid w:val="00297342"/>
    <w:rsid w:val="002A0FF0"/>
    <w:rsid w:val="002A1322"/>
    <w:rsid w:val="002A17ED"/>
    <w:rsid w:val="002A245E"/>
    <w:rsid w:val="002A259E"/>
    <w:rsid w:val="002A2FBE"/>
    <w:rsid w:val="002A355F"/>
    <w:rsid w:val="002A3A18"/>
    <w:rsid w:val="002A4743"/>
    <w:rsid w:val="002A63F6"/>
    <w:rsid w:val="002A67A1"/>
    <w:rsid w:val="002A7E59"/>
    <w:rsid w:val="002B0742"/>
    <w:rsid w:val="002B0772"/>
    <w:rsid w:val="002B0B6B"/>
    <w:rsid w:val="002B0FF5"/>
    <w:rsid w:val="002B1334"/>
    <w:rsid w:val="002B2ED2"/>
    <w:rsid w:val="002B6ACF"/>
    <w:rsid w:val="002C0762"/>
    <w:rsid w:val="002C0CD6"/>
    <w:rsid w:val="002C1745"/>
    <w:rsid w:val="002C27AA"/>
    <w:rsid w:val="002C2D10"/>
    <w:rsid w:val="002C2F02"/>
    <w:rsid w:val="002C463F"/>
    <w:rsid w:val="002C63D8"/>
    <w:rsid w:val="002C6C7D"/>
    <w:rsid w:val="002C7247"/>
    <w:rsid w:val="002C7980"/>
    <w:rsid w:val="002C7A5B"/>
    <w:rsid w:val="002C7A66"/>
    <w:rsid w:val="002C7C19"/>
    <w:rsid w:val="002D11A4"/>
    <w:rsid w:val="002D43E8"/>
    <w:rsid w:val="002D4F9C"/>
    <w:rsid w:val="002D5900"/>
    <w:rsid w:val="002D5961"/>
    <w:rsid w:val="002D5DAB"/>
    <w:rsid w:val="002D6410"/>
    <w:rsid w:val="002D718C"/>
    <w:rsid w:val="002E00E0"/>
    <w:rsid w:val="002E24E9"/>
    <w:rsid w:val="002E4812"/>
    <w:rsid w:val="002E513D"/>
    <w:rsid w:val="002E52B2"/>
    <w:rsid w:val="002E5A62"/>
    <w:rsid w:val="002E5DC4"/>
    <w:rsid w:val="002E6110"/>
    <w:rsid w:val="002E611E"/>
    <w:rsid w:val="002E6C8A"/>
    <w:rsid w:val="002E7314"/>
    <w:rsid w:val="002E7CB9"/>
    <w:rsid w:val="002F0028"/>
    <w:rsid w:val="002F0243"/>
    <w:rsid w:val="002F0B25"/>
    <w:rsid w:val="002F1001"/>
    <w:rsid w:val="002F1DDC"/>
    <w:rsid w:val="002F3929"/>
    <w:rsid w:val="002F3AC2"/>
    <w:rsid w:val="002F3F2B"/>
    <w:rsid w:val="002F47F3"/>
    <w:rsid w:val="002F4955"/>
    <w:rsid w:val="002F5889"/>
    <w:rsid w:val="002F5BBE"/>
    <w:rsid w:val="002F66D8"/>
    <w:rsid w:val="003000D5"/>
    <w:rsid w:val="003002B2"/>
    <w:rsid w:val="00300E5B"/>
    <w:rsid w:val="003016AD"/>
    <w:rsid w:val="00301CC8"/>
    <w:rsid w:val="00301D01"/>
    <w:rsid w:val="003025A4"/>
    <w:rsid w:val="0030260E"/>
    <w:rsid w:val="003026B6"/>
    <w:rsid w:val="00304EBD"/>
    <w:rsid w:val="00305356"/>
    <w:rsid w:val="0030596E"/>
    <w:rsid w:val="00305A99"/>
    <w:rsid w:val="00306755"/>
    <w:rsid w:val="003068E2"/>
    <w:rsid w:val="00307A35"/>
    <w:rsid w:val="00310166"/>
    <w:rsid w:val="003111FF"/>
    <w:rsid w:val="00313958"/>
    <w:rsid w:val="003139AE"/>
    <w:rsid w:val="00313E39"/>
    <w:rsid w:val="00315C09"/>
    <w:rsid w:val="00315FA9"/>
    <w:rsid w:val="0031726D"/>
    <w:rsid w:val="003175E0"/>
    <w:rsid w:val="00320752"/>
    <w:rsid w:val="003217DE"/>
    <w:rsid w:val="00322179"/>
    <w:rsid w:val="0032227E"/>
    <w:rsid w:val="0032245C"/>
    <w:rsid w:val="003225DE"/>
    <w:rsid w:val="0032281F"/>
    <w:rsid w:val="003228AA"/>
    <w:rsid w:val="00323C0B"/>
    <w:rsid w:val="003250AA"/>
    <w:rsid w:val="00325B47"/>
    <w:rsid w:val="0032740C"/>
    <w:rsid w:val="0033149E"/>
    <w:rsid w:val="00331FC7"/>
    <w:rsid w:val="00332C72"/>
    <w:rsid w:val="00332EB1"/>
    <w:rsid w:val="0033306F"/>
    <w:rsid w:val="003330A8"/>
    <w:rsid w:val="003345C6"/>
    <w:rsid w:val="00335890"/>
    <w:rsid w:val="00337F36"/>
    <w:rsid w:val="0034042D"/>
    <w:rsid w:val="00340679"/>
    <w:rsid w:val="003410F9"/>
    <w:rsid w:val="003423BC"/>
    <w:rsid w:val="003426EE"/>
    <w:rsid w:val="00342A91"/>
    <w:rsid w:val="00342ED9"/>
    <w:rsid w:val="0034384C"/>
    <w:rsid w:val="003438B0"/>
    <w:rsid w:val="0034414D"/>
    <w:rsid w:val="003443AB"/>
    <w:rsid w:val="00344523"/>
    <w:rsid w:val="00344ADF"/>
    <w:rsid w:val="00344E96"/>
    <w:rsid w:val="00345125"/>
    <w:rsid w:val="003454F4"/>
    <w:rsid w:val="00345B4C"/>
    <w:rsid w:val="00345EAD"/>
    <w:rsid w:val="0034668D"/>
    <w:rsid w:val="00347BD1"/>
    <w:rsid w:val="0035082A"/>
    <w:rsid w:val="00351A44"/>
    <w:rsid w:val="00352D35"/>
    <w:rsid w:val="003530AB"/>
    <w:rsid w:val="003531ED"/>
    <w:rsid w:val="00353A1C"/>
    <w:rsid w:val="00354271"/>
    <w:rsid w:val="003542AA"/>
    <w:rsid w:val="0035524E"/>
    <w:rsid w:val="00355946"/>
    <w:rsid w:val="00355B72"/>
    <w:rsid w:val="0035626B"/>
    <w:rsid w:val="0035629C"/>
    <w:rsid w:val="00356865"/>
    <w:rsid w:val="00357F04"/>
    <w:rsid w:val="00360E6E"/>
    <w:rsid w:val="00361575"/>
    <w:rsid w:val="00361A2B"/>
    <w:rsid w:val="00363242"/>
    <w:rsid w:val="0036329D"/>
    <w:rsid w:val="003632CD"/>
    <w:rsid w:val="00363634"/>
    <w:rsid w:val="00363B07"/>
    <w:rsid w:val="00365712"/>
    <w:rsid w:val="0037063B"/>
    <w:rsid w:val="003715B2"/>
    <w:rsid w:val="00372031"/>
    <w:rsid w:val="003728E5"/>
    <w:rsid w:val="00373EE9"/>
    <w:rsid w:val="00374783"/>
    <w:rsid w:val="00374871"/>
    <w:rsid w:val="00375B20"/>
    <w:rsid w:val="00377DCD"/>
    <w:rsid w:val="00380BE1"/>
    <w:rsid w:val="00381042"/>
    <w:rsid w:val="00381723"/>
    <w:rsid w:val="00382510"/>
    <w:rsid w:val="00382671"/>
    <w:rsid w:val="003844F2"/>
    <w:rsid w:val="0038725F"/>
    <w:rsid w:val="0038763C"/>
    <w:rsid w:val="00390E36"/>
    <w:rsid w:val="00393308"/>
    <w:rsid w:val="00393630"/>
    <w:rsid w:val="00393958"/>
    <w:rsid w:val="00394F15"/>
    <w:rsid w:val="003950F2"/>
    <w:rsid w:val="00395B57"/>
    <w:rsid w:val="00396ADF"/>
    <w:rsid w:val="00396CC2"/>
    <w:rsid w:val="00397757"/>
    <w:rsid w:val="003978C0"/>
    <w:rsid w:val="003A0A71"/>
    <w:rsid w:val="003A119C"/>
    <w:rsid w:val="003A1CC8"/>
    <w:rsid w:val="003A1D4C"/>
    <w:rsid w:val="003A2497"/>
    <w:rsid w:val="003A355E"/>
    <w:rsid w:val="003A35E2"/>
    <w:rsid w:val="003A39D4"/>
    <w:rsid w:val="003A3AC9"/>
    <w:rsid w:val="003A46A8"/>
    <w:rsid w:val="003A540D"/>
    <w:rsid w:val="003A74C3"/>
    <w:rsid w:val="003A7D02"/>
    <w:rsid w:val="003A7D73"/>
    <w:rsid w:val="003B0302"/>
    <w:rsid w:val="003B15CC"/>
    <w:rsid w:val="003B171A"/>
    <w:rsid w:val="003B28B9"/>
    <w:rsid w:val="003B2C0B"/>
    <w:rsid w:val="003B2FFA"/>
    <w:rsid w:val="003B3DC0"/>
    <w:rsid w:val="003B4765"/>
    <w:rsid w:val="003B5B63"/>
    <w:rsid w:val="003B6963"/>
    <w:rsid w:val="003B6B16"/>
    <w:rsid w:val="003B6CC9"/>
    <w:rsid w:val="003B6E45"/>
    <w:rsid w:val="003B79B4"/>
    <w:rsid w:val="003B7ECA"/>
    <w:rsid w:val="003C004C"/>
    <w:rsid w:val="003C0B1E"/>
    <w:rsid w:val="003C0CE1"/>
    <w:rsid w:val="003C0F80"/>
    <w:rsid w:val="003C11DB"/>
    <w:rsid w:val="003C11E6"/>
    <w:rsid w:val="003C34E8"/>
    <w:rsid w:val="003C3C05"/>
    <w:rsid w:val="003C5D98"/>
    <w:rsid w:val="003C5E4B"/>
    <w:rsid w:val="003C63C6"/>
    <w:rsid w:val="003C645D"/>
    <w:rsid w:val="003C73F6"/>
    <w:rsid w:val="003C7B40"/>
    <w:rsid w:val="003C7D4B"/>
    <w:rsid w:val="003D05F3"/>
    <w:rsid w:val="003D061C"/>
    <w:rsid w:val="003D09D9"/>
    <w:rsid w:val="003D171F"/>
    <w:rsid w:val="003D1BEA"/>
    <w:rsid w:val="003D1E2A"/>
    <w:rsid w:val="003D2385"/>
    <w:rsid w:val="003D391F"/>
    <w:rsid w:val="003D3A42"/>
    <w:rsid w:val="003D47E0"/>
    <w:rsid w:val="003D4ADE"/>
    <w:rsid w:val="003D5233"/>
    <w:rsid w:val="003D5EE6"/>
    <w:rsid w:val="003D7083"/>
    <w:rsid w:val="003D73F2"/>
    <w:rsid w:val="003E0382"/>
    <w:rsid w:val="003E10F0"/>
    <w:rsid w:val="003E187E"/>
    <w:rsid w:val="003E187F"/>
    <w:rsid w:val="003E2926"/>
    <w:rsid w:val="003E2D6B"/>
    <w:rsid w:val="003E2FCA"/>
    <w:rsid w:val="003E327F"/>
    <w:rsid w:val="003E4130"/>
    <w:rsid w:val="003E442E"/>
    <w:rsid w:val="003E595A"/>
    <w:rsid w:val="003E6065"/>
    <w:rsid w:val="003E6143"/>
    <w:rsid w:val="003E681A"/>
    <w:rsid w:val="003E6CD9"/>
    <w:rsid w:val="003E70C2"/>
    <w:rsid w:val="003E75E7"/>
    <w:rsid w:val="003F002A"/>
    <w:rsid w:val="003F1C35"/>
    <w:rsid w:val="003F23BB"/>
    <w:rsid w:val="003F3F2B"/>
    <w:rsid w:val="003F539E"/>
    <w:rsid w:val="003F5AB3"/>
    <w:rsid w:val="003F666A"/>
    <w:rsid w:val="004007E9"/>
    <w:rsid w:val="00400FDD"/>
    <w:rsid w:val="00401CB7"/>
    <w:rsid w:val="00402B2D"/>
    <w:rsid w:val="00403661"/>
    <w:rsid w:val="004043C9"/>
    <w:rsid w:val="00404BD9"/>
    <w:rsid w:val="00405858"/>
    <w:rsid w:val="00405AD8"/>
    <w:rsid w:val="00405EDB"/>
    <w:rsid w:val="004063AD"/>
    <w:rsid w:val="00406985"/>
    <w:rsid w:val="0041003A"/>
    <w:rsid w:val="004100C1"/>
    <w:rsid w:val="00410B50"/>
    <w:rsid w:val="00410C72"/>
    <w:rsid w:val="00410E9C"/>
    <w:rsid w:val="0041126B"/>
    <w:rsid w:val="0041251F"/>
    <w:rsid w:val="00412FC1"/>
    <w:rsid w:val="00413025"/>
    <w:rsid w:val="0041367C"/>
    <w:rsid w:val="00413DD7"/>
    <w:rsid w:val="00414283"/>
    <w:rsid w:val="00415A0C"/>
    <w:rsid w:val="00415C6D"/>
    <w:rsid w:val="00415DC5"/>
    <w:rsid w:val="004162EE"/>
    <w:rsid w:val="0041641A"/>
    <w:rsid w:val="0041755C"/>
    <w:rsid w:val="00420699"/>
    <w:rsid w:val="00420888"/>
    <w:rsid w:val="00420D6C"/>
    <w:rsid w:val="00421914"/>
    <w:rsid w:val="00421DDC"/>
    <w:rsid w:val="00422F91"/>
    <w:rsid w:val="00423CC8"/>
    <w:rsid w:val="004251E8"/>
    <w:rsid w:val="004265BA"/>
    <w:rsid w:val="004268EE"/>
    <w:rsid w:val="004308FF"/>
    <w:rsid w:val="0043157C"/>
    <w:rsid w:val="00432493"/>
    <w:rsid w:val="00432E85"/>
    <w:rsid w:val="004335B4"/>
    <w:rsid w:val="00433A75"/>
    <w:rsid w:val="00434209"/>
    <w:rsid w:val="004342C6"/>
    <w:rsid w:val="00434555"/>
    <w:rsid w:val="00437B06"/>
    <w:rsid w:val="00437D85"/>
    <w:rsid w:val="00440B07"/>
    <w:rsid w:val="0044141A"/>
    <w:rsid w:val="00441860"/>
    <w:rsid w:val="00441DC2"/>
    <w:rsid w:val="004421F6"/>
    <w:rsid w:val="00442C29"/>
    <w:rsid w:val="00443299"/>
    <w:rsid w:val="0044372C"/>
    <w:rsid w:val="0044437E"/>
    <w:rsid w:val="00444782"/>
    <w:rsid w:val="0044489B"/>
    <w:rsid w:val="00445C36"/>
    <w:rsid w:val="00446055"/>
    <w:rsid w:val="00446563"/>
    <w:rsid w:val="0044732E"/>
    <w:rsid w:val="00447CDA"/>
    <w:rsid w:val="00450CA3"/>
    <w:rsid w:val="004518B0"/>
    <w:rsid w:val="00451FDC"/>
    <w:rsid w:val="00452F5E"/>
    <w:rsid w:val="00453251"/>
    <w:rsid w:val="00457251"/>
    <w:rsid w:val="00457F44"/>
    <w:rsid w:val="00460137"/>
    <w:rsid w:val="004606CA"/>
    <w:rsid w:val="00462BF9"/>
    <w:rsid w:val="004631D2"/>
    <w:rsid w:val="00463749"/>
    <w:rsid w:val="00464391"/>
    <w:rsid w:val="004644CC"/>
    <w:rsid w:val="0046469D"/>
    <w:rsid w:val="004658B8"/>
    <w:rsid w:val="00465ED5"/>
    <w:rsid w:val="00466420"/>
    <w:rsid w:val="00466DAB"/>
    <w:rsid w:val="0046706B"/>
    <w:rsid w:val="004672FB"/>
    <w:rsid w:val="004706BC"/>
    <w:rsid w:val="0047219B"/>
    <w:rsid w:val="00472AE4"/>
    <w:rsid w:val="00473BB1"/>
    <w:rsid w:val="0047437F"/>
    <w:rsid w:val="0047438A"/>
    <w:rsid w:val="0047577C"/>
    <w:rsid w:val="00476984"/>
    <w:rsid w:val="00476B13"/>
    <w:rsid w:val="00476BA4"/>
    <w:rsid w:val="0048068E"/>
    <w:rsid w:val="00480E34"/>
    <w:rsid w:val="004811C2"/>
    <w:rsid w:val="004823EE"/>
    <w:rsid w:val="00482E18"/>
    <w:rsid w:val="0048359B"/>
    <w:rsid w:val="00483DF5"/>
    <w:rsid w:val="0048422B"/>
    <w:rsid w:val="00485301"/>
    <w:rsid w:val="00485FF7"/>
    <w:rsid w:val="00487459"/>
    <w:rsid w:val="00487BD0"/>
    <w:rsid w:val="00490D70"/>
    <w:rsid w:val="00490DD3"/>
    <w:rsid w:val="00491513"/>
    <w:rsid w:val="00491BED"/>
    <w:rsid w:val="00491DF8"/>
    <w:rsid w:val="004939EA"/>
    <w:rsid w:val="004952C6"/>
    <w:rsid w:val="00497156"/>
    <w:rsid w:val="004A08A8"/>
    <w:rsid w:val="004A14C8"/>
    <w:rsid w:val="004A3501"/>
    <w:rsid w:val="004A3773"/>
    <w:rsid w:val="004A50AB"/>
    <w:rsid w:val="004A7CC3"/>
    <w:rsid w:val="004A7DC6"/>
    <w:rsid w:val="004B0920"/>
    <w:rsid w:val="004B0E8C"/>
    <w:rsid w:val="004B10EB"/>
    <w:rsid w:val="004B1111"/>
    <w:rsid w:val="004B206C"/>
    <w:rsid w:val="004B23E7"/>
    <w:rsid w:val="004B25DF"/>
    <w:rsid w:val="004B38CF"/>
    <w:rsid w:val="004B3DCD"/>
    <w:rsid w:val="004B3F25"/>
    <w:rsid w:val="004B49AF"/>
    <w:rsid w:val="004B50FE"/>
    <w:rsid w:val="004B6088"/>
    <w:rsid w:val="004B6863"/>
    <w:rsid w:val="004B6D7C"/>
    <w:rsid w:val="004B715E"/>
    <w:rsid w:val="004B752C"/>
    <w:rsid w:val="004B796C"/>
    <w:rsid w:val="004B7B6F"/>
    <w:rsid w:val="004C0A13"/>
    <w:rsid w:val="004C12B1"/>
    <w:rsid w:val="004C1608"/>
    <w:rsid w:val="004C160F"/>
    <w:rsid w:val="004C1683"/>
    <w:rsid w:val="004C17DA"/>
    <w:rsid w:val="004C2879"/>
    <w:rsid w:val="004C2E8F"/>
    <w:rsid w:val="004C3099"/>
    <w:rsid w:val="004C3AA7"/>
    <w:rsid w:val="004C42EA"/>
    <w:rsid w:val="004C4730"/>
    <w:rsid w:val="004C53A6"/>
    <w:rsid w:val="004C7936"/>
    <w:rsid w:val="004C7A97"/>
    <w:rsid w:val="004D048F"/>
    <w:rsid w:val="004D053A"/>
    <w:rsid w:val="004D08CF"/>
    <w:rsid w:val="004D17E3"/>
    <w:rsid w:val="004D1CA7"/>
    <w:rsid w:val="004D1CFA"/>
    <w:rsid w:val="004D1ED6"/>
    <w:rsid w:val="004D2515"/>
    <w:rsid w:val="004D300A"/>
    <w:rsid w:val="004D33B9"/>
    <w:rsid w:val="004D475C"/>
    <w:rsid w:val="004D5491"/>
    <w:rsid w:val="004D559F"/>
    <w:rsid w:val="004D590D"/>
    <w:rsid w:val="004D59C0"/>
    <w:rsid w:val="004D5A28"/>
    <w:rsid w:val="004D6B57"/>
    <w:rsid w:val="004E0C0D"/>
    <w:rsid w:val="004E0CDE"/>
    <w:rsid w:val="004E1735"/>
    <w:rsid w:val="004E225A"/>
    <w:rsid w:val="004E3187"/>
    <w:rsid w:val="004E3E07"/>
    <w:rsid w:val="004E3F1B"/>
    <w:rsid w:val="004E40C4"/>
    <w:rsid w:val="004E45AC"/>
    <w:rsid w:val="004E4907"/>
    <w:rsid w:val="004E51C4"/>
    <w:rsid w:val="004E5682"/>
    <w:rsid w:val="004E5986"/>
    <w:rsid w:val="004E5F81"/>
    <w:rsid w:val="004E603D"/>
    <w:rsid w:val="004E6163"/>
    <w:rsid w:val="004E642F"/>
    <w:rsid w:val="004E6C9E"/>
    <w:rsid w:val="004E7924"/>
    <w:rsid w:val="004E7CB9"/>
    <w:rsid w:val="004F0FBA"/>
    <w:rsid w:val="004F12E2"/>
    <w:rsid w:val="004F1426"/>
    <w:rsid w:val="004F18E5"/>
    <w:rsid w:val="004F1A1F"/>
    <w:rsid w:val="004F2341"/>
    <w:rsid w:val="004F2A63"/>
    <w:rsid w:val="004F2F75"/>
    <w:rsid w:val="004F328F"/>
    <w:rsid w:val="004F32DF"/>
    <w:rsid w:val="004F344A"/>
    <w:rsid w:val="004F356B"/>
    <w:rsid w:val="004F356C"/>
    <w:rsid w:val="004F391E"/>
    <w:rsid w:val="004F53F0"/>
    <w:rsid w:val="004F5880"/>
    <w:rsid w:val="004F5F19"/>
    <w:rsid w:val="004F614B"/>
    <w:rsid w:val="004F65D7"/>
    <w:rsid w:val="004F6A9A"/>
    <w:rsid w:val="004F77A2"/>
    <w:rsid w:val="004F7D7E"/>
    <w:rsid w:val="005005A0"/>
    <w:rsid w:val="00502FC2"/>
    <w:rsid w:val="00505B69"/>
    <w:rsid w:val="005066E0"/>
    <w:rsid w:val="00506AD3"/>
    <w:rsid w:val="0050709E"/>
    <w:rsid w:val="00507CA3"/>
    <w:rsid w:val="00510DD3"/>
    <w:rsid w:val="00513226"/>
    <w:rsid w:val="0051322F"/>
    <w:rsid w:val="005134E6"/>
    <w:rsid w:val="00514D90"/>
    <w:rsid w:val="005157E4"/>
    <w:rsid w:val="005163F4"/>
    <w:rsid w:val="005201FD"/>
    <w:rsid w:val="005205A3"/>
    <w:rsid w:val="005205AF"/>
    <w:rsid w:val="005231F3"/>
    <w:rsid w:val="00523331"/>
    <w:rsid w:val="005234D7"/>
    <w:rsid w:val="00524118"/>
    <w:rsid w:val="00524408"/>
    <w:rsid w:val="0052467D"/>
    <w:rsid w:val="005247F0"/>
    <w:rsid w:val="0052509C"/>
    <w:rsid w:val="005253A3"/>
    <w:rsid w:val="00526451"/>
    <w:rsid w:val="0052660E"/>
    <w:rsid w:val="00527252"/>
    <w:rsid w:val="00527431"/>
    <w:rsid w:val="00527EDE"/>
    <w:rsid w:val="00530BC1"/>
    <w:rsid w:val="0053172F"/>
    <w:rsid w:val="00531E82"/>
    <w:rsid w:val="005325E3"/>
    <w:rsid w:val="00532E72"/>
    <w:rsid w:val="00532EC9"/>
    <w:rsid w:val="00534E5D"/>
    <w:rsid w:val="00535298"/>
    <w:rsid w:val="00535D22"/>
    <w:rsid w:val="005369C1"/>
    <w:rsid w:val="005370B3"/>
    <w:rsid w:val="0053787B"/>
    <w:rsid w:val="00537AD1"/>
    <w:rsid w:val="00537C56"/>
    <w:rsid w:val="00537CB9"/>
    <w:rsid w:val="00540403"/>
    <w:rsid w:val="00540E2B"/>
    <w:rsid w:val="00540FA0"/>
    <w:rsid w:val="00541776"/>
    <w:rsid w:val="0054218A"/>
    <w:rsid w:val="0054389D"/>
    <w:rsid w:val="0054655D"/>
    <w:rsid w:val="00546699"/>
    <w:rsid w:val="00547765"/>
    <w:rsid w:val="00547AD9"/>
    <w:rsid w:val="00551F6E"/>
    <w:rsid w:val="00552537"/>
    <w:rsid w:val="0055464C"/>
    <w:rsid w:val="00555A5D"/>
    <w:rsid w:val="00556C86"/>
    <w:rsid w:val="005573E8"/>
    <w:rsid w:val="00557453"/>
    <w:rsid w:val="00557D9C"/>
    <w:rsid w:val="00560533"/>
    <w:rsid w:val="00560FB9"/>
    <w:rsid w:val="00561578"/>
    <w:rsid w:val="0056196A"/>
    <w:rsid w:val="005622A9"/>
    <w:rsid w:val="00562CE3"/>
    <w:rsid w:val="00563318"/>
    <w:rsid w:val="00563C28"/>
    <w:rsid w:val="00564334"/>
    <w:rsid w:val="005647F1"/>
    <w:rsid w:val="0056686F"/>
    <w:rsid w:val="00566881"/>
    <w:rsid w:val="00566A0B"/>
    <w:rsid w:val="00566C20"/>
    <w:rsid w:val="00567665"/>
    <w:rsid w:val="00567FEB"/>
    <w:rsid w:val="00570E29"/>
    <w:rsid w:val="0057170D"/>
    <w:rsid w:val="00571B16"/>
    <w:rsid w:val="0057371B"/>
    <w:rsid w:val="00573E0C"/>
    <w:rsid w:val="00574356"/>
    <w:rsid w:val="005759DA"/>
    <w:rsid w:val="00575ED8"/>
    <w:rsid w:val="00576296"/>
    <w:rsid w:val="00576A1D"/>
    <w:rsid w:val="00577049"/>
    <w:rsid w:val="005777E2"/>
    <w:rsid w:val="0057788A"/>
    <w:rsid w:val="005778AC"/>
    <w:rsid w:val="0058022F"/>
    <w:rsid w:val="00580C6C"/>
    <w:rsid w:val="00580E3F"/>
    <w:rsid w:val="00581172"/>
    <w:rsid w:val="005815FE"/>
    <w:rsid w:val="00582014"/>
    <w:rsid w:val="0058254C"/>
    <w:rsid w:val="00582E61"/>
    <w:rsid w:val="005834C7"/>
    <w:rsid w:val="00584AEA"/>
    <w:rsid w:val="00584BA7"/>
    <w:rsid w:val="005851EE"/>
    <w:rsid w:val="0058526C"/>
    <w:rsid w:val="005859A7"/>
    <w:rsid w:val="005859C2"/>
    <w:rsid w:val="00586322"/>
    <w:rsid w:val="00586FFD"/>
    <w:rsid w:val="00590697"/>
    <w:rsid w:val="00590B10"/>
    <w:rsid w:val="00590BE1"/>
    <w:rsid w:val="00590D6E"/>
    <w:rsid w:val="00590DC4"/>
    <w:rsid w:val="0059168E"/>
    <w:rsid w:val="0059177A"/>
    <w:rsid w:val="00591BC0"/>
    <w:rsid w:val="00592B27"/>
    <w:rsid w:val="00592E1A"/>
    <w:rsid w:val="00592F7C"/>
    <w:rsid w:val="00593E41"/>
    <w:rsid w:val="0059513B"/>
    <w:rsid w:val="0059531F"/>
    <w:rsid w:val="00595C2D"/>
    <w:rsid w:val="005978DC"/>
    <w:rsid w:val="00597AD8"/>
    <w:rsid w:val="005A0461"/>
    <w:rsid w:val="005A0511"/>
    <w:rsid w:val="005A077D"/>
    <w:rsid w:val="005A162C"/>
    <w:rsid w:val="005A1E04"/>
    <w:rsid w:val="005A3942"/>
    <w:rsid w:val="005A455A"/>
    <w:rsid w:val="005A4694"/>
    <w:rsid w:val="005A4BFC"/>
    <w:rsid w:val="005A4D24"/>
    <w:rsid w:val="005A4FBF"/>
    <w:rsid w:val="005A53CC"/>
    <w:rsid w:val="005A69CB"/>
    <w:rsid w:val="005A6AD1"/>
    <w:rsid w:val="005B0240"/>
    <w:rsid w:val="005B0FC1"/>
    <w:rsid w:val="005B24FB"/>
    <w:rsid w:val="005B2EEF"/>
    <w:rsid w:val="005B38FE"/>
    <w:rsid w:val="005B4859"/>
    <w:rsid w:val="005B4FA8"/>
    <w:rsid w:val="005B52F9"/>
    <w:rsid w:val="005B5B26"/>
    <w:rsid w:val="005B69FF"/>
    <w:rsid w:val="005B6F71"/>
    <w:rsid w:val="005B6F89"/>
    <w:rsid w:val="005B7767"/>
    <w:rsid w:val="005B7918"/>
    <w:rsid w:val="005B79F9"/>
    <w:rsid w:val="005C10B2"/>
    <w:rsid w:val="005C120C"/>
    <w:rsid w:val="005C1318"/>
    <w:rsid w:val="005C13A4"/>
    <w:rsid w:val="005C1C80"/>
    <w:rsid w:val="005C1DA7"/>
    <w:rsid w:val="005C2BFA"/>
    <w:rsid w:val="005C48CE"/>
    <w:rsid w:val="005C6214"/>
    <w:rsid w:val="005C62F1"/>
    <w:rsid w:val="005C77B0"/>
    <w:rsid w:val="005D110A"/>
    <w:rsid w:val="005D2D9E"/>
    <w:rsid w:val="005D4C91"/>
    <w:rsid w:val="005D51DB"/>
    <w:rsid w:val="005D57ED"/>
    <w:rsid w:val="005D5F12"/>
    <w:rsid w:val="005D613F"/>
    <w:rsid w:val="005D7439"/>
    <w:rsid w:val="005D7971"/>
    <w:rsid w:val="005D7D6B"/>
    <w:rsid w:val="005E00D2"/>
    <w:rsid w:val="005E05FE"/>
    <w:rsid w:val="005E15C9"/>
    <w:rsid w:val="005E2D9B"/>
    <w:rsid w:val="005E31B1"/>
    <w:rsid w:val="005E3F32"/>
    <w:rsid w:val="005E673C"/>
    <w:rsid w:val="005E7FC2"/>
    <w:rsid w:val="005F04AD"/>
    <w:rsid w:val="005F14A2"/>
    <w:rsid w:val="005F1546"/>
    <w:rsid w:val="005F2DD2"/>
    <w:rsid w:val="005F4053"/>
    <w:rsid w:val="005F7B84"/>
    <w:rsid w:val="00600199"/>
    <w:rsid w:val="0060052A"/>
    <w:rsid w:val="00600E57"/>
    <w:rsid w:val="006014CF"/>
    <w:rsid w:val="006018A4"/>
    <w:rsid w:val="006027CA"/>
    <w:rsid w:val="00602E10"/>
    <w:rsid w:val="006047CB"/>
    <w:rsid w:val="00606120"/>
    <w:rsid w:val="006076BA"/>
    <w:rsid w:val="006110A1"/>
    <w:rsid w:val="0061130E"/>
    <w:rsid w:val="006116F1"/>
    <w:rsid w:val="006120A5"/>
    <w:rsid w:val="00614096"/>
    <w:rsid w:val="00614566"/>
    <w:rsid w:val="0061468D"/>
    <w:rsid w:val="00615CE9"/>
    <w:rsid w:val="00620E3A"/>
    <w:rsid w:val="006211BF"/>
    <w:rsid w:val="006212C5"/>
    <w:rsid w:val="0062222F"/>
    <w:rsid w:val="00622CBB"/>
    <w:rsid w:val="00623AB2"/>
    <w:rsid w:val="006244A1"/>
    <w:rsid w:val="006251EC"/>
    <w:rsid w:val="006258FD"/>
    <w:rsid w:val="00625E09"/>
    <w:rsid w:val="006263E5"/>
    <w:rsid w:val="00626AC5"/>
    <w:rsid w:val="00627123"/>
    <w:rsid w:val="006308E7"/>
    <w:rsid w:val="006309B0"/>
    <w:rsid w:val="00631257"/>
    <w:rsid w:val="00631AC4"/>
    <w:rsid w:val="0063201A"/>
    <w:rsid w:val="006321F9"/>
    <w:rsid w:val="00632F41"/>
    <w:rsid w:val="006339A4"/>
    <w:rsid w:val="00633BB1"/>
    <w:rsid w:val="00635AE9"/>
    <w:rsid w:val="006372CE"/>
    <w:rsid w:val="00637F38"/>
    <w:rsid w:val="0064058E"/>
    <w:rsid w:val="006405B6"/>
    <w:rsid w:val="006405BE"/>
    <w:rsid w:val="0064069F"/>
    <w:rsid w:val="006412CC"/>
    <w:rsid w:val="006412FB"/>
    <w:rsid w:val="00642940"/>
    <w:rsid w:val="0064356E"/>
    <w:rsid w:val="00643CDA"/>
    <w:rsid w:val="00644F70"/>
    <w:rsid w:val="006458E6"/>
    <w:rsid w:val="0064644A"/>
    <w:rsid w:val="00646C75"/>
    <w:rsid w:val="006479FB"/>
    <w:rsid w:val="00650935"/>
    <w:rsid w:val="0065213B"/>
    <w:rsid w:val="0065276E"/>
    <w:rsid w:val="00653411"/>
    <w:rsid w:val="0065450D"/>
    <w:rsid w:val="00654A8E"/>
    <w:rsid w:val="00654BBB"/>
    <w:rsid w:val="006562BB"/>
    <w:rsid w:val="00656637"/>
    <w:rsid w:val="006574BE"/>
    <w:rsid w:val="00657F58"/>
    <w:rsid w:val="006604A3"/>
    <w:rsid w:val="00661633"/>
    <w:rsid w:val="00661961"/>
    <w:rsid w:val="00661CEC"/>
    <w:rsid w:val="00662662"/>
    <w:rsid w:val="00662C68"/>
    <w:rsid w:val="006631F7"/>
    <w:rsid w:val="006639CA"/>
    <w:rsid w:val="00663B86"/>
    <w:rsid w:val="00665349"/>
    <w:rsid w:val="00665D82"/>
    <w:rsid w:val="00665F9A"/>
    <w:rsid w:val="00667651"/>
    <w:rsid w:val="006678EB"/>
    <w:rsid w:val="00667A5B"/>
    <w:rsid w:val="00667F81"/>
    <w:rsid w:val="00671161"/>
    <w:rsid w:val="00672A6D"/>
    <w:rsid w:val="00674A0A"/>
    <w:rsid w:val="006754C0"/>
    <w:rsid w:val="00675572"/>
    <w:rsid w:val="00675734"/>
    <w:rsid w:val="00676119"/>
    <w:rsid w:val="006764DF"/>
    <w:rsid w:val="006772FC"/>
    <w:rsid w:val="006803C9"/>
    <w:rsid w:val="006805FE"/>
    <w:rsid w:val="00682A26"/>
    <w:rsid w:val="0068367A"/>
    <w:rsid w:val="00684231"/>
    <w:rsid w:val="006846C7"/>
    <w:rsid w:val="00684977"/>
    <w:rsid w:val="006855BA"/>
    <w:rsid w:val="00686160"/>
    <w:rsid w:val="00686BE5"/>
    <w:rsid w:val="006876BA"/>
    <w:rsid w:val="006878DE"/>
    <w:rsid w:val="006909ED"/>
    <w:rsid w:val="00691DD2"/>
    <w:rsid w:val="006926F2"/>
    <w:rsid w:val="006926F3"/>
    <w:rsid w:val="00692F7A"/>
    <w:rsid w:val="00693B3E"/>
    <w:rsid w:val="00693C8F"/>
    <w:rsid w:val="00693C9A"/>
    <w:rsid w:val="006949C5"/>
    <w:rsid w:val="006967C3"/>
    <w:rsid w:val="006A1805"/>
    <w:rsid w:val="006A38E6"/>
    <w:rsid w:val="006A4420"/>
    <w:rsid w:val="006A5ACF"/>
    <w:rsid w:val="006A60E2"/>
    <w:rsid w:val="006A6841"/>
    <w:rsid w:val="006A6FF0"/>
    <w:rsid w:val="006B0185"/>
    <w:rsid w:val="006B1B6F"/>
    <w:rsid w:val="006B2BDD"/>
    <w:rsid w:val="006B2E42"/>
    <w:rsid w:val="006B3411"/>
    <w:rsid w:val="006B3A2E"/>
    <w:rsid w:val="006B3D1E"/>
    <w:rsid w:val="006B40C4"/>
    <w:rsid w:val="006B4C85"/>
    <w:rsid w:val="006B4DF3"/>
    <w:rsid w:val="006B66AE"/>
    <w:rsid w:val="006B7357"/>
    <w:rsid w:val="006B7957"/>
    <w:rsid w:val="006B7D37"/>
    <w:rsid w:val="006C10F3"/>
    <w:rsid w:val="006C13E7"/>
    <w:rsid w:val="006C200A"/>
    <w:rsid w:val="006C4678"/>
    <w:rsid w:val="006C506F"/>
    <w:rsid w:val="006C6054"/>
    <w:rsid w:val="006C62E0"/>
    <w:rsid w:val="006C6405"/>
    <w:rsid w:val="006C75CF"/>
    <w:rsid w:val="006D0448"/>
    <w:rsid w:val="006D06D5"/>
    <w:rsid w:val="006D0748"/>
    <w:rsid w:val="006D16BF"/>
    <w:rsid w:val="006D17AD"/>
    <w:rsid w:val="006D30FE"/>
    <w:rsid w:val="006D3ED9"/>
    <w:rsid w:val="006D4551"/>
    <w:rsid w:val="006D46BB"/>
    <w:rsid w:val="006D581B"/>
    <w:rsid w:val="006D5D57"/>
    <w:rsid w:val="006D7107"/>
    <w:rsid w:val="006D7A2F"/>
    <w:rsid w:val="006D7F4C"/>
    <w:rsid w:val="006E0DED"/>
    <w:rsid w:val="006E1298"/>
    <w:rsid w:val="006E1DDE"/>
    <w:rsid w:val="006E2C28"/>
    <w:rsid w:val="006E4AB8"/>
    <w:rsid w:val="006E4C42"/>
    <w:rsid w:val="006E564E"/>
    <w:rsid w:val="006E5C2B"/>
    <w:rsid w:val="006E5CFA"/>
    <w:rsid w:val="006E6BD5"/>
    <w:rsid w:val="006E6D4D"/>
    <w:rsid w:val="006E7381"/>
    <w:rsid w:val="006E744E"/>
    <w:rsid w:val="006F19C6"/>
    <w:rsid w:val="006F19EA"/>
    <w:rsid w:val="006F1ADC"/>
    <w:rsid w:val="006F2A38"/>
    <w:rsid w:val="006F37AC"/>
    <w:rsid w:val="006F41EB"/>
    <w:rsid w:val="006F4418"/>
    <w:rsid w:val="006F523E"/>
    <w:rsid w:val="006F5358"/>
    <w:rsid w:val="006F5F2A"/>
    <w:rsid w:val="007005EF"/>
    <w:rsid w:val="0070253F"/>
    <w:rsid w:val="00702D05"/>
    <w:rsid w:val="00703436"/>
    <w:rsid w:val="00703FB3"/>
    <w:rsid w:val="007040BE"/>
    <w:rsid w:val="00704109"/>
    <w:rsid w:val="00704DE4"/>
    <w:rsid w:val="00704E04"/>
    <w:rsid w:val="0070512C"/>
    <w:rsid w:val="0070529D"/>
    <w:rsid w:val="00705575"/>
    <w:rsid w:val="007065F7"/>
    <w:rsid w:val="00706CD1"/>
    <w:rsid w:val="00710607"/>
    <w:rsid w:val="00710806"/>
    <w:rsid w:val="00710C29"/>
    <w:rsid w:val="00710D7E"/>
    <w:rsid w:val="00711051"/>
    <w:rsid w:val="00712720"/>
    <w:rsid w:val="00713008"/>
    <w:rsid w:val="00713E93"/>
    <w:rsid w:val="00714678"/>
    <w:rsid w:val="00715894"/>
    <w:rsid w:val="00715ACF"/>
    <w:rsid w:val="007201AC"/>
    <w:rsid w:val="00720223"/>
    <w:rsid w:val="0072033D"/>
    <w:rsid w:val="007210BB"/>
    <w:rsid w:val="0072203C"/>
    <w:rsid w:val="00722ECA"/>
    <w:rsid w:val="0072364A"/>
    <w:rsid w:val="00723706"/>
    <w:rsid w:val="007249A7"/>
    <w:rsid w:val="0072530D"/>
    <w:rsid w:val="00725E1F"/>
    <w:rsid w:val="00730CEF"/>
    <w:rsid w:val="00731E1E"/>
    <w:rsid w:val="007322A3"/>
    <w:rsid w:val="00734FA3"/>
    <w:rsid w:val="007350A9"/>
    <w:rsid w:val="00735ECC"/>
    <w:rsid w:val="00736C0A"/>
    <w:rsid w:val="00736C59"/>
    <w:rsid w:val="00736F10"/>
    <w:rsid w:val="00737D23"/>
    <w:rsid w:val="00737F1F"/>
    <w:rsid w:val="00740AFD"/>
    <w:rsid w:val="00741BC7"/>
    <w:rsid w:val="00742C51"/>
    <w:rsid w:val="007439FD"/>
    <w:rsid w:val="00743CE0"/>
    <w:rsid w:val="007441AD"/>
    <w:rsid w:val="00744945"/>
    <w:rsid w:val="00745185"/>
    <w:rsid w:val="00745418"/>
    <w:rsid w:val="00745496"/>
    <w:rsid w:val="00745EC5"/>
    <w:rsid w:val="007468FC"/>
    <w:rsid w:val="00746D81"/>
    <w:rsid w:val="00747211"/>
    <w:rsid w:val="0075056F"/>
    <w:rsid w:val="00750722"/>
    <w:rsid w:val="00750BBA"/>
    <w:rsid w:val="00751646"/>
    <w:rsid w:val="00752637"/>
    <w:rsid w:val="00752A22"/>
    <w:rsid w:val="00752C1D"/>
    <w:rsid w:val="007531B8"/>
    <w:rsid w:val="007536F3"/>
    <w:rsid w:val="00753D8A"/>
    <w:rsid w:val="00754448"/>
    <w:rsid w:val="007559B4"/>
    <w:rsid w:val="00756B1A"/>
    <w:rsid w:val="0076017F"/>
    <w:rsid w:val="007603D1"/>
    <w:rsid w:val="00760A55"/>
    <w:rsid w:val="00760AE7"/>
    <w:rsid w:val="00760E5B"/>
    <w:rsid w:val="00760FD9"/>
    <w:rsid w:val="007616A0"/>
    <w:rsid w:val="00761ECC"/>
    <w:rsid w:val="00763AA1"/>
    <w:rsid w:val="00763F97"/>
    <w:rsid w:val="00764264"/>
    <w:rsid w:val="00764342"/>
    <w:rsid w:val="00764758"/>
    <w:rsid w:val="00764F02"/>
    <w:rsid w:val="00765161"/>
    <w:rsid w:val="007656DE"/>
    <w:rsid w:val="0076651A"/>
    <w:rsid w:val="00766737"/>
    <w:rsid w:val="00766E6B"/>
    <w:rsid w:val="0076700A"/>
    <w:rsid w:val="00767FCF"/>
    <w:rsid w:val="00770CBF"/>
    <w:rsid w:val="00771010"/>
    <w:rsid w:val="0077146F"/>
    <w:rsid w:val="007716BC"/>
    <w:rsid w:val="007719D8"/>
    <w:rsid w:val="00771CB2"/>
    <w:rsid w:val="00772490"/>
    <w:rsid w:val="00772B20"/>
    <w:rsid w:val="007734C5"/>
    <w:rsid w:val="007739F6"/>
    <w:rsid w:val="007742F6"/>
    <w:rsid w:val="007743FC"/>
    <w:rsid w:val="00775B1E"/>
    <w:rsid w:val="00776248"/>
    <w:rsid w:val="00777E13"/>
    <w:rsid w:val="00780765"/>
    <w:rsid w:val="00780BAA"/>
    <w:rsid w:val="0078128E"/>
    <w:rsid w:val="0078144A"/>
    <w:rsid w:val="00781DAB"/>
    <w:rsid w:val="00781FBE"/>
    <w:rsid w:val="00782BEF"/>
    <w:rsid w:val="00783935"/>
    <w:rsid w:val="007839EC"/>
    <w:rsid w:val="00784308"/>
    <w:rsid w:val="00784C1E"/>
    <w:rsid w:val="00785B58"/>
    <w:rsid w:val="00786B96"/>
    <w:rsid w:val="00786D84"/>
    <w:rsid w:val="0078758F"/>
    <w:rsid w:val="00787715"/>
    <w:rsid w:val="00790533"/>
    <w:rsid w:val="00791177"/>
    <w:rsid w:val="007913E4"/>
    <w:rsid w:val="00791418"/>
    <w:rsid w:val="00792456"/>
    <w:rsid w:val="00793792"/>
    <w:rsid w:val="00794313"/>
    <w:rsid w:val="00795DDA"/>
    <w:rsid w:val="0079728E"/>
    <w:rsid w:val="007A0065"/>
    <w:rsid w:val="007A0768"/>
    <w:rsid w:val="007A0997"/>
    <w:rsid w:val="007A0E44"/>
    <w:rsid w:val="007A0EA6"/>
    <w:rsid w:val="007A15A1"/>
    <w:rsid w:val="007A26F6"/>
    <w:rsid w:val="007A2A4B"/>
    <w:rsid w:val="007A318F"/>
    <w:rsid w:val="007A3211"/>
    <w:rsid w:val="007A4016"/>
    <w:rsid w:val="007A4361"/>
    <w:rsid w:val="007A541F"/>
    <w:rsid w:val="007A6485"/>
    <w:rsid w:val="007A71E1"/>
    <w:rsid w:val="007A7768"/>
    <w:rsid w:val="007A7B74"/>
    <w:rsid w:val="007B0324"/>
    <w:rsid w:val="007B104C"/>
    <w:rsid w:val="007B32AE"/>
    <w:rsid w:val="007B33AC"/>
    <w:rsid w:val="007B3997"/>
    <w:rsid w:val="007B400C"/>
    <w:rsid w:val="007B43DA"/>
    <w:rsid w:val="007B4699"/>
    <w:rsid w:val="007B48C1"/>
    <w:rsid w:val="007B53DE"/>
    <w:rsid w:val="007B60CB"/>
    <w:rsid w:val="007B61C3"/>
    <w:rsid w:val="007B6ABC"/>
    <w:rsid w:val="007B7BAE"/>
    <w:rsid w:val="007B7D47"/>
    <w:rsid w:val="007C08A8"/>
    <w:rsid w:val="007C09A1"/>
    <w:rsid w:val="007C247C"/>
    <w:rsid w:val="007C25B7"/>
    <w:rsid w:val="007C30A3"/>
    <w:rsid w:val="007C362D"/>
    <w:rsid w:val="007C3921"/>
    <w:rsid w:val="007C3A86"/>
    <w:rsid w:val="007C4263"/>
    <w:rsid w:val="007C4B72"/>
    <w:rsid w:val="007C5166"/>
    <w:rsid w:val="007C78CB"/>
    <w:rsid w:val="007D083D"/>
    <w:rsid w:val="007D0EB4"/>
    <w:rsid w:val="007D1093"/>
    <w:rsid w:val="007D1361"/>
    <w:rsid w:val="007D168B"/>
    <w:rsid w:val="007D1DE0"/>
    <w:rsid w:val="007D20C5"/>
    <w:rsid w:val="007D23C9"/>
    <w:rsid w:val="007D2A2A"/>
    <w:rsid w:val="007D3008"/>
    <w:rsid w:val="007D34F9"/>
    <w:rsid w:val="007D4E9F"/>
    <w:rsid w:val="007D5744"/>
    <w:rsid w:val="007D66BA"/>
    <w:rsid w:val="007D75FB"/>
    <w:rsid w:val="007D771F"/>
    <w:rsid w:val="007D7B71"/>
    <w:rsid w:val="007E02D7"/>
    <w:rsid w:val="007E03B0"/>
    <w:rsid w:val="007E16A2"/>
    <w:rsid w:val="007E16F9"/>
    <w:rsid w:val="007E1F08"/>
    <w:rsid w:val="007E28F2"/>
    <w:rsid w:val="007E3005"/>
    <w:rsid w:val="007E361F"/>
    <w:rsid w:val="007E4785"/>
    <w:rsid w:val="007E50C9"/>
    <w:rsid w:val="007E5CA7"/>
    <w:rsid w:val="007E6AE1"/>
    <w:rsid w:val="007E7B02"/>
    <w:rsid w:val="007F00AE"/>
    <w:rsid w:val="007F016D"/>
    <w:rsid w:val="007F26D2"/>
    <w:rsid w:val="007F29F0"/>
    <w:rsid w:val="007F2D2F"/>
    <w:rsid w:val="007F3BBD"/>
    <w:rsid w:val="007F4731"/>
    <w:rsid w:val="007F4E33"/>
    <w:rsid w:val="007F79CC"/>
    <w:rsid w:val="007F7EF6"/>
    <w:rsid w:val="008001F7"/>
    <w:rsid w:val="008008C7"/>
    <w:rsid w:val="00801362"/>
    <w:rsid w:val="008022DD"/>
    <w:rsid w:val="00803000"/>
    <w:rsid w:val="0080326A"/>
    <w:rsid w:val="008038F6"/>
    <w:rsid w:val="0080419C"/>
    <w:rsid w:val="00806160"/>
    <w:rsid w:val="0080691B"/>
    <w:rsid w:val="008070A6"/>
    <w:rsid w:val="0080750F"/>
    <w:rsid w:val="00807516"/>
    <w:rsid w:val="0081066C"/>
    <w:rsid w:val="008106CF"/>
    <w:rsid w:val="00810C3F"/>
    <w:rsid w:val="00810F99"/>
    <w:rsid w:val="00812C17"/>
    <w:rsid w:val="00813B3B"/>
    <w:rsid w:val="0081428C"/>
    <w:rsid w:val="00814C35"/>
    <w:rsid w:val="00815743"/>
    <w:rsid w:val="00815DD1"/>
    <w:rsid w:val="00815EA6"/>
    <w:rsid w:val="00816735"/>
    <w:rsid w:val="0081675D"/>
    <w:rsid w:val="00817228"/>
    <w:rsid w:val="008179B6"/>
    <w:rsid w:val="00817D35"/>
    <w:rsid w:val="00820092"/>
    <w:rsid w:val="008204FD"/>
    <w:rsid w:val="00820ACF"/>
    <w:rsid w:val="00820B1A"/>
    <w:rsid w:val="00820C58"/>
    <w:rsid w:val="00821D3D"/>
    <w:rsid w:val="00822E05"/>
    <w:rsid w:val="008231A1"/>
    <w:rsid w:val="00823480"/>
    <w:rsid w:val="00823877"/>
    <w:rsid w:val="00823949"/>
    <w:rsid w:val="00824E35"/>
    <w:rsid w:val="00825223"/>
    <w:rsid w:val="0082644C"/>
    <w:rsid w:val="00826779"/>
    <w:rsid w:val="0082795E"/>
    <w:rsid w:val="00831E6F"/>
    <w:rsid w:val="00831FB8"/>
    <w:rsid w:val="00833CA3"/>
    <w:rsid w:val="008342F9"/>
    <w:rsid w:val="0083465F"/>
    <w:rsid w:val="00834DF7"/>
    <w:rsid w:val="0083512A"/>
    <w:rsid w:val="00835E7E"/>
    <w:rsid w:val="0083681E"/>
    <w:rsid w:val="00836F7C"/>
    <w:rsid w:val="008375E8"/>
    <w:rsid w:val="00837A0B"/>
    <w:rsid w:val="008401F9"/>
    <w:rsid w:val="00840618"/>
    <w:rsid w:val="0084241F"/>
    <w:rsid w:val="0084262E"/>
    <w:rsid w:val="00842ED3"/>
    <w:rsid w:val="008438E4"/>
    <w:rsid w:val="008440CA"/>
    <w:rsid w:val="008449E8"/>
    <w:rsid w:val="00844F63"/>
    <w:rsid w:val="00845374"/>
    <w:rsid w:val="00845884"/>
    <w:rsid w:val="008460DC"/>
    <w:rsid w:val="008462B1"/>
    <w:rsid w:val="0084650B"/>
    <w:rsid w:val="00846A10"/>
    <w:rsid w:val="00846CED"/>
    <w:rsid w:val="00847503"/>
    <w:rsid w:val="008476A8"/>
    <w:rsid w:val="00847DF1"/>
    <w:rsid w:val="00852DA5"/>
    <w:rsid w:val="00852DE1"/>
    <w:rsid w:val="00854671"/>
    <w:rsid w:val="00857549"/>
    <w:rsid w:val="0086018C"/>
    <w:rsid w:val="00862182"/>
    <w:rsid w:val="0086385F"/>
    <w:rsid w:val="00864E2C"/>
    <w:rsid w:val="00865B48"/>
    <w:rsid w:val="0086653D"/>
    <w:rsid w:val="00867602"/>
    <w:rsid w:val="0087000A"/>
    <w:rsid w:val="00870111"/>
    <w:rsid w:val="00870BEB"/>
    <w:rsid w:val="00870F60"/>
    <w:rsid w:val="00871637"/>
    <w:rsid w:val="008719B7"/>
    <w:rsid w:val="0087312D"/>
    <w:rsid w:val="00873B6F"/>
    <w:rsid w:val="00875536"/>
    <w:rsid w:val="00875C8B"/>
    <w:rsid w:val="0087613A"/>
    <w:rsid w:val="008765CA"/>
    <w:rsid w:val="00877579"/>
    <w:rsid w:val="00877E76"/>
    <w:rsid w:val="0087A75D"/>
    <w:rsid w:val="0088024B"/>
    <w:rsid w:val="008804DE"/>
    <w:rsid w:val="0088064C"/>
    <w:rsid w:val="008807FE"/>
    <w:rsid w:val="0088115A"/>
    <w:rsid w:val="008811C7"/>
    <w:rsid w:val="00882016"/>
    <w:rsid w:val="00882A4F"/>
    <w:rsid w:val="00883097"/>
    <w:rsid w:val="00883E77"/>
    <w:rsid w:val="00884420"/>
    <w:rsid w:val="008859B4"/>
    <w:rsid w:val="0088704B"/>
    <w:rsid w:val="008877B7"/>
    <w:rsid w:val="0088782E"/>
    <w:rsid w:val="00887A53"/>
    <w:rsid w:val="00887AA3"/>
    <w:rsid w:val="00887CD9"/>
    <w:rsid w:val="00890092"/>
    <w:rsid w:val="0089094C"/>
    <w:rsid w:val="008913EE"/>
    <w:rsid w:val="00892D44"/>
    <w:rsid w:val="008932DB"/>
    <w:rsid w:val="0089458B"/>
    <w:rsid w:val="008968CF"/>
    <w:rsid w:val="008969D1"/>
    <w:rsid w:val="00897F5B"/>
    <w:rsid w:val="008A0414"/>
    <w:rsid w:val="008A1254"/>
    <w:rsid w:val="008A12F4"/>
    <w:rsid w:val="008A226C"/>
    <w:rsid w:val="008A2744"/>
    <w:rsid w:val="008A35BD"/>
    <w:rsid w:val="008A3D9D"/>
    <w:rsid w:val="008A4141"/>
    <w:rsid w:val="008A4DFA"/>
    <w:rsid w:val="008A4F2E"/>
    <w:rsid w:val="008A647C"/>
    <w:rsid w:val="008A705A"/>
    <w:rsid w:val="008B2750"/>
    <w:rsid w:val="008B335D"/>
    <w:rsid w:val="008B3595"/>
    <w:rsid w:val="008B36D5"/>
    <w:rsid w:val="008B36F4"/>
    <w:rsid w:val="008B3725"/>
    <w:rsid w:val="008B3849"/>
    <w:rsid w:val="008B5372"/>
    <w:rsid w:val="008B5D05"/>
    <w:rsid w:val="008B700F"/>
    <w:rsid w:val="008B78A3"/>
    <w:rsid w:val="008C0291"/>
    <w:rsid w:val="008C0C5C"/>
    <w:rsid w:val="008C1B2C"/>
    <w:rsid w:val="008C1E6F"/>
    <w:rsid w:val="008C2511"/>
    <w:rsid w:val="008C2A49"/>
    <w:rsid w:val="008C31A2"/>
    <w:rsid w:val="008C5D30"/>
    <w:rsid w:val="008C5E6F"/>
    <w:rsid w:val="008C6469"/>
    <w:rsid w:val="008C6933"/>
    <w:rsid w:val="008C6A7A"/>
    <w:rsid w:val="008C6FCD"/>
    <w:rsid w:val="008C7178"/>
    <w:rsid w:val="008C7912"/>
    <w:rsid w:val="008D001C"/>
    <w:rsid w:val="008D1C1E"/>
    <w:rsid w:val="008D1DE2"/>
    <w:rsid w:val="008D2131"/>
    <w:rsid w:val="008D2202"/>
    <w:rsid w:val="008D280E"/>
    <w:rsid w:val="008D2F6F"/>
    <w:rsid w:val="008D3A0C"/>
    <w:rsid w:val="008D3DC1"/>
    <w:rsid w:val="008D47FF"/>
    <w:rsid w:val="008D560B"/>
    <w:rsid w:val="008D570E"/>
    <w:rsid w:val="008D5C8D"/>
    <w:rsid w:val="008D7CAA"/>
    <w:rsid w:val="008E070D"/>
    <w:rsid w:val="008E08B3"/>
    <w:rsid w:val="008E09E8"/>
    <w:rsid w:val="008E2065"/>
    <w:rsid w:val="008E2962"/>
    <w:rsid w:val="008E2C53"/>
    <w:rsid w:val="008E3587"/>
    <w:rsid w:val="008E5D64"/>
    <w:rsid w:val="008F01DB"/>
    <w:rsid w:val="008F03F7"/>
    <w:rsid w:val="008F0762"/>
    <w:rsid w:val="008F100D"/>
    <w:rsid w:val="008F2121"/>
    <w:rsid w:val="008F29AC"/>
    <w:rsid w:val="008F2ADD"/>
    <w:rsid w:val="008F2CD6"/>
    <w:rsid w:val="008F48DE"/>
    <w:rsid w:val="008F5707"/>
    <w:rsid w:val="008F7013"/>
    <w:rsid w:val="00901DC3"/>
    <w:rsid w:val="00902016"/>
    <w:rsid w:val="009023C8"/>
    <w:rsid w:val="009029EA"/>
    <w:rsid w:val="00902C78"/>
    <w:rsid w:val="00902D69"/>
    <w:rsid w:val="00902DCF"/>
    <w:rsid w:val="0090415D"/>
    <w:rsid w:val="00905667"/>
    <w:rsid w:val="00905773"/>
    <w:rsid w:val="009067DD"/>
    <w:rsid w:val="009072AC"/>
    <w:rsid w:val="00910F8A"/>
    <w:rsid w:val="00911184"/>
    <w:rsid w:val="00911704"/>
    <w:rsid w:val="00912D9C"/>
    <w:rsid w:val="00913253"/>
    <w:rsid w:val="0091343B"/>
    <w:rsid w:val="00913DCA"/>
    <w:rsid w:val="00914531"/>
    <w:rsid w:val="00914ABA"/>
    <w:rsid w:val="00914F89"/>
    <w:rsid w:val="009152B1"/>
    <w:rsid w:val="00915E03"/>
    <w:rsid w:val="00915EBF"/>
    <w:rsid w:val="0091640F"/>
    <w:rsid w:val="009217F9"/>
    <w:rsid w:val="009218FF"/>
    <w:rsid w:val="00922003"/>
    <w:rsid w:val="00923D39"/>
    <w:rsid w:val="0092464C"/>
    <w:rsid w:val="00925228"/>
    <w:rsid w:val="0092579E"/>
    <w:rsid w:val="00927422"/>
    <w:rsid w:val="00927CFE"/>
    <w:rsid w:val="00930A69"/>
    <w:rsid w:val="00932760"/>
    <w:rsid w:val="00933671"/>
    <w:rsid w:val="00933CE3"/>
    <w:rsid w:val="00934CBC"/>
    <w:rsid w:val="00935919"/>
    <w:rsid w:val="00936A3C"/>
    <w:rsid w:val="00936ABF"/>
    <w:rsid w:val="00937A90"/>
    <w:rsid w:val="00937D79"/>
    <w:rsid w:val="009403E5"/>
    <w:rsid w:val="00940BCB"/>
    <w:rsid w:val="00940D49"/>
    <w:rsid w:val="00942175"/>
    <w:rsid w:val="00943708"/>
    <w:rsid w:val="00946C04"/>
    <w:rsid w:val="00947018"/>
    <w:rsid w:val="00951D72"/>
    <w:rsid w:val="00951F86"/>
    <w:rsid w:val="00952909"/>
    <w:rsid w:val="00954E92"/>
    <w:rsid w:val="00954F29"/>
    <w:rsid w:val="0095666B"/>
    <w:rsid w:val="009567A0"/>
    <w:rsid w:val="00956CD4"/>
    <w:rsid w:val="00956D60"/>
    <w:rsid w:val="00957061"/>
    <w:rsid w:val="00957706"/>
    <w:rsid w:val="009608F3"/>
    <w:rsid w:val="00961678"/>
    <w:rsid w:val="0096255E"/>
    <w:rsid w:val="009628BB"/>
    <w:rsid w:val="00963AE6"/>
    <w:rsid w:val="00964408"/>
    <w:rsid w:val="009646EC"/>
    <w:rsid w:val="0096542E"/>
    <w:rsid w:val="009655E4"/>
    <w:rsid w:val="009656DA"/>
    <w:rsid w:val="009672BA"/>
    <w:rsid w:val="00967392"/>
    <w:rsid w:val="0097000E"/>
    <w:rsid w:val="009708AC"/>
    <w:rsid w:val="00970B33"/>
    <w:rsid w:val="009715FE"/>
    <w:rsid w:val="00972193"/>
    <w:rsid w:val="009724E3"/>
    <w:rsid w:val="00974839"/>
    <w:rsid w:val="00974E40"/>
    <w:rsid w:val="009753A3"/>
    <w:rsid w:val="00976E68"/>
    <w:rsid w:val="00977875"/>
    <w:rsid w:val="009802DF"/>
    <w:rsid w:val="00980645"/>
    <w:rsid w:val="00980670"/>
    <w:rsid w:val="00980EBD"/>
    <w:rsid w:val="00981959"/>
    <w:rsid w:val="00981E6B"/>
    <w:rsid w:val="0098202B"/>
    <w:rsid w:val="00982256"/>
    <w:rsid w:val="0098227E"/>
    <w:rsid w:val="00982631"/>
    <w:rsid w:val="00982722"/>
    <w:rsid w:val="0098288A"/>
    <w:rsid w:val="00982D20"/>
    <w:rsid w:val="0098309E"/>
    <w:rsid w:val="009830EC"/>
    <w:rsid w:val="00983C73"/>
    <w:rsid w:val="00984E74"/>
    <w:rsid w:val="0098554D"/>
    <w:rsid w:val="0098559E"/>
    <w:rsid w:val="00985679"/>
    <w:rsid w:val="00985B42"/>
    <w:rsid w:val="00986179"/>
    <w:rsid w:val="009879CB"/>
    <w:rsid w:val="00987AD8"/>
    <w:rsid w:val="009914E3"/>
    <w:rsid w:val="00991DCD"/>
    <w:rsid w:val="0099258A"/>
    <w:rsid w:val="00992C21"/>
    <w:rsid w:val="00995570"/>
    <w:rsid w:val="0099583A"/>
    <w:rsid w:val="00996C95"/>
    <w:rsid w:val="009975B1"/>
    <w:rsid w:val="009A0163"/>
    <w:rsid w:val="009A0D2B"/>
    <w:rsid w:val="009A1084"/>
    <w:rsid w:val="009A1C30"/>
    <w:rsid w:val="009A2972"/>
    <w:rsid w:val="009A2E53"/>
    <w:rsid w:val="009A5420"/>
    <w:rsid w:val="009A55F6"/>
    <w:rsid w:val="009A64F0"/>
    <w:rsid w:val="009A659A"/>
    <w:rsid w:val="009A7C27"/>
    <w:rsid w:val="009A7E9D"/>
    <w:rsid w:val="009B01FA"/>
    <w:rsid w:val="009B06CE"/>
    <w:rsid w:val="009B06FD"/>
    <w:rsid w:val="009B169F"/>
    <w:rsid w:val="009B16AA"/>
    <w:rsid w:val="009B25E1"/>
    <w:rsid w:val="009B3095"/>
    <w:rsid w:val="009B40A3"/>
    <w:rsid w:val="009B4C12"/>
    <w:rsid w:val="009B4EBC"/>
    <w:rsid w:val="009B5D9C"/>
    <w:rsid w:val="009B600B"/>
    <w:rsid w:val="009B7888"/>
    <w:rsid w:val="009B7A07"/>
    <w:rsid w:val="009C0D54"/>
    <w:rsid w:val="009C15BC"/>
    <w:rsid w:val="009C2339"/>
    <w:rsid w:val="009C31A8"/>
    <w:rsid w:val="009C4CBA"/>
    <w:rsid w:val="009C5205"/>
    <w:rsid w:val="009C640D"/>
    <w:rsid w:val="009C68F5"/>
    <w:rsid w:val="009C6DF3"/>
    <w:rsid w:val="009C6F3C"/>
    <w:rsid w:val="009D094F"/>
    <w:rsid w:val="009D15FE"/>
    <w:rsid w:val="009D1AA6"/>
    <w:rsid w:val="009D2D4C"/>
    <w:rsid w:val="009D41CA"/>
    <w:rsid w:val="009D4F55"/>
    <w:rsid w:val="009D59EF"/>
    <w:rsid w:val="009D7076"/>
    <w:rsid w:val="009D723E"/>
    <w:rsid w:val="009E0E6F"/>
    <w:rsid w:val="009E1592"/>
    <w:rsid w:val="009E1850"/>
    <w:rsid w:val="009E20E6"/>
    <w:rsid w:val="009E2423"/>
    <w:rsid w:val="009E242C"/>
    <w:rsid w:val="009E4E1D"/>
    <w:rsid w:val="009E4F35"/>
    <w:rsid w:val="009E5737"/>
    <w:rsid w:val="009E5B31"/>
    <w:rsid w:val="009E683C"/>
    <w:rsid w:val="009E69A5"/>
    <w:rsid w:val="009E6B0F"/>
    <w:rsid w:val="009E7264"/>
    <w:rsid w:val="009E73FC"/>
    <w:rsid w:val="009E765D"/>
    <w:rsid w:val="009E76A7"/>
    <w:rsid w:val="009E7E1A"/>
    <w:rsid w:val="009F00CD"/>
    <w:rsid w:val="009F1C5B"/>
    <w:rsid w:val="009F2B37"/>
    <w:rsid w:val="009F3411"/>
    <w:rsid w:val="009F342F"/>
    <w:rsid w:val="009F3A71"/>
    <w:rsid w:val="009F41F3"/>
    <w:rsid w:val="009F44B0"/>
    <w:rsid w:val="009F50DE"/>
    <w:rsid w:val="009F56AA"/>
    <w:rsid w:val="009F59F2"/>
    <w:rsid w:val="009F632F"/>
    <w:rsid w:val="009F6DBD"/>
    <w:rsid w:val="009F721B"/>
    <w:rsid w:val="00A0056E"/>
    <w:rsid w:val="00A009FB"/>
    <w:rsid w:val="00A00C08"/>
    <w:rsid w:val="00A01D6E"/>
    <w:rsid w:val="00A01DB8"/>
    <w:rsid w:val="00A0204F"/>
    <w:rsid w:val="00A02B04"/>
    <w:rsid w:val="00A02BC3"/>
    <w:rsid w:val="00A032F8"/>
    <w:rsid w:val="00A03760"/>
    <w:rsid w:val="00A03D9E"/>
    <w:rsid w:val="00A07826"/>
    <w:rsid w:val="00A07A71"/>
    <w:rsid w:val="00A07F5B"/>
    <w:rsid w:val="00A109FE"/>
    <w:rsid w:val="00A14592"/>
    <w:rsid w:val="00A149F0"/>
    <w:rsid w:val="00A158A7"/>
    <w:rsid w:val="00A165AC"/>
    <w:rsid w:val="00A16C45"/>
    <w:rsid w:val="00A16F58"/>
    <w:rsid w:val="00A17060"/>
    <w:rsid w:val="00A17C54"/>
    <w:rsid w:val="00A20187"/>
    <w:rsid w:val="00A202CD"/>
    <w:rsid w:val="00A22D9E"/>
    <w:rsid w:val="00A230FC"/>
    <w:rsid w:val="00A245B8"/>
    <w:rsid w:val="00A255D9"/>
    <w:rsid w:val="00A26003"/>
    <w:rsid w:val="00A26172"/>
    <w:rsid w:val="00A261E6"/>
    <w:rsid w:val="00A2707C"/>
    <w:rsid w:val="00A27885"/>
    <w:rsid w:val="00A27EB4"/>
    <w:rsid w:val="00A324A7"/>
    <w:rsid w:val="00A32B55"/>
    <w:rsid w:val="00A33025"/>
    <w:rsid w:val="00A333A0"/>
    <w:rsid w:val="00A33875"/>
    <w:rsid w:val="00A33D7C"/>
    <w:rsid w:val="00A33F92"/>
    <w:rsid w:val="00A3403A"/>
    <w:rsid w:val="00A346BE"/>
    <w:rsid w:val="00A3541D"/>
    <w:rsid w:val="00A35603"/>
    <w:rsid w:val="00A35A92"/>
    <w:rsid w:val="00A35DB8"/>
    <w:rsid w:val="00A3611F"/>
    <w:rsid w:val="00A366B2"/>
    <w:rsid w:val="00A367CC"/>
    <w:rsid w:val="00A373CE"/>
    <w:rsid w:val="00A37572"/>
    <w:rsid w:val="00A4001E"/>
    <w:rsid w:val="00A40162"/>
    <w:rsid w:val="00A40D08"/>
    <w:rsid w:val="00A4119A"/>
    <w:rsid w:val="00A41EE1"/>
    <w:rsid w:val="00A432C9"/>
    <w:rsid w:val="00A43595"/>
    <w:rsid w:val="00A43B97"/>
    <w:rsid w:val="00A43F02"/>
    <w:rsid w:val="00A466BC"/>
    <w:rsid w:val="00A46ADC"/>
    <w:rsid w:val="00A473BE"/>
    <w:rsid w:val="00A4740E"/>
    <w:rsid w:val="00A47A79"/>
    <w:rsid w:val="00A47CFD"/>
    <w:rsid w:val="00A5000A"/>
    <w:rsid w:val="00A50112"/>
    <w:rsid w:val="00A508B5"/>
    <w:rsid w:val="00A515CA"/>
    <w:rsid w:val="00A5195A"/>
    <w:rsid w:val="00A52083"/>
    <w:rsid w:val="00A554BE"/>
    <w:rsid w:val="00A5572B"/>
    <w:rsid w:val="00A5665F"/>
    <w:rsid w:val="00A56C94"/>
    <w:rsid w:val="00A577D6"/>
    <w:rsid w:val="00A60D87"/>
    <w:rsid w:val="00A6114B"/>
    <w:rsid w:val="00A615ED"/>
    <w:rsid w:val="00A61C08"/>
    <w:rsid w:val="00A623FC"/>
    <w:rsid w:val="00A6241B"/>
    <w:rsid w:val="00A62AC2"/>
    <w:rsid w:val="00A63F91"/>
    <w:rsid w:val="00A649F4"/>
    <w:rsid w:val="00A64AB3"/>
    <w:rsid w:val="00A6575F"/>
    <w:rsid w:val="00A65F47"/>
    <w:rsid w:val="00A66616"/>
    <w:rsid w:val="00A66731"/>
    <w:rsid w:val="00A67A17"/>
    <w:rsid w:val="00A700A9"/>
    <w:rsid w:val="00A70689"/>
    <w:rsid w:val="00A707EA"/>
    <w:rsid w:val="00A709A9"/>
    <w:rsid w:val="00A710E4"/>
    <w:rsid w:val="00A720BA"/>
    <w:rsid w:val="00A72DC3"/>
    <w:rsid w:val="00A72E94"/>
    <w:rsid w:val="00A73142"/>
    <w:rsid w:val="00A73420"/>
    <w:rsid w:val="00A738E0"/>
    <w:rsid w:val="00A73BF5"/>
    <w:rsid w:val="00A73C52"/>
    <w:rsid w:val="00A73CCD"/>
    <w:rsid w:val="00A74DA9"/>
    <w:rsid w:val="00A75A0E"/>
    <w:rsid w:val="00A75DE5"/>
    <w:rsid w:val="00A76B0B"/>
    <w:rsid w:val="00A77212"/>
    <w:rsid w:val="00A80321"/>
    <w:rsid w:val="00A803E5"/>
    <w:rsid w:val="00A808FA"/>
    <w:rsid w:val="00A815D0"/>
    <w:rsid w:val="00A81CD9"/>
    <w:rsid w:val="00A8252E"/>
    <w:rsid w:val="00A82BAF"/>
    <w:rsid w:val="00A836DD"/>
    <w:rsid w:val="00A841B7"/>
    <w:rsid w:val="00A842DB"/>
    <w:rsid w:val="00A84CF1"/>
    <w:rsid w:val="00A8561B"/>
    <w:rsid w:val="00A85E2C"/>
    <w:rsid w:val="00A86FCD"/>
    <w:rsid w:val="00A87E57"/>
    <w:rsid w:val="00A90946"/>
    <w:rsid w:val="00A9258F"/>
    <w:rsid w:val="00A92618"/>
    <w:rsid w:val="00A92A23"/>
    <w:rsid w:val="00A936E2"/>
    <w:rsid w:val="00A9379E"/>
    <w:rsid w:val="00A940ED"/>
    <w:rsid w:val="00A94F11"/>
    <w:rsid w:val="00A9554E"/>
    <w:rsid w:val="00A966CE"/>
    <w:rsid w:val="00A9732C"/>
    <w:rsid w:val="00A97BC0"/>
    <w:rsid w:val="00A97E9F"/>
    <w:rsid w:val="00AA2623"/>
    <w:rsid w:val="00AA3598"/>
    <w:rsid w:val="00AA3B08"/>
    <w:rsid w:val="00AA5666"/>
    <w:rsid w:val="00AA5757"/>
    <w:rsid w:val="00AA6594"/>
    <w:rsid w:val="00AA78E9"/>
    <w:rsid w:val="00AB0E36"/>
    <w:rsid w:val="00AB195F"/>
    <w:rsid w:val="00AB2044"/>
    <w:rsid w:val="00AB2449"/>
    <w:rsid w:val="00AB24BA"/>
    <w:rsid w:val="00AB35EC"/>
    <w:rsid w:val="00AB38CA"/>
    <w:rsid w:val="00AB3CA3"/>
    <w:rsid w:val="00AB3E43"/>
    <w:rsid w:val="00AB41FF"/>
    <w:rsid w:val="00AB4355"/>
    <w:rsid w:val="00AB4D08"/>
    <w:rsid w:val="00AB6811"/>
    <w:rsid w:val="00AB68CC"/>
    <w:rsid w:val="00AB6DB9"/>
    <w:rsid w:val="00AC389C"/>
    <w:rsid w:val="00AC48F3"/>
    <w:rsid w:val="00AC4C65"/>
    <w:rsid w:val="00AC4E7A"/>
    <w:rsid w:val="00AC595A"/>
    <w:rsid w:val="00AC6EBA"/>
    <w:rsid w:val="00AD143D"/>
    <w:rsid w:val="00AD3199"/>
    <w:rsid w:val="00AD3457"/>
    <w:rsid w:val="00AD3463"/>
    <w:rsid w:val="00AD42DC"/>
    <w:rsid w:val="00AD50DB"/>
    <w:rsid w:val="00AD5BD5"/>
    <w:rsid w:val="00AD5CBA"/>
    <w:rsid w:val="00AD5CBC"/>
    <w:rsid w:val="00AD68C6"/>
    <w:rsid w:val="00AD6E4B"/>
    <w:rsid w:val="00AD7DC7"/>
    <w:rsid w:val="00AD7ED7"/>
    <w:rsid w:val="00AE0196"/>
    <w:rsid w:val="00AE075E"/>
    <w:rsid w:val="00AE132C"/>
    <w:rsid w:val="00AE1608"/>
    <w:rsid w:val="00AE1A64"/>
    <w:rsid w:val="00AE5F94"/>
    <w:rsid w:val="00AF0058"/>
    <w:rsid w:val="00AF0288"/>
    <w:rsid w:val="00AF046F"/>
    <w:rsid w:val="00AF0879"/>
    <w:rsid w:val="00AF189A"/>
    <w:rsid w:val="00AF1CC0"/>
    <w:rsid w:val="00AF280A"/>
    <w:rsid w:val="00AF372F"/>
    <w:rsid w:val="00AF3AEA"/>
    <w:rsid w:val="00AF3EA6"/>
    <w:rsid w:val="00AF451F"/>
    <w:rsid w:val="00AF5745"/>
    <w:rsid w:val="00AF6059"/>
    <w:rsid w:val="00AF6090"/>
    <w:rsid w:val="00B00673"/>
    <w:rsid w:val="00B009B3"/>
    <w:rsid w:val="00B0124B"/>
    <w:rsid w:val="00B01EBE"/>
    <w:rsid w:val="00B028C4"/>
    <w:rsid w:val="00B02D8F"/>
    <w:rsid w:val="00B030EA"/>
    <w:rsid w:val="00B0385E"/>
    <w:rsid w:val="00B040DB"/>
    <w:rsid w:val="00B041DB"/>
    <w:rsid w:val="00B04DC1"/>
    <w:rsid w:val="00B05FEC"/>
    <w:rsid w:val="00B063B4"/>
    <w:rsid w:val="00B068F9"/>
    <w:rsid w:val="00B10E1C"/>
    <w:rsid w:val="00B11133"/>
    <w:rsid w:val="00B130DA"/>
    <w:rsid w:val="00B134BF"/>
    <w:rsid w:val="00B135AC"/>
    <w:rsid w:val="00B13EFF"/>
    <w:rsid w:val="00B14C6D"/>
    <w:rsid w:val="00B15982"/>
    <w:rsid w:val="00B15CF4"/>
    <w:rsid w:val="00B1609B"/>
    <w:rsid w:val="00B16736"/>
    <w:rsid w:val="00B17205"/>
    <w:rsid w:val="00B17494"/>
    <w:rsid w:val="00B1749D"/>
    <w:rsid w:val="00B17814"/>
    <w:rsid w:val="00B17E06"/>
    <w:rsid w:val="00B2010A"/>
    <w:rsid w:val="00B2034F"/>
    <w:rsid w:val="00B203EB"/>
    <w:rsid w:val="00B207C3"/>
    <w:rsid w:val="00B20964"/>
    <w:rsid w:val="00B21FCF"/>
    <w:rsid w:val="00B2205B"/>
    <w:rsid w:val="00B23FF5"/>
    <w:rsid w:val="00B24A14"/>
    <w:rsid w:val="00B25CFF"/>
    <w:rsid w:val="00B26375"/>
    <w:rsid w:val="00B27BE2"/>
    <w:rsid w:val="00B27C89"/>
    <w:rsid w:val="00B27D27"/>
    <w:rsid w:val="00B307F6"/>
    <w:rsid w:val="00B30D06"/>
    <w:rsid w:val="00B31274"/>
    <w:rsid w:val="00B318C7"/>
    <w:rsid w:val="00B31E4B"/>
    <w:rsid w:val="00B328FA"/>
    <w:rsid w:val="00B32D4C"/>
    <w:rsid w:val="00B32DE2"/>
    <w:rsid w:val="00B338A5"/>
    <w:rsid w:val="00B3397E"/>
    <w:rsid w:val="00B3456F"/>
    <w:rsid w:val="00B346E5"/>
    <w:rsid w:val="00B3573E"/>
    <w:rsid w:val="00B36F05"/>
    <w:rsid w:val="00B40201"/>
    <w:rsid w:val="00B426E8"/>
    <w:rsid w:val="00B42B28"/>
    <w:rsid w:val="00B434C8"/>
    <w:rsid w:val="00B450D4"/>
    <w:rsid w:val="00B454FE"/>
    <w:rsid w:val="00B45F14"/>
    <w:rsid w:val="00B4727C"/>
    <w:rsid w:val="00B4749C"/>
    <w:rsid w:val="00B475BB"/>
    <w:rsid w:val="00B47711"/>
    <w:rsid w:val="00B47743"/>
    <w:rsid w:val="00B47EBE"/>
    <w:rsid w:val="00B5093B"/>
    <w:rsid w:val="00B510F5"/>
    <w:rsid w:val="00B528FB"/>
    <w:rsid w:val="00B532B4"/>
    <w:rsid w:val="00B53D96"/>
    <w:rsid w:val="00B53DCB"/>
    <w:rsid w:val="00B53E4F"/>
    <w:rsid w:val="00B540F5"/>
    <w:rsid w:val="00B542B3"/>
    <w:rsid w:val="00B54FF6"/>
    <w:rsid w:val="00B5527A"/>
    <w:rsid w:val="00B562FE"/>
    <w:rsid w:val="00B56518"/>
    <w:rsid w:val="00B603CF"/>
    <w:rsid w:val="00B61C48"/>
    <w:rsid w:val="00B621E1"/>
    <w:rsid w:val="00B62C4E"/>
    <w:rsid w:val="00B63309"/>
    <w:rsid w:val="00B63B50"/>
    <w:rsid w:val="00B6438A"/>
    <w:rsid w:val="00B64B56"/>
    <w:rsid w:val="00B654B7"/>
    <w:rsid w:val="00B65A36"/>
    <w:rsid w:val="00B665AF"/>
    <w:rsid w:val="00B66822"/>
    <w:rsid w:val="00B67E87"/>
    <w:rsid w:val="00B7066D"/>
    <w:rsid w:val="00B70A4C"/>
    <w:rsid w:val="00B716DF"/>
    <w:rsid w:val="00B72B69"/>
    <w:rsid w:val="00B73D39"/>
    <w:rsid w:val="00B75437"/>
    <w:rsid w:val="00B771B1"/>
    <w:rsid w:val="00B77280"/>
    <w:rsid w:val="00B77A23"/>
    <w:rsid w:val="00B8021B"/>
    <w:rsid w:val="00B80384"/>
    <w:rsid w:val="00B803FC"/>
    <w:rsid w:val="00B81868"/>
    <w:rsid w:val="00B82E37"/>
    <w:rsid w:val="00B83B96"/>
    <w:rsid w:val="00B841B7"/>
    <w:rsid w:val="00B84D22"/>
    <w:rsid w:val="00B85003"/>
    <w:rsid w:val="00B85A3E"/>
    <w:rsid w:val="00B8605B"/>
    <w:rsid w:val="00B86ACE"/>
    <w:rsid w:val="00B86C4E"/>
    <w:rsid w:val="00B873F7"/>
    <w:rsid w:val="00B9158A"/>
    <w:rsid w:val="00B9271A"/>
    <w:rsid w:val="00B93F89"/>
    <w:rsid w:val="00B94018"/>
    <w:rsid w:val="00B94592"/>
    <w:rsid w:val="00B9501C"/>
    <w:rsid w:val="00B955B8"/>
    <w:rsid w:val="00B965B1"/>
    <w:rsid w:val="00B96C77"/>
    <w:rsid w:val="00B97107"/>
    <w:rsid w:val="00B97BA6"/>
    <w:rsid w:val="00B97DB1"/>
    <w:rsid w:val="00B9F6AA"/>
    <w:rsid w:val="00BA1615"/>
    <w:rsid w:val="00BA1A16"/>
    <w:rsid w:val="00BA1FA3"/>
    <w:rsid w:val="00BA333D"/>
    <w:rsid w:val="00BA46D7"/>
    <w:rsid w:val="00BA4735"/>
    <w:rsid w:val="00BA4F5A"/>
    <w:rsid w:val="00BA6432"/>
    <w:rsid w:val="00BA64A9"/>
    <w:rsid w:val="00BA750B"/>
    <w:rsid w:val="00BA7530"/>
    <w:rsid w:val="00BB034C"/>
    <w:rsid w:val="00BB158C"/>
    <w:rsid w:val="00BB15EF"/>
    <w:rsid w:val="00BB1A5B"/>
    <w:rsid w:val="00BB3125"/>
    <w:rsid w:val="00BB4C8D"/>
    <w:rsid w:val="00BB6A07"/>
    <w:rsid w:val="00BB6A8D"/>
    <w:rsid w:val="00BB7969"/>
    <w:rsid w:val="00BB7FD6"/>
    <w:rsid w:val="00BC0822"/>
    <w:rsid w:val="00BC08EB"/>
    <w:rsid w:val="00BC1660"/>
    <w:rsid w:val="00BC1AE0"/>
    <w:rsid w:val="00BC1E19"/>
    <w:rsid w:val="00BC2795"/>
    <w:rsid w:val="00BC3659"/>
    <w:rsid w:val="00BC3D1D"/>
    <w:rsid w:val="00BC3F4C"/>
    <w:rsid w:val="00BC4F67"/>
    <w:rsid w:val="00BC50C4"/>
    <w:rsid w:val="00BC518D"/>
    <w:rsid w:val="00BC5478"/>
    <w:rsid w:val="00BC5E1A"/>
    <w:rsid w:val="00BC6B3B"/>
    <w:rsid w:val="00BC6D0D"/>
    <w:rsid w:val="00BC739C"/>
    <w:rsid w:val="00BC7ECB"/>
    <w:rsid w:val="00BD051F"/>
    <w:rsid w:val="00BD06FB"/>
    <w:rsid w:val="00BD07D5"/>
    <w:rsid w:val="00BD25BA"/>
    <w:rsid w:val="00BD28C2"/>
    <w:rsid w:val="00BD2D09"/>
    <w:rsid w:val="00BD33B3"/>
    <w:rsid w:val="00BD590A"/>
    <w:rsid w:val="00BD5953"/>
    <w:rsid w:val="00BD67F3"/>
    <w:rsid w:val="00BE04D1"/>
    <w:rsid w:val="00BE0545"/>
    <w:rsid w:val="00BE0D84"/>
    <w:rsid w:val="00BE174C"/>
    <w:rsid w:val="00BE1DE0"/>
    <w:rsid w:val="00BE2378"/>
    <w:rsid w:val="00BE2A1C"/>
    <w:rsid w:val="00BE2D02"/>
    <w:rsid w:val="00BE2D83"/>
    <w:rsid w:val="00BE342B"/>
    <w:rsid w:val="00BE5FE7"/>
    <w:rsid w:val="00BE635A"/>
    <w:rsid w:val="00BE69D9"/>
    <w:rsid w:val="00BE6AEB"/>
    <w:rsid w:val="00BF05E8"/>
    <w:rsid w:val="00BF493B"/>
    <w:rsid w:val="00BF5A1E"/>
    <w:rsid w:val="00BF6814"/>
    <w:rsid w:val="00BF68D0"/>
    <w:rsid w:val="00BF6BFD"/>
    <w:rsid w:val="00BF7362"/>
    <w:rsid w:val="00BF7631"/>
    <w:rsid w:val="00C02420"/>
    <w:rsid w:val="00C026D4"/>
    <w:rsid w:val="00C02DDF"/>
    <w:rsid w:val="00C03058"/>
    <w:rsid w:val="00C03101"/>
    <w:rsid w:val="00C034BB"/>
    <w:rsid w:val="00C06943"/>
    <w:rsid w:val="00C107B1"/>
    <w:rsid w:val="00C11E9E"/>
    <w:rsid w:val="00C11EEE"/>
    <w:rsid w:val="00C144AA"/>
    <w:rsid w:val="00C14D6B"/>
    <w:rsid w:val="00C15A1C"/>
    <w:rsid w:val="00C1672D"/>
    <w:rsid w:val="00C16A0E"/>
    <w:rsid w:val="00C20257"/>
    <w:rsid w:val="00C209A3"/>
    <w:rsid w:val="00C2108F"/>
    <w:rsid w:val="00C215E9"/>
    <w:rsid w:val="00C2211F"/>
    <w:rsid w:val="00C222BF"/>
    <w:rsid w:val="00C22FD4"/>
    <w:rsid w:val="00C23473"/>
    <w:rsid w:val="00C24A52"/>
    <w:rsid w:val="00C24AA5"/>
    <w:rsid w:val="00C25541"/>
    <w:rsid w:val="00C255DB"/>
    <w:rsid w:val="00C25C98"/>
    <w:rsid w:val="00C25E13"/>
    <w:rsid w:val="00C25FE8"/>
    <w:rsid w:val="00C26152"/>
    <w:rsid w:val="00C26BAF"/>
    <w:rsid w:val="00C26CBA"/>
    <w:rsid w:val="00C3050E"/>
    <w:rsid w:val="00C30646"/>
    <w:rsid w:val="00C30679"/>
    <w:rsid w:val="00C308BA"/>
    <w:rsid w:val="00C30F73"/>
    <w:rsid w:val="00C3100C"/>
    <w:rsid w:val="00C3151B"/>
    <w:rsid w:val="00C3203F"/>
    <w:rsid w:val="00C321FE"/>
    <w:rsid w:val="00C33B26"/>
    <w:rsid w:val="00C33FB5"/>
    <w:rsid w:val="00C34CE7"/>
    <w:rsid w:val="00C35826"/>
    <w:rsid w:val="00C35ADC"/>
    <w:rsid w:val="00C35E45"/>
    <w:rsid w:val="00C367FB"/>
    <w:rsid w:val="00C36D50"/>
    <w:rsid w:val="00C36F29"/>
    <w:rsid w:val="00C37CB6"/>
    <w:rsid w:val="00C4065E"/>
    <w:rsid w:val="00C406C4"/>
    <w:rsid w:val="00C40760"/>
    <w:rsid w:val="00C409D8"/>
    <w:rsid w:val="00C4121D"/>
    <w:rsid w:val="00C4177B"/>
    <w:rsid w:val="00C41B05"/>
    <w:rsid w:val="00C42AF1"/>
    <w:rsid w:val="00C42E2E"/>
    <w:rsid w:val="00C42F73"/>
    <w:rsid w:val="00C42FBF"/>
    <w:rsid w:val="00C43D32"/>
    <w:rsid w:val="00C444CC"/>
    <w:rsid w:val="00C444D8"/>
    <w:rsid w:val="00C45289"/>
    <w:rsid w:val="00C45350"/>
    <w:rsid w:val="00C46356"/>
    <w:rsid w:val="00C46593"/>
    <w:rsid w:val="00C4747B"/>
    <w:rsid w:val="00C501C1"/>
    <w:rsid w:val="00C5067A"/>
    <w:rsid w:val="00C5218D"/>
    <w:rsid w:val="00C556C4"/>
    <w:rsid w:val="00C566A8"/>
    <w:rsid w:val="00C56FAA"/>
    <w:rsid w:val="00C57312"/>
    <w:rsid w:val="00C5794F"/>
    <w:rsid w:val="00C60D3A"/>
    <w:rsid w:val="00C60EBF"/>
    <w:rsid w:val="00C62827"/>
    <w:rsid w:val="00C633D5"/>
    <w:rsid w:val="00C63E84"/>
    <w:rsid w:val="00C6400A"/>
    <w:rsid w:val="00C6419E"/>
    <w:rsid w:val="00C6423D"/>
    <w:rsid w:val="00C646A9"/>
    <w:rsid w:val="00C648E7"/>
    <w:rsid w:val="00C64E45"/>
    <w:rsid w:val="00C65217"/>
    <w:rsid w:val="00C65AD0"/>
    <w:rsid w:val="00C674D2"/>
    <w:rsid w:val="00C676C1"/>
    <w:rsid w:val="00C71428"/>
    <w:rsid w:val="00C714C9"/>
    <w:rsid w:val="00C74295"/>
    <w:rsid w:val="00C7447C"/>
    <w:rsid w:val="00C75F54"/>
    <w:rsid w:val="00C76403"/>
    <w:rsid w:val="00C77387"/>
    <w:rsid w:val="00C800B2"/>
    <w:rsid w:val="00C80320"/>
    <w:rsid w:val="00C8048B"/>
    <w:rsid w:val="00C809A7"/>
    <w:rsid w:val="00C80F39"/>
    <w:rsid w:val="00C81B6B"/>
    <w:rsid w:val="00C8220F"/>
    <w:rsid w:val="00C84046"/>
    <w:rsid w:val="00C853E2"/>
    <w:rsid w:val="00C85527"/>
    <w:rsid w:val="00C87DB1"/>
    <w:rsid w:val="00C91068"/>
    <w:rsid w:val="00C91C6B"/>
    <w:rsid w:val="00C91E9A"/>
    <w:rsid w:val="00C9203C"/>
    <w:rsid w:val="00C92C93"/>
    <w:rsid w:val="00C93060"/>
    <w:rsid w:val="00C93414"/>
    <w:rsid w:val="00C935D9"/>
    <w:rsid w:val="00C93C69"/>
    <w:rsid w:val="00C93D99"/>
    <w:rsid w:val="00C946FE"/>
    <w:rsid w:val="00C95AD0"/>
    <w:rsid w:val="00C95B01"/>
    <w:rsid w:val="00C96193"/>
    <w:rsid w:val="00CA1184"/>
    <w:rsid w:val="00CA1745"/>
    <w:rsid w:val="00CA22A4"/>
    <w:rsid w:val="00CA2C9C"/>
    <w:rsid w:val="00CA3925"/>
    <w:rsid w:val="00CA3A1D"/>
    <w:rsid w:val="00CA41C4"/>
    <w:rsid w:val="00CA657C"/>
    <w:rsid w:val="00CA7EF2"/>
    <w:rsid w:val="00CB086E"/>
    <w:rsid w:val="00CB0E13"/>
    <w:rsid w:val="00CB0EB6"/>
    <w:rsid w:val="00CB2281"/>
    <w:rsid w:val="00CB34E8"/>
    <w:rsid w:val="00CB3919"/>
    <w:rsid w:val="00CB3C40"/>
    <w:rsid w:val="00CB5E91"/>
    <w:rsid w:val="00CB6B92"/>
    <w:rsid w:val="00CB7648"/>
    <w:rsid w:val="00CB7D99"/>
    <w:rsid w:val="00CC17C7"/>
    <w:rsid w:val="00CC1881"/>
    <w:rsid w:val="00CC1DBE"/>
    <w:rsid w:val="00CC32B5"/>
    <w:rsid w:val="00CC3980"/>
    <w:rsid w:val="00CC50D4"/>
    <w:rsid w:val="00CC5728"/>
    <w:rsid w:val="00CC57CD"/>
    <w:rsid w:val="00CC5C6F"/>
    <w:rsid w:val="00CC62F0"/>
    <w:rsid w:val="00CC650E"/>
    <w:rsid w:val="00CC6D62"/>
    <w:rsid w:val="00CC7E4C"/>
    <w:rsid w:val="00CD0756"/>
    <w:rsid w:val="00CD3F77"/>
    <w:rsid w:val="00CD46A2"/>
    <w:rsid w:val="00CD4760"/>
    <w:rsid w:val="00CD4931"/>
    <w:rsid w:val="00CD4A71"/>
    <w:rsid w:val="00CD4AB9"/>
    <w:rsid w:val="00CD4AFB"/>
    <w:rsid w:val="00CD55B7"/>
    <w:rsid w:val="00CD628F"/>
    <w:rsid w:val="00CD6C50"/>
    <w:rsid w:val="00CD6DE9"/>
    <w:rsid w:val="00CD7653"/>
    <w:rsid w:val="00CD7731"/>
    <w:rsid w:val="00CD783A"/>
    <w:rsid w:val="00CD7BC1"/>
    <w:rsid w:val="00CE05AF"/>
    <w:rsid w:val="00CE07A6"/>
    <w:rsid w:val="00CE0AFD"/>
    <w:rsid w:val="00CE1C88"/>
    <w:rsid w:val="00CE1E93"/>
    <w:rsid w:val="00CE2254"/>
    <w:rsid w:val="00CE2D68"/>
    <w:rsid w:val="00CE3122"/>
    <w:rsid w:val="00CE34B1"/>
    <w:rsid w:val="00CE45A2"/>
    <w:rsid w:val="00CE4A97"/>
    <w:rsid w:val="00CE4B33"/>
    <w:rsid w:val="00CE5C32"/>
    <w:rsid w:val="00CE6FAE"/>
    <w:rsid w:val="00CF05FA"/>
    <w:rsid w:val="00CF0A31"/>
    <w:rsid w:val="00CF0B45"/>
    <w:rsid w:val="00CF1C96"/>
    <w:rsid w:val="00CF2B69"/>
    <w:rsid w:val="00CF2B77"/>
    <w:rsid w:val="00CF2F8C"/>
    <w:rsid w:val="00CF36D8"/>
    <w:rsid w:val="00CF3AE9"/>
    <w:rsid w:val="00CF435C"/>
    <w:rsid w:val="00CF46BF"/>
    <w:rsid w:val="00CF4CBD"/>
    <w:rsid w:val="00CF5A02"/>
    <w:rsid w:val="00CF6107"/>
    <w:rsid w:val="00CF7C9D"/>
    <w:rsid w:val="00CF7DA4"/>
    <w:rsid w:val="00CFE4AE"/>
    <w:rsid w:val="00D00C22"/>
    <w:rsid w:val="00D015BF"/>
    <w:rsid w:val="00D01FC7"/>
    <w:rsid w:val="00D0298A"/>
    <w:rsid w:val="00D03B1E"/>
    <w:rsid w:val="00D03D95"/>
    <w:rsid w:val="00D04900"/>
    <w:rsid w:val="00D057A2"/>
    <w:rsid w:val="00D06014"/>
    <w:rsid w:val="00D06472"/>
    <w:rsid w:val="00D07FAB"/>
    <w:rsid w:val="00D10AEB"/>
    <w:rsid w:val="00D11AD0"/>
    <w:rsid w:val="00D11AD7"/>
    <w:rsid w:val="00D128AF"/>
    <w:rsid w:val="00D12D47"/>
    <w:rsid w:val="00D13460"/>
    <w:rsid w:val="00D1414B"/>
    <w:rsid w:val="00D14A8D"/>
    <w:rsid w:val="00D14AA0"/>
    <w:rsid w:val="00D14BFA"/>
    <w:rsid w:val="00D15052"/>
    <w:rsid w:val="00D1565A"/>
    <w:rsid w:val="00D1602E"/>
    <w:rsid w:val="00D16611"/>
    <w:rsid w:val="00D16B21"/>
    <w:rsid w:val="00D22A27"/>
    <w:rsid w:val="00D23A29"/>
    <w:rsid w:val="00D24D88"/>
    <w:rsid w:val="00D25780"/>
    <w:rsid w:val="00D25AD3"/>
    <w:rsid w:val="00D26F14"/>
    <w:rsid w:val="00D27C00"/>
    <w:rsid w:val="00D307D1"/>
    <w:rsid w:val="00D30EEE"/>
    <w:rsid w:val="00D31F3F"/>
    <w:rsid w:val="00D33239"/>
    <w:rsid w:val="00D3588D"/>
    <w:rsid w:val="00D36DFE"/>
    <w:rsid w:val="00D377B0"/>
    <w:rsid w:val="00D37B2E"/>
    <w:rsid w:val="00D37D29"/>
    <w:rsid w:val="00D40BCB"/>
    <w:rsid w:val="00D410AA"/>
    <w:rsid w:val="00D4124E"/>
    <w:rsid w:val="00D4153A"/>
    <w:rsid w:val="00D41BDF"/>
    <w:rsid w:val="00D41CFE"/>
    <w:rsid w:val="00D423FA"/>
    <w:rsid w:val="00D427A4"/>
    <w:rsid w:val="00D4350C"/>
    <w:rsid w:val="00D43762"/>
    <w:rsid w:val="00D43C53"/>
    <w:rsid w:val="00D4581B"/>
    <w:rsid w:val="00D45D13"/>
    <w:rsid w:val="00D46681"/>
    <w:rsid w:val="00D46BFC"/>
    <w:rsid w:val="00D47F80"/>
    <w:rsid w:val="00D50191"/>
    <w:rsid w:val="00D50BC4"/>
    <w:rsid w:val="00D5112E"/>
    <w:rsid w:val="00D512CD"/>
    <w:rsid w:val="00D52196"/>
    <w:rsid w:val="00D52556"/>
    <w:rsid w:val="00D536BE"/>
    <w:rsid w:val="00D5377B"/>
    <w:rsid w:val="00D53F7F"/>
    <w:rsid w:val="00D540F5"/>
    <w:rsid w:val="00D5435C"/>
    <w:rsid w:val="00D55D16"/>
    <w:rsid w:val="00D571D7"/>
    <w:rsid w:val="00D57236"/>
    <w:rsid w:val="00D60408"/>
    <w:rsid w:val="00D610AE"/>
    <w:rsid w:val="00D62098"/>
    <w:rsid w:val="00D62B4E"/>
    <w:rsid w:val="00D62EE7"/>
    <w:rsid w:val="00D63168"/>
    <w:rsid w:val="00D64813"/>
    <w:rsid w:val="00D66E55"/>
    <w:rsid w:val="00D6766F"/>
    <w:rsid w:val="00D6771D"/>
    <w:rsid w:val="00D704AB"/>
    <w:rsid w:val="00D7057A"/>
    <w:rsid w:val="00D7125C"/>
    <w:rsid w:val="00D71528"/>
    <w:rsid w:val="00D718B3"/>
    <w:rsid w:val="00D71F9A"/>
    <w:rsid w:val="00D725C8"/>
    <w:rsid w:val="00D72ECF"/>
    <w:rsid w:val="00D73B2F"/>
    <w:rsid w:val="00D75BDB"/>
    <w:rsid w:val="00D77703"/>
    <w:rsid w:val="00D801F3"/>
    <w:rsid w:val="00D8025B"/>
    <w:rsid w:val="00D8087C"/>
    <w:rsid w:val="00D808B0"/>
    <w:rsid w:val="00D810A6"/>
    <w:rsid w:val="00D81130"/>
    <w:rsid w:val="00D81964"/>
    <w:rsid w:val="00D81B8F"/>
    <w:rsid w:val="00D82272"/>
    <w:rsid w:val="00D841E6"/>
    <w:rsid w:val="00D84B09"/>
    <w:rsid w:val="00D84BBB"/>
    <w:rsid w:val="00D863E0"/>
    <w:rsid w:val="00D90625"/>
    <w:rsid w:val="00D90980"/>
    <w:rsid w:val="00D910B3"/>
    <w:rsid w:val="00D91933"/>
    <w:rsid w:val="00D91C9D"/>
    <w:rsid w:val="00D922F9"/>
    <w:rsid w:val="00D92399"/>
    <w:rsid w:val="00D93F4F"/>
    <w:rsid w:val="00D942BB"/>
    <w:rsid w:val="00D9480C"/>
    <w:rsid w:val="00D95099"/>
    <w:rsid w:val="00D95494"/>
    <w:rsid w:val="00D96E7C"/>
    <w:rsid w:val="00DA0C21"/>
    <w:rsid w:val="00DA133C"/>
    <w:rsid w:val="00DA17A1"/>
    <w:rsid w:val="00DA1F2B"/>
    <w:rsid w:val="00DA3782"/>
    <w:rsid w:val="00DA6024"/>
    <w:rsid w:val="00DA66A7"/>
    <w:rsid w:val="00DA66AC"/>
    <w:rsid w:val="00DA7E1B"/>
    <w:rsid w:val="00DB0184"/>
    <w:rsid w:val="00DB02B9"/>
    <w:rsid w:val="00DB0328"/>
    <w:rsid w:val="00DB046D"/>
    <w:rsid w:val="00DB0609"/>
    <w:rsid w:val="00DB08EB"/>
    <w:rsid w:val="00DB0B1A"/>
    <w:rsid w:val="00DB13E9"/>
    <w:rsid w:val="00DB1415"/>
    <w:rsid w:val="00DB4737"/>
    <w:rsid w:val="00DB4A1B"/>
    <w:rsid w:val="00DB5C0B"/>
    <w:rsid w:val="00DB64DB"/>
    <w:rsid w:val="00DB69F9"/>
    <w:rsid w:val="00DB6FDE"/>
    <w:rsid w:val="00DB760D"/>
    <w:rsid w:val="00DB7E52"/>
    <w:rsid w:val="00DC0709"/>
    <w:rsid w:val="00DC0DC1"/>
    <w:rsid w:val="00DC0E06"/>
    <w:rsid w:val="00DC1655"/>
    <w:rsid w:val="00DC2550"/>
    <w:rsid w:val="00DC3E67"/>
    <w:rsid w:val="00DC3FA2"/>
    <w:rsid w:val="00DC45F3"/>
    <w:rsid w:val="00DC48C8"/>
    <w:rsid w:val="00DC4EC9"/>
    <w:rsid w:val="00DC5131"/>
    <w:rsid w:val="00DC52F7"/>
    <w:rsid w:val="00DC5EA8"/>
    <w:rsid w:val="00DC7175"/>
    <w:rsid w:val="00DC72FD"/>
    <w:rsid w:val="00DC77AF"/>
    <w:rsid w:val="00DD07C9"/>
    <w:rsid w:val="00DD0F8A"/>
    <w:rsid w:val="00DD3481"/>
    <w:rsid w:val="00DD42AD"/>
    <w:rsid w:val="00DD44EA"/>
    <w:rsid w:val="00DD63E1"/>
    <w:rsid w:val="00DD7647"/>
    <w:rsid w:val="00DE00BF"/>
    <w:rsid w:val="00DE0884"/>
    <w:rsid w:val="00DE3186"/>
    <w:rsid w:val="00DE3D66"/>
    <w:rsid w:val="00DE3F75"/>
    <w:rsid w:val="00DE42E5"/>
    <w:rsid w:val="00DE4DBD"/>
    <w:rsid w:val="00DE5580"/>
    <w:rsid w:val="00DE5BF9"/>
    <w:rsid w:val="00DE633E"/>
    <w:rsid w:val="00DE790E"/>
    <w:rsid w:val="00DF17A0"/>
    <w:rsid w:val="00DF1BFA"/>
    <w:rsid w:val="00DF2636"/>
    <w:rsid w:val="00DF3244"/>
    <w:rsid w:val="00DF3C0A"/>
    <w:rsid w:val="00DF4502"/>
    <w:rsid w:val="00DF4932"/>
    <w:rsid w:val="00DF52CE"/>
    <w:rsid w:val="00DF55B5"/>
    <w:rsid w:val="00DF76ED"/>
    <w:rsid w:val="00DF79EE"/>
    <w:rsid w:val="00DF7CE2"/>
    <w:rsid w:val="00E001D6"/>
    <w:rsid w:val="00E00F52"/>
    <w:rsid w:val="00E0127D"/>
    <w:rsid w:val="00E016DC"/>
    <w:rsid w:val="00E01A75"/>
    <w:rsid w:val="00E026D2"/>
    <w:rsid w:val="00E02D80"/>
    <w:rsid w:val="00E03035"/>
    <w:rsid w:val="00E059ED"/>
    <w:rsid w:val="00E06F15"/>
    <w:rsid w:val="00E07058"/>
    <w:rsid w:val="00E072C1"/>
    <w:rsid w:val="00E07384"/>
    <w:rsid w:val="00E0792C"/>
    <w:rsid w:val="00E1081D"/>
    <w:rsid w:val="00E115C2"/>
    <w:rsid w:val="00E12F08"/>
    <w:rsid w:val="00E13BE7"/>
    <w:rsid w:val="00E13C67"/>
    <w:rsid w:val="00E1429E"/>
    <w:rsid w:val="00E14625"/>
    <w:rsid w:val="00E14E80"/>
    <w:rsid w:val="00E157EE"/>
    <w:rsid w:val="00E15C36"/>
    <w:rsid w:val="00E15CDA"/>
    <w:rsid w:val="00E16101"/>
    <w:rsid w:val="00E16CB6"/>
    <w:rsid w:val="00E2049C"/>
    <w:rsid w:val="00E20E8F"/>
    <w:rsid w:val="00E210E8"/>
    <w:rsid w:val="00E21DD9"/>
    <w:rsid w:val="00E22476"/>
    <w:rsid w:val="00E22EF3"/>
    <w:rsid w:val="00E2349E"/>
    <w:rsid w:val="00E23FE1"/>
    <w:rsid w:val="00E24BD5"/>
    <w:rsid w:val="00E25BFA"/>
    <w:rsid w:val="00E260CC"/>
    <w:rsid w:val="00E26223"/>
    <w:rsid w:val="00E27B33"/>
    <w:rsid w:val="00E30E1A"/>
    <w:rsid w:val="00E30FF3"/>
    <w:rsid w:val="00E3139B"/>
    <w:rsid w:val="00E31A38"/>
    <w:rsid w:val="00E31EF6"/>
    <w:rsid w:val="00E332F0"/>
    <w:rsid w:val="00E339B7"/>
    <w:rsid w:val="00E346B3"/>
    <w:rsid w:val="00E356F7"/>
    <w:rsid w:val="00E363E8"/>
    <w:rsid w:val="00E37478"/>
    <w:rsid w:val="00E40C04"/>
    <w:rsid w:val="00E40C2C"/>
    <w:rsid w:val="00E41EB0"/>
    <w:rsid w:val="00E42596"/>
    <w:rsid w:val="00E42C30"/>
    <w:rsid w:val="00E42DD5"/>
    <w:rsid w:val="00E4344E"/>
    <w:rsid w:val="00E44137"/>
    <w:rsid w:val="00E44791"/>
    <w:rsid w:val="00E44FB7"/>
    <w:rsid w:val="00E457BB"/>
    <w:rsid w:val="00E45CB8"/>
    <w:rsid w:val="00E463BF"/>
    <w:rsid w:val="00E47DA4"/>
    <w:rsid w:val="00E50197"/>
    <w:rsid w:val="00E503FE"/>
    <w:rsid w:val="00E50A45"/>
    <w:rsid w:val="00E51A3A"/>
    <w:rsid w:val="00E51AF8"/>
    <w:rsid w:val="00E51C63"/>
    <w:rsid w:val="00E52220"/>
    <w:rsid w:val="00E535C5"/>
    <w:rsid w:val="00E53DE0"/>
    <w:rsid w:val="00E5450E"/>
    <w:rsid w:val="00E5502B"/>
    <w:rsid w:val="00E55914"/>
    <w:rsid w:val="00E564E8"/>
    <w:rsid w:val="00E56B31"/>
    <w:rsid w:val="00E60A36"/>
    <w:rsid w:val="00E60D3E"/>
    <w:rsid w:val="00E60F19"/>
    <w:rsid w:val="00E611A2"/>
    <w:rsid w:val="00E61456"/>
    <w:rsid w:val="00E62180"/>
    <w:rsid w:val="00E62246"/>
    <w:rsid w:val="00E629E6"/>
    <w:rsid w:val="00E634C8"/>
    <w:rsid w:val="00E641C4"/>
    <w:rsid w:val="00E64CBD"/>
    <w:rsid w:val="00E6660F"/>
    <w:rsid w:val="00E70583"/>
    <w:rsid w:val="00E707C4"/>
    <w:rsid w:val="00E7181F"/>
    <w:rsid w:val="00E72232"/>
    <w:rsid w:val="00E72603"/>
    <w:rsid w:val="00E7274C"/>
    <w:rsid w:val="00E7353B"/>
    <w:rsid w:val="00E73F11"/>
    <w:rsid w:val="00E74094"/>
    <w:rsid w:val="00E74DBA"/>
    <w:rsid w:val="00E75DFE"/>
    <w:rsid w:val="00E75FD7"/>
    <w:rsid w:val="00E76CAC"/>
    <w:rsid w:val="00E800A5"/>
    <w:rsid w:val="00E801B6"/>
    <w:rsid w:val="00E82CE2"/>
    <w:rsid w:val="00E82D05"/>
    <w:rsid w:val="00E83DB0"/>
    <w:rsid w:val="00E83DDE"/>
    <w:rsid w:val="00E85E25"/>
    <w:rsid w:val="00E8737A"/>
    <w:rsid w:val="00E8786B"/>
    <w:rsid w:val="00E87BAE"/>
    <w:rsid w:val="00E87E47"/>
    <w:rsid w:val="00E90A33"/>
    <w:rsid w:val="00E91DAE"/>
    <w:rsid w:val="00E92104"/>
    <w:rsid w:val="00E9266A"/>
    <w:rsid w:val="00E9281A"/>
    <w:rsid w:val="00E93EC6"/>
    <w:rsid w:val="00E9411E"/>
    <w:rsid w:val="00E94900"/>
    <w:rsid w:val="00E95271"/>
    <w:rsid w:val="00E954EA"/>
    <w:rsid w:val="00E962AB"/>
    <w:rsid w:val="00E96962"/>
    <w:rsid w:val="00E977E9"/>
    <w:rsid w:val="00EA08C4"/>
    <w:rsid w:val="00EA0DA4"/>
    <w:rsid w:val="00EA10DF"/>
    <w:rsid w:val="00EA1BB3"/>
    <w:rsid w:val="00EA2851"/>
    <w:rsid w:val="00EA4094"/>
    <w:rsid w:val="00EA4EE2"/>
    <w:rsid w:val="00EA51BF"/>
    <w:rsid w:val="00EA5C1A"/>
    <w:rsid w:val="00EA756D"/>
    <w:rsid w:val="00EA7C26"/>
    <w:rsid w:val="00EB0BB6"/>
    <w:rsid w:val="00EB1176"/>
    <w:rsid w:val="00EB11C5"/>
    <w:rsid w:val="00EB32B5"/>
    <w:rsid w:val="00EB32C3"/>
    <w:rsid w:val="00EB45A6"/>
    <w:rsid w:val="00EB47DE"/>
    <w:rsid w:val="00EB4D8D"/>
    <w:rsid w:val="00EB5115"/>
    <w:rsid w:val="00EC0B34"/>
    <w:rsid w:val="00EC1229"/>
    <w:rsid w:val="00EC1F66"/>
    <w:rsid w:val="00EC2673"/>
    <w:rsid w:val="00EC274D"/>
    <w:rsid w:val="00EC2BD0"/>
    <w:rsid w:val="00EC3755"/>
    <w:rsid w:val="00EC3C2B"/>
    <w:rsid w:val="00EC4396"/>
    <w:rsid w:val="00EC4FB8"/>
    <w:rsid w:val="00EC64B9"/>
    <w:rsid w:val="00ED024E"/>
    <w:rsid w:val="00ED074C"/>
    <w:rsid w:val="00ED08EA"/>
    <w:rsid w:val="00ED0A7E"/>
    <w:rsid w:val="00ED150B"/>
    <w:rsid w:val="00ED1C00"/>
    <w:rsid w:val="00ED2030"/>
    <w:rsid w:val="00ED204E"/>
    <w:rsid w:val="00ED2EB5"/>
    <w:rsid w:val="00ED4D69"/>
    <w:rsid w:val="00ED5944"/>
    <w:rsid w:val="00ED61AD"/>
    <w:rsid w:val="00ED6D5F"/>
    <w:rsid w:val="00ED71B6"/>
    <w:rsid w:val="00ED752D"/>
    <w:rsid w:val="00EE03E3"/>
    <w:rsid w:val="00EE06BB"/>
    <w:rsid w:val="00EE17F1"/>
    <w:rsid w:val="00EE1A7E"/>
    <w:rsid w:val="00EE2F3A"/>
    <w:rsid w:val="00EE2F79"/>
    <w:rsid w:val="00EE32FE"/>
    <w:rsid w:val="00EE3365"/>
    <w:rsid w:val="00EE3743"/>
    <w:rsid w:val="00EE374F"/>
    <w:rsid w:val="00EE37A5"/>
    <w:rsid w:val="00EE3BDB"/>
    <w:rsid w:val="00EE3CA3"/>
    <w:rsid w:val="00EE4A2B"/>
    <w:rsid w:val="00EE4ABB"/>
    <w:rsid w:val="00EE4FA1"/>
    <w:rsid w:val="00EE6D3C"/>
    <w:rsid w:val="00EE7AFA"/>
    <w:rsid w:val="00EE7D62"/>
    <w:rsid w:val="00EF0780"/>
    <w:rsid w:val="00EF0E7F"/>
    <w:rsid w:val="00EF0F3F"/>
    <w:rsid w:val="00EF32AF"/>
    <w:rsid w:val="00EF473D"/>
    <w:rsid w:val="00EF490B"/>
    <w:rsid w:val="00EF5417"/>
    <w:rsid w:val="00EF63CD"/>
    <w:rsid w:val="00EF7E13"/>
    <w:rsid w:val="00F00FDD"/>
    <w:rsid w:val="00F010C9"/>
    <w:rsid w:val="00F01CE5"/>
    <w:rsid w:val="00F02AE5"/>
    <w:rsid w:val="00F02C02"/>
    <w:rsid w:val="00F03AA7"/>
    <w:rsid w:val="00F0584D"/>
    <w:rsid w:val="00F079DF"/>
    <w:rsid w:val="00F07F71"/>
    <w:rsid w:val="00F10C19"/>
    <w:rsid w:val="00F119EF"/>
    <w:rsid w:val="00F129CB"/>
    <w:rsid w:val="00F14842"/>
    <w:rsid w:val="00F15720"/>
    <w:rsid w:val="00F15DDE"/>
    <w:rsid w:val="00F16C39"/>
    <w:rsid w:val="00F178EC"/>
    <w:rsid w:val="00F179D4"/>
    <w:rsid w:val="00F20A6E"/>
    <w:rsid w:val="00F20C84"/>
    <w:rsid w:val="00F217DA"/>
    <w:rsid w:val="00F22203"/>
    <w:rsid w:val="00F232C0"/>
    <w:rsid w:val="00F23480"/>
    <w:rsid w:val="00F23A06"/>
    <w:rsid w:val="00F24CAC"/>
    <w:rsid w:val="00F251B5"/>
    <w:rsid w:val="00F25D69"/>
    <w:rsid w:val="00F26278"/>
    <w:rsid w:val="00F26C41"/>
    <w:rsid w:val="00F272B2"/>
    <w:rsid w:val="00F27868"/>
    <w:rsid w:val="00F31FC8"/>
    <w:rsid w:val="00F32909"/>
    <w:rsid w:val="00F3396D"/>
    <w:rsid w:val="00F33A4D"/>
    <w:rsid w:val="00F34ADC"/>
    <w:rsid w:val="00F35801"/>
    <w:rsid w:val="00F3681E"/>
    <w:rsid w:val="00F36B8E"/>
    <w:rsid w:val="00F36C8A"/>
    <w:rsid w:val="00F36EF0"/>
    <w:rsid w:val="00F40174"/>
    <w:rsid w:val="00F40969"/>
    <w:rsid w:val="00F40D0F"/>
    <w:rsid w:val="00F40F98"/>
    <w:rsid w:val="00F41896"/>
    <w:rsid w:val="00F41EEB"/>
    <w:rsid w:val="00F42A8C"/>
    <w:rsid w:val="00F43358"/>
    <w:rsid w:val="00F44044"/>
    <w:rsid w:val="00F443E2"/>
    <w:rsid w:val="00F453CC"/>
    <w:rsid w:val="00F45D9A"/>
    <w:rsid w:val="00F4617C"/>
    <w:rsid w:val="00F46312"/>
    <w:rsid w:val="00F4688C"/>
    <w:rsid w:val="00F47536"/>
    <w:rsid w:val="00F506F6"/>
    <w:rsid w:val="00F50B01"/>
    <w:rsid w:val="00F5214B"/>
    <w:rsid w:val="00F52339"/>
    <w:rsid w:val="00F52628"/>
    <w:rsid w:val="00F52AFF"/>
    <w:rsid w:val="00F52CC5"/>
    <w:rsid w:val="00F53669"/>
    <w:rsid w:val="00F53DA6"/>
    <w:rsid w:val="00F54B95"/>
    <w:rsid w:val="00F54F16"/>
    <w:rsid w:val="00F56714"/>
    <w:rsid w:val="00F57348"/>
    <w:rsid w:val="00F60713"/>
    <w:rsid w:val="00F60C25"/>
    <w:rsid w:val="00F61EE5"/>
    <w:rsid w:val="00F62CAC"/>
    <w:rsid w:val="00F62DE6"/>
    <w:rsid w:val="00F63247"/>
    <w:rsid w:val="00F63CD9"/>
    <w:rsid w:val="00F63FF5"/>
    <w:rsid w:val="00F6494D"/>
    <w:rsid w:val="00F65AC7"/>
    <w:rsid w:val="00F65AF3"/>
    <w:rsid w:val="00F66436"/>
    <w:rsid w:val="00F7089E"/>
    <w:rsid w:val="00F71696"/>
    <w:rsid w:val="00F71DFD"/>
    <w:rsid w:val="00F71EAD"/>
    <w:rsid w:val="00F72108"/>
    <w:rsid w:val="00F72795"/>
    <w:rsid w:val="00F72C81"/>
    <w:rsid w:val="00F72FCC"/>
    <w:rsid w:val="00F738BF"/>
    <w:rsid w:val="00F73AE6"/>
    <w:rsid w:val="00F7405F"/>
    <w:rsid w:val="00F75FA6"/>
    <w:rsid w:val="00F76954"/>
    <w:rsid w:val="00F76A1D"/>
    <w:rsid w:val="00F7756C"/>
    <w:rsid w:val="00F778C2"/>
    <w:rsid w:val="00F77F05"/>
    <w:rsid w:val="00F803EA"/>
    <w:rsid w:val="00F8082B"/>
    <w:rsid w:val="00F80EC6"/>
    <w:rsid w:val="00F82336"/>
    <w:rsid w:val="00F8271C"/>
    <w:rsid w:val="00F84294"/>
    <w:rsid w:val="00F8484C"/>
    <w:rsid w:val="00F84E5D"/>
    <w:rsid w:val="00F857D4"/>
    <w:rsid w:val="00F85CCB"/>
    <w:rsid w:val="00F86383"/>
    <w:rsid w:val="00F8712D"/>
    <w:rsid w:val="00F90601"/>
    <w:rsid w:val="00F90610"/>
    <w:rsid w:val="00F90847"/>
    <w:rsid w:val="00F90B91"/>
    <w:rsid w:val="00F922B5"/>
    <w:rsid w:val="00F92435"/>
    <w:rsid w:val="00F927E1"/>
    <w:rsid w:val="00F92852"/>
    <w:rsid w:val="00F92939"/>
    <w:rsid w:val="00F92D72"/>
    <w:rsid w:val="00F930F5"/>
    <w:rsid w:val="00F9329C"/>
    <w:rsid w:val="00F93CDB"/>
    <w:rsid w:val="00F94FE4"/>
    <w:rsid w:val="00F95046"/>
    <w:rsid w:val="00F955F3"/>
    <w:rsid w:val="00F9623F"/>
    <w:rsid w:val="00F9675B"/>
    <w:rsid w:val="00F96C1F"/>
    <w:rsid w:val="00FA0748"/>
    <w:rsid w:val="00FA1841"/>
    <w:rsid w:val="00FA1EDB"/>
    <w:rsid w:val="00FA2DF7"/>
    <w:rsid w:val="00FA3AEA"/>
    <w:rsid w:val="00FA3B53"/>
    <w:rsid w:val="00FA4B3B"/>
    <w:rsid w:val="00FA7B7A"/>
    <w:rsid w:val="00FA7D4A"/>
    <w:rsid w:val="00FB0968"/>
    <w:rsid w:val="00FB0CB0"/>
    <w:rsid w:val="00FB18FB"/>
    <w:rsid w:val="00FB2F39"/>
    <w:rsid w:val="00FB399C"/>
    <w:rsid w:val="00FB47E1"/>
    <w:rsid w:val="00FB579D"/>
    <w:rsid w:val="00FB78E0"/>
    <w:rsid w:val="00FB7E0C"/>
    <w:rsid w:val="00FC0BFF"/>
    <w:rsid w:val="00FC16B8"/>
    <w:rsid w:val="00FC27AD"/>
    <w:rsid w:val="00FC4C78"/>
    <w:rsid w:val="00FC713C"/>
    <w:rsid w:val="00FC7454"/>
    <w:rsid w:val="00FC78D1"/>
    <w:rsid w:val="00FD087B"/>
    <w:rsid w:val="00FD321F"/>
    <w:rsid w:val="00FD3BA8"/>
    <w:rsid w:val="00FD3BE3"/>
    <w:rsid w:val="00FD4C50"/>
    <w:rsid w:val="00FD5DC5"/>
    <w:rsid w:val="00FD693B"/>
    <w:rsid w:val="00FD6F59"/>
    <w:rsid w:val="00FE0DFB"/>
    <w:rsid w:val="00FE159C"/>
    <w:rsid w:val="00FE15F1"/>
    <w:rsid w:val="00FE1874"/>
    <w:rsid w:val="00FE1C3F"/>
    <w:rsid w:val="00FE3C1A"/>
    <w:rsid w:val="00FE4DC1"/>
    <w:rsid w:val="00FE502F"/>
    <w:rsid w:val="00FE73AA"/>
    <w:rsid w:val="00FE7559"/>
    <w:rsid w:val="00FF072E"/>
    <w:rsid w:val="00FF1D62"/>
    <w:rsid w:val="00FF2690"/>
    <w:rsid w:val="00FF3399"/>
    <w:rsid w:val="00FF3486"/>
    <w:rsid w:val="00FF38DE"/>
    <w:rsid w:val="00FF42F9"/>
    <w:rsid w:val="00FF4826"/>
    <w:rsid w:val="00FF4863"/>
    <w:rsid w:val="00FF533C"/>
    <w:rsid w:val="00FF5D91"/>
    <w:rsid w:val="00FF5E7C"/>
    <w:rsid w:val="00FF5FFF"/>
    <w:rsid w:val="00FF7271"/>
    <w:rsid w:val="00FF7EF1"/>
    <w:rsid w:val="01240174"/>
    <w:rsid w:val="01489EE8"/>
    <w:rsid w:val="017215FD"/>
    <w:rsid w:val="01B3CC80"/>
    <w:rsid w:val="01E0D814"/>
    <w:rsid w:val="0287B2BF"/>
    <w:rsid w:val="0288B927"/>
    <w:rsid w:val="02B567B6"/>
    <w:rsid w:val="02BFD1D5"/>
    <w:rsid w:val="02CF1BC0"/>
    <w:rsid w:val="033C7E3D"/>
    <w:rsid w:val="034051B3"/>
    <w:rsid w:val="0394907A"/>
    <w:rsid w:val="03BF481F"/>
    <w:rsid w:val="0443C277"/>
    <w:rsid w:val="04636089"/>
    <w:rsid w:val="048DECDB"/>
    <w:rsid w:val="0542C58D"/>
    <w:rsid w:val="05B62548"/>
    <w:rsid w:val="05D1D7B9"/>
    <w:rsid w:val="0635B316"/>
    <w:rsid w:val="0649C603"/>
    <w:rsid w:val="0651280F"/>
    <w:rsid w:val="06549C69"/>
    <w:rsid w:val="06A4BE21"/>
    <w:rsid w:val="06D38223"/>
    <w:rsid w:val="06F89207"/>
    <w:rsid w:val="071674EA"/>
    <w:rsid w:val="074523AE"/>
    <w:rsid w:val="076F3136"/>
    <w:rsid w:val="07948070"/>
    <w:rsid w:val="07C35341"/>
    <w:rsid w:val="07D43267"/>
    <w:rsid w:val="08949539"/>
    <w:rsid w:val="08C79C24"/>
    <w:rsid w:val="09BA4862"/>
    <w:rsid w:val="09E95B59"/>
    <w:rsid w:val="0A49CB47"/>
    <w:rsid w:val="0A919862"/>
    <w:rsid w:val="0AAB5BDF"/>
    <w:rsid w:val="0ACAE3BA"/>
    <w:rsid w:val="0B3A6149"/>
    <w:rsid w:val="0B78C6BC"/>
    <w:rsid w:val="0BC24E53"/>
    <w:rsid w:val="0BD1D77A"/>
    <w:rsid w:val="0BD28A37"/>
    <w:rsid w:val="0BE59BA8"/>
    <w:rsid w:val="0C608DAD"/>
    <w:rsid w:val="0C66B41B"/>
    <w:rsid w:val="0C6EA1A1"/>
    <w:rsid w:val="0C710127"/>
    <w:rsid w:val="0C7584DB"/>
    <w:rsid w:val="0DF5FE43"/>
    <w:rsid w:val="0E02847C"/>
    <w:rsid w:val="0E228D0C"/>
    <w:rsid w:val="0E89946B"/>
    <w:rsid w:val="0F59A3DC"/>
    <w:rsid w:val="0F9E54DD"/>
    <w:rsid w:val="0FD0533C"/>
    <w:rsid w:val="1097D2AF"/>
    <w:rsid w:val="10F0ADC1"/>
    <w:rsid w:val="1121DF86"/>
    <w:rsid w:val="11FF9114"/>
    <w:rsid w:val="120B8CE1"/>
    <w:rsid w:val="1280B318"/>
    <w:rsid w:val="129BAEA2"/>
    <w:rsid w:val="12B63147"/>
    <w:rsid w:val="12D755EE"/>
    <w:rsid w:val="130D5720"/>
    <w:rsid w:val="13621D9C"/>
    <w:rsid w:val="137B8668"/>
    <w:rsid w:val="1380E349"/>
    <w:rsid w:val="13F9C8DB"/>
    <w:rsid w:val="14315164"/>
    <w:rsid w:val="146A0535"/>
    <w:rsid w:val="1477F7AC"/>
    <w:rsid w:val="14B0454D"/>
    <w:rsid w:val="14F4F1F1"/>
    <w:rsid w:val="15227879"/>
    <w:rsid w:val="1594B184"/>
    <w:rsid w:val="15B853DA"/>
    <w:rsid w:val="15C2B2C5"/>
    <w:rsid w:val="15FDE68B"/>
    <w:rsid w:val="16A4DF33"/>
    <w:rsid w:val="16ED4BE8"/>
    <w:rsid w:val="16FCBC11"/>
    <w:rsid w:val="17964684"/>
    <w:rsid w:val="1797EC3A"/>
    <w:rsid w:val="17A4A29F"/>
    <w:rsid w:val="17A4EB73"/>
    <w:rsid w:val="17B291C0"/>
    <w:rsid w:val="17EF94C7"/>
    <w:rsid w:val="1807533D"/>
    <w:rsid w:val="182BA56D"/>
    <w:rsid w:val="18D804A0"/>
    <w:rsid w:val="18E394B1"/>
    <w:rsid w:val="1900DFEC"/>
    <w:rsid w:val="19150593"/>
    <w:rsid w:val="193216E5"/>
    <w:rsid w:val="194E6221"/>
    <w:rsid w:val="19E3B78F"/>
    <w:rsid w:val="1A2B5682"/>
    <w:rsid w:val="1A32E23B"/>
    <w:rsid w:val="1A928BF9"/>
    <w:rsid w:val="1AB84228"/>
    <w:rsid w:val="1AEEADF0"/>
    <w:rsid w:val="1AF9F6C5"/>
    <w:rsid w:val="1B00EDAD"/>
    <w:rsid w:val="1B56A57F"/>
    <w:rsid w:val="1B725FF0"/>
    <w:rsid w:val="1B75F4FA"/>
    <w:rsid w:val="1B7A3359"/>
    <w:rsid w:val="1BB71589"/>
    <w:rsid w:val="1BCEB29C"/>
    <w:rsid w:val="1C1B3573"/>
    <w:rsid w:val="1C4BDC5D"/>
    <w:rsid w:val="1C8365C5"/>
    <w:rsid w:val="1C8F1277"/>
    <w:rsid w:val="1CAF97E9"/>
    <w:rsid w:val="1CC305EA"/>
    <w:rsid w:val="1CCFB02A"/>
    <w:rsid w:val="1CDD6537"/>
    <w:rsid w:val="1D10966B"/>
    <w:rsid w:val="1D2A41FD"/>
    <w:rsid w:val="1D30E365"/>
    <w:rsid w:val="1D78DF2A"/>
    <w:rsid w:val="1DAB272C"/>
    <w:rsid w:val="1DC136F6"/>
    <w:rsid w:val="1DCC206D"/>
    <w:rsid w:val="1DCD114E"/>
    <w:rsid w:val="1DD650EB"/>
    <w:rsid w:val="1DD7290B"/>
    <w:rsid w:val="1E2B24CB"/>
    <w:rsid w:val="1E722A69"/>
    <w:rsid w:val="1E77171D"/>
    <w:rsid w:val="1EB14E74"/>
    <w:rsid w:val="1F289FDB"/>
    <w:rsid w:val="1F677650"/>
    <w:rsid w:val="1FA482B6"/>
    <w:rsid w:val="20279C08"/>
    <w:rsid w:val="20F9D037"/>
    <w:rsid w:val="21215A1F"/>
    <w:rsid w:val="212FF08E"/>
    <w:rsid w:val="2196770D"/>
    <w:rsid w:val="21AE5338"/>
    <w:rsid w:val="21BE0606"/>
    <w:rsid w:val="21C116AF"/>
    <w:rsid w:val="21EEC974"/>
    <w:rsid w:val="2216791C"/>
    <w:rsid w:val="226D85CE"/>
    <w:rsid w:val="22C5DB63"/>
    <w:rsid w:val="22EC3CB3"/>
    <w:rsid w:val="23063FE7"/>
    <w:rsid w:val="230EB83D"/>
    <w:rsid w:val="2351E3E4"/>
    <w:rsid w:val="23B4EA5F"/>
    <w:rsid w:val="23D2ADA4"/>
    <w:rsid w:val="23E110BB"/>
    <w:rsid w:val="240044B0"/>
    <w:rsid w:val="24076E68"/>
    <w:rsid w:val="248CE59F"/>
    <w:rsid w:val="2501D321"/>
    <w:rsid w:val="2510EDF0"/>
    <w:rsid w:val="251F9BAE"/>
    <w:rsid w:val="2550BAC0"/>
    <w:rsid w:val="259AC3DB"/>
    <w:rsid w:val="25AD1E12"/>
    <w:rsid w:val="2622F498"/>
    <w:rsid w:val="262A22A2"/>
    <w:rsid w:val="267A09A6"/>
    <w:rsid w:val="267D3C4E"/>
    <w:rsid w:val="26AEA6C9"/>
    <w:rsid w:val="26E12470"/>
    <w:rsid w:val="2707796A"/>
    <w:rsid w:val="273159AD"/>
    <w:rsid w:val="27424BB0"/>
    <w:rsid w:val="275011B0"/>
    <w:rsid w:val="27B7997B"/>
    <w:rsid w:val="2825648D"/>
    <w:rsid w:val="28338BD2"/>
    <w:rsid w:val="28A92EC3"/>
    <w:rsid w:val="291253CE"/>
    <w:rsid w:val="29886095"/>
    <w:rsid w:val="29AF8B56"/>
    <w:rsid w:val="29C134EE"/>
    <w:rsid w:val="29EEE3A7"/>
    <w:rsid w:val="2A0A0226"/>
    <w:rsid w:val="2A51E1E3"/>
    <w:rsid w:val="2A6338F3"/>
    <w:rsid w:val="2A73A5A7"/>
    <w:rsid w:val="2AA0E608"/>
    <w:rsid w:val="2ABC14C9"/>
    <w:rsid w:val="2AEE34C9"/>
    <w:rsid w:val="2B2430F6"/>
    <w:rsid w:val="2B3F25C9"/>
    <w:rsid w:val="2B54027F"/>
    <w:rsid w:val="2B585BA4"/>
    <w:rsid w:val="2BC897E4"/>
    <w:rsid w:val="2C27780B"/>
    <w:rsid w:val="2C4892CF"/>
    <w:rsid w:val="2CE0B830"/>
    <w:rsid w:val="2D84AF27"/>
    <w:rsid w:val="2E200BE9"/>
    <w:rsid w:val="2E25D58B"/>
    <w:rsid w:val="2E5BD1B8"/>
    <w:rsid w:val="2E6946BE"/>
    <w:rsid w:val="2EBE6E8A"/>
    <w:rsid w:val="2ECDEC8A"/>
    <w:rsid w:val="2F1EBD85"/>
    <w:rsid w:val="2F8F9E04"/>
    <w:rsid w:val="2FD917D7"/>
    <w:rsid w:val="302C522A"/>
    <w:rsid w:val="302D39E2"/>
    <w:rsid w:val="30D04F68"/>
    <w:rsid w:val="31134EDF"/>
    <w:rsid w:val="313B4D88"/>
    <w:rsid w:val="3160C530"/>
    <w:rsid w:val="31719FEE"/>
    <w:rsid w:val="32427F05"/>
    <w:rsid w:val="32DCC54D"/>
    <w:rsid w:val="3384E355"/>
    <w:rsid w:val="34210A96"/>
    <w:rsid w:val="3433A1C9"/>
    <w:rsid w:val="346EAAAA"/>
    <w:rsid w:val="3495170F"/>
    <w:rsid w:val="34B0A38D"/>
    <w:rsid w:val="3501939F"/>
    <w:rsid w:val="3521E17C"/>
    <w:rsid w:val="3547CD03"/>
    <w:rsid w:val="3556DD11"/>
    <w:rsid w:val="360819C7"/>
    <w:rsid w:val="36B27B9A"/>
    <w:rsid w:val="3727C458"/>
    <w:rsid w:val="372BBD2A"/>
    <w:rsid w:val="37365A5D"/>
    <w:rsid w:val="373C28BB"/>
    <w:rsid w:val="375590CE"/>
    <w:rsid w:val="37B03670"/>
    <w:rsid w:val="382A7EE4"/>
    <w:rsid w:val="385215FF"/>
    <w:rsid w:val="3920EEB6"/>
    <w:rsid w:val="39688832"/>
    <w:rsid w:val="396DEA4C"/>
    <w:rsid w:val="398E19F3"/>
    <w:rsid w:val="3A1FD0B2"/>
    <w:rsid w:val="3A30CF09"/>
    <w:rsid w:val="3A4E44D5"/>
    <w:rsid w:val="3AE5941B"/>
    <w:rsid w:val="3B41109F"/>
    <w:rsid w:val="3B44DD1D"/>
    <w:rsid w:val="3B4F1396"/>
    <w:rsid w:val="3B58B114"/>
    <w:rsid w:val="3BD977C7"/>
    <w:rsid w:val="3BDE0D94"/>
    <w:rsid w:val="3C927794"/>
    <w:rsid w:val="3C95A9A2"/>
    <w:rsid w:val="3CC7B7F2"/>
    <w:rsid w:val="3D7CCC44"/>
    <w:rsid w:val="3DFF4CAC"/>
    <w:rsid w:val="3E135C89"/>
    <w:rsid w:val="3E421DEE"/>
    <w:rsid w:val="3EAB856E"/>
    <w:rsid w:val="3F189CA5"/>
    <w:rsid w:val="3F5CDB23"/>
    <w:rsid w:val="3F5E77C6"/>
    <w:rsid w:val="3FA4E27F"/>
    <w:rsid w:val="3FD4C342"/>
    <w:rsid w:val="3FF4013C"/>
    <w:rsid w:val="4052101D"/>
    <w:rsid w:val="40C1C348"/>
    <w:rsid w:val="413282F0"/>
    <w:rsid w:val="414D7B52"/>
    <w:rsid w:val="4159DB3D"/>
    <w:rsid w:val="41BE5C13"/>
    <w:rsid w:val="4204A30C"/>
    <w:rsid w:val="422DE33E"/>
    <w:rsid w:val="42B0AD55"/>
    <w:rsid w:val="43C663B3"/>
    <w:rsid w:val="43E1B0EE"/>
    <w:rsid w:val="43F60E6E"/>
    <w:rsid w:val="4401CC1A"/>
    <w:rsid w:val="4402DB87"/>
    <w:rsid w:val="44CB4715"/>
    <w:rsid w:val="45351708"/>
    <w:rsid w:val="454176F3"/>
    <w:rsid w:val="45BE7B57"/>
    <w:rsid w:val="45DA8179"/>
    <w:rsid w:val="45DF66CC"/>
    <w:rsid w:val="461D2DA5"/>
    <w:rsid w:val="464571AE"/>
    <w:rsid w:val="47525AB7"/>
    <w:rsid w:val="47DECD54"/>
    <w:rsid w:val="47EAC921"/>
    <w:rsid w:val="48065CEE"/>
    <w:rsid w:val="4874F729"/>
    <w:rsid w:val="48F2E203"/>
    <w:rsid w:val="4970C4A7"/>
    <w:rsid w:val="49B9104D"/>
    <w:rsid w:val="49BC95AF"/>
    <w:rsid w:val="4A2A3EF9"/>
    <w:rsid w:val="4A368C3A"/>
    <w:rsid w:val="4AC4A688"/>
    <w:rsid w:val="4ADE19ED"/>
    <w:rsid w:val="4AE79526"/>
    <w:rsid w:val="4B4B4511"/>
    <w:rsid w:val="4BA4588C"/>
    <w:rsid w:val="4BA5C0C5"/>
    <w:rsid w:val="4BC5D4A1"/>
    <w:rsid w:val="4BEDBC41"/>
    <w:rsid w:val="4BEE5F8F"/>
    <w:rsid w:val="4BFD4909"/>
    <w:rsid w:val="4C79EA4E"/>
    <w:rsid w:val="4CADF350"/>
    <w:rsid w:val="4CB23E77"/>
    <w:rsid w:val="4CE1D30C"/>
    <w:rsid w:val="4CF43671"/>
    <w:rsid w:val="4D178F5F"/>
    <w:rsid w:val="4DD2E314"/>
    <w:rsid w:val="4DF87F81"/>
    <w:rsid w:val="4E48DEC9"/>
    <w:rsid w:val="4E64B7D8"/>
    <w:rsid w:val="4E7A98CC"/>
    <w:rsid w:val="4E965A41"/>
    <w:rsid w:val="4F6AA168"/>
    <w:rsid w:val="4FA95F89"/>
    <w:rsid w:val="500918B3"/>
    <w:rsid w:val="502023DC"/>
    <w:rsid w:val="508389AF"/>
    <w:rsid w:val="51041766"/>
    <w:rsid w:val="512328EF"/>
    <w:rsid w:val="515EC430"/>
    <w:rsid w:val="516170D6"/>
    <w:rsid w:val="517C92FF"/>
    <w:rsid w:val="519F9C35"/>
    <w:rsid w:val="51BBF43D"/>
    <w:rsid w:val="51E41700"/>
    <w:rsid w:val="51E9C0E3"/>
    <w:rsid w:val="5287333F"/>
    <w:rsid w:val="5300FC5D"/>
    <w:rsid w:val="533E7C8D"/>
    <w:rsid w:val="536A33D4"/>
    <w:rsid w:val="5382A65F"/>
    <w:rsid w:val="53D22C42"/>
    <w:rsid w:val="53F0B469"/>
    <w:rsid w:val="53FB8E26"/>
    <w:rsid w:val="543270BC"/>
    <w:rsid w:val="54362505"/>
    <w:rsid w:val="54436E0B"/>
    <w:rsid w:val="546DB552"/>
    <w:rsid w:val="54F394FF"/>
    <w:rsid w:val="558F5EDC"/>
    <w:rsid w:val="55B42BC2"/>
    <w:rsid w:val="55E975F9"/>
    <w:rsid w:val="55EE0B2F"/>
    <w:rsid w:val="560200E3"/>
    <w:rsid w:val="5608297E"/>
    <w:rsid w:val="562F72CC"/>
    <w:rsid w:val="5646CBB4"/>
    <w:rsid w:val="566A7139"/>
    <w:rsid w:val="56815FFF"/>
    <w:rsid w:val="568F6560"/>
    <w:rsid w:val="56EAC673"/>
    <w:rsid w:val="5707AA2F"/>
    <w:rsid w:val="5738B046"/>
    <w:rsid w:val="5741BFDA"/>
    <w:rsid w:val="576DC5C7"/>
    <w:rsid w:val="57D8501F"/>
    <w:rsid w:val="57E2924E"/>
    <w:rsid w:val="57FE831B"/>
    <w:rsid w:val="580FD999"/>
    <w:rsid w:val="587EDAC3"/>
    <w:rsid w:val="58DAE882"/>
    <w:rsid w:val="59099628"/>
    <w:rsid w:val="590FD28F"/>
    <w:rsid w:val="591AFE72"/>
    <w:rsid w:val="5924D7CC"/>
    <w:rsid w:val="59742080"/>
    <w:rsid w:val="5A43B471"/>
    <w:rsid w:val="5A5BFABA"/>
    <w:rsid w:val="5A6993E7"/>
    <w:rsid w:val="5AA56689"/>
    <w:rsid w:val="5AAA046F"/>
    <w:rsid w:val="5AF9468B"/>
    <w:rsid w:val="5BC2217C"/>
    <w:rsid w:val="5C7619CC"/>
    <w:rsid w:val="5CD4BB74"/>
    <w:rsid w:val="5D03B61A"/>
    <w:rsid w:val="5D10E140"/>
    <w:rsid w:val="5D3BB000"/>
    <w:rsid w:val="5DC119C9"/>
    <w:rsid w:val="5DCCD0B5"/>
    <w:rsid w:val="5DE4F4D1"/>
    <w:rsid w:val="5DECE4DA"/>
    <w:rsid w:val="5E05C27E"/>
    <w:rsid w:val="5E11EA2D"/>
    <w:rsid w:val="5E17D5E4"/>
    <w:rsid w:val="5E29B36A"/>
    <w:rsid w:val="5E4967E7"/>
    <w:rsid w:val="5EA971AB"/>
    <w:rsid w:val="5EB83091"/>
    <w:rsid w:val="5EE385F7"/>
    <w:rsid w:val="5EFBF2D2"/>
    <w:rsid w:val="5F02CD40"/>
    <w:rsid w:val="5F28CB87"/>
    <w:rsid w:val="5F4353BC"/>
    <w:rsid w:val="5F4AC905"/>
    <w:rsid w:val="5FAE869A"/>
    <w:rsid w:val="5FCA39A7"/>
    <w:rsid w:val="602B133E"/>
    <w:rsid w:val="603647A6"/>
    <w:rsid w:val="60731FC0"/>
    <w:rsid w:val="609349C5"/>
    <w:rsid w:val="60C2911E"/>
    <w:rsid w:val="60CA8DA3"/>
    <w:rsid w:val="6199F8F1"/>
    <w:rsid w:val="61A6D167"/>
    <w:rsid w:val="61D21807"/>
    <w:rsid w:val="61D6DF72"/>
    <w:rsid w:val="62324C4B"/>
    <w:rsid w:val="623359D5"/>
    <w:rsid w:val="627792D5"/>
    <w:rsid w:val="6285417A"/>
    <w:rsid w:val="6285FD26"/>
    <w:rsid w:val="62F34582"/>
    <w:rsid w:val="6335C952"/>
    <w:rsid w:val="636DE868"/>
    <w:rsid w:val="6393008A"/>
    <w:rsid w:val="64208177"/>
    <w:rsid w:val="6447E641"/>
    <w:rsid w:val="645838C6"/>
    <w:rsid w:val="64AC4412"/>
    <w:rsid w:val="64D199B3"/>
    <w:rsid w:val="6509B8C9"/>
    <w:rsid w:val="652ED0EB"/>
    <w:rsid w:val="6562C1FE"/>
    <w:rsid w:val="65731A14"/>
    <w:rsid w:val="658EC280"/>
    <w:rsid w:val="65913CE0"/>
    <w:rsid w:val="65BA0A89"/>
    <w:rsid w:val="65DC257A"/>
    <w:rsid w:val="661746DB"/>
    <w:rsid w:val="66BC8336"/>
    <w:rsid w:val="66CAA14C"/>
    <w:rsid w:val="6723E18A"/>
    <w:rsid w:val="676AF500"/>
    <w:rsid w:val="67976601"/>
    <w:rsid w:val="67D7C993"/>
    <w:rsid w:val="67FF88E4"/>
    <w:rsid w:val="68499DDD"/>
    <w:rsid w:val="687AE172"/>
    <w:rsid w:val="68ACD798"/>
    <w:rsid w:val="697399F4"/>
    <w:rsid w:val="69BCC8C2"/>
    <w:rsid w:val="6A5C4037"/>
    <w:rsid w:val="6AC6AD9A"/>
    <w:rsid w:val="6ADEB97D"/>
    <w:rsid w:val="6AED1E81"/>
    <w:rsid w:val="6AF424FE"/>
    <w:rsid w:val="6B01CE2F"/>
    <w:rsid w:val="6B1E84A1"/>
    <w:rsid w:val="6B5A6C15"/>
    <w:rsid w:val="6B9E126F"/>
    <w:rsid w:val="6BA0AD46"/>
    <w:rsid w:val="6BFD2B6F"/>
    <w:rsid w:val="6C3F18A2"/>
    <w:rsid w:val="6D15969D"/>
    <w:rsid w:val="6D8F72B0"/>
    <w:rsid w:val="6DB21B2F"/>
    <w:rsid w:val="6DEF3CB4"/>
    <w:rsid w:val="6E242665"/>
    <w:rsid w:val="6E4EF89D"/>
    <w:rsid w:val="6E4F9E4E"/>
    <w:rsid w:val="6E739B05"/>
    <w:rsid w:val="6EC32190"/>
    <w:rsid w:val="6F0BA865"/>
    <w:rsid w:val="6F2E0598"/>
    <w:rsid w:val="6F79C06B"/>
    <w:rsid w:val="704DF008"/>
    <w:rsid w:val="711900A5"/>
    <w:rsid w:val="71542A6F"/>
    <w:rsid w:val="715D58FF"/>
    <w:rsid w:val="718F696C"/>
    <w:rsid w:val="71AB83DC"/>
    <w:rsid w:val="71AE11A9"/>
    <w:rsid w:val="71D96080"/>
    <w:rsid w:val="71F8AE9B"/>
    <w:rsid w:val="72F2408B"/>
    <w:rsid w:val="7314C52C"/>
    <w:rsid w:val="737188CB"/>
    <w:rsid w:val="7385B80D"/>
    <w:rsid w:val="738CBEDD"/>
    <w:rsid w:val="73BC7872"/>
    <w:rsid w:val="74304FAB"/>
    <w:rsid w:val="74330A0C"/>
    <w:rsid w:val="7455136E"/>
    <w:rsid w:val="74F0FB72"/>
    <w:rsid w:val="75469DDB"/>
    <w:rsid w:val="7566B9C2"/>
    <w:rsid w:val="7646329C"/>
    <w:rsid w:val="764F2EA9"/>
    <w:rsid w:val="765116D8"/>
    <w:rsid w:val="76A3EB8D"/>
    <w:rsid w:val="7767F06D"/>
    <w:rsid w:val="779D9853"/>
    <w:rsid w:val="77ACA35F"/>
    <w:rsid w:val="77CD6FED"/>
    <w:rsid w:val="78FA5FBD"/>
    <w:rsid w:val="799A6DE6"/>
    <w:rsid w:val="79E54ADC"/>
    <w:rsid w:val="7AD2CF91"/>
    <w:rsid w:val="7AFFF01E"/>
    <w:rsid w:val="7B278DF4"/>
    <w:rsid w:val="7B3F4DAA"/>
    <w:rsid w:val="7B556C63"/>
    <w:rsid w:val="7BF45BFC"/>
    <w:rsid w:val="7C1C33BA"/>
    <w:rsid w:val="7C226DC7"/>
    <w:rsid w:val="7C509050"/>
    <w:rsid w:val="7D187D16"/>
    <w:rsid w:val="7D50069A"/>
    <w:rsid w:val="7D6FB296"/>
    <w:rsid w:val="7DEC60B1"/>
    <w:rsid w:val="7E408B03"/>
    <w:rsid w:val="7EB9E8E8"/>
    <w:rsid w:val="7EF6F54E"/>
    <w:rsid w:val="7F371E26"/>
    <w:rsid w:val="7F58944B"/>
    <w:rsid w:val="7F65BD97"/>
    <w:rsid w:val="7F6D234E"/>
    <w:rsid w:val="7F883112"/>
    <w:rsid w:val="7FABE86E"/>
    <w:rsid w:val="7FBEA71B"/>
    <w:rsid w:val="7FCEB3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67C4"/>
  <w15:chartTrackingRefBased/>
  <w15:docId w15:val="{10F87870-9F86-455C-B427-AA16DD7B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3D"/>
    <w:pPr>
      <w:spacing w:before="160" w:after="160" w:line="259" w:lineRule="auto"/>
    </w:pPr>
    <w:rPr>
      <w:rFonts w:asciiTheme="majorHAnsi" w:hAnsiTheme="majorHAnsi"/>
      <w:sz w:val="22"/>
      <w:szCs w:val="22"/>
      <w:lang w:eastAsia="en-US"/>
    </w:rPr>
  </w:style>
  <w:style w:type="paragraph" w:styleId="Heading1">
    <w:name w:val="heading 1"/>
    <w:basedOn w:val="Normal"/>
    <w:next w:val="Normal"/>
    <w:link w:val="Heading1Char"/>
    <w:uiPriority w:val="9"/>
    <w:qFormat/>
    <w:rsid w:val="0072033D"/>
    <w:pPr>
      <w:keepNext/>
      <w:keepLines/>
      <w:spacing w:before="240" w:after="0"/>
      <w:outlineLvl w:val="0"/>
    </w:pPr>
    <w:rPr>
      <w:rFonts w:eastAsiaTheme="majorEastAsia" w:cstheme="majorBidi"/>
      <w:color w:val="2B4152" w:themeColor="accent1" w:themeShade="BF"/>
      <w:sz w:val="32"/>
      <w:szCs w:val="32"/>
    </w:rPr>
  </w:style>
  <w:style w:type="paragraph" w:styleId="Heading2">
    <w:name w:val="heading 2"/>
    <w:basedOn w:val="Normal"/>
    <w:next w:val="Normal"/>
    <w:link w:val="Heading2Char"/>
    <w:uiPriority w:val="9"/>
    <w:unhideWhenUsed/>
    <w:qFormat/>
    <w:rsid w:val="0072033D"/>
    <w:pPr>
      <w:keepNext/>
      <w:keepLines/>
      <w:spacing w:before="40" w:after="0"/>
      <w:outlineLvl w:val="1"/>
    </w:pPr>
    <w:rPr>
      <w:rFonts w:eastAsiaTheme="majorEastAsia" w:cstheme="majorBidi"/>
      <w:color w:val="2B4152" w:themeColor="accent1" w:themeShade="BF"/>
      <w:sz w:val="26"/>
      <w:szCs w:val="26"/>
    </w:rPr>
  </w:style>
  <w:style w:type="paragraph" w:styleId="Heading3">
    <w:name w:val="heading 3"/>
    <w:basedOn w:val="Normal"/>
    <w:next w:val="Normal"/>
    <w:link w:val="Heading3Char"/>
    <w:uiPriority w:val="9"/>
    <w:unhideWhenUsed/>
    <w:qFormat/>
    <w:rsid w:val="0072033D"/>
    <w:pPr>
      <w:keepNext/>
      <w:keepLines/>
      <w:spacing w:before="40" w:after="0"/>
      <w:outlineLvl w:val="2"/>
    </w:pPr>
    <w:rPr>
      <w:rFonts w:eastAsiaTheme="majorEastAsia" w:cstheme="majorBidi"/>
      <w:color w:val="1D2B36" w:themeColor="accent1" w:themeShade="7F"/>
      <w:sz w:val="24"/>
      <w:szCs w:val="24"/>
    </w:rPr>
  </w:style>
  <w:style w:type="paragraph" w:styleId="Heading4">
    <w:name w:val="heading 4"/>
    <w:basedOn w:val="Normal"/>
    <w:next w:val="Normal"/>
    <w:link w:val="Heading4Char"/>
    <w:uiPriority w:val="9"/>
    <w:semiHidden/>
    <w:unhideWhenUsed/>
    <w:qFormat/>
    <w:rsid w:val="0072033D"/>
    <w:pPr>
      <w:keepNext/>
      <w:keepLines/>
      <w:spacing w:before="40" w:after="0"/>
      <w:outlineLvl w:val="3"/>
    </w:pPr>
    <w:rPr>
      <w:rFonts w:eastAsiaTheme="majorEastAsia"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72033D"/>
    <w:pPr>
      <w:spacing w:before="0"/>
      <w:ind w:left="1560"/>
    </w:pPr>
    <w:rPr>
      <w:b/>
      <w:bCs/>
      <w:caps/>
      <w:color w:val="313E48"/>
      <w:sz w:val="56"/>
      <w:szCs w:val="56"/>
    </w:rPr>
  </w:style>
  <w:style w:type="paragraph" w:customStyle="1" w:styleId="BodyCopy">
    <w:name w:val="Body Copy"/>
    <w:qFormat/>
    <w:rsid w:val="0072033D"/>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72033D"/>
    <w:pPr>
      <w:spacing w:before="240" w:after="120"/>
    </w:pPr>
    <w:rPr>
      <w:rFonts w:asciiTheme="minorHAnsi" w:hAnsiTheme="minorHAnsi" w:cstheme="minorHAnsi"/>
      <w:b/>
      <w:bCs/>
      <w:color w:val="313E48"/>
      <w:sz w:val="36"/>
      <w:szCs w:val="32"/>
    </w:rPr>
  </w:style>
  <w:style w:type="paragraph" w:customStyle="1" w:styleId="H4-Heading4">
    <w:name w:val="H4 - Heading 4"/>
    <w:basedOn w:val="Heading4"/>
    <w:next w:val="BodyCopy"/>
    <w:qFormat/>
    <w:rsid w:val="0072033D"/>
    <w:pPr>
      <w:spacing w:before="240" w:after="120"/>
    </w:pPr>
    <w:rPr>
      <w:rFonts w:cstheme="minorHAnsi"/>
      <w:b/>
      <w:bCs/>
      <w:i w:val="0"/>
      <w:color w:val="auto"/>
      <w:sz w:val="24"/>
      <w:szCs w:val="24"/>
    </w:rPr>
  </w:style>
  <w:style w:type="paragraph" w:customStyle="1" w:styleId="H3-Heading3">
    <w:name w:val="H3 - Heading 3"/>
    <w:basedOn w:val="Heading3"/>
    <w:qFormat/>
    <w:rsid w:val="0072033D"/>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72033D"/>
    <w:pPr>
      <w:numPr>
        <w:numId w:val="3"/>
      </w:numPr>
    </w:pPr>
  </w:style>
  <w:style w:type="paragraph" w:customStyle="1" w:styleId="BodyCopyPrebulletsandnumberedbullets">
    <w:name w:val="Body Copy Pre bullets and numbered bullets"/>
    <w:basedOn w:val="BodyCopy"/>
    <w:qFormat/>
    <w:rsid w:val="0072033D"/>
    <w:pPr>
      <w:spacing w:before="240"/>
    </w:pPr>
  </w:style>
  <w:style w:type="paragraph" w:customStyle="1" w:styleId="BodyCopyBullets">
    <w:name w:val="Body Copy Bullets"/>
    <w:basedOn w:val="BodyCopy"/>
    <w:qFormat/>
    <w:rsid w:val="00C40760"/>
    <w:pPr>
      <w:ind w:left="720" w:hanging="360"/>
    </w:pPr>
  </w:style>
  <w:style w:type="table" w:styleId="TableGrid">
    <w:name w:val="Table Grid"/>
    <w:basedOn w:val="TableNormal"/>
    <w:uiPriority w:val="39"/>
    <w:rsid w:val="00720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72033D"/>
    <w:pPr>
      <w:spacing w:before="240" w:after="240"/>
    </w:pPr>
    <w:rPr>
      <w:rFonts w:asciiTheme="majorHAnsi" w:hAnsiTheme="majorHAnsi" w:cstheme="minorHAnsi"/>
      <w:b/>
      <w:bCs/>
      <w:color w:val="FFFFFF" w:themeColor="background1"/>
      <w:sz w:val="20"/>
    </w:rPr>
  </w:style>
  <w:style w:type="paragraph" w:customStyle="1" w:styleId="TableBodyCopy">
    <w:name w:val="Table Body Copy"/>
    <w:basedOn w:val="BodyCopy"/>
    <w:qFormat/>
    <w:rsid w:val="0072033D"/>
    <w:pPr>
      <w:spacing w:before="120" w:after="40"/>
    </w:pPr>
    <w:rPr>
      <w:color w:val="auto"/>
      <w:sz w:val="20"/>
    </w:rPr>
  </w:style>
  <w:style w:type="paragraph" w:customStyle="1" w:styleId="PostBulletsBodyCopy">
    <w:name w:val="Post Bullets Body Copy"/>
    <w:basedOn w:val="BodyCopy"/>
    <w:qFormat/>
    <w:rsid w:val="0072033D"/>
    <w:pPr>
      <w:spacing w:before="240" w:after="160"/>
    </w:pPr>
  </w:style>
  <w:style w:type="paragraph" w:styleId="Header">
    <w:name w:val="header"/>
    <w:basedOn w:val="Normal"/>
    <w:link w:val="HeaderChar"/>
    <w:uiPriority w:val="99"/>
    <w:unhideWhenUsed/>
    <w:rsid w:val="00720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33D"/>
    <w:rPr>
      <w:rFonts w:asciiTheme="majorHAnsi" w:hAnsiTheme="majorHAnsi"/>
      <w:sz w:val="22"/>
      <w:szCs w:val="22"/>
      <w:lang w:eastAsia="en-US"/>
    </w:rPr>
  </w:style>
  <w:style w:type="paragraph" w:styleId="Footer">
    <w:name w:val="footer"/>
    <w:basedOn w:val="Normal"/>
    <w:link w:val="FooterChar"/>
    <w:uiPriority w:val="99"/>
    <w:unhideWhenUsed/>
    <w:rsid w:val="00720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33D"/>
    <w:rPr>
      <w:rFonts w:asciiTheme="majorHAnsi" w:hAnsiTheme="majorHAnsi"/>
      <w:sz w:val="22"/>
      <w:szCs w:val="22"/>
      <w:lang w:eastAsia="en-US"/>
    </w:rPr>
  </w:style>
  <w:style w:type="character" w:customStyle="1" w:styleId="Green">
    <w:name w:val="Green"/>
    <w:basedOn w:val="DefaultParagraphFont"/>
    <w:uiPriority w:val="1"/>
    <w:qFormat/>
    <w:rsid w:val="0072033D"/>
    <w:rPr>
      <w:color w:val="00837C" w:themeColor="accent2"/>
    </w:rPr>
  </w:style>
  <w:style w:type="paragraph" w:customStyle="1" w:styleId="TitleCover">
    <w:name w:val="Title Cover"/>
    <w:basedOn w:val="H1-Heading1"/>
    <w:link w:val="TitleCoverChar"/>
    <w:qFormat/>
    <w:rsid w:val="0072033D"/>
    <w:pPr>
      <w:spacing w:before="4440" w:line="240" w:lineRule="auto"/>
    </w:pPr>
    <w:rPr>
      <w:rFonts w:asciiTheme="minorHAnsi" w:hAnsiTheme="minorHAnsi" w:cstheme="minorHAnsi"/>
      <w:color w:val="FFFFFF" w:themeColor="background1"/>
      <w:sz w:val="48"/>
    </w:rPr>
  </w:style>
  <w:style w:type="paragraph" w:customStyle="1" w:styleId="SECCLASSIFICATION">
    <w:name w:val="SEC CLASSIFICATION"/>
    <w:basedOn w:val="Header"/>
    <w:qFormat/>
    <w:rsid w:val="0072033D"/>
    <w:pPr>
      <w:jc w:val="center"/>
    </w:pPr>
    <w:rPr>
      <w:b/>
      <w:caps/>
      <w:noProof/>
      <w:color w:val="FF0000"/>
    </w:rPr>
  </w:style>
  <w:style w:type="character" w:customStyle="1" w:styleId="H1-Heading1Char">
    <w:name w:val="H1 - Heading 1 Char"/>
    <w:basedOn w:val="DefaultParagraphFont"/>
    <w:link w:val="H1-Heading1"/>
    <w:rsid w:val="0072033D"/>
    <w:rPr>
      <w:rFonts w:asciiTheme="majorHAnsi" w:eastAsiaTheme="majorEastAsia" w:hAnsiTheme="majorHAnsi" w:cstheme="majorBidi"/>
      <w:b/>
      <w:bCs/>
      <w:caps/>
      <w:color w:val="313E48"/>
      <w:sz w:val="56"/>
      <w:szCs w:val="56"/>
      <w:lang w:eastAsia="en-US"/>
    </w:rPr>
  </w:style>
  <w:style w:type="character" w:customStyle="1" w:styleId="TitleCoverChar">
    <w:name w:val="Title Cover Char"/>
    <w:basedOn w:val="H1-Heading1Char"/>
    <w:link w:val="TitleCover"/>
    <w:rsid w:val="0072033D"/>
    <w:rPr>
      <w:rFonts w:asciiTheme="minorHAnsi" w:eastAsiaTheme="majorEastAsia" w:hAnsiTheme="minorHAnsi" w:cstheme="minorHAnsi"/>
      <w:b/>
      <w:bCs/>
      <w:caps/>
      <w:color w:val="FFFFFF" w:themeColor="background1"/>
      <w:sz w:val="48"/>
      <w:szCs w:val="56"/>
      <w:lang w:eastAsia="en-US"/>
    </w:rPr>
  </w:style>
  <w:style w:type="paragraph" w:customStyle="1" w:styleId="Subtitlecover">
    <w:name w:val="Subtitle cover"/>
    <w:basedOn w:val="TitleCover"/>
    <w:link w:val="SubtitlecoverChar"/>
    <w:qFormat/>
    <w:rsid w:val="0072033D"/>
    <w:pPr>
      <w:spacing w:before="360"/>
    </w:pPr>
    <w:rPr>
      <w:sz w:val="36"/>
    </w:rPr>
  </w:style>
  <w:style w:type="character" w:customStyle="1" w:styleId="SubtitlecoverChar">
    <w:name w:val="Subtitle cover Char"/>
    <w:basedOn w:val="TitleCoverChar"/>
    <w:link w:val="Subtitlecover"/>
    <w:rsid w:val="0072033D"/>
    <w:rPr>
      <w:rFonts w:asciiTheme="minorHAnsi" w:eastAsiaTheme="majorEastAsia" w:hAnsiTheme="minorHAnsi" w:cstheme="minorHAnsi"/>
      <w:b/>
      <w:bCs/>
      <w:caps/>
      <w:color w:val="FFFFFF" w:themeColor="background1"/>
      <w:sz w:val="36"/>
      <w:szCs w:val="56"/>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72033D"/>
    <w:pPr>
      <w:spacing w:after="100"/>
      <w:ind w:left="220"/>
    </w:pPr>
  </w:style>
  <w:style w:type="character" w:customStyle="1" w:styleId="Heading2Char">
    <w:name w:val="Heading 2 Char"/>
    <w:basedOn w:val="DefaultParagraphFont"/>
    <w:link w:val="Heading2"/>
    <w:uiPriority w:val="9"/>
    <w:rsid w:val="0072033D"/>
    <w:rPr>
      <w:rFonts w:asciiTheme="majorHAnsi" w:eastAsiaTheme="majorEastAsia" w:hAnsiTheme="majorHAnsi" w:cstheme="majorBidi"/>
      <w:color w:val="2B4152" w:themeColor="accent1" w:themeShade="BF"/>
      <w:sz w:val="26"/>
      <w:szCs w:val="26"/>
      <w:lang w:eastAsia="en-US"/>
    </w:rPr>
  </w:style>
  <w:style w:type="character" w:customStyle="1" w:styleId="Heading1Char">
    <w:name w:val="Heading 1 Char"/>
    <w:basedOn w:val="DefaultParagraphFont"/>
    <w:link w:val="Heading1"/>
    <w:uiPriority w:val="9"/>
    <w:rsid w:val="0072033D"/>
    <w:rPr>
      <w:rFonts w:asciiTheme="majorHAnsi" w:eastAsiaTheme="majorEastAsia" w:hAnsiTheme="majorHAnsi" w:cstheme="majorBidi"/>
      <w:color w:val="2B4152" w:themeColor="accent1" w:themeShade="BF"/>
      <w:sz w:val="32"/>
      <w:szCs w:val="32"/>
      <w:lang w:eastAsia="en-US"/>
    </w:rPr>
  </w:style>
  <w:style w:type="character" w:customStyle="1" w:styleId="Heading3Char">
    <w:name w:val="Heading 3 Char"/>
    <w:basedOn w:val="DefaultParagraphFont"/>
    <w:link w:val="Heading3"/>
    <w:uiPriority w:val="9"/>
    <w:rsid w:val="0072033D"/>
    <w:rPr>
      <w:rFonts w:asciiTheme="majorHAnsi" w:eastAsiaTheme="majorEastAsia" w:hAnsiTheme="majorHAnsi" w:cstheme="majorBidi"/>
      <w:color w:val="1D2B36" w:themeColor="accent1" w:themeShade="7F"/>
      <w:sz w:val="24"/>
      <w:szCs w:val="24"/>
      <w:lang w:eastAsia="en-US"/>
    </w:rPr>
  </w:style>
  <w:style w:type="character" w:customStyle="1" w:styleId="Heading4Char">
    <w:name w:val="Heading 4 Char"/>
    <w:basedOn w:val="DefaultParagraphFont"/>
    <w:link w:val="Heading4"/>
    <w:uiPriority w:val="9"/>
    <w:semiHidden/>
    <w:rsid w:val="0072033D"/>
    <w:rPr>
      <w:rFonts w:asciiTheme="majorHAnsi" w:eastAsiaTheme="majorEastAsia" w:hAnsiTheme="majorHAnsi" w:cstheme="majorBidi"/>
      <w:i/>
      <w:iCs/>
      <w:color w:val="2B4152" w:themeColor="accent1" w:themeShade="BF"/>
      <w:sz w:val="22"/>
      <w:szCs w:val="22"/>
      <w:lang w:eastAsia="en-US"/>
    </w:rPr>
  </w:style>
  <w:style w:type="paragraph" w:styleId="TOC1">
    <w:name w:val="toc 1"/>
    <w:basedOn w:val="Normal"/>
    <w:next w:val="Normal"/>
    <w:autoRedefine/>
    <w:uiPriority w:val="39"/>
    <w:unhideWhenUsed/>
    <w:rsid w:val="0072033D"/>
    <w:pPr>
      <w:spacing w:after="100"/>
    </w:pPr>
  </w:style>
  <w:style w:type="paragraph" w:styleId="TOC3">
    <w:name w:val="toc 3"/>
    <w:basedOn w:val="Normal"/>
    <w:next w:val="Normal"/>
    <w:autoRedefine/>
    <w:uiPriority w:val="39"/>
    <w:unhideWhenUsed/>
    <w:rsid w:val="0072033D"/>
    <w:pPr>
      <w:spacing w:after="100"/>
      <w:ind w:left="440"/>
    </w:pPr>
  </w:style>
  <w:style w:type="character" w:styleId="Hyperlink">
    <w:name w:val="Hyperlink"/>
    <w:basedOn w:val="DefaultParagraphFont"/>
    <w:uiPriority w:val="99"/>
    <w:unhideWhenUsed/>
    <w:rsid w:val="0072033D"/>
    <w:rPr>
      <w:color w:val="0563C1" w:themeColor="hyperlink"/>
      <w:u w:val="single"/>
    </w:rPr>
  </w:style>
  <w:style w:type="paragraph" w:styleId="TOCHeading">
    <w:name w:val="TOC Heading"/>
    <w:basedOn w:val="H2-Heading2"/>
    <w:next w:val="Normal"/>
    <w:uiPriority w:val="39"/>
    <w:unhideWhenUsed/>
    <w:qFormat/>
    <w:rsid w:val="0072033D"/>
  </w:style>
  <w:style w:type="paragraph" w:styleId="ListParagraph">
    <w:name w:val="List Paragraph"/>
    <w:basedOn w:val="Normal"/>
    <w:uiPriority w:val="34"/>
    <w:qFormat/>
    <w:rsid w:val="0072033D"/>
    <w:pPr>
      <w:numPr>
        <w:numId w:val="46"/>
      </w:numPr>
      <w:ind w:left="357" w:hanging="357"/>
      <w:contextualSpacing/>
    </w:pPr>
  </w:style>
  <w:style w:type="table" w:styleId="ListTable3-Accent1">
    <w:name w:val="List Table 3 Accent 1"/>
    <w:basedOn w:val="TableNormal"/>
    <w:uiPriority w:val="48"/>
    <w:rsid w:val="0072033D"/>
    <w:tblPr>
      <w:tblStyleRowBandSize w:val="1"/>
      <w:tblStyleColBandSize w:val="1"/>
      <w:tblBorders>
        <w:top w:val="single" w:sz="4" w:space="0" w:color="3A586E" w:themeColor="accent1"/>
        <w:left w:val="single" w:sz="4" w:space="0" w:color="3A586E" w:themeColor="accent1"/>
        <w:bottom w:val="single" w:sz="4" w:space="0" w:color="3A586E" w:themeColor="accent1"/>
        <w:right w:val="single" w:sz="4" w:space="0" w:color="3A586E" w:themeColor="accent1"/>
      </w:tblBorders>
    </w:tblPr>
    <w:tblStylePr w:type="firstRow">
      <w:rPr>
        <w:b/>
        <w:bCs/>
        <w:color w:val="FFFFFF" w:themeColor="background1"/>
      </w:rPr>
      <w:tblPr/>
      <w:tcPr>
        <w:shd w:val="clear" w:color="auto" w:fill="3A586E" w:themeFill="accent1"/>
      </w:tcPr>
    </w:tblStylePr>
    <w:tblStylePr w:type="lastRow">
      <w:rPr>
        <w:b/>
        <w:bCs/>
      </w:rPr>
      <w:tblPr/>
      <w:tcPr>
        <w:tcBorders>
          <w:top w:val="double" w:sz="4" w:space="0" w:color="3A58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586E" w:themeColor="accent1"/>
          <w:right w:val="single" w:sz="4" w:space="0" w:color="3A586E" w:themeColor="accent1"/>
        </w:tcBorders>
      </w:tcPr>
    </w:tblStylePr>
    <w:tblStylePr w:type="band1Horz">
      <w:tblPr/>
      <w:tcPr>
        <w:tcBorders>
          <w:top w:val="single" w:sz="4" w:space="0" w:color="3A586E" w:themeColor="accent1"/>
          <w:bottom w:val="single" w:sz="4" w:space="0" w:color="3A58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themeColor="accent1"/>
          <w:left w:val="nil"/>
        </w:tcBorders>
      </w:tcPr>
    </w:tblStylePr>
    <w:tblStylePr w:type="swCell">
      <w:tblPr/>
      <w:tcPr>
        <w:tcBorders>
          <w:top w:val="double" w:sz="4" w:space="0" w:color="3A586E" w:themeColor="accent1"/>
          <w:right w:val="nil"/>
        </w:tcBorders>
      </w:tcPr>
    </w:tblStylePr>
  </w:style>
  <w:style w:type="table" w:styleId="GridTable2-Accent1">
    <w:name w:val="Grid Table 2 Accent 1"/>
    <w:basedOn w:val="TableNormal"/>
    <w:uiPriority w:val="47"/>
    <w:rsid w:val="0072033D"/>
    <w:tblPr>
      <w:tblStyleRowBandSize w:val="1"/>
      <w:tblStyleColBandSize w:val="1"/>
      <w:tblBorders>
        <w:top w:val="single" w:sz="2" w:space="0" w:color="789DB8" w:themeColor="accent1" w:themeTint="99"/>
        <w:bottom w:val="single" w:sz="2" w:space="0" w:color="789DB8" w:themeColor="accent1" w:themeTint="99"/>
        <w:insideH w:val="single" w:sz="2" w:space="0" w:color="789DB8" w:themeColor="accent1" w:themeTint="99"/>
        <w:insideV w:val="single" w:sz="2" w:space="0" w:color="789DB8" w:themeColor="accent1" w:themeTint="99"/>
      </w:tblBorders>
    </w:tblPr>
    <w:tblStylePr w:type="firstRow">
      <w:rPr>
        <w:b/>
        <w:bCs/>
      </w:rPr>
      <w:tblPr/>
      <w:tcPr>
        <w:tcBorders>
          <w:top w:val="nil"/>
          <w:bottom w:val="single" w:sz="12" w:space="0" w:color="789DB8" w:themeColor="accent1" w:themeTint="99"/>
          <w:insideH w:val="nil"/>
          <w:insideV w:val="nil"/>
        </w:tcBorders>
        <w:shd w:val="clear" w:color="auto" w:fill="FFFFFF" w:themeFill="background1"/>
      </w:tcPr>
    </w:tblStylePr>
    <w:tblStylePr w:type="lastRow">
      <w:rPr>
        <w:b/>
        <w:bCs/>
      </w:rPr>
      <w:tblPr/>
      <w:tcPr>
        <w:tcBorders>
          <w:top w:val="double" w:sz="2" w:space="0" w:color="789D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paragraph" w:customStyle="1" w:styleId="Box1Bullet">
    <w:name w:val="Box 1 Bullet"/>
    <w:basedOn w:val="Normal"/>
    <w:qFormat/>
    <w:rsid w:val="0072033D"/>
    <w:pPr>
      <w:numPr>
        <w:numId w:val="11"/>
      </w:numPr>
      <w:pBdr>
        <w:top w:val="single" w:sz="4" w:space="14" w:color="3A586E" w:themeColor="accent1"/>
        <w:left w:val="single" w:sz="4" w:space="14" w:color="3A586E" w:themeColor="accent1"/>
        <w:bottom w:val="single" w:sz="4" w:space="14" w:color="3A586E" w:themeColor="accent1"/>
        <w:right w:val="single" w:sz="4" w:space="14" w:color="3A586E" w:themeColor="accent1"/>
      </w:pBdr>
      <w:shd w:val="clear" w:color="auto" w:fill="FFFFFF" w:themeFill="background1"/>
      <w:suppressAutoHyphens/>
      <w:spacing w:before="180" w:after="80" w:line="240" w:lineRule="atLeast"/>
      <w:ind w:left="454" w:right="284" w:hanging="170"/>
    </w:pPr>
    <w:rPr>
      <w:rFonts w:asciiTheme="minorHAnsi" w:eastAsiaTheme="minorHAnsi" w:hAnsiTheme="minorHAnsi" w:cstheme="minorBidi"/>
      <w:color w:val="313E48" w:themeColor="text2"/>
      <w:sz w:val="20"/>
    </w:rPr>
  </w:style>
  <w:style w:type="table" w:styleId="TableGridLight">
    <w:name w:val="Grid Table Light"/>
    <w:basedOn w:val="TableNormal"/>
    <w:uiPriority w:val="40"/>
    <w:rsid w:val="007203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203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2033D"/>
    <w:rPr>
      <w:sz w:val="22"/>
      <w:szCs w:val="22"/>
      <w:lang w:eastAsia="en-US"/>
    </w:rPr>
  </w:style>
  <w:style w:type="character" w:styleId="CommentReference">
    <w:name w:val="annotation reference"/>
    <w:basedOn w:val="DefaultParagraphFont"/>
    <w:uiPriority w:val="99"/>
    <w:semiHidden/>
    <w:unhideWhenUsed/>
    <w:rsid w:val="0072033D"/>
    <w:rPr>
      <w:sz w:val="16"/>
      <w:szCs w:val="16"/>
    </w:rPr>
  </w:style>
  <w:style w:type="paragraph" w:styleId="CommentText">
    <w:name w:val="annotation text"/>
    <w:basedOn w:val="Normal"/>
    <w:link w:val="CommentTextChar"/>
    <w:uiPriority w:val="99"/>
    <w:unhideWhenUsed/>
    <w:rsid w:val="0072033D"/>
    <w:pPr>
      <w:spacing w:line="240" w:lineRule="auto"/>
    </w:pPr>
    <w:rPr>
      <w:sz w:val="20"/>
      <w:szCs w:val="20"/>
    </w:rPr>
  </w:style>
  <w:style w:type="character" w:customStyle="1" w:styleId="CommentTextChar">
    <w:name w:val="Comment Text Char"/>
    <w:basedOn w:val="DefaultParagraphFont"/>
    <w:link w:val="CommentText"/>
    <w:uiPriority w:val="99"/>
    <w:rsid w:val="0072033D"/>
    <w:rPr>
      <w:rFonts w:asciiTheme="majorHAnsi" w:hAnsiTheme="majorHAnsi"/>
      <w:lang w:eastAsia="en-US"/>
    </w:rPr>
  </w:style>
  <w:style w:type="paragraph" w:styleId="CommentSubject">
    <w:name w:val="annotation subject"/>
    <w:basedOn w:val="CommentText"/>
    <w:next w:val="CommentText"/>
    <w:link w:val="CommentSubjectChar"/>
    <w:uiPriority w:val="99"/>
    <w:semiHidden/>
    <w:unhideWhenUsed/>
    <w:rsid w:val="0072033D"/>
    <w:rPr>
      <w:b/>
      <w:bCs/>
    </w:rPr>
  </w:style>
  <w:style w:type="character" w:customStyle="1" w:styleId="CommentSubjectChar">
    <w:name w:val="Comment Subject Char"/>
    <w:basedOn w:val="CommentTextChar"/>
    <w:link w:val="CommentSubject"/>
    <w:uiPriority w:val="99"/>
    <w:semiHidden/>
    <w:rsid w:val="0072033D"/>
    <w:rPr>
      <w:rFonts w:asciiTheme="majorHAnsi" w:hAnsiTheme="majorHAnsi"/>
      <w:b/>
      <w:bCs/>
      <w:lang w:eastAsia="en-US"/>
    </w:rPr>
  </w:style>
  <w:style w:type="paragraph" w:styleId="NormalWeb">
    <w:name w:val="Normal (Web)"/>
    <w:basedOn w:val="Normal"/>
    <w:uiPriority w:val="99"/>
    <w:unhideWhenUsed/>
    <w:rsid w:val="0072033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72033D"/>
  </w:style>
  <w:style w:type="character" w:styleId="FollowedHyperlink">
    <w:name w:val="FollowedHyperlink"/>
    <w:basedOn w:val="DefaultParagraphFont"/>
    <w:uiPriority w:val="99"/>
    <w:semiHidden/>
    <w:unhideWhenUsed/>
    <w:rsid w:val="0072033D"/>
    <w:rPr>
      <w:color w:val="954F72" w:themeColor="followedHyperlink"/>
      <w:u w:val="single"/>
    </w:rPr>
  </w:style>
  <w:style w:type="character" w:customStyle="1" w:styleId="UnresolvedMention1">
    <w:name w:val="Unresolved Mention1"/>
    <w:basedOn w:val="DefaultParagraphFont"/>
    <w:uiPriority w:val="99"/>
    <w:semiHidden/>
    <w:unhideWhenUsed/>
    <w:rsid w:val="006C6054"/>
    <w:rPr>
      <w:color w:val="605E5C"/>
      <w:shd w:val="clear" w:color="auto" w:fill="E1DFDD"/>
    </w:rPr>
  </w:style>
  <w:style w:type="character" w:customStyle="1" w:styleId="eop">
    <w:name w:val="eop"/>
    <w:basedOn w:val="DefaultParagraphFont"/>
    <w:rsid w:val="00AB41FF"/>
  </w:style>
  <w:style w:type="character" w:customStyle="1" w:styleId="ui-provider">
    <w:name w:val="ui-provider"/>
    <w:basedOn w:val="DefaultParagraphFont"/>
    <w:rsid w:val="00AB41FF"/>
  </w:style>
  <w:style w:type="character" w:customStyle="1" w:styleId="Mention1">
    <w:name w:val="Mention1"/>
    <w:basedOn w:val="DefaultParagraphFont"/>
    <w:uiPriority w:val="99"/>
    <w:unhideWhenUsed/>
    <w:rsid w:val="00F61EE5"/>
    <w:rPr>
      <w:color w:val="2B579A"/>
      <w:shd w:val="clear" w:color="auto" w:fill="E1DFDD"/>
    </w:rPr>
  </w:style>
  <w:style w:type="paragraph" w:styleId="BalloonText">
    <w:name w:val="Balloon Text"/>
    <w:basedOn w:val="Normal"/>
    <w:link w:val="BalloonTextChar"/>
    <w:uiPriority w:val="99"/>
    <w:semiHidden/>
    <w:unhideWhenUsed/>
    <w:rsid w:val="00764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342"/>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72033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2033D"/>
    <w:rPr>
      <w:rFonts w:asciiTheme="majorHAnsi" w:hAnsiTheme="majorHAnsi"/>
      <w:lang w:eastAsia="en-US"/>
    </w:rPr>
  </w:style>
  <w:style w:type="character" w:styleId="FootnoteReference">
    <w:name w:val="footnote reference"/>
    <w:basedOn w:val="DefaultParagraphFont"/>
    <w:uiPriority w:val="99"/>
    <w:semiHidden/>
    <w:unhideWhenUsed/>
    <w:rsid w:val="0072033D"/>
    <w:rPr>
      <w:vertAlign w:val="superscript"/>
    </w:rPr>
  </w:style>
  <w:style w:type="paragraph" w:customStyle="1" w:styleId="NormalBullets-L2">
    <w:name w:val="Normal Bullets - L2"/>
    <w:basedOn w:val="BodyCopy"/>
    <w:qFormat/>
    <w:rsid w:val="0072033D"/>
    <w:pPr>
      <w:numPr>
        <w:numId w:val="27"/>
      </w:numPr>
      <w:spacing w:before="0" w:after="0"/>
      <w:ind w:left="993" w:hanging="284"/>
    </w:pPr>
    <w:rPr>
      <w:color w:val="auto"/>
      <w:lang w:eastAsia="en-AU"/>
    </w:rPr>
  </w:style>
  <w:style w:type="character" w:styleId="UnresolvedMention">
    <w:name w:val="Unresolved Mention"/>
    <w:basedOn w:val="DefaultParagraphFont"/>
    <w:uiPriority w:val="99"/>
    <w:semiHidden/>
    <w:unhideWhenUsed/>
    <w:rsid w:val="0072033D"/>
    <w:rPr>
      <w:color w:val="605E5C"/>
      <w:shd w:val="clear" w:color="auto" w:fill="E1DFDD"/>
    </w:rPr>
  </w:style>
  <w:style w:type="paragraph" w:customStyle="1" w:styleId="NormalBullets-L3">
    <w:name w:val="Normal Bullets - L3"/>
    <w:basedOn w:val="NormalBullets-L2"/>
    <w:qFormat/>
    <w:rsid w:val="0072033D"/>
    <w:pPr>
      <w:numPr>
        <w:numId w:val="26"/>
      </w:numPr>
      <w:ind w:left="1134" w:hanging="357"/>
    </w:pPr>
  </w:style>
  <w:style w:type="paragraph" w:customStyle="1" w:styleId="NormalBullets-L1">
    <w:name w:val="Normal Bullets - L1"/>
    <w:basedOn w:val="Normal"/>
    <w:qFormat/>
    <w:rsid w:val="0072033D"/>
    <w:pPr>
      <w:numPr>
        <w:numId w:val="8"/>
      </w:numPr>
      <w:spacing w:before="120" w:after="120" w:line="240" w:lineRule="auto"/>
      <w:textAlignment w:val="baseline"/>
    </w:pPr>
    <w:rPr>
      <w:rFonts w:ascii="Calibri Light" w:hAnsi="Calibri Light" w:cs="Calibri Light"/>
      <w:lang w:eastAsia="en-AU"/>
    </w:rPr>
  </w:style>
  <w:style w:type="table" w:styleId="PlainTable4">
    <w:name w:val="Plain Table 4"/>
    <w:basedOn w:val="TableNormal"/>
    <w:uiPriority w:val="44"/>
    <w:rsid w:val="007203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s">
    <w:name w:val="Table Bullets"/>
    <w:basedOn w:val="NormalBullets-L1"/>
    <w:qFormat/>
    <w:rsid w:val="0072033D"/>
    <w:pPr>
      <w:spacing w:before="0" w:after="0"/>
    </w:pPr>
  </w:style>
  <w:style w:type="paragraph" w:customStyle="1" w:styleId="Tablebullet">
    <w:name w:val="Table bullet"/>
    <w:basedOn w:val="NormalBullets-L1"/>
    <w:qFormat/>
    <w:rsid w:val="0072033D"/>
    <w:pPr>
      <w:spacing w:after="0"/>
      <w:ind w:left="357" w:hanging="357"/>
    </w:pPr>
    <w:rPr>
      <w:sz w:val="20"/>
    </w:rPr>
  </w:style>
  <w:style w:type="table" w:customStyle="1" w:styleId="DFATPaddock">
    <w:name w:val="DFAT Paddock"/>
    <w:basedOn w:val="TableNormal"/>
    <w:uiPriority w:val="99"/>
    <w:rsid w:val="007203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EDEDED" w:themeFill="accent3"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Wattle">
    <w:name w:val="DFAT Wattle"/>
    <w:basedOn w:val="DFATPaddock"/>
    <w:uiPriority w:val="99"/>
    <w:rsid w:val="0072033D"/>
    <w:tblPr/>
    <w:tcPr>
      <w:shd w:val="clear" w:color="auto" w:fill="D6E8D2" w:themeFill="accent4"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Ochre">
    <w:name w:val="DFAT Ochre"/>
    <w:basedOn w:val="DFATWattle"/>
    <w:uiPriority w:val="99"/>
    <w:rsid w:val="0072033D"/>
    <w:tblPr/>
    <w:tcPr>
      <w:shd w:val="clear" w:color="auto" w:fill="F0DBD4" w:themeFill="accent5" w:themeFillTint="33"/>
    </w:tcPr>
    <w:tblStylePr w:type="firstRow">
      <w:pPr>
        <w:jc w:val="left"/>
      </w:pPr>
      <w:rPr>
        <w:rFonts w:ascii="Calibri" w:hAnsi="Calibri"/>
        <w:b w:val="0"/>
        <w:color w:val="FFFFFF" w:themeColor="background1"/>
        <w:sz w:val="20"/>
      </w:rPr>
      <w:tblPr/>
      <w:trPr>
        <w:tblHeader/>
      </w:trPr>
      <w:tcPr>
        <w:shd w:val="clear" w:color="auto" w:fill="3A586E" w:themeFill="accent1"/>
      </w:tcPr>
    </w:tblStylePr>
  </w:style>
  <w:style w:type="table" w:customStyle="1" w:styleId="DFATBluegum">
    <w:name w:val="DFAT Bluegum"/>
    <w:basedOn w:val="DFATWattle"/>
    <w:uiPriority w:val="99"/>
    <w:rsid w:val="0072033D"/>
    <w:tblPr/>
    <w:tcPr>
      <w:shd w:val="clear" w:color="auto" w:fill="D2DEE7" w:themeFill="accent1"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paragraph" w:styleId="EndnoteText">
    <w:name w:val="endnote text"/>
    <w:basedOn w:val="Normal"/>
    <w:link w:val="EndnoteTextChar"/>
    <w:uiPriority w:val="99"/>
    <w:semiHidden/>
    <w:unhideWhenUsed/>
    <w:rsid w:val="0072033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2033D"/>
    <w:rPr>
      <w:rFonts w:asciiTheme="majorHAnsi" w:hAnsiTheme="majorHAnsi"/>
      <w:lang w:eastAsia="en-US"/>
    </w:rPr>
  </w:style>
  <w:style w:type="character" w:styleId="EndnoteReference">
    <w:name w:val="endnote reference"/>
    <w:basedOn w:val="DefaultParagraphFont"/>
    <w:uiPriority w:val="99"/>
    <w:semiHidden/>
    <w:unhideWhenUsed/>
    <w:rsid w:val="0072033D"/>
    <w:rPr>
      <w:vertAlign w:val="superscript"/>
    </w:rPr>
  </w:style>
  <w:style w:type="paragraph" w:customStyle="1" w:styleId="Endnotes">
    <w:name w:val="Endnotes"/>
    <w:basedOn w:val="EndnoteText"/>
    <w:qFormat/>
    <w:rsid w:val="0072033D"/>
  </w:style>
  <w:style w:type="paragraph" w:customStyle="1" w:styleId="Tabletitle">
    <w:name w:val="Table title"/>
    <w:basedOn w:val="H4-Heading4"/>
    <w:qFormat/>
    <w:rsid w:val="0072033D"/>
    <w:pPr>
      <w:spacing w:line="240" w:lineRule="auto"/>
      <w:outlineLvl w:val="9"/>
    </w:pPr>
    <w:rPr>
      <w:rFonts w:eastAsia="Times New Roman"/>
      <w:lang w:eastAsia="en-AU"/>
    </w:rPr>
  </w:style>
  <w:style w:type="paragraph" w:customStyle="1" w:styleId="Tablenote">
    <w:name w:val="Table note"/>
    <w:basedOn w:val="Normal"/>
    <w:qFormat/>
    <w:rsid w:val="0072033D"/>
    <w:pPr>
      <w:tabs>
        <w:tab w:val="left" w:pos="284"/>
      </w:tabs>
      <w:ind w:left="284" w:hanging="284"/>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0571">
      <w:bodyDiv w:val="1"/>
      <w:marLeft w:val="0"/>
      <w:marRight w:val="0"/>
      <w:marTop w:val="0"/>
      <w:marBottom w:val="0"/>
      <w:divBdr>
        <w:top w:val="none" w:sz="0" w:space="0" w:color="auto"/>
        <w:left w:val="none" w:sz="0" w:space="0" w:color="auto"/>
        <w:bottom w:val="none" w:sz="0" w:space="0" w:color="auto"/>
        <w:right w:val="none" w:sz="0" w:space="0" w:color="auto"/>
      </w:divBdr>
    </w:div>
    <w:div w:id="131365881">
      <w:bodyDiv w:val="1"/>
      <w:marLeft w:val="0"/>
      <w:marRight w:val="0"/>
      <w:marTop w:val="0"/>
      <w:marBottom w:val="0"/>
      <w:divBdr>
        <w:top w:val="none" w:sz="0" w:space="0" w:color="auto"/>
        <w:left w:val="none" w:sz="0" w:space="0" w:color="auto"/>
        <w:bottom w:val="none" w:sz="0" w:space="0" w:color="auto"/>
        <w:right w:val="none" w:sz="0" w:space="0" w:color="auto"/>
      </w:divBdr>
    </w:div>
    <w:div w:id="145391479">
      <w:bodyDiv w:val="1"/>
      <w:marLeft w:val="0"/>
      <w:marRight w:val="0"/>
      <w:marTop w:val="0"/>
      <w:marBottom w:val="0"/>
      <w:divBdr>
        <w:top w:val="none" w:sz="0" w:space="0" w:color="auto"/>
        <w:left w:val="none" w:sz="0" w:space="0" w:color="auto"/>
        <w:bottom w:val="none" w:sz="0" w:space="0" w:color="auto"/>
        <w:right w:val="none" w:sz="0" w:space="0" w:color="auto"/>
      </w:divBdr>
    </w:div>
    <w:div w:id="641934577">
      <w:bodyDiv w:val="1"/>
      <w:marLeft w:val="0"/>
      <w:marRight w:val="0"/>
      <w:marTop w:val="0"/>
      <w:marBottom w:val="0"/>
      <w:divBdr>
        <w:top w:val="none" w:sz="0" w:space="0" w:color="auto"/>
        <w:left w:val="none" w:sz="0" w:space="0" w:color="auto"/>
        <w:bottom w:val="none" w:sz="0" w:space="0" w:color="auto"/>
        <w:right w:val="none" w:sz="0" w:space="0" w:color="auto"/>
      </w:divBdr>
    </w:div>
    <w:div w:id="651249346">
      <w:bodyDiv w:val="1"/>
      <w:marLeft w:val="0"/>
      <w:marRight w:val="0"/>
      <w:marTop w:val="0"/>
      <w:marBottom w:val="0"/>
      <w:divBdr>
        <w:top w:val="none" w:sz="0" w:space="0" w:color="auto"/>
        <w:left w:val="none" w:sz="0" w:space="0" w:color="auto"/>
        <w:bottom w:val="none" w:sz="0" w:space="0" w:color="auto"/>
        <w:right w:val="none" w:sz="0" w:space="0" w:color="auto"/>
      </w:divBdr>
    </w:div>
    <w:div w:id="723140953">
      <w:bodyDiv w:val="1"/>
      <w:marLeft w:val="0"/>
      <w:marRight w:val="0"/>
      <w:marTop w:val="0"/>
      <w:marBottom w:val="0"/>
      <w:divBdr>
        <w:top w:val="none" w:sz="0" w:space="0" w:color="auto"/>
        <w:left w:val="none" w:sz="0" w:space="0" w:color="auto"/>
        <w:bottom w:val="none" w:sz="0" w:space="0" w:color="auto"/>
        <w:right w:val="none" w:sz="0" w:space="0" w:color="auto"/>
      </w:divBdr>
    </w:div>
    <w:div w:id="877396356">
      <w:bodyDiv w:val="1"/>
      <w:marLeft w:val="0"/>
      <w:marRight w:val="0"/>
      <w:marTop w:val="0"/>
      <w:marBottom w:val="0"/>
      <w:divBdr>
        <w:top w:val="none" w:sz="0" w:space="0" w:color="auto"/>
        <w:left w:val="none" w:sz="0" w:space="0" w:color="auto"/>
        <w:bottom w:val="none" w:sz="0" w:space="0" w:color="auto"/>
        <w:right w:val="none" w:sz="0" w:space="0" w:color="auto"/>
      </w:divBdr>
    </w:div>
    <w:div w:id="1491360216">
      <w:bodyDiv w:val="1"/>
      <w:marLeft w:val="0"/>
      <w:marRight w:val="0"/>
      <w:marTop w:val="0"/>
      <w:marBottom w:val="0"/>
      <w:divBdr>
        <w:top w:val="none" w:sz="0" w:space="0" w:color="auto"/>
        <w:left w:val="none" w:sz="0" w:space="0" w:color="auto"/>
        <w:bottom w:val="none" w:sz="0" w:space="0" w:color="auto"/>
        <w:right w:val="none" w:sz="0" w:space="0" w:color="auto"/>
      </w:divBdr>
    </w:div>
    <w:div w:id="1496723406">
      <w:bodyDiv w:val="1"/>
      <w:marLeft w:val="0"/>
      <w:marRight w:val="0"/>
      <w:marTop w:val="0"/>
      <w:marBottom w:val="0"/>
      <w:divBdr>
        <w:top w:val="none" w:sz="0" w:space="0" w:color="auto"/>
        <w:left w:val="none" w:sz="0" w:space="0" w:color="auto"/>
        <w:bottom w:val="none" w:sz="0" w:space="0" w:color="auto"/>
        <w:right w:val="none" w:sz="0" w:space="0" w:color="auto"/>
      </w:divBdr>
    </w:div>
    <w:div w:id="1861164583">
      <w:bodyDiv w:val="1"/>
      <w:marLeft w:val="0"/>
      <w:marRight w:val="0"/>
      <w:marTop w:val="0"/>
      <w:marBottom w:val="0"/>
      <w:divBdr>
        <w:top w:val="none" w:sz="0" w:space="0" w:color="auto"/>
        <w:left w:val="none" w:sz="0" w:space="0" w:color="auto"/>
        <w:bottom w:val="none" w:sz="0" w:space="0" w:color="auto"/>
        <w:right w:val="none" w:sz="0" w:space="0" w:color="auto"/>
      </w:divBdr>
    </w:div>
    <w:div w:id="21278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publications/development/australias-international-development-polic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a.BIOTEXT\Downloads\DPP%20Template%20(18July24).dotx" TargetMode="External"/></Relationships>
</file>

<file path=word/theme/theme1.xml><?xml version="1.0" encoding="utf-8"?>
<a:theme xmlns:a="http://schemas.openxmlformats.org/drawingml/2006/main" name="Office Theme">
  <a:themeElements>
    <a:clrScheme name="DFAT CP">
      <a:dk1>
        <a:sysClr val="windowText" lastClr="000000"/>
      </a:dk1>
      <a:lt1>
        <a:sysClr val="window" lastClr="FFFFFF"/>
      </a:lt1>
      <a:dk2>
        <a:srgbClr val="313E48"/>
      </a:dk2>
      <a:lt2>
        <a:srgbClr val="CFD3D3"/>
      </a:lt2>
      <a:accent1>
        <a:srgbClr val="3A586E"/>
      </a:accent1>
      <a:accent2>
        <a:srgbClr val="00837C"/>
      </a:accent2>
      <a:accent3>
        <a:srgbClr val="A5A5A5"/>
      </a:accent3>
      <a:accent4>
        <a:srgbClr val="47763B"/>
      </a:accent4>
      <a:accent5>
        <a:srgbClr val="AA5739"/>
      </a:accent5>
      <a:accent6>
        <a:srgbClr val="EBAB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d6d17-cc2f-4a52-9a42-09d539ff257b">
      <Terms xmlns="http://schemas.microsoft.com/office/infopath/2007/PartnerControls"/>
    </lcf76f155ced4ddcb4097134ff3c332f>
    <TaxCatchAll xmlns="8f5dea9d-30c5-454e-befd-d64dd18623b4" xsi:nil="true"/>
    <SharedWithUsers xmlns="8f5dea9d-30c5-454e-befd-d64dd18623b4">
      <UserInfo>
        <DisplayName>Jonathan Monis</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0FBF54CB1E504090B038E58399438E" ma:contentTypeVersion="12" ma:contentTypeDescription="Create a new document." ma:contentTypeScope="" ma:versionID="79f15427ce881a77508fcc5d8df846e7">
  <xsd:schema xmlns:xsd="http://www.w3.org/2001/XMLSchema" xmlns:xs="http://www.w3.org/2001/XMLSchema" xmlns:p="http://schemas.microsoft.com/office/2006/metadata/properties" xmlns:ns2="baad6d17-cc2f-4a52-9a42-09d539ff257b" xmlns:ns3="8f5dea9d-30c5-454e-befd-d64dd18623b4" targetNamespace="http://schemas.microsoft.com/office/2006/metadata/properties" ma:root="true" ma:fieldsID="b164ef00cb52332e762e9b3d79c04acf" ns2:_="" ns3:_="">
    <xsd:import namespace="baad6d17-cc2f-4a52-9a42-09d539ff257b"/>
    <xsd:import namespace="8f5dea9d-30c5-454e-befd-d64dd18623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d6d17-cc2f-4a52-9a42-09d539ff2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dea9d-30c5-454e-befd-d64dd18623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44e2f2d-3303-4bb5-afad-57cf4206d5a7}" ma:internalName="TaxCatchAll" ma:showField="CatchAllData" ma:web="8f5dea9d-30c5-454e-befd-d64dd18623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64CF6-A76D-4709-A1D3-E1F0BD3CE153}">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8f5dea9d-30c5-454e-befd-d64dd18623b4"/>
    <ds:schemaRef ds:uri="http://schemas.microsoft.com/office/2006/metadata/properties"/>
    <ds:schemaRef ds:uri="http://schemas.microsoft.com/office/infopath/2007/PartnerControls"/>
    <ds:schemaRef ds:uri="baad6d17-cc2f-4a52-9a42-09d539ff257b"/>
    <ds:schemaRef ds:uri="http://www.w3.org/XML/1998/namespace"/>
  </ds:schemaRefs>
</ds:datastoreItem>
</file>

<file path=customXml/itemProps2.xml><?xml version="1.0" encoding="utf-8"?>
<ds:datastoreItem xmlns:ds="http://schemas.openxmlformats.org/officeDocument/2006/customXml" ds:itemID="{9407E84A-05D8-45CC-9B5D-572762A72B73}">
  <ds:schemaRefs>
    <ds:schemaRef ds:uri="http://schemas.microsoft.com/sharepoint/v3/contenttype/forms"/>
  </ds:schemaRefs>
</ds:datastoreItem>
</file>

<file path=customXml/itemProps3.xml><?xml version="1.0" encoding="utf-8"?>
<ds:datastoreItem xmlns:ds="http://schemas.openxmlformats.org/officeDocument/2006/customXml" ds:itemID="{3EE4E3CA-6B94-442D-846F-BE12529E9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d6d17-cc2f-4a52-9a42-09d539ff257b"/>
    <ds:schemaRef ds:uri="8f5dea9d-30c5-454e-befd-d64dd1862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FEFF5-5541-472C-8892-537524EA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DPP Template (18July24).dotx</Template>
  <TotalTime>426</TotalTime>
  <Pages>29</Pages>
  <Words>9394</Words>
  <Characters>60316</Characters>
  <Application>Microsoft Office Word</Application>
  <DocSecurity>0</DocSecurity>
  <Lines>1776</Lines>
  <Paragraphs>671</Paragraphs>
  <ScaleCrop>false</ScaleCrop>
  <HeadingPairs>
    <vt:vector size="2" baseType="variant">
      <vt:variant>
        <vt:lpstr>Title</vt:lpstr>
      </vt:variant>
      <vt:variant>
        <vt:i4>1</vt:i4>
      </vt:variant>
    </vt:vector>
  </HeadingPairs>
  <TitlesOfParts>
    <vt:vector size="1" baseType="lpstr">
      <vt:lpstr>Australia – Philippines Development Partnership Plan 2024–2029</vt:lpstr>
    </vt:vector>
  </TitlesOfParts>
  <Company/>
  <LinksUpToDate>false</LinksUpToDate>
  <CharactersWithSpaces>69016</CharactersWithSpaces>
  <SharedDoc>false</SharedDoc>
  <HLinks>
    <vt:vector size="12" baseType="variant">
      <vt:variant>
        <vt:i4>6684776</vt:i4>
      </vt:variant>
      <vt:variant>
        <vt:i4>3</vt:i4>
      </vt:variant>
      <vt:variant>
        <vt:i4>0</vt:i4>
      </vt:variant>
      <vt:variant>
        <vt:i4>5</vt:i4>
      </vt:variant>
      <vt:variant>
        <vt:lpwstr>https://pdp.neda.gov.ph/philippine-development-plan-2023-2028/</vt:lpwstr>
      </vt:variant>
      <vt:variant>
        <vt:lpwstr/>
      </vt:variant>
      <vt:variant>
        <vt:i4>4456529</vt:i4>
      </vt:variant>
      <vt:variant>
        <vt:i4>0</vt:i4>
      </vt:variant>
      <vt:variant>
        <vt:i4>0</vt:i4>
      </vt:variant>
      <vt:variant>
        <vt:i4>5</vt:i4>
      </vt:variant>
      <vt:variant>
        <vt:lpwstr>https://www.dfat.gov.au/publications/development/australias-international-development-policy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Philippines Development Partnership Plan 2024–2029</dc:title>
  <dc:subject/>
  <dc:creator>Australian Government Department of Foreign Affairs and Trade</dc:creator>
  <cp:keywords>[SEC=OFFICIAL]</cp:keywords>
  <dc:description/>
  <cp:lastModifiedBy>Patrick Baggoley</cp:lastModifiedBy>
  <cp:revision>250</cp:revision>
  <cp:lastPrinted>2024-10-08T05:51:00Z</cp:lastPrinted>
  <dcterms:created xsi:type="dcterms:W3CDTF">2024-10-03T04:39:00Z</dcterms:created>
  <dcterms:modified xsi:type="dcterms:W3CDTF">2024-10-13T02:13:00Z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ionTimeStamp">
    <vt:lpwstr>2023-06-27T07:15:08Z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DomainName_SHA256">
    <vt:lpwstr>6F3591835F3B2A8A025B00B5BA6418010DA3A17C9C26EA9C049FFD28039489A2</vt:lpwstr>
  </property>
  <property fmtid="{D5CDD505-2E9C-101B-9397-08002B2CF9AE}" pid="23" name="ContentTypeId">
    <vt:lpwstr>0x010100220FBF54CB1E504090B038E58399438E</vt:lpwstr>
  </property>
  <property fmtid="{D5CDD505-2E9C-101B-9397-08002B2CF9AE}" pid="24" name="MediaServiceImageTags">
    <vt:lpwstr/>
  </property>
  <property fmtid="{D5CDD505-2E9C-101B-9397-08002B2CF9AE}" pid="25" name="PM_Originator_Hash_SHA1">
    <vt:lpwstr>E5329D78ADFF18985C404F3A4015F7B7C209C4C5</vt:lpwstr>
  </property>
  <property fmtid="{D5CDD505-2E9C-101B-9397-08002B2CF9AE}" pid="26" name="PM_OriginatorUserAccountName_SHA256">
    <vt:lpwstr>C427463A240001568B1E728057080C091949066E05DD342FA6B5B9F6FF33F8D6</vt:lpwstr>
  </property>
  <property fmtid="{D5CDD505-2E9C-101B-9397-08002B2CF9AE}" pid="27" name="PM_Hash_Salt_Prev">
    <vt:lpwstr>DD123150434712F8B3835576828C5D16</vt:lpwstr>
  </property>
  <property fmtid="{D5CDD505-2E9C-101B-9397-08002B2CF9AE}" pid="28" name="PM_Hash_Salt">
    <vt:lpwstr>12A1BE18BB85164AB682E5B9130524CB</vt:lpwstr>
  </property>
  <property fmtid="{D5CDD505-2E9C-101B-9397-08002B2CF9AE}" pid="29" name="PM_Hash_SHA1">
    <vt:lpwstr>0ECE3A9EF5360CBAFA46602C109DACED5F6F2A9B</vt:lpwstr>
  </property>
  <property fmtid="{D5CDD505-2E9C-101B-9397-08002B2CF9AE}" pid="30" name="PMHMAC">
    <vt:lpwstr>v=2022.1;a=SHA256;h=4F23C2BD0950ABA4A0B0EA7E09F6F331D6D548F9B472D04B027F905BB00ED22D</vt:lpwstr>
  </property>
</Properties>
</file>