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17DF" w14:textId="77777777" w:rsidR="0037657F" w:rsidRDefault="00C36256" w:rsidP="0037657F">
      <w:pPr>
        <w:pStyle w:val="H3-Heading3"/>
        <w:spacing w:before="0"/>
        <w:jc w:val="center"/>
      </w:pPr>
      <w:r w:rsidRPr="0020408E">
        <w:t>Australia-SPC Partnership Evaluation 2022</w:t>
      </w:r>
      <w:r w:rsidR="0037657F">
        <w:t xml:space="preserve"> </w:t>
      </w:r>
    </w:p>
    <w:p w14:paraId="6167132A" w14:textId="25F29BC2" w:rsidR="00C36256" w:rsidRPr="0020408E" w:rsidRDefault="00C36256" w:rsidP="0037657F">
      <w:pPr>
        <w:pStyle w:val="H3-Heading3"/>
        <w:spacing w:before="0"/>
        <w:jc w:val="center"/>
      </w:pPr>
      <w:r w:rsidRPr="0020408E">
        <w:t>DFAT Management Response to the Independent Evaluation</w:t>
      </w:r>
    </w:p>
    <w:p w14:paraId="401D7946" w14:textId="77777777" w:rsidR="00C36256" w:rsidRDefault="00C36256" w:rsidP="00C60EBF">
      <w:pPr>
        <w:pStyle w:val="H4-Heading4"/>
      </w:pPr>
      <w:r>
        <w:t>Context</w:t>
      </w:r>
    </w:p>
    <w:p w14:paraId="68CD283B" w14:textId="47BB5685" w:rsidR="00C36256" w:rsidRDefault="00C36256" w:rsidP="00C36256">
      <w:pPr>
        <w:pStyle w:val="BodyCopy"/>
      </w:pPr>
      <w:r>
        <w:t xml:space="preserve">The Pacific Community (SPC) is the largest regional development organisation of its kind. It provides scientific and technical assistance to Pacific </w:t>
      </w:r>
      <w:r w:rsidR="00A83816">
        <w:t>i</w:t>
      </w:r>
      <w:r>
        <w:t xml:space="preserve">sland countries to support regional sustainable development. Established in 1947, SPC is an inter-governmental organisation with 27 members including all 22 </w:t>
      </w:r>
      <w:r w:rsidR="00850746">
        <w:t>Pacific island countries</w:t>
      </w:r>
      <w:r>
        <w:t xml:space="preserve"> and territories, as well as founding members Australia, New Zealand, France, United States and the United Kingdom. </w:t>
      </w:r>
    </w:p>
    <w:p w14:paraId="218D51DA" w14:textId="46D351B0" w:rsidR="00C36256" w:rsidRPr="00266931" w:rsidRDefault="00C36256" w:rsidP="00266931">
      <w:pPr>
        <w:pStyle w:val="BodyCopy"/>
      </w:pPr>
      <w:r w:rsidRPr="00266931">
        <w:t xml:space="preserve">With an annual budget of EU 130 million (around AUD 200 million) and </w:t>
      </w:r>
      <w:r w:rsidR="00025B48">
        <w:t>700</w:t>
      </w:r>
      <w:r w:rsidRPr="00266931">
        <w:t xml:space="preserve"> staff, SPC delivers key services and expertise to its Pacific Island country members in a diverse range of sectors, including food security, oceanic and coastal fisheries, disasters, energy, maritime boundaries, public health, statistics, quality education standards, human rights, and gender inclusion. SPC supplements Pacific government capacity through pooled technical assistance, policy advice, training and research services</w:t>
      </w:r>
      <w:r w:rsidR="0020408E" w:rsidRPr="00266931">
        <w:t>.</w:t>
      </w:r>
      <w:r w:rsidR="00266931" w:rsidRPr="00266931">
        <w:t xml:space="preserve"> No other Pacific </w:t>
      </w:r>
      <w:r w:rsidR="00266931">
        <w:t xml:space="preserve">regional </w:t>
      </w:r>
      <w:r w:rsidR="00266931" w:rsidRPr="00266931">
        <w:t xml:space="preserve">organisation plays this role across such a variety of sectors. </w:t>
      </w:r>
    </w:p>
    <w:p w14:paraId="307F2BE1" w14:textId="77C8FD03" w:rsidR="00C36256" w:rsidRDefault="00C36256" w:rsidP="00C36256">
      <w:pPr>
        <w:pStyle w:val="BodyCopy"/>
      </w:pPr>
      <w:r>
        <w:t xml:space="preserve">In 2014 the </w:t>
      </w:r>
      <w:r w:rsidR="003357B3">
        <w:t>Government</w:t>
      </w:r>
      <w:r w:rsidR="00F20DC3">
        <w:t xml:space="preserve"> </w:t>
      </w:r>
      <w:r w:rsidR="002349F3">
        <w:t>of Australia (GoA</w:t>
      </w:r>
      <w:r w:rsidR="00DC3263">
        <w:t xml:space="preserve">) </w:t>
      </w:r>
      <w:r>
        <w:t xml:space="preserve">and SPC </w:t>
      </w:r>
      <w:r w:rsidR="00040C27">
        <w:t>established</w:t>
      </w:r>
      <w:r>
        <w:t xml:space="preserve"> a ten-year Partnership</w:t>
      </w:r>
      <w:r w:rsidR="00067C49">
        <w:t xml:space="preserve"> </w:t>
      </w:r>
      <w:r w:rsidR="00574111">
        <w:t>(2014-2023)</w:t>
      </w:r>
      <w:r w:rsidR="00F55397">
        <w:t xml:space="preserve">. </w:t>
      </w:r>
      <w:r w:rsidR="004B7AFD">
        <w:t xml:space="preserve">Australia’s Department of Foreign Affairs and Trade (DFAT) assumed responsibility for </w:t>
      </w:r>
      <w:r w:rsidR="00977A7E">
        <w:t xml:space="preserve">Australia’s overall management of </w:t>
      </w:r>
      <w:r w:rsidR="0020408E">
        <w:t>the Partnership</w:t>
      </w:r>
      <w:r w:rsidR="004B7AFD">
        <w:t xml:space="preserve">. </w:t>
      </w:r>
      <w:r w:rsidR="00035EAC">
        <w:t xml:space="preserve">Australia </w:t>
      </w:r>
      <w:r w:rsidR="00F55397">
        <w:t xml:space="preserve">concurrently </w:t>
      </w:r>
      <w:r w:rsidR="00035EAC">
        <w:t xml:space="preserve">provided </w:t>
      </w:r>
      <w:r w:rsidR="00977A7E">
        <w:t xml:space="preserve">SPC </w:t>
      </w:r>
      <w:r>
        <w:t>core fundin</w:t>
      </w:r>
      <w:r w:rsidR="00977A7E">
        <w:t>g</w:t>
      </w:r>
      <w:r>
        <w:t xml:space="preserve"> </w:t>
      </w:r>
      <w:r w:rsidR="00035EAC">
        <w:t xml:space="preserve">that was subsequently </w:t>
      </w:r>
      <w:r>
        <w:t>renewed every three years. This core funding is the largest contribution of flexible</w:t>
      </w:r>
      <w:r w:rsidR="001414AF">
        <w:t>,</w:t>
      </w:r>
      <w:r>
        <w:t xml:space="preserve"> predictable multi-year funding to SPC. Australia also provides </w:t>
      </w:r>
      <w:r w:rsidR="001414AF">
        <w:t xml:space="preserve">SPC </w:t>
      </w:r>
      <w:r>
        <w:t xml:space="preserve">programmatic and project funding. Australia contributes approximately 25 per cent of SPC’s </w:t>
      </w:r>
      <w:r w:rsidR="00EB06A2">
        <w:t xml:space="preserve">overall </w:t>
      </w:r>
      <w:r>
        <w:t>budget.</w:t>
      </w:r>
    </w:p>
    <w:p w14:paraId="6D1AB2BE" w14:textId="4AA44210" w:rsidR="00C36256" w:rsidRDefault="00C36256" w:rsidP="00C36256">
      <w:pPr>
        <w:pStyle w:val="H4-Heading4"/>
      </w:pPr>
      <w:r>
        <w:t>The Evaluation</w:t>
      </w:r>
    </w:p>
    <w:p w14:paraId="2F2016AD" w14:textId="1E06249C" w:rsidR="00C36256" w:rsidRDefault="00EB06A2" w:rsidP="00C36256">
      <w:pPr>
        <w:pStyle w:val="BodyCopy"/>
      </w:pPr>
      <w:r>
        <w:t>An</w:t>
      </w:r>
      <w:r w:rsidR="00C36256">
        <w:t xml:space="preserve"> independent evaluation </w:t>
      </w:r>
      <w:r w:rsidR="00113C97">
        <w:t>of the Partnership</w:t>
      </w:r>
      <w:r w:rsidR="006F6726">
        <w:t xml:space="preserve"> was conducted</w:t>
      </w:r>
      <w:r w:rsidRPr="00EB06A2">
        <w:t xml:space="preserve"> </w:t>
      </w:r>
      <w:r>
        <w:t>between July and October 2022</w:t>
      </w:r>
      <w:r w:rsidR="00082D0F">
        <w:t xml:space="preserve">, responding to </w:t>
      </w:r>
      <w:r w:rsidR="001C40AB">
        <w:t xml:space="preserve">terms of reference jointly agreed between </w:t>
      </w:r>
      <w:r w:rsidR="009C6771">
        <w:t>DFAT</w:t>
      </w:r>
      <w:r w:rsidR="001C40AB">
        <w:t xml:space="preserve"> and SPC.</w:t>
      </w:r>
      <w:r w:rsidR="009C6771">
        <w:t xml:space="preserve"> </w:t>
      </w:r>
      <w:r w:rsidR="001C40AB">
        <w:t>It was conducted in two parts. Part 1</w:t>
      </w:r>
      <w:r w:rsidR="00E436EB">
        <w:t xml:space="preserve"> was</w:t>
      </w:r>
      <w:r w:rsidR="001C40AB">
        <w:t xml:space="preserve"> </w:t>
      </w:r>
      <w:r w:rsidR="00356936">
        <w:t>undertaken</w:t>
      </w:r>
      <w:r w:rsidR="001C40AB">
        <w:t xml:space="preserve"> by the University of Technology Sydney</w:t>
      </w:r>
      <w:r w:rsidR="00E436EB">
        <w:t xml:space="preserve"> and</w:t>
      </w:r>
      <w:r w:rsidR="001C40AB">
        <w:t xml:space="preserve"> assessed how Australian core funding </w:t>
      </w:r>
      <w:r w:rsidR="00C62630">
        <w:t xml:space="preserve">and the Partnership mechanism </w:t>
      </w:r>
      <w:r w:rsidR="001C40AB">
        <w:t>strengthened SPC. Part 2 was conducted by Strategic Development Group and reviewed the economic impact of Australia’s investment in the region.</w:t>
      </w:r>
    </w:p>
    <w:p w14:paraId="0482734F" w14:textId="47668DB9" w:rsidR="00C36256" w:rsidRDefault="00C36256" w:rsidP="00C36256">
      <w:pPr>
        <w:pStyle w:val="BodyCopy"/>
      </w:pPr>
      <w:r>
        <w:t xml:space="preserve">Overall, the evaluation found the Partnership </w:t>
      </w:r>
      <w:r w:rsidR="00C62630">
        <w:t>had</w:t>
      </w:r>
      <w:r>
        <w:t xml:space="preserve"> significantly strengthened SPC’s institutional capabilities and provided SPC senior leadership with the ability to carry out institutional reforms, including of governance and Monitoring, Evaluation and Learning (MEL) arrangements. The evaluation also highlighted concerted efforts </w:t>
      </w:r>
      <w:r w:rsidR="0008769C">
        <w:t>under</w:t>
      </w:r>
      <w:r>
        <w:t xml:space="preserve"> the Partnership to mainstream gender into </w:t>
      </w:r>
      <w:r w:rsidR="008326EE">
        <w:t xml:space="preserve">SPC </w:t>
      </w:r>
      <w:r>
        <w:t xml:space="preserve">policies and processes, </w:t>
      </w:r>
      <w:r w:rsidR="0008769C">
        <w:t>strengthening</w:t>
      </w:r>
      <w:r>
        <w:t xml:space="preserve"> SPC</w:t>
      </w:r>
      <w:r w:rsidR="0008769C">
        <w:t>’s</w:t>
      </w:r>
      <w:r>
        <w:t xml:space="preserve"> institutional </w:t>
      </w:r>
      <w:r w:rsidR="0008769C">
        <w:t>capacity</w:t>
      </w:r>
      <w:r>
        <w:t xml:space="preserve"> to implement DFAT’s largest investment in gender equality, the Pacific Women Lead program. The evaluation found Australia’s flexible core funding </w:t>
      </w:r>
      <w:r w:rsidR="00914B36">
        <w:t>enabled</w:t>
      </w:r>
      <w:r>
        <w:t xml:space="preserve"> SPC</w:t>
      </w:r>
      <w:r w:rsidR="00914B36">
        <w:t>’s</w:t>
      </w:r>
      <w:r>
        <w:t xml:space="preserve"> senior leadership to effectively plan and deliver strategic outcomes for its members, as well as </w:t>
      </w:r>
      <w:r w:rsidR="00A564BE">
        <w:t xml:space="preserve">to </w:t>
      </w:r>
      <w:r w:rsidR="00976207">
        <w:t xml:space="preserve">quickly </w:t>
      </w:r>
      <w:r>
        <w:t xml:space="preserve">pivot </w:t>
      </w:r>
      <w:r w:rsidR="00976207">
        <w:t>SPC’s work</w:t>
      </w:r>
      <w:r>
        <w:t xml:space="preserve"> to </w:t>
      </w:r>
      <w:r w:rsidR="009C6771">
        <w:t xml:space="preserve">address </w:t>
      </w:r>
      <w:r w:rsidR="00293231">
        <w:t xml:space="preserve">priority </w:t>
      </w:r>
      <w:r>
        <w:t xml:space="preserve">needs </w:t>
      </w:r>
      <w:r w:rsidR="00976207">
        <w:t xml:space="preserve">in the region </w:t>
      </w:r>
      <w:r>
        <w:t xml:space="preserve">during </w:t>
      </w:r>
      <w:r w:rsidR="0049095F">
        <w:t>the pandemic</w:t>
      </w:r>
      <w:r>
        <w:t>.</w:t>
      </w:r>
    </w:p>
    <w:p w14:paraId="68675FB0" w14:textId="384DF449" w:rsidR="00EB444D" w:rsidRDefault="006D3E07" w:rsidP="007043AF">
      <w:pPr>
        <w:pStyle w:val="BodyCopy"/>
      </w:pPr>
      <w:r>
        <w:t>T</w:t>
      </w:r>
      <w:r w:rsidR="00C36256">
        <w:t xml:space="preserve">he evaluation </w:t>
      </w:r>
      <w:r w:rsidR="00E53C65">
        <w:t xml:space="preserve">found </w:t>
      </w:r>
      <w:r w:rsidR="001C412C">
        <w:t>the</w:t>
      </w:r>
      <w:r w:rsidR="001C412C" w:rsidRPr="001C412C">
        <w:t xml:space="preserve"> Partnership </w:t>
      </w:r>
      <w:r w:rsidR="00F67CCC">
        <w:t>assisted</w:t>
      </w:r>
      <w:r w:rsidR="001C412C">
        <w:t xml:space="preserve"> </w:t>
      </w:r>
      <w:r w:rsidR="001C412C" w:rsidRPr="001C412C">
        <w:t xml:space="preserve">Australia to establish mutual accountability and responsibility for its regional assistance, and </w:t>
      </w:r>
      <w:r w:rsidR="001C412C">
        <w:t xml:space="preserve">ensured that this </w:t>
      </w:r>
      <w:r w:rsidR="00FD52A0">
        <w:t>support</w:t>
      </w:r>
      <w:r w:rsidR="001C412C">
        <w:t xml:space="preserve"> was </w:t>
      </w:r>
      <w:r w:rsidR="001C412C" w:rsidRPr="001C412C">
        <w:t>tailored to the needs of the region and delivered in a coordinated manner.</w:t>
      </w:r>
      <w:r w:rsidR="007043AF">
        <w:t xml:space="preserve"> The evaluation also confirmed </w:t>
      </w:r>
      <w:r w:rsidR="00C36256">
        <w:t>the Partnership</w:t>
      </w:r>
      <w:r w:rsidR="008345D1">
        <w:t xml:space="preserve"> represent</w:t>
      </w:r>
      <w:r w:rsidR="007043AF">
        <w:t>ed</w:t>
      </w:r>
      <w:r w:rsidR="008345D1">
        <w:t xml:space="preserve"> </w:t>
      </w:r>
      <w:r w:rsidR="00C36256">
        <w:t xml:space="preserve">value for money, delivering a wide scope of activities effectively and efficiently. </w:t>
      </w:r>
      <w:r w:rsidR="00DD3641">
        <w:t xml:space="preserve"> </w:t>
      </w:r>
    </w:p>
    <w:tbl>
      <w:tblPr>
        <w:tblStyle w:val="TableGrid1"/>
        <w:tblpPr w:leftFromText="180" w:rightFromText="180" w:vertAnchor="text" w:horzAnchor="margin" w:tblpY="112"/>
        <w:tblW w:w="0" w:type="auto"/>
        <w:shd w:val="clear" w:color="auto" w:fill="DEEAF6" w:themeFill="accent5" w:themeFillTint="33"/>
        <w:tblLook w:val="04A0" w:firstRow="1" w:lastRow="0" w:firstColumn="1" w:lastColumn="0" w:noHBand="0" w:noVBand="1"/>
      </w:tblPr>
      <w:tblGrid>
        <w:gridCol w:w="10060"/>
      </w:tblGrid>
      <w:tr w:rsidR="00EB444D" w:rsidRPr="00C36256" w14:paraId="0E90F59C" w14:textId="77777777" w:rsidTr="00EF53EA">
        <w:tc>
          <w:tcPr>
            <w:tcW w:w="10060" w:type="dxa"/>
            <w:shd w:val="clear" w:color="auto" w:fill="DEEAF6" w:themeFill="accent5" w:themeFillTint="33"/>
          </w:tcPr>
          <w:p w14:paraId="1A6778C6" w14:textId="053E1F23" w:rsidR="00EB444D" w:rsidRPr="00C36256" w:rsidRDefault="00EB444D" w:rsidP="00EF53EA">
            <w:pPr>
              <w:autoSpaceDE w:val="0"/>
              <w:autoSpaceDN w:val="0"/>
              <w:adjustRightInd w:val="0"/>
              <w:spacing w:before="120" w:after="120" w:line="240" w:lineRule="auto"/>
              <w:rPr>
                <w:rFonts w:asciiTheme="majorHAnsi" w:hAnsiTheme="majorHAnsi" w:cstheme="majorHAnsi"/>
              </w:rPr>
            </w:pPr>
            <w:r w:rsidRPr="00C36256">
              <w:rPr>
                <w:rFonts w:asciiTheme="majorHAnsi" w:hAnsiTheme="majorHAnsi" w:cstheme="majorHAnsi"/>
                <w:b/>
                <w:bCs/>
              </w:rPr>
              <w:t xml:space="preserve">DFAT’s response to the Independent Evaluation: </w:t>
            </w:r>
            <w:r w:rsidRPr="00C36256">
              <w:rPr>
                <w:rFonts w:asciiTheme="majorHAnsi" w:hAnsiTheme="majorHAnsi" w:cstheme="majorHAnsi"/>
              </w:rPr>
              <w:t xml:space="preserve">the report represents the independent views of </w:t>
            </w:r>
            <w:r>
              <w:rPr>
                <w:rFonts w:asciiTheme="majorHAnsi" w:hAnsiTheme="majorHAnsi" w:cstheme="majorHAnsi"/>
              </w:rPr>
              <w:t xml:space="preserve">the </w:t>
            </w:r>
            <w:r w:rsidRPr="00C36256">
              <w:rPr>
                <w:rFonts w:asciiTheme="majorHAnsi" w:hAnsiTheme="majorHAnsi" w:cstheme="majorHAnsi"/>
              </w:rPr>
              <w:t>consultants and not necessarily the views of DFAT or SPC.</w:t>
            </w:r>
            <w:r w:rsidR="00A564BE">
              <w:rPr>
                <w:rFonts w:asciiTheme="majorHAnsi" w:hAnsiTheme="majorHAnsi" w:cstheme="majorHAnsi"/>
              </w:rPr>
              <w:t xml:space="preserve"> </w:t>
            </w:r>
            <w:r w:rsidRPr="00C36256">
              <w:rPr>
                <w:rFonts w:asciiTheme="majorHAnsi" w:hAnsiTheme="majorHAnsi" w:cstheme="majorHAnsi"/>
              </w:rPr>
              <w:t xml:space="preserve">DFAT recognises the importance of </w:t>
            </w:r>
            <w:r w:rsidR="00907D9C">
              <w:rPr>
                <w:rFonts w:asciiTheme="majorHAnsi" w:hAnsiTheme="majorHAnsi" w:cstheme="majorHAnsi"/>
              </w:rPr>
              <w:t>its</w:t>
            </w:r>
            <w:r w:rsidRPr="00C36256">
              <w:rPr>
                <w:rFonts w:asciiTheme="majorHAnsi" w:hAnsiTheme="majorHAnsi" w:cstheme="majorHAnsi"/>
              </w:rPr>
              <w:t xml:space="preserve"> partnership with SPC</w:t>
            </w:r>
            <w:r w:rsidR="002D5D97">
              <w:rPr>
                <w:rFonts w:asciiTheme="majorHAnsi" w:hAnsiTheme="majorHAnsi" w:cstheme="majorHAnsi"/>
              </w:rPr>
              <w:t xml:space="preserve">. It considers this </w:t>
            </w:r>
            <w:r w:rsidRPr="00C36256">
              <w:rPr>
                <w:rFonts w:asciiTheme="majorHAnsi" w:hAnsiTheme="majorHAnsi" w:cstheme="majorHAnsi"/>
              </w:rPr>
              <w:t xml:space="preserve">evaluation </w:t>
            </w:r>
            <w:r w:rsidR="002D5D97">
              <w:rPr>
                <w:rFonts w:asciiTheme="majorHAnsi" w:hAnsiTheme="majorHAnsi" w:cstheme="majorHAnsi"/>
              </w:rPr>
              <w:t>was an important</w:t>
            </w:r>
            <w:r w:rsidRPr="00C36256">
              <w:rPr>
                <w:rFonts w:asciiTheme="majorHAnsi" w:hAnsiTheme="majorHAnsi" w:cstheme="majorHAnsi"/>
              </w:rPr>
              <w:t xml:space="preserve"> opportunity to reflect on how </w:t>
            </w:r>
            <w:r w:rsidR="00907D9C">
              <w:rPr>
                <w:rFonts w:asciiTheme="majorHAnsi" w:hAnsiTheme="majorHAnsi" w:cstheme="majorHAnsi"/>
              </w:rPr>
              <w:t>DFAT</w:t>
            </w:r>
            <w:r w:rsidRPr="00C36256">
              <w:rPr>
                <w:rFonts w:asciiTheme="majorHAnsi" w:hAnsiTheme="majorHAnsi" w:cstheme="majorHAnsi"/>
              </w:rPr>
              <w:t xml:space="preserve"> can evolve the partnership </w:t>
            </w:r>
            <w:r w:rsidR="002D5D97">
              <w:rPr>
                <w:rFonts w:asciiTheme="majorHAnsi" w:hAnsiTheme="majorHAnsi" w:cstheme="majorHAnsi"/>
              </w:rPr>
              <w:t xml:space="preserve">to </w:t>
            </w:r>
            <w:r w:rsidRPr="00C36256">
              <w:rPr>
                <w:rFonts w:asciiTheme="majorHAnsi" w:hAnsiTheme="majorHAnsi" w:cstheme="majorHAnsi"/>
              </w:rPr>
              <w:t xml:space="preserve">better meet the interests of </w:t>
            </w:r>
            <w:r w:rsidR="005558FB">
              <w:rPr>
                <w:rFonts w:asciiTheme="majorHAnsi" w:hAnsiTheme="majorHAnsi" w:cstheme="majorHAnsi"/>
              </w:rPr>
              <w:t xml:space="preserve">both </w:t>
            </w:r>
            <w:r w:rsidRPr="00C36256">
              <w:rPr>
                <w:rFonts w:asciiTheme="majorHAnsi" w:hAnsiTheme="majorHAnsi" w:cstheme="majorHAnsi"/>
              </w:rPr>
              <w:t xml:space="preserve">SPC and DFAT. </w:t>
            </w:r>
            <w:r w:rsidR="002D5D97">
              <w:rPr>
                <w:rFonts w:asciiTheme="majorHAnsi" w:hAnsiTheme="majorHAnsi" w:cstheme="majorHAnsi"/>
              </w:rPr>
              <w:t>DFAT</w:t>
            </w:r>
            <w:r w:rsidRPr="00C36256">
              <w:rPr>
                <w:rFonts w:asciiTheme="majorHAnsi" w:hAnsiTheme="majorHAnsi" w:cstheme="majorHAnsi"/>
              </w:rPr>
              <w:t xml:space="preserve"> look</w:t>
            </w:r>
            <w:r w:rsidR="002D5D97">
              <w:rPr>
                <w:rFonts w:asciiTheme="majorHAnsi" w:hAnsiTheme="majorHAnsi" w:cstheme="majorHAnsi"/>
              </w:rPr>
              <w:t>s</w:t>
            </w:r>
            <w:r w:rsidRPr="00C36256">
              <w:rPr>
                <w:rFonts w:asciiTheme="majorHAnsi" w:hAnsiTheme="majorHAnsi" w:cstheme="majorHAnsi"/>
              </w:rPr>
              <w:t xml:space="preserve"> forward to </w:t>
            </w:r>
            <w:r w:rsidR="003C3A7B">
              <w:rPr>
                <w:rFonts w:asciiTheme="majorHAnsi" w:hAnsiTheme="majorHAnsi" w:cstheme="majorHAnsi"/>
              </w:rPr>
              <w:t xml:space="preserve">discussing </w:t>
            </w:r>
            <w:r w:rsidR="000F5835">
              <w:rPr>
                <w:rFonts w:asciiTheme="majorHAnsi" w:hAnsiTheme="majorHAnsi" w:cstheme="majorHAnsi"/>
              </w:rPr>
              <w:t xml:space="preserve">the review findings </w:t>
            </w:r>
            <w:r w:rsidR="003C3A7B">
              <w:rPr>
                <w:rFonts w:asciiTheme="majorHAnsi" w:hAnsiTheme="majorHAnsi" w:cstheme="majorHAnsi"/>
              </w:rPr>
              <w:t xml:space="preserve">with SPC </w:t>
            </w:r>
            <w:r w:rsidRPr="00C36256">
              <w:rPr>
                <w:rFonts w:asciiTheme="majorHAnsi" w:hAnsiTheme="majorHAnsi" w:cstheme="majorHAnsi"/>
              </w:rPr>
              <w:t xml:space="preserve">as </w:t>
            </w:r>
            <w:r w:rsidR="009E2CAD">
              <w:rPr>
                <w:rFonts w:asciiTheme="majorHAnsi" w:hAnsiTheme="majorHAnsi" w:cstheme="majorHAnsi"/>
              </w:rPr>
              <w:t>a</w:t>
            </w:r>
            <w:r w:rsidRPr="00C36256">
              <w:rPr>
                <w:rFonts w:asciiTheme="majorHAnsi" w:hAnsiTheme="majorHAnsi" w:cstheme="majorHAnsi"/>
              </w:rPr>
              <w:t xml:space="preserve"> new partnership </w:t>
            </w:r>
            <w:r w:rsidR="009E2CAD">
              <w:rPr>
                <w:rFonts w:asciiTheme="majorHAnsi" w:hAnsiTheme="majorHAnsi" w:cstheme="majorHAnsi"/>
              </w:rPr>
              <w:t>is negotiated in</w:t>
            </w:r>
            <w:r w:rsidRPr="00C36256">
              <w:rPr>
                <w:rFonts w:asciiTheme="majorHAnsi" w:hAnsiTheme="majorHAnsi" w:cstheme="majorHAnsi"/>
              </w:rPr>
              <w:t xml:space="preserve"> 2023.</w:t>
            </w:r>
          </w:p>
        </w:tc>
      </w:tr>
    </w:tbl>
    <w:p w14:paraId="0F4791E0" w14:textId="5D75812A" w:rsidR="00EB444D" w:rsidRPr="00C11CEC" w:rsidRDefault="00EB444D" w:rsidP="009E3D31">
      <w:pPr>
        <w:pStyle w:val="BodyCopy"/>
        <w:ind w:left="-426"/>
        <w:rPr>
          <w:rFonts w:asciiTheme="minorHAnsi" w:hAnsiTheme="minorHAnsi" w:cstheme="minorHAnsi"/>
          <w:b/>
          <w:bCs/>
          <w:color w:val="auto"/>
          <w:sz w:val="24"/>
          <w:szCs w:val="24"/>
          <w:lang w:val="en-GB"/>
        </w:rPr>
      </w:pPr>
      <w:r w:rsidRPr="00C11CEC">
        <w:rPr>
          <w:rFonts w:asciiTheme="minorHAnsi" w:hAnsiTheme="minorHAnsi" w:cstheme="minorHAnsi"/>
          <w:b/>
          <w:bCs/>
          <w:color w:val="auto"/>
          <w:sz w:val="24"/>
          <w:szCs w:val="24"/>
          <w:lang w:val="en-GB"/>
        </w:rPr>
        <w:t>DFAT Management response to specific evaluation recommendations</w:t>
      </w:r>
    </w:p>
    <w:tbl>
      <w:tblPr>
        <w:tblStyle w:val="TableGrid2"/>
        <w:tblW w:w="11058" w:type="dxa"/>
        <w:tblInd w:w="-431" w:type="dxa"/>
        <w:tblLook w:val="04A0" w:firstRow="1" w:lastRow="0" w:firstColumn="1" w:lastColumn="0" w:noHBand="0" w:noVBand="1"/>
      </w:tblPr>
      <w:tblGrid>
        <w:gridCol w:w="3754"/>
        <w:gridCol w:w="1065"/>
        <w:gridCol w:w="4112"/>
        <w:gridCol w:w="2127"/>
      </w:tblGrid>
      <w:tr w:rsidR="00361322" w:rsidRPr="00C36256" w14:paraId="03A5176F" w14:textId="77777777" w:rsidTr="00361322">
        <w:trPr>
          <w:tblHeader/>
        </w:trPr>
        <w:tc>
          <w:tcPr>
            <w:tcW w:w="3754" w:type="dxa"/>
            <w:shd w:val="clear" w:color="auto" w:fill="BFBFBF" w:themeFill="background1" w:themeFillShade="BF"/>
          </w:tcPr>
          <w:p w14:paraId="622ABA69" w14:textId="77777777" w:rsidR="00EB444D" w:rsidRPr="009050B0" w:rsidRDefault="00EB444D" w:rsidP="004C5BDB">
            <w:pPr>
              <w:autoSpaceDE w:val="0"/>
              <w:autoSpaceDN w:val="0"/>
              <w:adjustRightInd w:val="0"/>
              <w:spacing w:after="0" w:line="240" w:lineRule="auto"/>
              <w:jc w:val="both"/>
              <w:rPr>
                <w:rFonts w:asciiTheme="majorHAnsi" w:hAnsiTheme="majorHAnsi" w:cstheme="majorHAnsi"/>
                <w:b/>
                <w:bCs/>
              </w:rPr>
            </w:pPr>
            <w:r w:rsidRPr="009050B0">
              <w:rPr>
                <w:rFonts w:asciiTheme="majorHAnsi" w:hAnsiTheme="majorHAnsi" w:cstheme="majorHAnsi"/>
                <w:b/>
                <w:bCs/>
              </w:rPr>
              <w:lastRenderedPageBreak/>
              <w:t>Recommendation</w:t>
            </w:r>
          </w:p>
        </w:tc>
        <w:tc>
          <w:tcPr>
            <w:tcW w:w="1065" w:type="dxa"/>
            <w:shd w:val="clear" w:color="auto" w:fill="BFBFBF" w:themeFill="background1" w:themeFillShade="BF"/>
          </w:tcPr>
          <w:p w14:paraId="1C3E3B2B" w14:textId="77777777" w:rsidR="00EB444D" w:rsidRPr="009050B0" w:rsidRDefault="00EB444D" w:rsidP="004C5BDB">
            <w:pPr>
              <w:autoSpaceDE w:val="0"/>
              <w:autoSpaceDN w:val="0"/>
              <w:adjustRightInd w:val="0"/>
              <w:spacing w:after="0" w:line="240" w:lineRule="auto"/>
              <w:jc w:val="both"/>
              <w:rPr>
                <w:rFonts w:asciiTheme="majorHAnsi" w:hAnsiTheme="majorHAnsi" w:cstheme="majorHAnsi"/>
                <w:b/>
                <w:bCs/>
              </w:rPr>
            </w:pPr>
            <w:r w:rsidRPr="009050B0">
              <w:rPr>
                <w:rFonts w:asciiTheme="majorHAnsi" w:hAnsiTheme="majorHAnsi" w:cstheme="majorHAnsi"/>
                <w:b/>
                <w:bCs/>
              </w:rPr>
              <w:t>Response</w:t>
            </w:r>
          </w:p>
        </w:tc>
        <w:tc>
          <w:tcPr>
            <w:tcW w:w="4112" w:type="dxa"/>
            <w:shd w:val="clear" w:color="auto" w:fill="BFBFBF" w:themeFill="background1" w:themeFillShade="BF"/>
          </w:tcPr>
          <w:p w14:paraId="1A709F1D" w14:textId="77777777" w:rsidR="00EB444D" w:rsidRPr="009050B0" w:rsidRDefault="00EB444D" w:rsidP="004C5BDB">
            <w:pPr>
              <w:autoSpaceDE w:val="0"/>
              <w:autoSpaceDN w:val="0"/>
              <w:adjustRightInd w:val="0"/>
              <w:spacing w:after="0" w:line="240" w:lineRule="auto"/>
              <w:jc w:val="both"/>
              <w:rPr>
                <w:rFonts w:asciiTheme="majorHAnsi" w:hAnsiTheme="majorHAnsi" w:cstheme="majorHAnsi"/>
                <w:b/>
                <w:bCs/>
              </w:rPr>
            </w:pPr>
            <w:r w:rsidRPr="009050B0">
              <w:rPr>
                <w:rFonts w:asciiTheme="majorHAnsi" w:hAnsiTheme="majorHAnsi" w:cstheme="majorHAnsi"/>
                <w:b/>
                <w:bCs/>
              </w:rPr>
              <w:t>Explanation</w:t>
            </w:r>
          </w:p>
        </w:tc>
        <w:tc>
          <w:tcPr>
            <w:tcW w:w="2127" w:type="dxa"/>
            <w:shd w:val="clear" w:color="auto" w:fill="BFBFBF" w:themeFill="background1" w:themeFillShade="BF"/>
          </w:tcPr>
          <w:p w14:paraId="6D94E1BE" w14:textId="77777777" w:rsidR="00EB444D" w:rsidRPr="009050B0" w:rsidRDefault="00EB444D" w:rsidP="004C5BDB">
            <w:pPr>
              <w:autoSpaceDE w:val="0"/>
              <w:autoSpaceDN w:val="0"/>
              <w:adjustRightInd w:val="0"/>
              <w:spacing w:after="0" w:line="240" w:lineRule="auto"/>
              <w:jc w:val="both"/>
              <w:rPr>
                <w:rFonts w:asciiTheme="majorHAnsi" w:hAnsiTheme="majorHAnsi" w:cstheme="majorHAnsi"/>
                <w:b/>
                <w:bCs/>
              </w:rPr>
            </w:pPr>
            <w:r w:rsidRPr="009050B0">
              <w:rPr>
                <w:rFonts w:asciiTheme="majorHAnsi" w:hAnsiTheme="majorHAnsi" w:cstheme="majorHAnsi"/>
                <w:b/>
                <w:bCs/>
              </w:rPr>
              <w:t>Action Plan</w:t>
            </w:r>
          </w:p>
        </w:tc>
      </w:tr>
      <w:tr w:rsidR="00361322" w:rsidRPr="00C36256" w14:paraId="7CFF0B05" w14:textId="77777777" w:rsidTr="0020236E">
        <w:tc>
          <w:tcPr>
            <w:tcW w:w="3754" w:type="dxa"/>
            <w:shd w:val="clear" w:color="auto" w:fill="auto"/>
          </w:tcPr>
          <w:p w14:paraId="6F80B5E4"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 xml:space="preserve">Recommendation 1 </w:t>
            </w:r>
          </w:p>
          <w:p w14:paraId="37CEF15A"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Within the Australia-SPC Partnership ensure senior equivalency between organisations within High Level Consultations (HLCs) and prioritise complementary Canberra-based meetings and online meetings within annual schedule.</w:t>
            </w:r>
          </w:p>
        </w:tc>
        <w:tc>
          <w:tcPr>
            <w:tcW w:w="1065" w:type="dxa"/>
            <w:shd w:val="clear" w:color="auto" w:fill="auto"/>
          </w:tcPr>
          <w:p w14:paraId="190DD78C" w14:textId="77777777" w:rsidR="00EB444D" w:rsidRDefault="00EB444D" w:rsidP="004C5BDB">
            <w:pPr>
              <w:autoSpaceDE w:val="0"/>
              <w:autoSpaceDN w:val="0"/>
              <w:adjustRightInd w:val="0"/>
              <w:spacing w:after="0" w:line="240" w:lineRule="auto"/>
              <w:rPr>
                <w:rFonts w:asciiTheme="majorHAnsi" w:hAnsiTheme="majorHAnsi" w:cstheme="majorHAnsi"/>
                <w:b/>
                <w:bCs/>
                <w:color w:val="000000"/>
              </w:rPr>
            </w:pPr>
            <w:r>
              <w:rPr>
                <w:rFonts w:asciiTheme="majorHAnsi" w:hAnsiTheme="majorHAnsi" w:cstheme="majorHAnsi"/>
                <w:b/>
                <w:bCs/>
                <w:color w:val="000000"/>
              </w:rPr>
              <w:t>Agree</w:t>
            </w:r>
            <w:r w:rsidRPr="00C36256">
              <w:rPr>
                <w:rFonts w:asciiTheme="majorHAnsi" w:hAnsiTheme="majorHAnsi" w:cstheme="majorHAnsi"/>
                <w:b/>
                <w:bCs/>
                <w:color w:val="000000"/>
              </w:rPr>
              <w:t xml:space="preserve"> </w:t>
            </w:r>
          </w:p>
          <w:p w14:paraId="4312E522" w14:textId="77777777" w:rsidR="00EB444D" w:rsidRDefault="00EB444D" w:rsidP="004C5BDB">
            <w:pPr>
              <w:autoSpaceDE w:val="0"/>
              <w:autoSpaceDN w:val="0"/>
              <w:adjustRightInd w:val="0"/>
              <w:spacing w:after="0" w:line="240" w:lineRule="auto"/>
              <w:rPr>
                <w:rFonts w:asciiTheme="majorHAnsi" w:hAnsiTheme="majorHAnsi" w:cstheme="majorHAnsi"/>
                <w:b/>
                <w:bCs/>
                <w:color w:val="000000"/>
              </w:rPr>
            </w:pPr>
          </w:p>
          <w:p w14:paraId="46ED29EF"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p>
        </w:tc>
        <w:tc>
          <w:tcPr>
            <w:tcW w:w="4112" w:type="dxa"/>
            <w:shd w:val="clear" w:color="auto" w:fill="auto"/>
          </w:tcPr>
          <w:p w14:paraId="1AA7BDDB" w14:textId="77777777" w:rsidR="00E07C49" w:rsidRDefault="00EB444D" w:rsidP="004C5BDB">
            <w:pPr>
              <w:autoSpaceDE w:val="0"/>
              <w:autoSpaceDN w:val="0"/>
              <w:adjustRightInd w:val="0"/>
              <w:spacing w:after="60" w:line="240" w:lineRule="auto"/>
              <w:rPr>
                <w:rFonts w:asciiTheme="majorHAnsi" w:hAnsiTheme="majorHAnsi" w:cstheme="majorHAnsi"/>
              </w:rPr>
            </w:pPr>
            <w:r>
              <w:rPr>
                <w:rFonts w:asciiTheme="majorHAnsi" w:hAnsiTheme="majorHAnsi" w:cstheme="majorHAnsi"/>
              </w:rPr>
              <w:t xml:space="preserve">DFAT welcomes the continued commitment of both Australia and the SPC to senior engagements.  </w:t>
            </w:r>
            <w:r w:rsidRPr="00C36256">
              <w:rPr>
                <w:rFonts w:asciiTheme="majorHAnsi" w:hAnsiTheme="majorHAnsi" w:cstheme="majorHAnsi"/>
              </w:rPr>
              <w:t xml:space="preserve">DFAT agrees annual High-Level Consultations (HLC) have been important to achieving </w:t>
            </w:r>
            <w:r>
              <w:rPr>
                <w:rFonts w:asciiTheme="majorHAnsi" w:hAnsiTheme="majorHAnsi" w:cstheme="majorHAnsi"/>
              </w:rPr>
              <w:t>mutually beneficial</w:t>
            </w:r>
            <w:r w:rsidRPr="00C36256">
              <w:rPr>
                <w:rFonts w:asciiTheme="majorHAnsi" w:hAnsiTheme="majorHAnsi" w:cstheme="majorHAnsi"/>
              </w:rPr>
              <w:t xml:space="preserve"> outcomes for Australia and SPC. </w:t>
            </w:r>
          </w:p>
          <w:p w14:paraId="136E94D6" w14:textId="4F46D937" w:rsidR="00EB444D" w:rsidRPr="00C36256" w:rsidRDefault="00EB444D" w:rsidP="004C5BDB">
            <w:pPr>
              <w:autoSpaceDE w:val="0"/>
              <w:autoSpaceDN w:val="0"/>
              <w:adjustRightInd w:val="0"/>
              <w:spacing w:after="60" w:line="240" w:lineRule="auto"/>
              <w:rPr>
                <w:rFonts w:asciiTheme="majorHAnsi" w:hAnsiTheme="majorHAnsi" w:cstheme="majorHAnsi"/>
              </w:rPr>
            </w:pPr>
            <w:r>
              <w:rPr>
                <w:rFonts w:asciiTheme="majorHAnsi" w:hAnsiTheme="majorHAnsi" w:cstheme="majorHAnsi"/>
              </w:rPr>
              <w:t xml:space="preserve">DFAT </w:t>
            </w:r>
            <w:r w:rsidR="00761827">
              <w:rPr>
                <w:rFonts w:asciiTheme="majorHAnsi" w:hAnsiTheme="majorHAnsi" w:cstheme="majorHAnsi"/>
              </w:rPr>
              <w:t xml:space="preserve">has </w:t>
            </w:r>
            <w:r>
              <w:rPr>
                <w:rFonts w:asciiTheme="majorHAnsi" w:hAnsiTheme="majorHAnsi" w:cstheme="majorHAnsi"/>
              </w:rPr>
              <w:t>facilitate</w:t>
            </w:r>
            <w:r w:rsidR="00761827">
              <w:rPr>
                <w:rFonts w:asciiTheme="majorHAnsi" w:hAnsiTheme="majorHAnsi" w:cstheme="majorHAnsi"/>
              </w:rPr>
              <w:t>d</w:t>
            </w:r>
            <w:r>
              <w:rPr>
                <w:rFonts w:asciiTheme="majorHAnsi" w:hAnsiTheme="majorHAnsi" w:cstheme="majorHAnsi"/>
              </w:rPr>
              <w:t xml:space="preserve"> four Ministerial-level meetings with SPC senior officials since May 2022, in addition to ongoing meetings with DFAT senior officials.</w:t>
            </w:r>
            <w:r w:rsidRPr="00C36256">
              <w:rPr>
                <w:rFonts w:asciiTheme="majorHAnsi" w:hAnsiTheme="majorHAnsi" w:cstheme="majorHAnsi"/>
              </w:rPr>
              <w:t xml:space="preserve"> </w:t>
            </w:r>
          </w:p>
        </w:tc>
        <w:tc>
          <w:tcPr>
            <w:tcW w:w="2127" w:type="dxa"/>
            <w:shd w:val="clear" w:color="auto" w:fill="auto"/>
          </w:tcPr>
          <w:p w14:paraId="14509582"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 xml:space="preserve">DFAT is committed to retaining regular </w:t>
            </w:r>
            <w:r>
              <w:rPr>
                <w:rFonts w:asciiTheme="majorHAnsi" w:hAnsiTheme="majorHAnsi" w:cstheme="majorHAnsi"/>
              </w:rPr>
              <w:t xml:space="preserve">senior officials’ </w:t>
            </w:r>
            <w:r w:rsidRPr="00C36256">
              <w:rPr>
                <w:rFonts w:asciiTheme="majorHAnsi" w:hAnsiTheme="majorHAnsi" w:cstheme="majorHAnsi"/>
              </w:rPr>
              <w:t>HLCs with SPC in the next Partnership and will continue to facilitate complementary meetings as appropriate.</w:t>
            </w:r>
          </w:p>
          <w:p w14:paraId="728465CE"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p>
          <w:p w14:paraId="5C4277E9"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p>
        </w:tc>
      </w:tr>
      <w:tr w:rsidR="00361322" w:rsidRPr="00C36256" w14:paraId="26365325" w14:textId="77777777" w:rsidTr="0020236E">
        <w:tc>
          <w:tcPr>
            <w:tcW w:w="3754" w:type="dxa"/>
            <w:shd w:val="clear" w:color="auto" w:fill="auto"/>
          </w:tcPr>
          <w:p w14:paraId="5F56B5CD"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2</w:t>
            </w:r>
          </w:p>
          <w:p w14:paraId="1C896466"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Within the Australia-SPC Partnership review and clarify functionality and expectations of Partnership focal point roles as part of, and to inform next phase of the Partnership.</w:t>
            </w:r>
          </w:p>
        </w:tc>
        <w:tc>
          <w:tcPr>
            <w:tcW w:w="1065" w:type="dxa"/>
            <w:shd w:val="clear" w:color="auto" w:fill="auto"/>
          </w:tcPr>
          <w:p w14:paraId="5DDD583F"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Agree</w:t>
            </w:r>
          </w:p>
        </w:tc>
        <w:tc>
          <w:tcPr>
            <w:tcW w:w="4112" w:type="dxa"/>
            <w:shd w:val="clear" w:color="auto" w:fill="auto"/>
          </w:tcPr>
          <w:p w14:paraId="0F8F55C3" w14:textId="77777777" w:rsidR="00EB444D" w:rsidRPr="00C36256" w:rsidRDefault="00EB444D" w:rsidP="004C5BDB">
            <w:pPr>
              <w:autoSpaceDE w:val="0"/>
              <w:autoSpaceDN w:val="0"/>
              <w:adjustRightInd w:val="0"/>
              <w:spacing w:after="0" w:line="240" w:lineRule="auto"/>
              <w:rPr>
                <w:rFonts w:asciiTheme="majorHAnsi" w:hAnsiTheme="majorHAnsi" w:cstheme="majorHAnsi"/>
                <w:color w:val="000000"/>
              </w:rPr>
            </w:pPr>
            <w:r w:rsidRPr="00C36256">
              <w:rPr>
                <w:rFonts w:asciiTheme="majorHAnsi" w:hAnsiTheme="majorHAnsi" w:cstheme="majorHAnsi"/>
              </w:rPr>
              <w:t xml:space="preserve">DFAT agrees that SPC and DFAT should consider governance of the Partnership and how the day-to-day management of the Partnership is shared on both sides, as part of negotiating the next iteration of the Partnership. </w:t>
            </w:r>
          </w:p>
        </w:tc>
        <w:tc>
          <w:tcPr>
            <w:tcW w:w="2127" w:type="dxa"/>
            <w:shd w:val="clear" w:color="auto" w:fill="auto"/>
          </w:tcPr>
          <w:p w14:paraId="08D9CA66"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 xml:space="preserve">DFAT and SPC will consider these arrangements as part of the Partnership negotiations in 2023.  </w:t>
            </w:r>
          </w:p>
        </w:tc>
      </w:tr>
      <w:tr w:rsidR="00361322" w:rsidRPr="00C36256" w14:paraId="342166A2" w14:textId="77777777" w:rsidTr="0020236E">
        <w:tc>
          <w:tcPr>
            <w:tcW w:w="3754" w:type="dxa"/>
            <w:shd w:val="clear" w:color="auto" w:fill="auto"/>
          </w:tcPr>
          <w:p w14:paraId="0D206CBD"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 xml:space="preserve">Recommendation 3 </w:t>
            </w:r>
          </w:p>
          <w:p w14:paraId="2FF84E47" w14:textId="77777777" w:rsidR="00EB444D"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Within the Australia-SPC Partnership, review, clarify and update Partnership principles as part of, and to enable next phase of the Partnership to be principles-led, ensuring that principles are reflective of the Pacific region.</w:t>
            </w:r>
          </w:p>
          <w:p w14:paraId="63DFB56F"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p>
        </w:tc>
        <w:tc>
          <w:tcPr>
            <w:tcW w:w="1065" w:type="dxa"/>
            <w:shd w:val="clear" w:color="auto" w:fill="auto"/>
          </w:tcPr>
          <w:p w14:paraId="184053A5"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Agree</w:t>
            </w:r>
          </w:p>
        </w:tc>
        <w:tc>
          <w:tcPr>
            <w:tcW w:w="4112" w:type="dxa"/>
            <w:shd w:val="clear" w:color="auto" w:fill="auto"/>
          </w:tcPr>
          <w:p w14:paraId="76D59F21"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 xml:space="preserve">DFAT agrees it is timely to review and update the Partnership principles.  </w:t>
            </w:r>
          </w:p>
        </w:tc>
        <w:tc>
          <w:tcPr>
            <w:tcW w:w="2127" w:type="dxa"/>
            <w:shd w:val="clear" w:color="auto" w:fill="auto"/>
          </w:tcPr>
          <w:p w14:paraId="7C46AC0C"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 xml:space="preserve">DFAT and SPC will review and update the Partnership principles as part of the Partnership negotiations in 2023. </w:t>
            </w:r>
          </w:p>
          <w:p w14:paraId="3E433A53"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p>
        </w:tc>
      </w:tr>
      <w:tr w:rsidR="00361322" w:rsidRPr="00C36256" w14:paraId="7588C801" w14:textId="77777777" w:rsidTr="0020236E">
        <w:tc>
          <w:tcPr>
            <w:tcW w:w="3754" w:type="dxa"/>
            <w:shd w:val="clear" w:color="auto" w:fill="auto"/>
          </w:tcPr>
          <w:p w14:paraId="006B1E96"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4</w:t>
            </w:r>
          </w:p>
          <w:p w14:paraId="288109C8"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Within the Australia-SPC Partnership, carry out an annual Australia-SPC Partnership health check, with results to be presented at annual HLC to strengthen Partnership arrangements, as well as an effective means by which to measure contribution of GoA to SPC.</w:t>
            </w:r>
          </w:p>
        </w:tc>
        <w:tc>
          <w:tcPr>
            <w:tcW w:w="1065" w:type="dxa"/>
            <w:shd w:val="clear" w:color="auto" w:fill="auto"/>
          </w:tcPr>
          <w:p w14:paraId="7960F45A"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Agree</w:t>
            </w:r>
          </w:p>
        </w:tc>
        <w:tc>
          <w:tcPr>
            <w:tcW w:w="4112" w:type="dxa"/>
            <w:shd w:val="clear" w:color="auto" w:fill="auto"/>
          </w:tcPr>
          <w:p w14:paraId="178B1CF7"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 xml:space="preserve">In principle, DFAT agrees that annual health checks would provide a useful annual snapshot of how the Partnership is tracking, provided they are not overly time or resource intensive. </w:t>
            </w:r>
          </w:p>
        </w:tc>
        <w:tc>
          <w:tcPr>
            <w:tcW w:w="2127" w:type="dxa"/>
            <w:shd w:val="clear" w:color="auto" w:fill="auto"/>
          </w:tcPr>
          <w:p w14:paraId="4EE30021" w14:textId="77777777" w:rsidR="00EB444D" w:rsidRPr="00C36256"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DFAT and SPC will consider these arrangements as part of the Partnership negotiations in 2023.</w:t>
            </w:r>
          </w:p>
        </w:tc>
      </w:tr>
      <w:tr w:rsidR="00361322" w:rsidRPr="00C36256" w14:paraId="4651ABDE" w14:textId="77777777" w:rsidTr="0020236E">
        <w:tc>
          <w:tcPr>
            <w:tcW w:w="3754" w:type="dxa"/>
            <w:shd w:val="clear" w:color="auto" w:fill="auto"/>
          </w:tcPr>
          <w:p w14:paraId="1B6DBC49"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5</w:t>
            </w:r>
          </w:p>
          <w:p w14:paraId="5BDD01FA" w14:textId="77777777" w:rsidR="00EB444D" w:rsidRPr="00C36256"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DFAT together with SPC, to review, clarify and adjust reporting expectations to broader GoA agencies associated with the Australia-SPC Partnership, in line with Partnership principles associated with flexible funding arrangements and socialise value and utility of SPC Annual Results Reports within GoA to inform next phase of the Partnership.</w:t>
            </w:r>
          </w:p>
        </w:tc>
        <w:tc>
          <w:tcPr>
            <w:tcW w:w="1065" w:type="dxa"/>
            <w:shd w:val="clear" w:color="auto" w:fill="auto"/>
          </w:tcPr>
          <w:p w14:paraId="48A1BC45" w14:textId="77777777" w:rsidR="00EB444D"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 xml:space="preserve">Partially </w:t>
            </w:r>
            <w:r>
              <w:rPr>
                <w:rFonts w:asciiTheme="majorHAnsi" w:hAnsiTheme="majorHAnsi" w:cstheme="majorHAnsi"/>
                <w:b/>
                <w:bCs/>
                <w:color w:val="000000"/>
              </w:rPr>
              <w:t>A</w:t>
            </w:r>
            <w:r w:rsidRPr="00C36256">
              <w:rPr>
                <w:rFonts w:asciiTheme="majorHAnsi" w:hAnsiTheme="majorHAnsi" w:cstheme="majorHAnsi"/>
                <w:b/>
                <w:bCs/>
                <w:color w:val="000000"/>
              </w:rPr>
              <w:t>gree</w:t>
            </w:r>
          </w:p>
          <w:p w14:paraId="7FC084D8"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p>
        </w:tc>
        <w:tc>
          <w:tcPr>
            <w:tcW w:w="4112" w:type="dxa"/>
            <w:shd w:val="clear" w:color="auto" w:fill="auto"/>
          </w:tcPr>
          <w:p w14:paraId="17B5543F" w14:textId="77777777" w:rsidR="00EB444D"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DFAT agrees that there is</w:t>
            </w:r>
            <w:r>
              <w:rPr>
                <w:rFonts w:asciiTheme="majorHAnsi" w:hAnsiTheme="majorHAnsi" w:cstheme="majorHAnsi"/>
              </w:rPr>
              <w:t xml:space="preserve"> benefit in</w:t>
            </w:r>
            <w:r w:rsidRPr="00C36256">
              <w:rPr>
                <w:rFonts w:asciiTheme="majorHAnsi" w:hAnsiTheme="majorHAnsi" w:cstheme="majorHAnsi"/>
              </w:rPr>
              <w:t xml:space="preserve"> revisit</w:t>
            </w:r>
            <w:r>
              <w:rPr>
                <w:rFonts w:asciiTheme="majorHAnsi" w:hAnsiTheme="majorHAnsi" w:cstheme="majorHAnsi"/>
              </w:rPr>
              <w:t>ing</w:t>
            </w:r>
            <w:r w:rsidRPr="00C36256">
              <w:rPr>
                <w:rFonts w:asciiTheme="majorHAnsi" w:hAnsiTheme="majorHAnsi" w:cstheme="majorHAnsi"/>
              </w:rPr>
              <w:t xml:space="preserve"> how we improve and better align Monitoring, Evaluation and Learning (MEL) arrangements. </w:t>
            </w:r>
          </w:p>
          <w:p w14:paraId="226DBF71" w14:textId="77777777" w:rsidR="00EB444D" w:rsidRDefault="00EB444D" w:rsidP="004C5BDB">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DFAT and GOA agencies are bound by legislative requirements to report on the use of funds. SPC’s </w:t>
            </w:r>
            <w:r w:rsidRPr="00DA3D36">
              <w:rPr>
                <w:rFonts w:asciiTheme="majorHAnsi" w:hAnsiTheme="majorHAnsi" w:cstheme="majorHAnsi"/>
              </w:rPr>
              <w:t>Annual Results Reports</w:t>
            </w:r>
            <w:r>
              <w:rPr>
                <w:rFonts w:asciiTheme="majorHAnsi" w:hAnsiTheme="majorHAnsi" w:cstheme="majorHAnsi"/>
              </w:rPr>
              <w:t xml:space="preserve"> may, in some cases, not be sufficient for those purposes. </w:t>
            </w:r>
          </w:p>
          <w:p w14:paraId="6756219F" w14:textId="77777777" w:rsidR="00EB444D" w:rsidRPr="00DA3D36" w:rsidRDefault="00EB444D" w:rsidP="004C5BDB">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 </w:t>
            </w:r>
          </w:p>
        </w:tc>
        <w:tc>
          <w:tcPr>
            <w:tcW w:w="2127" w:type="dxa"/>
            <w:shd w:val="clear" w:color="auto" w:fill="auto"/>
          </w:tcPr>
          <w:p w14:paraId="6E54CD37"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D82A5D">
              <w:rPr>
                <w:rFonts w:asciiTheme="majorHAnsi" w:hAnsiTheme="majorHAnsi" w:cstheme="majorHAnsi"/>
              </w:rPr>
              <w:t>DFAT along with relevant GOA agencies and SPC will consider MEL arrangements as part of the Partnership negotiations in 2023.</w:t>
            </w:r>
            <w:r>
              <w:rPr>
                <w:rFonts w:asciiTheme="majorHAnsi" w:hAnsiTheme="majorHAnsi" w:cstheme="majorHAnsi"/>
              </w:rPr>
              <w:t xml:space="preserve"> </w:t>
            </w:r>
          </w:p>
        </w:tc>
      </w:tr>
      <w:tr w:rsidR="00361322" w:rsidRPr="00C36256" w14:paraId="31B90614" w14:textId="77777777" w:rsidTr="0020236E">
        <w:tc>
          <w:tcPr>
            <w:tcW w:w="3754" w:type="dxa"/>
            <w:shd w:val="clear" w:color="auto" w:fill="auto"/>
          </w:tcPr>
          <w:p w14:paraId="463B4B46"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6</w:t>
            </w:r>
          </w:p>
          <w:p w14:paraId="6BC39E49"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lastRenderedPageBreak/>
              <w:t>DFAT to continue efforts to improve strengthened coordination within DFAT and also across all GoA agencies associated with the Australia-SPC Partnership.</w:t>
            </w:r>
          </w:p>
        </w:tc>
        <w:tc>
          <w:tcPr>
            <w:tcW w:w="1065" w:type="dxa"/>
            <w:tcBorders>
              <w:bottom w:val="single" w:sz="4" w:space="0" w:color="auto"/>
            </w:tcBorders>
            <w:shd w:val="clear" w:color="auto" w:fill="auto"/>
          </w:tcPr>
          <w:p w14:paraId="4A9C38E6" w14:textId="77777777" w:rsidR="00EB444D" w:rsidRDefault="00EB444D" w:rsidP="004C5BDB">
            <w:pPr>
              <w:autoSpaceDE w:val="0"/>
              <w:autoSpaceDN w:val="0"/>
              <w:adjustRightInd w:val="0"/>
              <w:spacing w:after="0" w:line="240" w:lineRule="auto"/>
              <w:rPr>
                <w:rFonts w:asciiTheme="majorHAnsi" w:hAnsiTheme="majorHAnsi" w:cstheme="majorHAnsi"/>
                <w:b/>
                <w:bCs/>
                <w:color w:val="000000"/>
              </w:rPr>
            </w:pPr>
            <w:r>
              <w:rPr>
                <w:rFonts w:asciiTheme="majorHAnsi" w:hAnsiTheme="majorHAnsi" w:cstheme="majorHAnsi"/>
                <w:b/>
                <w:bCs/>
                <w:color w:val="000000"/>
              </w:rPr>
              <w:lastRenderedPageBreak/>
              <w:t>A</w:t>
            </w:r>
            <w:r w:rsidRPr="00C36256">
              <w:rPr>
                <w:rFonts w:asciiTheme="majorHAnsi" w:hAnsiTheme="majorHAnsi" w:cstheme="majorHAnsi"/>
                <w:b/>
                <w:bCs/>
                <w:color w:val="000000"/>
              </w:rPr>
              <w:t xml:space="preserve">gree </w:t>
            </w:r>
          </w:p>
          <w:p w14:paraId="663FBC6C"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p>
        </w:tc>
        <w:tc>
          <w:tcPr>
            <w:tcW w:w="4112" w:type="dxa"/>
            <w:shd w:val="clear" w:color="auto" w:fill="auto"/>
          </w:tcPr>
          <w:p w14:paraId="362C7884"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 xml:space="preserve">DFAT works with GoA agencies through the facilitation of the Community of Practice </w:t>
            </w:r>
            <w:r w:rsidRPr="00C36256">
              <w:rPr>
                <w:rFonts w:asciiTheme="majorHAnsi" w:hAnsiTheme="majorHAnsi" w:cstheme="majorHAnsi"/>
              </w:rPr>
              <w:lastRenderedPageBreak/>
              <w:t xml:space="preserve">sessions and providing advice and guidance as required. DFAT’s Partnership with SPC ensures consistency of </w:t>
            </w:r>
            <w:r>
              <w:rPr>
                <w:rFonts w:asciiTheme="majorHAnsi" w:hAnsiTheme="majorHAnsi" w:cstheme="majorHAnsi"/>
              </w:rPr>
              <w:t xml:space="preserve">DFAT </w:t>
            </w:r>
            <w:r w:rsidRPr="00C36256">
              <w:rPr>
                <w:rFonts w:asciiTheme="majorHAnsi" w:hAnsiTheme="majorHAnsi" w:cstheme="majorHAnsi"/>
              </w:rPr>
              <w:t xml:space="preserve">Departmental funding but does not necessarily apply to all GoA agencies funding SPC </w:t>
            </w:r>
            <w:r>
              <w:rPr>
                <w:rFonts w:asciiTheme="majorHAnsi" w:hAnsiTheme="majorHAnsi" w:cstheme="majorHAnsi"/>
              </w:rPr>
              <w:t>that</w:t>
            </w:r>
            <w:r w:rsidRPr="00C36256">
              <w:rPr>
                <w:rFonts w:asciiTheme="majorHAnsi" w:hAnsiTheme="majorHAnsi" w:cstheme="majorHAnsi"/>
              </w:rPr>
              <w:t xml:space="preserve"> </w:t>
            </w:r>
            <w:r>
              <w:rPr>
                <w:rFonts w:asciiTheme="majorHAnsi" w:hAnsiTheme="majorHAnsi" w:cstheme="majorHAnsi"/>
              </w:rPr>
              <w:t>may have</w:t>
            </w:r>
            <w:r w:rsidRPr="00C36256">
              <w:rPr>
                <w:rFonts w:asciiTheme="majorHAnsi" w:hAnsiTheme="majorHAnsi" w:cstheme="majorHAnsi"/>
              </w:rPr>
              <w:t xml:space="preserve"> their own arrangements.</w:t>
            </w:r>
          </w:p>
        </w:tc>
        <w:tc>
          <w:tcPr>
            <w:tcW w:w="2127" w:type="dxa"/>
            <w:shd w:val="clear" w:color="auto" w:fill="auto"/>
          </w:tcPr>
          <w:p w14:paraId="63182E67"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lastRenderedPageBreak/>
              <w:t xml:space="preserve">DFAT will continue to work with SPC to </w:t>
            </w:r>
            <w:r w:rsidRPr="00C36256">
              <w:rPr>
                <w:rFonts w:asciiTheme="majorHAnsi" w:hAnsiTheme="majorHAnsi" w:cstheme="majorHAnsi"/>
              </w:rPr>
              <w:lastRenderedPageBreak/>
              <w:t xml:space="preserve">explore ways to strengthen coordination. </w:t>
            </w:r>
          </w:p>
        </w:tc>
      </w:tr>
      <w:tr w:rsidR="00361322" w:rsidRPr="00C36256" w14:paraId="36534CF1" w14:textId="77777777" w:rsidTr="0020236E">
        <w:trPr>
          <w:trHeight w:val="70"/>
        </w:trPr>
        <w:tc>
          <w:tcPr>
            <w:tcW w:w="3754" w:type="dxa"/>
            <w:shd w:val="clear" w:color="auto" w:fill="auto"/>
          </w:tcPr>
          <w:p w14:paraId="222AECE2"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lastRenderedPageBreak/>
              <w:t>Recommendation 7</w:t>
            </w:r>
          </w:p>
          <w:p w14:paraId="63CE55BE" w14:textId="77777777" w:rsidR="00EB444D" w:rsidRPr="00C36256"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Australia-SPC Partnership to be informed by clarified principles, with GoA to prioritise focus on contribution to SPC through core funding and as a member contribute to strategic longer-term priorities of SPC and Members, emphasizing Pacific-led priorities and SPC leadership of coordinated delivery of regional public goods.</w:t>
            </w:r>
          </w:p>
        </w:tc>
        <w:tc>
          <w:tcPr>
            <w:tcW w:w="1065" w:type="dxa"/>
            <w:shd w:val="clear" w:color="auto" w:fill="auto"/>
          </w:tcPr>
          <w:p w14:paraId="7DBC4A56"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Noted</w:t>
            </w:r>
          </w:p>
        </w:tc>
        <w:tc>
          <w:tcPr>
            <w:tcW w:w="4112" w:type="dxa"/>
            <w:shd w:val="clear" w:color="auto" w:fill="auto"/>
          </w:tcPr>
          <w:p w14:paraId="3B7CD029"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Australia is committed to responding to the priorities and needs</w:t>
            </w:r>
            <w:r w:rsidRPr="00C36256">
              <w:rPr>
                <w:rFonts w:asciiTheme="majorHAnsi" w:hAnsiTheme="majorHAnsi" w:cstheme="majorHAnsi"/>
                <w:color w:val="000000"/>
              </w:rPr>
              <w:t xml:space="preserve"> of the </w:t>
            </w:r>
            <w:r w:rsidRPr="00C36256">
              <w:rPr>
                <w:rFonts w:asciiTheme="majorHAnsi" w:hAnsiTheme="majorHAnsi" w:cstheme="majorHAnsi"/>
              </w:rPr>
              <w:t>Pacific family.</w:t>
            </w:r>
          </w:p>
          <w:p w14:paraId="3E4A85BE"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p>
          <w:p w14:paraId="4BF9A37D"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p>
        </w:tc>
        <w:tc>
          <w:tcPr>
            <w:tcW w:w="2127" w:type="dxa"/>
            <w:shd w:val="clear" w:color="auto" w:fill="auto"/>
          </w:tcPr>
          <w:p w14:paraId="4301C79B"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 xml:space="preserve">DFAT will consider funding </w:t>
            </w:r>
            <w:r>
              <w:rPr>
                <w:rFonts w:asciiTheme="majorHAnsi" w:hAnsiTheme="majorHAnsi" w:cstheme="majorHAnsi"/>
              </w:rPr>
              <w:t xml:space="preserve">contributions </w:t>
            </w:r>
            <w:r w:rsidRPr="00C36256">
              <w:rPr>
                <w:rFonts w:asciiTheme="majorHAnsi" w:hAnsiTheme="majorHAnsi" w:cstheme="majorHAnsi"/>
              </w:rPr>
              <w:t>to SPC as part of the Partnership negotiations in 2023.</w:t>
            </w:r>
          </w:p>
        </w:tc>
      </w:tr>
      <w:tr w:rsidR="00361322" w:rsidRPr="00C36256" w14:paraId="63917836" w14:textId="77777777" w:rsidTr="0020236E">
        <w:tc>
          <w:tcPr>
            <w:tcW w:w="3754" w:type="dxa"/>
            <w:shd w:val="clear" w:color="auto" w:fill="auto"/>
          </w:tcPr>
          <w:p w14:paraId="34BB85E7"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8</w:t>
            </w:r>
          </w:p>
          <w:p w14:paraId="190CCC48" w14:textId="77777777" w:rsidR="00EB444D" w:rsidRPr="00C36256"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Within the Australia-SPC Partnership, review and strengthen visibility and profile of contribution of the Partnership to regional public goods to members and broader Pacific community, identify practical action for resourcing and targeted activities within SPC and DFAT, on behalf of GoA.</w:t>
            </w:r>
          </w:p>
        </w:tc>
        <w:tc>
          <w:tcPr>
            <w:tcW w:w="1065" w:type="dxa"/>
            <w:shd w:val="clear" w:color="auto" w:fill="auto"/>
          </w:tcPr>
          <w:p w14:paraId="1B05A613"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Agree</w:t>
            </w:r>
          </w:p>
          <w:p w14:paraId="42C0D80E" w14:textId="77777777" w:rsidR="00EB444D" w:rsidRPr="00C36256" w:rsidRDefault="00EB444D" w:rsidP="004C5BDB">
            <w:pPr>
              <w:spacing w:after="0" w:line="240" w:lineRule="auto"/>
              <w:rPr>
                <w:rFonts w:asciiTheme="majorHAnsi" w:hAnsiTheme="majorHAnsi" w:cstheme="majorHAnsi"/>
                <w:b/>
                <w:bCs/>
                <w:color w:val="000000"/>
              </w:rPr>
            </w:pPr>
          </w:p>
          <w:p w14:paraId="7B2D70EA" w14:textId="77777777" w:rsidR="00EB444D" w:rsidRPr="00C36256" w:rsidRDefault="00EB444D" w:rsidP="004C5BDB">
            <w:pPr>
              <w:spacing w:after="0" w:line="240" w:lineRule="auto"/>
              <w:rPr>
                <w:rFonts w:asciiTheme="majorHAnsi" w:hAnsiTheme="majorHAnsi" w:cstheme="majorHAnsi"/>
                <w:b/>
                <w:bCs/>
                <w:color w:val="000000"/>
              </w:rPr>
            </w:pPr>
          </w:p>
          <w:p w14:paraId="1951CD6D" w14:textId="77777777" w:rsidR="00EB444D" w:rsidRPr="00C36256" w:rsidRDefault="00EB444D" w:rsidP="004C5BDB">
            <w:pPr>
              <w:spacing w:after="0" w:line="240" w:lineRule="auto"/>
              <w:rPr>
                <w:rFonts w:asciiTheme="majorHAnsi" w:hAnsiTheme="majorHAnsi" w:cstheme="majorHAnsi"/>
              </w:rPr>
            </w:pPr>
          </w:p>
        </w:tc>
        <w:tc>
          <w:tcPr>
            <w:tcW w:w="4112" w:type="dxa"/>
            <w:shd w:val="clear" w:color="auto" w:fill="auto"/>
          </w:tcPr>
          <w:p w14:paraId="7242915B"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DFAT agrees there is scope to strengthen visibility and profile of the contribution of the Partnership to regional public goods, for other SPC members and Pacific stakeholders.</w:t>
            </w:r>
          </w:p>
        </w:tc>
        <w:tc>
          <w:tcPr>
            <w:tcW w:w="2127" w:type="dxa"/>
            <w:shd w:val="clear" w:color="auto" w:fill="auto"/>
          </w:tcPr>
          <w:p w14:paraId="7ECF4A30" w14:textId="77777777" w:rsidR="00EB444D" w:rsidRDefault="00EB444D" w:rsidP="004C5BDB">
            <w:pPr>
              <w:autoSpaceDE w:val="0"/>
              <w:autoSpaceDN w:val="0"/>
              <w:adjustRightInd w:val="0"/>
              <w:spacing w:after="0" w:line="240" w:lineRule="auto"/>
              <w:rPr>
                <w:rFonts w:asciiTheme="majorHAnsi" w:hAnsiTheme="majorHAnsi" w:cstheme="majorHAnsi"/>
              </w:rPr>
            </w:pPr>
            <w:r w:rsidRPr="006E5D6E">
              <w:rPr>
                <w:rFonts w:asciiTheme="majorHAnsi" w:hAnsiTheme="majorHAnsi" w:cstheme="majorHAnsi"/>
              </w:rPr>
              <w:t>The Australian Consulate General Noumea, in collaboration with SPC, will refine the visibility plan and create an annual workplan of activities.</w:t>
            </w:r>
          </w:p>
          <w:p w14:paraId="715E16A2" w14:textId="77777777" w:rsidR="00EB444D" w:rsidRPr="00C36256" w:rsidRDefault="00EB444D" w:rsidP="004C5BDB">
            <w:pPr>
              <w:autoSpaceDE w:val="0"/>
              <w:autoSpaceDN w:val="0"/>
              <w:adjustRightInd w:val="0"/>
              <w:spacing w:before="120" w:after="0" w:line="240" w:lineRule="auto"/>
              <w:rPr>
                <w:rFonts w:asciiTheme="majorHAnsi" w:hAnsiTheme="majorHAnsi" w:cstheme="majorHAnsi"/>
              </w:rPr>
            </w:pPr>
            <w:r w:rsidRPr="00C36256">
              <w:rPr>
                <w:rFonts w:asciiTheme="majorHAnsi" w:hAnsiTheme="majorHAnsi" w:cstheme="majorHAnsi"/>
              </w:rPr>
              <w:t>DFAT and SPC will consider these arrangements as part of the Partnership negotiations in 2023.</w:t>
            </w:r>
          </w:p>
          <w:p w14:paraId="41974727"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p>
        </w:tc>
      </w:tr>
      <w:tr w:rsidR="00361322" w:rsidRPr="00C36256" w14:paraId="7987D17D" w14:textId="77777777" w:rsidTr="0020236E">
        <w:tc>
          <w:tcPr>
            <w:tcW w:w="3754" w:type="dxa"/>
            <w:shd w:val="clear" w:color="auto" w:fill="auto"/>
          </w:tcPr>
          <w:p w14:paraId="5EBD8FAC"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9</w:t>
            </w:r>
          </w:p>
          <w:p w14:paraId="293DB472" w14:textId="77777777" w:rsidR="00EB444D" w:rsidRPr="00C36256"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The importance remains of DFAT continuing to engage at a sufficiently senior level to support meaningful, strategic conversations.</w:t>
            </w:r>
          </w:p>
        </w:tc>
        <w:tc>
          <w:tcPr>
            <w:tcW w:w="1065" w:type="dxa"/>
            <w:shd w:val="clear" w:color="auto" w:fill="auto"/>
          </w:tcPr>
          <w:p w14:paraId="3F402FAA" w14:textId="77777777" w:rsidR="00EB444D" w:rsidRDefault="00EB444D" w:rsidP="004C5BDB">
            <w:pPr>
              <w:autoSpaceDE w:val="0"/>
              <w:autoSpaceDN w:val="0"/>
              <w:adjustRightInd w:val="0"/>
              <w:spacing w:after="0" w:line="240" w:lineRule="auto"/>
              <w:rPr>
                <w:rFonts w:asciiTheme="majorHAnsi" w:hAnsiTheme="majorHAnsi" w:cstheme="majorHAnsi"/>
                <w:b/>
                <w:bCs/>
                <w:color w:val="000000"/>
              </w:rPr>
            </w:pPr>
            <w:r>
              <w:rPr>
                <w:rFonts w:asciiTheme="majorHAnsi" w:hAnsiTheme="majorHAnsi" w:cstheme="majorHAnsi"/>
                <w:b/>
                <w:bCs/>
                <w:color w:val="000000"/>
              </w:rPr>
              <w:t>Agree</w:t>
            </w:r>
          </w:p>
          <w:p w14:paraId="1C7153B8"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p>
        </w:tc>
        <w:tc>
          <w:tcPr>
            <w:tcW w:w="4112" w:type="dxa"/>
            <w:shd w:val="clear" w:color="auto" w:fill="auto"/>
          </w:tcPr>
          <w:p w14:paraId="42A56DD8"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 xml:space="preserve">Please refer to recommendation 1. </w:t>
            </w:r>
          </w:p>
        </w:tc>
        <w:tc>
          <w:tcPr>
            <w:tcW w:w="2127" w:type="dxa"/>
            <w:shd w:val="clear" w:color="auto" w:fill="auto"/>
          </w:tcPr>
          <w:p w14:paraId="5F73D38E" w14:textId="2E8B302A" w:rsidR="00EB444D" w:rsidRPr="00C36256" w:rsidRDefault="00611B16" w:rsidP="004C5BDB">
            <w:pPr>
              <w:autoSpaceDE w:val="0"/>
              <w:autoSpaceDN w:val="0"/>
              <w:adjustRightInd w:val="0"/>
              <w:spacing w:after="0" w:line="240" w:lineRule="auto"/>
              <w:rPr>
                <w:rFonts w:asciiTheme="majorHAnsi" w:hAnsiTheme="majorHAnsi" w:cstheme="majorHAnsi"/>
                <w:color w:val="000000"/>
              </w:rPr>
            </w:pPr>
            <w:r>
              <w:rPr>
                <w:rFonts w:asciiTheme="majorHAnsi" w:hAnsiTheme="majorHAnsi" w:cstheme="majorHAnsi"/>
                <w:color w:val="000000"/>
              </w:rPr>
              <w:t>Not applicable.</w:t>
            </w:r>
          </w:p>
        </w:tc>
      </w:tr>
      <w:tr w:rsidR="00361322" w:rsidRPr="00C36256" w14:paraId="4D6E26AB" w14:textId="77777777" w:rsidTr="0020236E">
        <w:tc>
          <w:tcPr>
            <w:tcW w:w="3754" w:type="dxa"/>
            <w:shd w:val="clear" w:color="auto" w:fill="auto"/>
          </w:tcPr>
          <w:p w14:paraId="6A7C9F9E"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10</w:t>
            </w:r>
          </w:p>
          <w:p w14:paraId="4A04704D"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DFAT could better maximise the soft power garnered through the Partnership by having more senior people build stronger relationships with senior counterparts in SPC.</w:t>
            </w:r>
          </w:p>
        </w:tc>
        <w:tc>
          <w:tcPr>
            <w:tcW w:w="1065" w:type="dxa"/>
            <w:shd w:val="clear" w:color="auto" w:fill="auto"/>
          </w:tcPr>
          <w:p w14:paraId="27551623" w14:textId="3A42EB37" w:rsidR="00EB444D" w:rsidRPr="00C36256" w:rsidRDefault="009E3D31" w:rsidP="004C5BDB">
            <w:pPr>
              <w:autoSpaceDE w:val="0"/>
              <w:autoSpaceDN w:val="0"/>
              <w:adjustRightInd w:val="0"/>
              <w:spacing w:after="0" w:line="240" w:lineRule="auto"/>
              <w:rPr>
                <w:rFonts w:asciiTheme="majorHAnsi" w:hAnsiTheme="majorHAnsi" w:cstheme="majorHAnsi"/>
                <w:b/>
                <w:bCs/>
                <w:color w:val="000000"/>
              </w:rPr>
            </w:pPr>
            <w:r>
              <w:rPr>
                <w:rFonts w:asciiTheme="majorHAnsi" w:hAnsiTheme="majorHAnsi" w:cstheme="majorHAnsi"/>
                <w:b/>
                <w:bCs/>
                <w:color w:val="000000"/>
              </w:rPr>
              <w:t>Agree</w:t>
            </w:r>
          </w:p>
        </w:tc>
        <w:tc>
          <w:tcPr>
            <w:tcW w:w="4112" w:type="dxa"/>
            <w:shd w:val="clear" w:color="auto" w:fill="auto"/>
          </w:tcPr>
          <w:p w14:paraId="063F003B" w14:textId="77777777" w:rsidR="00EB444D" w:rsidRDefault="00EB444D" w:rsidP="004C5BDB">
            <w:pPr>
              <w:autoSpaceDE w:val="0"/>
              <w:autoSpaceDN w:val="0"/>
              <w:adjustRightInd w:val="0"/>
              <w:spacing w:after="120" w:line="240" w:lineRule="auto"/>
              <w:rPr>
                <w:rFonts w:asciiTheme="majorHAnsi" w:hAnsiTheme="majorHAnsi" w:cstheme="majorHAnsi"/>
              </w:rPr>
            </w:pPr>
            <w:r>
              <w:rPr>
                <w:rFonts w:asciiTheme="majorHAnsi" w:hAnsiTheme="majorHAnsi" w:cstheme="majorHAnsi"/>
              </w:rPr>
              <w:t>Please refer to recommendation 1.</w:t>
            </w:r>
          </w:p>
          <w:p w14:paraId="39F87DCC" w14:textId="42091D87" w:rsidR="00EB444D" w:rsidRPr="00C36256" w:rsidRDefault="00EB444D" w:rsidP="004C5BDB">
            <w:pPr>
              <w:autoSpaceDE w:val="0"/>
              <w:autoSpaceDN w:val="0"/>
              <w:adjustRightInd w:val="0"/>
              <w:spacing w:after="60" w:line="240" w:lineRule="auto"/>
              <w:rPr>
                <w:rFonts w:asciiTheme="majorHAnsi" w:hAnsiTheme="majorHAnsi" w:cstheme="majorHAnsi"/>
              </w:rPr>
            </w:pPr>
            <w:r>
              <w:rPr>
                <w:rFonts w:asciiTheme="majorHAnsi" w:hAnsiTheme="majorHAnsi" w:cstheme="majorHAnsi"/>
              </w:rPr>
              <w:t>DFAT Canberra and relevant Posts in the Pacific, including Noumea and Suva,</w:t>
            </w:r>
            <w:r w:rsidRPr="00C36256">
              <w:rPr>
                <w:rFonts w:asciiTheme="majorHAnsi" w:hAnsiTheme="majorHAnsi" w:cstheme="majorHAnsi"/>
              </w:rPr>
              <w:t xml:space="preserve"> </w:t>
            </w:r>
            <w:r w:rsidR="005D78BE">
              <w:rPr>
                <w:rFonts w:asciiTheme="majorHAnsi" w:hAnsiTheme="majorHAnsi" w:cstheme="majorHAnsi"/>
              </w:rPr>
              <w:t xml:space="preserve">will continue to prioritise </w:t>
            </w:r>
            <w:r w:rsidRPr="00C36256">
              <w:rPr>
                <w:rFonts w:asciiTheme="majorHAnsi" w:hAnsiTheme="majorHAnsi" w:cstheme="majorHAnsi"/>
              </w:rPr>
              <w:t>foster</w:t>
            </w:r>
            <w:r w:rsidR="005D78BE">
              <w:rPr>
                <w:rFonts w:asciiTheme="majorHAnsi" w:hAnsiTheme="majorHAnsi" w:cstheme="majorHAnsi"/>
              </w:rPr>
              <w:t>ing</w:t>
            </w:r>
            <w:r w:rsidRPr="00C36256">
              <w:rPr>
                <w:rFonts w:asciiTheme="majorHAnsi" w:hAnsiTheme="majorHAnsi" w:cstheme="majorHAnsi"/>
              </w:rPr>
              <w:t xml:space="preserve"> strong working relationships on the ground.</w:t>
            </w:r>
            <w:r w:rsidRPr="00C36256">
              <w:rPr>
                <w:rFonts w:asciiTheme="majorHAnsi" w:hAnsiTheme="majorHAnsi" w:cstheme="majorHAnsi"/>
                <w:color w:val="000000"/>
              </w:rPr>
              <w:t xml:space="preserve"> </w:t>
            </w:r>
          </w:p>
        </w:tc>
        <w:tc>
          <w:tcPr>
            <w:tcW w:w="2127" w:type="dxa"/>
            <w:shd w:val="clear" w:color="auto" w:fill="auto"/>
          </w:tcPr>
          <w:p w14:paraId="273C3FF3"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DFAT and SPC will consider these arrangements as part of the Partnership negotiations in 2023.</w:t>
            </w:r>
          </w:p>
        </w:tc>
      </w:tr>
      <w:tr w:rsidR="00361322" w:rsidRPr="00C36256" w14:paraId="1379991F" w14:textId="77777777" w:rsidTr="0020236E">
        <w:trPr>
          <w:trHeight w:val="2530"/>
        </w:trPr>
        <w:tc>
          <w:tcPr>
            <w:tcW w:w="3754" w:type="dxa"/>
            <w:shd w:val="clear" w:color="auto" w:fill="auto"/>
          </w:tcPr>
          <w:p w14:paraId="15CE3C59"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lastRenderedPageBreak/>
              <w:t>Recommendation 11</w:t>
            </w:r>
          </w:p>
          <w:p w14:paraId="23EDEE16" w14:textId="77777777" w:rsidR="00EB444D" w:rsidRPr="00C36256" w:rsidRDefault="00EB444D" w:rsidP="004C5BDB">
            <w:pPr>
              <w:autoSpaceDE w:val="0"/>
              <w:autoSpaceDN w:val="0"/>
              <w:adjustRightInd w:val="0"/>
              <w:spacing w:after="120" w:line="240" w:lineRule="auto"/>
              <w:rPr>
                <w:rFonts w:asciiTheme="majorHAnsi" w:hAnsiTheme="majorHAnsi" w:cstheme="majorHAnsi"/>
              </w:rPr>
            </w:pPr>
            <w:r w:rsidRPr="00C36256">
              <w:rPr>
                <w:rFonts w:asciiTheme="majorHAnsi" w:hAnsiTheme="majorHAnsi" w:cstheme="majorHAnsi"/>
              </w:rPr>
              <w:t>A shift to a rolling 3-year arrangement would give greater visibility and certainty over future funding. If this is not possible given DFAT’s systems, a longer arrangement period with the possibility of extension, such as a 5-year arrangement with the option for an additional 5-years would be preferable.</w:t>
            </w:r>
          </w:p>
        </w:tc>
        <w:tc>
          <w:tcPr>
            <w:tcW w:w="1065" w:type="dxa"/>
            <w:shd w:val="clear" w:color="auto" w:fill="auto"/>
          </w:tcPr>
          <w:p w14:paraId="79D38DF7"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Noted</w:t>
            </w:r>
          </w:p>
        </w:tc>
        <w:tc>
          <w:tcPr>
            <w:tcW w:w="4112" w:type="dxa"/>
            <w:shd w:val="clear" w:color="auto" w:fill="auto"/>
          </w:tcPr>
          <w:p w14:paraId="43FA43FA" w14:textId="13B3702F"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 xml:space="preserve">DFAT </w:t>
            </w:r>
            <w:r>
              <w:rPr>
                <w:rFonts w:asciiTheme="majorHAnsi" w:hAnsiTheme="majorHAnsi" w:cstheme="majorHAnsi"/>
              </w:rPr>
              <w:t>will consider core funding arrangements as part of Partnership negotiations.</w:t>
            </w:r>
          </w:p>
        </w:tc>
        <w:tc>
          <w:tcPr>
            <w:tcW w:w="2127" w:type="dxa"/>
            <w:shd w:val="clear" w:color="auto" w:fill="auto"/>
          </w:tcPr>
          <w:p w14:paraId="730EA269" w14:textId="77777777" w:rsidR="00EB444D" w:rsidRPr="00C36256" w:rsidRDefault="00EB444D" w:rsidP="004C5BDB">
            <w:pPr>
              <w:autoSpaceDE w:val="0"/>
              <w:autoSpaceDN w:val="0"/>
              <w:adjustRightInd w:val="0"/>
              <w:spacing w:after="60" w:line="240" w:lineRule="auto"/>
              <w:rPr>
                <w:rFonts w:asciiTheme="majorHAnsi" w:hAnsiTheme="majorHAnsi" w:cstheme="majorHAnsi"/>
              </w:rPr>
            </w:pPr>
            <w:r w:rsidRPr="00C36256">
              <w:rPr>
                <w:rFonts w:asciiTheme="majorHAnsi" w:hAnsiTheme="majorHAnsi" w:cstheme="majorHAnsi"/>
              </w:rPr>
              <w:t>DFAT and SPC will consider these arrangements as part of the Partnership negotiations in 2023.</w:t>
            </w:r>
          </w:p>
        </w:tc>
      </w:tr>
      <w:tr w:rsidR="00361322" w:rsidRPr="00C36256" w14:paraId="2F17CCA7" w14:textId="77777777" w:rsidTr="0020236E">
        <w:trPr>
          <w:trHeight w:val="1846"/>
        </w:trPr>
        <w:tc>
          <w:tcPr>
            <w:tcW w:w="3754" w:type="dxa"/>
            <w:shd w:val="clear" w:color="auto" w:fill="auto"/>
          </w:tcPr>
          <w:p w14:paraId="3AF40138" w14:textId="77777777" w:rsidR="00EB444D" w:rsidRPr="00C36256" w:rsidRDefault="00EB444D" w:rsidP="004C5BDB">
            <w:pPr>
              <w:autoSpaceDE w:val="0"/>
              <w:autoSpaceDN w:val="0"/>
              <w:adjustRightInd w:val="0"/>
              <w:spacing w:after="0" w:line="240" w:lineRule="auto"/>
              <w:rPr>
                <w:rFonts w:asciiTheme="majorHAnsi" w:hAnsiTheme="majorHAnsi" w:cstheme="majorHAnsi"/>
                <w:b/>
                <w:bCs/>
              </w:rPr>
            </w:pPr>
            <w:r w:rsidRPr="00C36256">
              <w:rPr>
                <w:rFonts w:asciiTheme="majorHAnsi" w:hAnsiTheme="majorHAnsi" w:cstheme="majorHAnsi"/>
                <w:b/>
                <w:bCs/>
              </w:rPr>
              <w:t>Recommendation 12</w:t>
            </w:r>
          </w:p>
          <w:p w14:paraId="3DDF9BB5"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 xml:space="preserve">A Theory of Value Creation and an appropriate VfM Matrix need to be co-created with SPC and its members to ensure it fully reflects a collective understanding of value and is hence owned by SPC. </w:t>
            </w:r>
          </w:p>
        </w:tc>
        <w:tc>
          <w:tcPr>
            <w:tcW w:w="1065" w:type="dxa"/>
            <w:shd w:val="clear" w:color="auto" w:fill="auto"/>
          </w:tcPr>
          <w:p w14:paraId="46654AD7" w14:textId="77777777" w:rsidR="00EB444D" w:rsidRPr="00C36256" w:rsidRDefault="00EB444D" w:rsidP="004C5BDB">
            <w:pPr>
              <w:autoSpaceDE w:val="0"/>
              <w:autoSpaceDN w:val="0"/>
              <w:adjustRightInd w:val="0"/>
              <w:spacing w:after="0" w:line="240" w:lineRule="auto"/>
              <w:rPr>
                <w:rFonts w:asciiTheme="majorHAnsi" w:hAnsiTheme="majorHAnsi" w:cstheme="majorHAnsi"/>
                <w:b/>
                <w:bCs/>
                <w:color w:val="000000"/>
              </w:rPr>
            </w:pPr>
            <w:r w:rsidRPr="00C36256">
              <w:rPr>
                <w:rFonts w:asciiTheme="majorHAnsi" w:hAnsiTheme="majorHAnsi" w:cstheme="majorHAnsi"/>
                <w:b/>
                <w:bCs/>
                <w:color w:val="000000"/>
              </w:rPr>
              <w:t>Agree</w:t>
            </w:r>
          </w:p>
        </w:tc>
        <w:tc>
          <w:tcPr>
            <w:tcW w:w="4112" w:type="dxa"/>
            <w:shd w:val="clear" w:color="auto" w:fill="auto"/>
          </w:tcPr>
          <w:p w14:paraId="36F4FD03" w14:textId="77777777" w:rsidR="00EB444D" w:rsidRPr="00C36256" w:rsidRDefault="00EB444D" w:rsidP="004C5BDB">
            <w:pPr>
              <w:autoSpaceDE w:val="0"/>
              <w:autoSpaceDN w:val="0"/>
              <w:adjustRightInd w:val="0"/>
              <w:spacing w:after="0" w:line="240" w:lineRule="auto"/>
              <w:rPr>
                <w:rFonts w:asciiTheme="majorHAnsi" w:hAnsiTheme="majorHAnsi" w:cstheme="majorHAnsi"/>
              </w:rPr>
            </w:pPr>
            <w:r w:rsidRPr="00C36256">
              <w:rPr>
                <w:rFonts w:asciiTheme="majorHAnsi" w:hAnsiTheme="majorHAnsi" w:cstheme="majorHAnsi"/>
              </w:rPr>
              <w:t>DFAT recognises the benefit of the Theory of Value Creation and Value for Money (VfM) matrix and agrees these tools need to be developed collectively to ensure a shared understanding of value.</w:t>
            </w:r>
          </w:p>
        </w:tc>
        <w:tc>
          <w:tcPr>
            <w:tcW w:w="2127" w:type="dxa"/>
            <w:shd w:val="clear" w:color="auto" w:fill="auto"/>
          </w:tcPr>
          <w:p w14:paraId="6F9B2CEF" w14:textId="77777777" w:rsidR="00EB444D" w:rsidRPr="00C36256" w:rsidRDefault="00EB444D" w:rsidP="004C5BDB">
            <w:pPr>
              <w:autoSpaceDE w:val="0"/>
              <w:autoSpaceDN w:val="0"/>
              <w:adjustRightInd w:val="0"/>
              <w:spacing w:after="0" w:line="240" w:lineRule="auto"/>
              <w:rPr>
                <w:rFonts w:asciiTheme="majorHAnsi" w:hAnsiTheme="majorHAnsi" w:cstheme="majorHAnsi"/>
                <w:color w:val="414042"/>
              </w:rPr>
            </w:pPr>
            <w:r w:rsidRPr="00C36256">
              <w:rPr>
                <w:rFonts w:asciiTheme="majorHAnsi" w:hAnsiTheme="majorHAnsi" w:cstheme="majorHAnsi"/>
              </w:rPr>
              <w:t>DFAT and SPC will consider these arrangements as part of the Partnership negotiations in 2023.</w:t>
            </w:r>
          </w:p>
        </w:tc>
      </w:tr>
    </w:tbl>
    <w:p w14:paraId="6CE55D1B" w14:textId="77777777" w:rsidR="001257B0" w:rsidRDefault="001257B0" w:rsidP="00EB444D">
      <w:pPr>
        <w:pStyle w:val="BodyCopy"/>
        <w:rPr>
          <w:rFonts w:asciiTheme="minorHAnsi" w:hAnsiTheme="minorHAnsi" w:cstheme="minorHAnsi"/>
          <w:b/>
          <w:bCs/>
          <w:sz w:val="24"/>
          <w:szCs w:val="24"/>
          <w:lang w:val="en-GB"/>
        </w:rPr>
      </w:pPr>
    </w:p>
    <w:p w14:paraId="2C0B7C5C" w14:textId="77777777" w:rsidR="001257B0" w:rsidRDefault="001257B0" w:rsidP="00EB444D">
      <w:pPr>
        <w:pStyle w:val="BodyCopy"/>
        <w:rPr>
          <w:rFonts w:asciiTheme="minorHAnsi" w:hAnsiTheme="minorHAnsi" w:cstheme="minorHAnsi"/>
          <w:b/>
          <w:bCs/>
          <w:sz w:val="24"/>
          <w:szCs w:val="24"/>
          <w:lang w:val="en-GB"/>
        </w:rPr>
      </w:pPr>
    </w:p>
    <w:p w14:paraId="0E7227AC" w14:textId="5235ECB2" w:rsidR="00232F10" w:rsidRDefault="00232F10" w:rsidP="00A427A3">
      <w:pPr>
        <w:pStyle w:val="H4-Heading4"/>
      </w:pPr>
    </w:p>
    <w:sectPr w:rsidR="00232F10" w:rsidSect="005301EC">
      <w:headerReference w:type="default" r:id="rId8"/>
      <w:footerReference w:type="default" r:id="rId9"/>
      <w:pgSz w:w="11906" w:h="16838" w:code="9"/>
      <w:pgMar w:top="2268" w:right="851" w:bottom="28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1F4A" w14:textId="77777777" w:rsidR="004872E4" w:rsidRDefault="004872E4" w:rsidP="00EE32FE">
      <w:pPr>
        <w:spacing w:after="0" w:line="240" w:lineRule="auto"/>
      </w:pPr>
      <w:r>
        <w:separator/>
      </w:r>
    </w:p>
  </w:endnote>
  <w:endnote w:type="continuationSeparator" w:id="0">
    <w:p w14:paraId="25F9C43B" w14:textId="77777777" w:rsidR="004872E4" w:rsidRDefault="004872E4"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9A1D" w14:textId="48487D37" w:rsidR="001869DB" w:rsidRPr="00E363E8" w:rsidRDefault="00E363E8" w:rsidP="00E363E8">
    <w:pPr>
      <w:pStyle w:val="Footer"/>
      <w:spacing w:before="720"/>
    </w:pPr>
    <w:r w:rsidRPr="009050B0">
      <w:rPr>
        <w:rStyle w:val="Green"/>
        <w:b/>
        <w:color w:val="auto"/>
      </w:rPr>
      <w:t>DFAT.GOV.AU</w:t>
    </w:r>
    <w:r w:rsidR="00A16DEC">
      <w:rPr>
        <w:rStyle w:val="Green"/>
        <w:b/>
        <w:color w:val="FFFFFF" w:themeColor="background1"/>
      </w:rPr>
      <w:tab/>
    </w:r>
    <w:r w:rsidR="00A16DEC">
      <w:rPr>
        <w:rStyle w:val="Green"/>
        <w:b/>
        <w:color w:val="FFFFFF" w:themeColor="background1"/>
      </w:rPr>
      <w:tab/>
      <w:t xml:space="preserve"> </w:t>
    </w:r>
    <w:r w:rsidR="00A16DEC">
      <w:rPr>
        <w:rStyle w:val="Green"/>
        <w:b/>
        <w:color w:val="FFFFFF" w:themeColor="background1"/>
      </w:rPr>
      <w:tab/>
    </w:r>
    <w:r w:rsidR="00A16DEC" w:rsidRPr="009050B0">
      <w:rPr>
        <w:rStyle w:val="Green"/>
        <w:b/>
        <w:color w:val="auto"/>
      </w:rPr>
      <w:t xml:space="preserve">Page | </w:t>
    </w:r>
    <w:r w:rsidR="00A16DEC" w:rsidRPr="009050B0">
      <w:rPr>
        <w:rStyle w:val="Green"/>
        <w:b/>
        <w:color w:val="auto"/>
      </w:rPr>
      <w:fldChar w:fldCharType="begin"/>
    </w:r>
    <w:r w:rsidR="00A16DEC" w:rsidRPr="009050B0">
      <w:rPr>
        <w:rStyle w:val="Green"/>
        <w:b/>
        <w:color w:val="auto"/>
      </w:rPr>
      <w:instrText xml:space="preserve"> PAGE   \* MERGEFORMAT </w:instrText>
    </w:r>
    <w:r w:rsidR="00A16DEC" w:rsidRPr="009050B0">
      <w:rPr>
        <w:rStyle w:val="Green"/>
        <w:b/>
        <w:color w:val="auto"/>
      </w:rPr>
      <w:fldChar w:fldCharType="separate"/>
    </w:r>
    <w:r w:rsidR="00A16DEC" w:rsidRPr="009050B0">
      <w:rPr>
        <w:rStyle w:val="Green"/>
        <w:b/>
        <w:color w:val="auto"/>
      </w:rPr>
      <w:t>4</w:t>
    </w:r>
    <w:r w:rsidR="00A16DEC" w:rsidRPr="009050B0">
      <w:rPr>
        <w:rStyle w:val="Green"/>
        <w:b/>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B274" w14:textId="77777777" w:rsidR="004872E4" w:rsidRDefault="004872E4" w:rsidP="00EE32FE">
      <w:pPr>
        <w:spacing w:after="0" w:line="240" w:lineRule="auto"/>
      </w:pPr>
      <w:r>
        <w:separator/>
      </w:r>
    </w:p>
  </w:footnote>
  <w:footnote w:type="continuationSeparator" w:id="0">
    <w:p w14:paraId="01601711" w14:textId="77777777" w:rsidR="004872E4" w:rsidRDefault="004872E4"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805" w14:textId="16462089" w:rsidR="001D29C1" w:rsidRDefault="002965B1">
    <w:pPr>
      <w:pStyle w:val="Header"/>
    </w:pPr>
    <w:r>
      <w:rPr>
        <w:noProof/>
      </w:rPr>
      <w:drawing>
        <wp:anchor distT="0" distB="0" distL="114300" distR="114300" simplePos="0" relativeHeight="251658240" behindDoc="1" locked="0" layoutInCell="1" allowOverlap="1" wp14:anchorId="1B5AD601" wp14:editId="3B49FD1A">
          <wp:simplePos x="0" y="0"/>
          <wp:positionH relativeFrom="column">
            <wp:align>center</wp:align>
          </wp:positionH>
          <wp:positionV relativeFrom="page">
            <wp:align>center</wp:align>
          </wp:positionV>
          <wp:extent cx="7545600" cy="10674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8F4C71"/>
    <w:multiLevelType w:val="hybridMultilevel"/>
    <w:tmpl w:val="7C8C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E57D6"/>
    <w:multiLevelType w:val="hybridMultilevel"/>
    <w:tmpl w:val="1E3A1540"/>
    <w:lvl w:ilvl="0" w:tplc="2A8EEA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7E009D"/>
    <w:multiLevelType w:val="hybridMultilevel"/>
    <w:tmpl w:val="8A241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7899559">
    <w:abstractNumId w:val="3"/>
  </w:num>
  <w:num w:numId="2" w16cid:durableId="240526782">
    <w:abstractNumId w:val="3"/>
    <w:lvlOverride w:ilvl="0">
      <w:startOverride w:val="1"/>
    </w:lvlOverride>
  </w:num>
  <w:num w:numId="3" w16cid:durableId="1328947504">
    <w:abstractNumId w:val="3"/>
    <w:lvlOverride w:ilvl="0">
      <w:startOverride w:val="1"/>
    </w:lvlOverride>
  </w:num>
  <w:num w:numId="4" w16cid:durableId="627206153">
    <w:abstractNumId w:val="5"/>
  </w:num>
  <w:num w:numId="5" w16cid:durableId="717899725">
    <w:abstractNumId w:val="0"/>
  </w:num>
  <w:num w:numId="6" w16cid:durableId="1479111706">
    <w:abstractNumId w:val="1"/>
  </w:num>
  <w:num w:numId="7" w16cid:durableId="786504371">
    <w:abstractNumId w:val="2"/>
  </w:num>
  <w:num w:numId="8" w16cid:durableId="645400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24"/>
    <w:rsid w:val="00003BB0"/>
    <w:rsid w:val="00020CA4"/>
    <w:rsid w:val="00025428"/>
    <w:rsid w:val="00025B48"/>
    <w:rsid w:val="00030679"/>
    <w:rsid w:val="000338F5"/>
    <w:rsid w:val="00035EAC"/>
    <w:rsid w:val="00040C27"/>
    <w:rsid w:val="00047184"/>
    <w:rsid w:val="00047725"/>
    <w:rsid w:val="0005313A"/>
    <w:rsid w:val="00062A5A"/>
    <w:rsid w:val="00067C49"/>
    <w:rsid w:val="00081826"/>
    <w:rsid w:val="0008226D"/>
    <w:rsid w:val="00082D0F"/>
    <w:rsid w:val="0008769C"/>
    <w:rsid w:val="00091F3F"/>
    <w:rsid w:val="00096747"/>
    <w:rsid w:val="000A36AA"/>
    <w:rsid w:val="000A3762"/>
    <w:rsid w:val="000A69AA"/>
    <w:rsid w:val="000C23D7"/>
    <w:rsid w:val="000D2B93"/>
    <w:rsid w:val="000D36A4"/>
    <w:rsid w:val="000D410A"/>
    <w:rsid w:val="000D5A23"/>
    <w:rsid w:val="000D76DA"/>
    <w:rsid w:val="000E1768"/>
    <w:rsid w:val="000F1658"/>
    <w:rsid w:val="000F5835"/>
    <w:rsid w:val="00105D26"/>
    <w:rsid w:val="0010686F"/>
    <w:rsid w:val="00107648"/>
    <w:rsid w:val="00113C97"/>
    <w:rsid w:val="001257B0"/>
    <w:rsid w:val="001405B7"/>
    <w:rsid w:val="001414AF"/>
    <w:rsid w:val="0018208B"/>
    <w:rsid w:val="001824CB"/>
    <w:rsid w:val="00183753"/>
    <w:rsid w:val="001869DB"/>
    <w:rsid w:val="001969CE"/>
    <w:rsid w:val="001B269C"/>
    <w:rsid w:val="001C40AB"/>
    <w:rsid w:val="001C412C"/>
    <w:rsid w:val="001D29C1"/>
    <w:rsid w:val="001D31C6"/>
    <w:rsid w:val="001E78D9"/>
    <w:rsid w:val="0020236E"/>
    <w:rsid w:val="0020408E"/>
    <w:rsid w:val="0021791D"/>
    <w:rsid w:val="00221819"/>
    <w:rsid w:val="00232F10"/>
    <w:rsid w:val="002349F3"/>
    <w:rsid w:val="002414A3"/>
    <w:rsid w:val="00246196"/>
    <w:rsid w:val="0024691A"/>
    <w:rsid w:val="0025374B"/>
    <w:rsid w:val="00255AF0"/>
    <w:rsid w:val="00266676"/>
    <w:rsid w:val="00266931"/>
    <w:rsid w:val="00272EA7"/>
    <w:rsid w:val="00281CAB"/>
    <w:rsid w:val="002923D5"/>
    <w:rsid w:val="00293231"/>
    <w:rsid w:val="00294E45"/>
    <w:rsid w:val="00295BC6"/>
    <w:rsid w:val="002965B1"/>
    <w:rsid w:val="002A5EDC"/>
    <w:rsid w:val="002B0EB9"/>
    <w:rsid w:val="002B3006"/>
    <w:rsid w:val="002B6F46"/>
    <w:rsid w:val="002C6544"/>
    <w:rsid w:val="002D4DDD"/>
    <w:rsid w:val="002D5D97"/>
    <w:rsid w:val="002E528C"/>
    <w:rsid w:val="002F4A32"/>
    <w:rsid w:val="002F72C0"/>
    <w:rsid w:val="00302EE7"/>
    <w:rsid w:val="00311C89"/>
    <w:rsid w:val="00311F2F"/>
    <w:rsid w:val="003357B3"/>
    <w:rsid w:val="00356936"/>
    <w:rsid w:val="00361322"/>
    <w:rsid w:val="0037657F"/>
    <w:rsid w:val="00383B94"/>
    <w:rsid w:val="00394A61"/>
    <w:rsid w:val="003A5177"/>
    <w:rsid w:val="003A51A4"/>
    <w:rsid w:val="003A766D"/>
    <w:rsid w:val="003A7989"/>
    <w:rsid w:val="003B168C"/>
    <w:rsid w:val="003B35F5"/>
    <w:rsid w:val="003C3A7B"/>
    <w:rsid w:val="003C41C4"/>
    <w:rsid w:val="003D0633"/>
    <w:rsid w:val="003D3612"/>
    <w:rsid w:val="003D430D"/>
    <w:rsid w:val="00407046"/>
    <w:rsid w:val="00407E3A"/>
    <w:rsid w:val="004174EB"/>
    <w:rsid w:val="0042276D"/>
    <w:rsid w:val="00462C09"/>
    <w:rsid w:val="00480D8E"/>
    <w:rsid w:val="0048291F"/>
    <w:rsid w:val="004872E4"/>
    <w:rsid w:val="0049095F"/>
    <w:rsid w:val="00490A67"/>
    <w:rsid w:val="00493B0B"/>
    <w:rsid w:val="004A1799"/>
    <w:rsid w:val="004B7AFD"/>
    <w:rsid w:val="004C568F"/>
    <w:rsid w:val="004E51A1"/>
    <w:rsid w:val="004F29A3"/>
    <w:rsid w:val="00516605"/>
    <w:rsid w:val="005231B9"/>
    <w:rsid w:val="0052487C"/>
    <w:rsid w:val="005301EC"/>
    <w:rsid w:val="0054331A"/>
    <w:rsid w:val="00544789"/>
    <w:rsid w:val="005558FB"/>
    <w:rsid w:val="00560BBA"/>
    <w:rsid w:val="00563371"/>
    <w:rsid w:val="00574111"/>
    <w:rsid w:val="00574DA8"/>
    <w:rsid w:val="00592E1A"/>
    <w:rsid w:val="00595180"/>
    <w:rsid w:val="005A2598"/>
    <w:rsid w:val="005A4153"/>
    <w:rsid w:val="005C3AEC"/>
    <w:rsid w:val="005D78BE"/>
    <w:rsid w:val="005E05AB"/>
    <w:rsid w:val="005F2DE0"/>
    <w:rsid w:val="005F7B84"/>
    <w:rsid w:val="006014D4"/>
    <w:rsid w:val="006116B0"/>
    <w:rsid w:val="00611B16"/>
    <w:rsid w:val="006310C0"/>
    <w:rsid w:val="00644158"/>
    <w:rsid w:val="00651801"/>
    <w:rsid w:val="006527B4"/>
    <w:rsid w:val="00661961"/>
    <w:rsid w:val="00663877"/>
    <w:rsid w:val="00666D62"/>
    <w:rsid w:val="0066711F"/>
    <w:rsid w:val="00671161"/>
    <w:rsid w:val="00676E83"/>
    <w:rsid w:val="006945FD"/>
    <w:rsid w:val="006B1113"/>
    <w:rsid w:val="006B1B6F"/>
    <w:rsid w:val="006B4347"/>
    <w:rsid w:val="006C13E7"/>
    <w:rsid w:val="006C239C"/>
    <w:rsid w:val="006C65CA"/>
    <w:rsid w:val="006D3E07"/>
    <w:rsid w:val="006D77E3"/>
    <w:rsid w:val="006E5D6E"/>
    <w:rsid w:val="006F6726"/>
    <w:rsid w:val="006F6A23"/>
    <w:rsid w:val="007043AF"/>
    <w:rsid w:val="007048AE"/>
    <w:rsid w:val="00713CD1"/>
    <w:rsid w:val="007143F8"/>
    <w:rsid w:val="00722A68"/>
    <w:rsid w:val="00734B21"/>
    <w:rsid w:val="0073759F"/>
    <w:rsid w:val="00761827"/>
    <w:rsid w:val="00772915"/>
    <w:rsid w:val="0077460C"/>
    <w:rsid w:val="007813EE"/>
    <w:rsid w:val="007825C5"/>
    <w:rsid w:val="00790F0D"/>
    <w:rsid w:val="00790F87"/>
    <w:rsid w:val="00791418"/>
    <w:rsid w:val="0079610B"/>
    <w:rsid w:val="0079728E"/>
    <w:rsid w:val="007A3069"/>
    <w:rsid w:val="007C5166"/>
    <w:rsid w:val="007D100B"/>
    <w:rsid w:val="007F2627"/>
    <w:rsid w:val="007F525D"/>
    <w:rsid w:val="00800388"/>
    <w:rsid w:val="008326EE"/>
    <w:rsid w:val="008345D1"/>
    <w:rsid w:val="00845374"/>
    <w:rsid w:val="00850746"/>
    <w:rsid w:val="00861E6E"/>
    <w:rsid w:val="00863D83"/>
    <w:rsid w:val="00882FCF"/>
    <w:rsid w:val="008863A3"/>
    <w:rsid w:val="008A226C"/>
    <w:rsid w:val="008B5A2B"/>
    <w:rsid w:val="008E0442"/>
    <w:rsid w:val="008E41F5"/>
    <w:rsid w:val="009050B0"/>
    <w:rsid w:val="00907D9C"/>
    <w:rsid w:val="00914B36"/>
    <w:rsid w:val="00914DAE"/>
    <w:rsid w:val="00935117"/>
    <w:rsid w:val="00936070"/>
    <w:rsid w:val="009400B1"/>
    <w:rsid w:val="00951F71"/>
    <w:rsid w:val="00954EA8"/>
    <w:rsid w:val="00961FD9"/>
    <w:rsid w:val="00967BAC"/>
    <w:rsid w:val="0097268D"/>
    <w:rsid w:val="00974E26"/>
    <w:rsid w:val="00976207"/>
    <w:rsid w:val="00977A7E"/>
    <w:rsid w:val="00987AE7"/>
    <w:rsid w:val="00991DAB"/>
    <w:rsid w:val="009A739D"/>
    <w:rsid w:val="009C6771"/>
    <w:rsid w:val="009D5366"/>
    <w:rsid w:val="009D6FFD"/>
    <w:rsid w:val="009E2CAD"/>
    <w:rsid w:val="009E3D31"/>
    <w:rsid w:val="00A01D6E"/>
    <w:rsid w:val="00A031C1"/>
    <w:rsid w:val="00A03962"/>
    <w:rsid w:val="00A07DA9"/>
    <w:rsid w:val="00A13A6E"/>
    <w:rsid w:val="00A16DEC"/>
    <w:rsid w:val="00A2379E"/>
    <w:rsid w:val="00A347C8"/>
    <w:rsid w:val="00A4001E"/>
    <w:rsid w:val="00A427A3"/>
    <w:rsid w:val="00A42B97"/>
    <w:rsid w:val="00A462F5"/>
    <w:rsid w:val="00A51297"/>
    <w:rsid w:val="00A55BC1"/>
    <w:rsid w:val="00A564BE"/>
    <w:rsid w:val="00A70DF3"/>
    <w:rsid w:val="00A83816"/>
    <w:rsid w:val="00A91A91"/>
    <w:rsid w:val="00AA0C45"/>
    <w:rsid w:val="00AA1745"/>
    <w:rsid w:val="00AA7635"/>
    <w:rsid w:val="00AE2BC6"/>
    <w:rsid w:val="00B06FA2"/>
    <w:rsid w:val="00B07BF4"/>
    <w:rsid w:val="00B214E2"/>
    <w:rsid w:val="00B25BF1"/>
    <w:rsid w:val="00B315E2"/>
    <w:rsid w:val="00B33891"/>
    <w:rsid w:val="00B4333D"/>
    <w:rsid w:val="00B62523"/>
    <w:rsid w:val="00B81F6C"/>
    <w:rsid w:val="00B862EA"/>
    <w:rsid w:val="00B92F0B"/>
    <w:rsid w:val="00B95A9A"/>
    <w:rsid w:val="00BA1666"/>
    <w:rsid w:val="00BA181F"/>
    <w:rsid w:val="00BB46ED"/>
    <w:rsid w:val="00BB7C61"/>
    <w:rsid w:val="00BD0CE5"/>
    <w:rsid w:val="00BD241A"/>
    <w:rsid w:val="00BD5AB3"/>
    <w:rsid w:val="00C02DDF"/>
    <w:rsid w:val="00C11CEC"/>
    <w:rsid w:val="00C11F87"/>
    <w:rsid w:val="00C12FBA"/>
    <w:rsid w:val="00C134C4"/>
    <w:rsid w:val="00C13D74"/>
    <w:rsid w:val="00C3042B"/>
    <w:rsid w:val="00C36256"/>
    <w:rsid w:val="00C40760"/>
    <w:rsid w:val="00C410E6"/>
    <w:rsid w:val="00C57D06"/>
    <w:rsid w:val="00C6084E"/>
    <w:rsid w:val="00C60EBF"/>
    <w:rsid w:val="00C62630"/>
    <w:rsid w:val="00C628FD"/>
    <w:rsid w:val="00C727E9"/>
    <w:rsid w:val="00CA26F8"/>
    <w:rsid w:val="00CC065E"/>
    <w:rsid w:val="00CC0A2D"/>
    <w:rsid w:val="00CC2D2A"/>
    <w:rsid w:val="00CD4F8A"/>
    <w:rsid w:val="00CE266A"/>
    <w:rsid w:val="00CE5479"/>
    <w:rsid w:val="00CF0839"/>
    <w:rsid w:val="00CF14DB"/>
    <w:rsid w:val="00CF7242"/>
    <w:rsid w:val="00D27114"/>
    <w:rsid w:val="00D31F3F"/>
    <w:rsid w:val="00D517E0"/>
    <w:rsid w:val="00D524A3"/>
    <w:rsid w:val="00D5363A"/>
    <w:rsid w:val="00D556C0"/>
    <w:rsid w:val="00D71186"/>
    <w:rsid w:val="00D82369"/>
    <w:rsid w:val="00D82A5D"/>
    <w:rsid w:val="00D979AF"/>
    <w:rsid w:val="00DA3D36"/>
    <w:rsid w:val="00DA52D2"/>
    <w:rsid w:val="00DA6024"/>
    <w:rsid w:val="00DB41A5"/>
    <w:rsid w:val="00DC3263"/>
    <w:rsid w:val="00DC5D1B"/>
    <w:rsid w:val="00DC5EDA"/>
    <w:rsid w:val="00DC65AE"/>
    <w:rsid w:val="00DD3641"/>
    <w:rsid w:val="00DD5A70"/>
    <w:rsid w:val="00DD6655"/>
    <w:rsid w:val="00DF0B71"/>
    <w:rsid w:val="00DF16F3"/>
    <w:rsid w:val="00DF79EE"/>
    <w:rsid w:val="00E06C8E"/>
    <w:rsid w:val="00E07C49"/>
    <w:rsid w:val="00E10579"/>
    <w:rsid w:val="00E144CA"/>
    <w:rsid w:val="00E25A57"/>
    <w:rsid w:val="00E363E8"/>
    <w:rsid w:val="00E403D1"/>
    <w:rsid w:val="00E436EB"/>
    <w:rsid w:val="00E4484C"/>
    <w:rsid w:val="00E478A8"/>
    <w:rsid w:val="00E5375B"/>
    <w:rsid w:val="00E53C65"/>
    <w:rsid w:val="00E703CC"/>
    <w:rsid w:val="00EB06A2"/>
    <w:rsid w:val="00EB444D"/>
    <w:rsid w:val="00EC1229"/>
    <w:rsid w:val="00EC4CA5"/>
    <w:rsid w:val="00ED6837"/>
    <w:rsid w:val="00EE1A66"/>
    <w:rsid w:val="00EE32FE"/>
    <w:rsid w:val="00EF02BC"/>
    <w:rsid w:val="00EF5478"/>
    <w:rsid w:val="00F119EF"/>
    <w:rsid w:val="00F200BE"/>
    <w:rsid w:val="00F20DC3"/>
    <w:rsid w:val="00F21071"/>
    <w:rsid w:val="00F33B07"/>
    <w:rsid w:val="00F4118F"/>
    <w:rsid w:val="00F41979"/>
    <w:rsid w:val="00F42A86"/>
    <w:rsid w:val="00F53E6E"/>
    <w:rsid w:val="00F55397"/>
    <w:rsid w:val="00F63247"/>
    <w:rsid w:val="00F67CCC"/>
    <w:rsid w:val="00F67E21"/>
    <w:rsid w:val="00F76A5F"/>
    <w:rsid w:val="00F906B4"/>
    <w:rsid w:val="00F921EE"/>
    <w:rsid w:val="00F95B41"/>
    <w:rsid w:val="00F96312"/>
    <w:rsid w:val="00FB18BE"/>
    <w:rsid w:val="00FC7590"/>
    <w:rsid w:val="00FD2475"/>
    <w:rsid w:val="00FD5011"/>
    <w:rsid w:val="00FD52A0"/>
    <w:rsid w:val="00FE6364"/>
    <w:rsid w:val="00FF2963"/>
    <w:rsid w:val="00FF4863"/>
    <w:rsid w:val="00FF6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790F87"/>
    <w:pPr>
      <w:jc w:val="center"/>
    </w:pPr>
    <w:rPr>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BodyCopy"/>
    <w:qFormat/>
    <w:rsid w:val="00671161"/>
    <w:pPr>
      <w:spacing w:before="240"/>
    </w:pPr>
    <w:rPr>
      <w:rFonts w:asciiTheme="majorHAnsi" w:hAnsiTheme="majorHAnsi" w:cstheme="majorHAnsi"/>
      <w:caps/>
      <w:sz w:val="32"/>
      <w:szCs w:val="32"/>
    </w:rPr>
  </w:style>
  <w:style w:type="paragraph" w:customStyle="1" w:styleId="H4-Heading4">
    <w:name w:val="H4 - Heading 4"/>
    <w:next w:val="BodyCopy"/>
    <w:qFormat/>
    <w:rsid w:val="00790F87"/>
    <w:pPr>
      <w:spacing w:before="160"/>
    </w:pPr>
    <w:rPr>
      <w:rFonts w:cstheme="minorHAnsi"/>
      <w:b/>
      <w:bCs/>
      <w:color w:val="313E48"/>
      <w:sz w:val="24"/>
      <w:szCs w:val="24"/>
      <w:lang w:eastAsia="en-US"/>
    </w:rPr>
  </w:style>
  <w:style w:type="paragraph" w:customStyle="1" w:styleId="H3-Heading3">
    <w:name w:val="H3 - Heading 3"/>
    <w:basedOn w:val="BodyCopy"/>
    <w:qFormat/>
    <w:rsid w:val="00A01D6E"/>
    <w:pPr>
      <w:spacing w:before="240" w:after="40"/>
    </w:pPr>
    <w:rPr>
      <w:rFonts w:asciiTheme="minorHAnsi" w:hAnsiTheme="minorHAnsi" w:cstheme="minorHAnsi"/>
      <w:b/>
      <w:bCs/>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790F87"/>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table" w:customStyle="1" w:styleId="TableGrid1">
    <w:name w:val="Table Grid1"/>
    <w:basedOn w:val="TableNormal"/>
    <w:next w:val="TableGrid"/>
    <w:uiPriority w:val="39"/>
    <w:rsid w:val="00C362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2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3C97"/>
    <w:rPr>
      <w:sz w:val="16"/>
      <w:szCs w:val="16"/>
    </w:rPr>
  </w:style>
  <w:style w:type="paragraph" w:styleId="CommentText">
    <w:name w:val="annotation text"/>
    <w:basedOn w:val="Normal"/>
    <w:link w:val="CommentTextChar"/>
    <w:uiPriority w:val="99"/>
    <w:semiHidden/>
    <w:unhideWhenUsed/>
    <w:rsid w:val="00113C97"/>
    <w:pPr>
      <w:spacing w:line="240" w:lineRule="auto"/>
    </w:pPr>
    <w:rPr>
      <w:sz w:val="20"/>
      <w:szCs w:val="20"/>
    </w:rPr>
  </w:style>
  <w:style w:type="character" w:customStyle="1" w:styleId="CommentTextChar">
    <w:name w:val="Comment Text Char"/>
    <w:basedOn w:val="DefaultParagraphFont"/>
    <w:link w:val="CommentText"/>
    <w:uiPriority w:val="99"/>
    <w:semiHidden/>
    <w:rsid w:val="00113C97"/>
    <w:rPr>
      <w:lang w:eastAsia="en-US"/>
    </w:rPr>
  </w:style>
  <w:style w:type="paragraph" w:styleId="CommentSubject">
    <w:name w:val="annotation subject"/>
    <w:basedOn w:val="CommentText"/>
    <w:next w:val="CommentText"/>
    <w:link w:val="CommentSubjectChar"/>
    <w:uiPriority w:val="99"/>
    <w:semiHidden/>
    <w:unhideWhenUsed/>
    <w:rsid w:val="00113C97"/>
    <w:rPr>
      <w:b/>
      <w:bCs/>
    </w:rPr>
  </w:style>
  <w:style w:type="character" w:customStyle="1" w:styleId="CommentSubjectChar">
    <w:name w:val="Comment Subject Char"/>
    <w:basedOn w:val="CommentTextChar"/>
    <w:link w:val="CommentSubject"/>
    <w:uiPriority w:val="99"/>
    <w:semiHidden/>
    <w:rsid w:val="00113C97"/>
    <w:rPr>
      <w:b/>
      <w:bCs/>
      <w:lang w:eastAsia="en-US"/>
    </w:rPr>
  </w:style>
  <w:style w:type="paragraph" w:styleId="Revision">
    <w:name w:val="Revision"/>
    <w:hidden/>
    <w:uiPriority w:val="99"/>
    <w:semiHidden/>
    <w:rsid w:val="007048AE"/>
    <w:rPr>
      <w:sz w:val="22"/>
      <w:szCs w:val="22"/>
      <w:lang w:eastAsia="en-US"/>
    </w:rPr>
  </w:style>
  <w:style w:type="paragraph" w:customStyle="1" w:styleId="Default">
    <w:name w:val="Default"/>
    <w:rsid w:val="00AA7635"/>
    <w:pPr>
      <w:autoSpaceDE w:val="0"/>
      <w:autoSpaceDN w:val="0"/>
      <w:adjustRightInd w:val="0"/>
    </w:pPr>
    <w:rPr>
      <w:rFonts w:eastAsiaTheme="minorHAnsi" w:cs="Calibri"/>
      <w:color w:val="000000"/>
      <w:sz w:val="24"/>
      <w:szCs w:val="24"/>
      <w:lang w:eastAsia="en-US"/>
    </w:rPr>
  </w:style>
  <w:style w:type="paragraph" w:styleId="ListParagraph">
    <w:name w:val="List Paragraph"/>
    <w:basedOn w:val="Normal"/>
    <w:uiPriority w:val="34"/>
    <w:qFormat/>
    <w:rsid w:val="00BD241A"/>
    <w:pPr>
      <w:spacing w:after="0" w:line="240" w:lineRule="auto"/>
      <w:ind w:left="7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9075</Characters>
  <Application>Microsoft Office Word</Application>
  <DocSecurity>0</DocSecurity>
  <Lines>302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Australia-SPC Partnership Evaluation 2022 DFAT Management Response to the Independent Evaluation</dc:title>
  <dc:subject/>
  <dc:creator/>
  <cp:keywords>[SEC=OFFICIAL]</cp:keywords>
  <dc:description/>
  <cp:lastModifiedBy/>
  <cp:revision>1</cp:revision>
  <dcterms:created xsi:type="dcterms:W3CDTF">2023-01-27T02:29:00Z</dcterms:created>
  <dcterms:modified xsi:type="dcterms:W3CDTF">2023-01-27T02:29:00Z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2023-01-27T02:29:22Z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A0178EF449AFC7ED1480D87DF23CC5D9</vt:lpwstr>
  </property>
  <property fmtid="{D5CDD505-2E9C-101B-9397-08002B2CF9AE}" pid="20" name="PM_Hash_Salt">
    <vt:lpwstr>1804F354C281F7526D51D4A7C5F8C56D</vt:lpwstr>
  </property>
  <property fmtid="{D5CDD505-2E9C-101B-9397-08002B2CF9AE}" pid="21" name="PM_Hash_SHA1">
    <vt:lpwstr>092DD8AED1F30AC61877A111682EFEED2CAEFFE0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