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2471" w14:textId="77777777" w:rsidR="00354A06" w:rsidRPr="0007327B" w:rsidRDefault="00354A06" w:rsidP="00307801">
      <w:pPr>
        <w:pStyle w:val="BTNSSBodyTextNoSpacingSmall"/>
        <w:ind w:left="-142" w:right="-144"/>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07327B" w14:paraId="6A70BB0B" w14:textId="77777777" w:rsidTr="006A4D50">
        <w:trPr>
          <w:trHeight w:val="4365"/>
        </w:trPr>
        <w:tc>
          <w:tcPr>
            <w:tcW w:w="9070" w:type="dxa"/>
          </w:tcPr>
          <w:p w14:paraId="75F7EB46" w14:textId="77777777" w:rsidR="005714C3" w:rsidRPr="0007327B" w:rsidRDefault="005714C3" w:rsidP="00307801">
            <w:pPr>
              <w:pStyle w:val="BTBodyText"/>
              <w:spacing w:after="240"/>
              <w:ind w:left="-142" w:right="-144"/>
              <w:jc w:val="center"/>
              <w:rPr>
                <w:b/>
                <w:bCs/>
                <w:sz w:val="32"/>
                <w:szCs w:val="32"/>
              </w:rPr>
            </w:pPr>
            <w:r w:rsidRPr="0007327B">
              <w:rPr>
                <w:b/>
                <w:bCs/>
                <w:sz w:val="32"/>
                <w:szCs w:val="32"/>
              </w:rPr>
              <w:t>Before the World Trade Organization</w:t>
            </w:r>
          </w:p>
          <w:p w14:paraId="4309CFAB" w14:textId="77777777" w:rsidR="005714C3" w:rsidRPr="0007327B" w:rsidRDefault="005714C3" w:rsidP="00307801">
            <w:pPr>
              <w:pStyle w:val="BTBodyText"/>
              <w:spacing w:after="240"/>
              <w:ind w:left="-142" w:right="-144"/>
              <w:jc w:val="center"/>
              <w:rPr>
                <w:b/>
                <w:bCs/>
                <w:sz w:val="32"/>
                <w:szCs w:val="32"/>
              </w:rPr>
            </w:pPr>
            <w:r w:rsidRPr="0007327B">
              <w:rPr>
                <w:b/>
                <w:bCs/>
                <w:sz w:val="32"/>
                <w:szCs w:val="32"/>
              </w:rPr>
              <w:t>Panel Proceedings</w:t>
            </w:r>
          </w:p>
        </w:tc>
      </w:tr>
      <w:tr w:rsidR="005714C3" w:rsidRPr="0007327B" w14:paraId="6D3DBB77" w14:textId="77777777" w:rsidTr="006A4D50">
        <w:trPr>
          <w:trHeight w:val="737"/>
        </w:trPr>
        <w:tc>
          <w:tcPr>
            <w:tcW w:w="9070" w:type="dxa"/>
          </w:tcPr>
          <w:p w14:paraId="01C492BB" w14:textId="3BD46000" w:rsidR="005714C3" w:rsidRPr="0007327B" w:rsidRDefault="00833C2D" w:rsidP="00307801">
            <w:pPr>
              <w:pStyle w:val="WTODTWTODisputeTitle"/>
              <w:ind w:left="-142" w:right="-144"/>
            </w:pPr>
            <w:r>
              <w:t>China – Measures Concerning Trade in Goods</w:t>
            </w:r>
          </w:p>
        </w:tc>
      </w:tr>
      <w:tr w:rsidR="005714C3" w:rsidRPr="0007327B" w14:paraId="63C6BDFB" w14:textId="77777777" w:rsidTr="006A4D50">
        <w:trPr>
          <w:trHeight w:val="3175"/>
        </w:trPr>
        <w:tc>
          <w:tcPr>
            <w:tcW w:w="9070" w:type="dxa"/>
          </w:tcPr>
          <w:p w14:paraId="5EBFA8E8" w14:textId="77777777" w:rsidR="005714C3" w:rsidRDefault="005714C3" w:rsidP="00307801">
            <w:pPr>
              <w:pStyle w:val="DSNDSNumber"/>
              <w:ind w:left="-142" w:right="-144"/>
            </w:pPr>
            <w:r w:rsidRPr="0007327B">
              <w:t>(DS</w:t>
            </w:r>
            <w:r w:rsidR="00833C2D">
              <w:t>610</w:t>
            </w:r>
            <w:r w:rsidRPr="0007327B">
              <w:t>)</w:t>
            </w:r>
          </w:p>
          <w:p w14:paraId="368947D3" w14:textId="77777777" w:rsidR="006A4D50" w:rsidRDefault="006A4D50" w:rsidP="00307801">
            <w:pPr>
              <w:pStyle w:val="DSNDSNumber"/>
              <w:ind w:left="-142" w:right="-144"/>
            </w:pPr>
          </w:p>
          <w:p w14:paraId="71BF74F3" w14:textId="77777777" w:rsidR="006A4D50" w:rsidRDefault="006A4D50" w:rsidP="00307801">
            <w:pPr>
              <w:pStyle w:val="DSNDSNumber"/>
              <w:ind w:left="-142" w:right="-144"/>
            </w:pPr>
          </w:p>
          <w:p w14:paraId="3DD5FDB6" w14:textId="77777777" w:rsidR="006A4D50" w:rsidRDefault="006A4D50" w:rsidP="00307801">
            <w:pPr>
              <w:pStyle w:val="DSNDSNumber"/>
              <w:ind w:left="-142" w:right="-144"/>
            </w:pPr>
          </w:p>
          <w:p w14:paraId="3A6E4846" w14:textId="77777777" w:rsidR="006A4D50" w:rsidRDefault="006A4D50" w:rsidP="00307801">
            <w:pPr>
              <w:pStyle w:val="DSNDSNumber"/>
              <w:ind w:left="-142" w:right="-144"/>
            </w:pPr>
          </w:p>
          <w:p w14:paraId="59307FA7" w14:textId="4B737192" w:rsidR="006A4D50" w:rsidRDefault="006A4D50" w:rsidP="00307801">
            <w:pPr>
              <w:pStyle w:val="DSNDSNumber"/>
              <w:ind w:left="-142" w:right="-144"/>
            </w:pPr>
          </w:p>
          <w:p w14:paraId="26D8D4D8" w14:textId="0C185B27" w:rsidR="006A4D50" w:rsidRDefault="006A4D50" w:rsidP="00307801">
            <w:pPr>
              <w:pStyle w:val="DSNDSNumber"/>
              <w:ind w:left="-142" w:right="-144"/>
            </w:pPr>
          </w:p>
          <w:p w14:paraId="1D6DAC08" w14:textId="77777777" w:rsidR="006A4D50" w:rsidRDefault="006A4D50" w:rsidP="00307801">
            <w:pPr>
              <w:pStyle w:val="DSNDSNumber"/>
              <w:ind w:left="-142" w:right="-144"/>
            </w:pPr>
          </w:p>
          <w:p w14:paraId="648E41E0" w14:textId="77777777" w:rsidR="006A4D50" w:rsidRDefault="006A4D50" w:rsidP="00307801">
            <w:pPr>
              <w:pStyle w:val="DSNDSNumber"/>
              <w:ind w:left="-142" w:right="-144"/>
            </w:pPr>
          </w:p>
          <w:p w14:paraId="0E922071" w14:textId="77777777" w:rsidR="006A4D50" w:rsidRDefault="006A4D50" w:rsidP="00307801">
            <w:pPr>
              <w:pStyle w:val="DSNDSNumber"/>
              <w:ind w:left="-142" w:right="-144"/>
            </w:pPr>
          </w:p>
          <w:p w14:paraId="744DB286" w14:textId="60AD79CA" w:rsidR="006A4D50" w:rsidRPr="0007327B" w:rsidRDefault="006A4D50" w:rsidP="006A4D50">
            <w:pPr>
              <w:pStyle w:val="DTDocumentTitle"/>
              <w:ind w:left="-142" w:right="-144"/>
            </w:pPr>
            <w:r>
              <w:t>Executive Summary of Australia's Third Party Written Submission, Third Party Oral Statement and Responses to Questions from the Panel to Third Parties</w:t>
            </w:r>
          </w:p>
        </w:tc>
      </w:tr>
      <w:tr w:rsidR="005714C3" w:rsidRPr="0007327B" w14:paraId="3D654AFB" w14:textId="77777777" w:rsidTr="006A4D50">
        <w:trPr>
          <w:trHeight w:val="624"/>
        </w:trPr>
        <w:tc>
          <w:tcPr>
            <w:tcW w:w="9070" w:type="dxa"/>
          </w:tcPr>
          <w:p w14:paraId="5CD27B0C" w14:textId="77777777" w:rsidR="006A4D50" w:rsidRDefault="006A4D50" w:rsidP="00307801">
            <w:pPr>
              <w:pStyle w:val="DDDocumentDate"/>
              <w:ind w:left="-142" w:right="-144"/>
            </w:pPr>
          </w:p>
          <w:p w14:paraId="6970EB04" w14:textId="77777777" w:rsidR="006A4D50" w:rsidRDefault="006A4D50" w:rsidP="00307801">
            <w:pPr>
              <w:pStyle w:val="DDDocumentDate"/>
              <w:ind w:left="-142" w:right="-144"/>
            </w:pPr>
          </w:p>
          <w:p w14:paraId="033D32CD" w14:textId="77777777" w:rsidR="006A4D50" w:rsidRDefault="006A4D50" w:rsidP="00307801">
            <w:pPr>
              <w:pStyle w:val="DDDocumentDate"/>
              <w:ind w:left="-142" w:right="-144"/>
            </w:pPr>
          </w:p>
          <w:p w14:paraId="59401BB5" w14:textId="77777777" w:rsidR="006A4D50" w:rsidRDefault="006A4D50" w:rsidP="00307801">
            <w:pPr>
              <w:pStyle w:val="DDDocumentDate"/>
              <w:ind w:left="-142" w:right="-144"/>
            </w:pPr>
          </w:p>
          <w:p w14:paraId="05347EFB" w14:textId="77777777" w:rsidR="006A4D50" w:rsidRDefault="006A4D50" w:rsidP="00307801">
            <w:pPr>
              <w:pStyle w:val="DDDocumentDate"/>
              <w:ind w:left="-142" w:right="-144"/>
            </w:pPr>
          </w:p>
          <w:p w14:paraId="5F507004" w14:textId="77777777" w:rsidR="006A4D50" w:rsidRDefault="006A4D50" w:rsidP="00307801">
            <w:pPr>
              <w:pStyle w:val="DDDocumentDate"/>
              <w:ind w:left="-142" w:right="-144"/>
            </w:pPr>
          </w:p>
          <w:p w14:paraId="52F69D19" w14:textId="77777777" w:rsidR="006A4D50" w:rsidRDefault="006A4D50" w:rsidP="006A4D50">
            <w:pPr>
              <w:pStyle w:val="DDDocumentDate"/>
              <w:ind w:right="-144"/>
              <w:jc w:val="both"/>
            </w:pPr>
          </w:p>
          <w:p w14:paraId="7257794C" w14:textId="77777777" w:rsidR="006A4D50" w:rsidRDefault="006A4D50" w:rsidP="006A4D50">
            <w:pPr>
              <w:pStyle w:val="DDDocumentDate"/>
              <w:ind w:right="-144"/>
              <w:jc w:val="both"/>
            </w:pPr>
          </w:p>
          <w:p w14:paraId="06F46CA5" w14:textId="77777777" w:rsidR="006A4D50" w:rsidRDefault="006A4D50" w:rsidP="00307801">
            <w:pPr>
              <w:pStyle w:val="DDDocumentDate"/>
              <w:ind w:left="-142" w:right="-144"/>
            </w:pPr>
          </w:p>
          <w:p w14:paraId="47C3C58B" w14:textId="77777777" w:rsidR="006A4D50" w:rsidRDefault="006A4D50" w:rsidP="00307801">
            <w:pPr>
              <w:pStyle w:val="DDDocumentDate"/>
              <w:ind w:left="-142" w:right="-144"/>
            </w:pPr>
          </w:p>
          <w:p w14:paraId="41282D79" w14:textId="167CAB49" w:rsidR="005714C3" w:rsidRPr="0007327B" w:rsidRDefault="00833C2D" w:rsidP="00307801">
            <w:pPr>
              <w:pStyle w:val="DDDocumentDate"/>
              <w:ind w:left="-142" w:right="-144"/>
            </w:pPr>
            <w:r>
              <w:t>12 January 2024</w:t>
            </w:r>
          </w:p>
        </w:tc>
      </w:tr>
    </w:tbl>
    <w:p w14:paraId="71FA58B8" w14:textId="77777777" w:rsidR="005714C3" w:rsidRPr="0007327B" w:rsidRDefault="005714C3" w:rsidP="00307801">
      <w:pPr>
        <w:pStyle w:val="BTNSSBodyTextNoSpacingSmall"/>
        <w:ind w:left="-142" w:right="-144"/>
      </w:pPr>
    </w:p>
    <w:p w14:paraId="2C2A8D5F" w14:textId="77777777" w:rsidR="00006269" w:rsidRPr="0007327B" w:rsidRDefault="00006269" w:rsidP="00307801">
      <w:pPr>
        <w:pStyle w:val="BTNSSBodyTextNoSpacingSmall"/>
        <w:ind w:left="-142" w:right="-144"/>
      </w:pPr>
      <w:r w:rsidRPr="0007327B">
        <w:br w:type="page"/>
      </w:r>
    </w:p>
    <w:p w14:paraId="777E392B" w14:textId="77777777" w:rsidR="00F01A73" w:rsidRPr="0007327B" w:rsidRDefault="00F01A73" w:rsidP="00307801">
      <w:pPr>
        <w:pStyle w:val="BTNSSBodyTextNoSpacingSmall"/>
        <w:ind w:left="-142" w:right="-144"/>
        <w:rPr>
          <w:sz w:val="2"/>
          <w:szCs w:val="2"/>
        </w:rPr>
      </w:pPr>
    </w:p>
    <w:sdt>
      <w:sdtPr>
        <w:rPr>
          <w:b w:val="0"/>
          <w:caps w:val="0"/>
          <w:sz w:val="8"/>
          <w:szCs w:val="8"/>
          <w:lang w:val="en-AU"/>
        </w:rPr>
        <w:id w:val="-1730524273"/>
        <w:docPartObj>
          <w:docPartGallery w:val="Table of Contents"/>
          <w:docPartUnique/>
        </w:docPartObj>
      </w:sdtPr>
      <w:sdtEndPr>
        <w:rPr>
          <w:bCs/>
        </w:rPr>
      </w:sdtEndPr>
      <w:sdtContent>
        <w:p w14:paraId="406427A6" w14:textId="77777777" w:rsidR="00D47F18" w:rsidRPr="0007327B" w:rsidRDefault="00D47F18" w:rsidP="009A1A7B">
          <w:pPr>
            <w:pStyle w:val="TOCHeading"/>
            <w:ind w:right="-2"/>
            <w:rPr>
              <w:lang w:val="en-AU"/>
            </w:rPr>
          </w:pPr>
          <w:r w:rsidRPr="0007327B">
            <w:rPr>
              <w:lang w:val="en-AU"/>
            </w:rPr>
            <w:t>Table of Contents</w:t>
          </w:r>
        </w:p>
        <w:p w14:paraId="05466B18" w14:textId="4C992E93" w:rsidR="007F2E30" w:rsidRDefault="00F945DB">
          <w:pPr>
            <w:pStyle w:val="TOC1"/>
            <w:rPr>
              <w:rFonts w:asciiTheme="minorHAnsi" w:eastAsiaTheme="minorEastAsia" w:hAnsiTheme="minorHAnsi"/>
              <w:b w:val="0"/>
              <w:caps w:val="0"/>
              <w:noProof/>
              <w:sz w:val="22"/>
              <w:szCs w:val="22"/>
              <w:lang w:eastAsia="en-AU"/>
            </w:rPr>
          </w:pPr>
          <w:r w:rsidRPr="0007327B">
            <w:fldChar w:fldCharType="begin"/>
          </w:r>
          <w:r w:rsidRPr="0007327B">
            <w:instrText xml:space="preserve"> TOC \o "1-5" \h \z \u </w:instrText>
          </w:r>
          <w:r w:rsidRPr="0007327B">
            <w:fldChar w:fldCharType="separate"/>
          </w:r>
          <w:hyperlink w:anchor="_Toc155972418" w:history="1">
            <w:r w:rsidR="007F2E30" w:rsidRPr="000A33A4">
              <w:rPr>
                <w:rStyle w:val="Hyperlink"/>
                <w:noProof/>
              </w:rPr>
              <w:t>Table of Cases</w:t>
            </w:r>
            <w:r w:rsidR="007F2E30">
              <w:rPr>
                <w:noProof/>
                <w:webHidden/>
              </w:rPr>
              <w:tab/>
            </w:r>
            <w:r w:rsidR="007F2E30">
              <w:rPr>
                <w:noProof/>
                <w:webHidden/>
              </w:rPr>
              <w:fldChar w:fldCharType="begin"/>
            </w:r>
            <w:r w:rsidR="007F2E30">
              <w:rPr>
                <w:noProof/>
                <w:webHidden/>
              </w:rPr>
              <w:instrText xml:space="preserve"> PAGEREF _Toc155972418 \h </w:instrText>
            </w:r>
            <w:r w:rsidR="007F2E30">
              <w:rPr>
                <w:noProof/>
                <w:webHidden/>
              </w:rPr>
            </w:r>
            <w:r w:rsidR="007F2E30">
              <w:rPr>
                <w:noProof/>
                <w:webHidden/>
              </w:rPr>
              <w:fldChar w:fldCharType="separate"/>
            </w:r>
            <w:r w:rsidR="007F2E30">
              <w:rPr>
                <w:noProof/>
                <w:webHidden/>
              </w:rPr>
              <w:t>2</w:t>
            </w:r>
            <w:r w:rsidR="007F2E30">
              <w:rPr>
                <w:noProof/>
                <w:webHidden/>
              </w:rPr>
              <w:fldChar w:fldCharType="end"/>
            </w:r>
          </w:hyperlink>
        </w:p>
        <w:p w14:paraId="79872E6A" w14:textId="721D0F18" w:rsidR="007F2E30" w:rsidRDefault="003F26BF">
          <w:pPr>
            <w:pStyle w:val="TOC1"/>
            <w:rPr>
              <w:rFonts w:asciiTheme="minorHAnsi" w:eastAsiaTheme="minorEastAsia" w:hAnsiTheme="minorHAnsi"/>
              <w:b w:val="0"/>
              <w:caps w:val="0"/>
              <w:noProof/>
              <w:sz w:val="22"/>
              <w:szCs w:val="22"/>
              <w:lang w:eastAsia="en-AU"/>
            </w:rPr>
          </w:pPr>
          <w:hyperlink w:anchor="_Toc155972419" w:history="1">
            <w:r w:rsidR="007F2E30" w:rsidRPr="000A33A4">
              <w:rPr>
                <w:rStyle w:val="Hyperlink"/>
                <w:noProof/>
              </w:rPr>
              <w:t>List of Acronyms, Abbreviations and Short Forms</w:t>
            </w:r>
            <w:r w:rsidR="007F2E30">
              <w:rPr>
                <w:noProof/>
                <w:webHidden/>
              </w:rPr>
              <w:tab/>
            </w:r>
            <w:r w:rsidR="007F2E30">
              <w:rPr>
                <w:noProof/>
                <w:webHidden/>
              </w:rPr>
              <w:fldChar w:fldCharType="begin"/>
            </w:r>
            <w:r w:rsidR="007F2E30">
              <w:rPr>
                <w:noProof/>
                <w:webHidden/>
              </w:rPr>
              <w:instrText xml:space="preserve"> PAGEREF _Toc155972419 \h </w:instrText>
            </w:r>
            <w:r w:rsidR="007F2E30">
              <w:rPr>
                <w:noProof/>
                <w:webHidden/>
              </w:rPr>
            </w:r>
            <w:r w:rsidR="007F2E30">
              <w:rPr>
                <w:noProof/>
                <w:webHidden/>
              </w:rPr>
              <w:fldChar w:fldCharType="separate"/>
            </w:r>
            <w:r w:rsidR="007F2E30">
              <w:rPr>
                <w:noProof/>
                <w:webHidden/>
              </w:rPr>
              <w:t>3</w:t>
            </w:r>
            <w:r w:rsidR="007F2E30">
              <w:rPr>
                <w:noProof/>
                <w:webHidden/>
              </w:rPr>
              <w:fldChar w:fldCharType="end"/>
            </w:r>
          </w:hyperlink>
        </w:p>
        <w:p w14:paraId="520C8946" w14:textId="296B9EB8" w:rsidR="007F2E30" w:rsidRDefault="003F26BF">
          <w:pPr>
            <w:pStyle w:val="TOC1"/>
            <w:rPr>
              <w:rFonts w:asciiTheme="minorHAnsi" w:eastAsiaTheme="minorEastAsia" w:hAnsiTheme="minorHAnsi"/>
              <w:b w:val="0"/>
              <w:caps w:val="0"/>
              <w:noProof/>
              <w:sz w:val="22"/>
              <w:szCs w:val="22"/>
              <w:lang w:eastAsia="en-AU"/>
            </w:rPr>
          </w:pPr>
          <w:hyperlink w:anchor="_Toc155972420" w:history="1">
            <w:r w:rsidR="007F2E30" w:rsidRPr="000A33A4">
              <w:rPr>
                <w:rStyle w:val="Hyperlink"/>
                <w:noProof/>
              </w:rPr>
              <w:t>I.</w:t>
            </w:r>
            <w:r w:rsidR="007F2E30">
              <w:rPr>
                <w:rFonts w:asciiTheme="minorHAnsi" w:eastAsiaTheme="minorEastAsia" w:hAnsiTheme="minorHAnsi"/>
                <w:b w:val="0"/>
                <w:caps w:val="0"/>
                <w:noProof/>
                <w:sz w:val="22"/>
                <w:szCs w:val="22"/>
                <w:lang w:eastAsia="en-AU"/>
              </w:rPr>
              <w:tab/>
            </w:r>
            <w:r w:rsidR="007F2E30" w:rsidRPr="000A33A4">
              <w:rPr>
                <w:rStyle w:val="Hyperlink"/>
                <w:noProof/>
              </w:rPr>
              <w:t>Australia's interest in this dispute</w:t>
            </w:r>
            <w:r w:rsidR="007F2E30">
              <w:rPr>
                <w:noProof/>
                <w:webHidden/>
              </w:rPr>
              <w:tab/>
            </w:r>
            <w:r w:rsidR="007F2E30">
              <w:rPr>
                <w:noProof/>
                <w:webHidden/>
              </w:rPr>
              <w:fldChar w:fldCharType="begin"/>
            </w:r>
            <w:r w:rsidR="007F2E30">
              <w:rPr>
                <w:noProof/>
                <w:webHidden/>
              </w:rPr>
              <w:instrText xml:space="preserve"> PAGEREF _Toc155972420 \h </w:instrText>
            </w:r>
            <w:r w:rsidR="007F2E30">
              <w:rPr>
                <w:noProof/>
                <w:webHidden/>
              </w:rPr>
            </w:r>
            <w:r w:rsidR="007F2E30">
              <w:rPr>
                <w:noProof/>
                <w:webHidden/>
              </w:rPr>
              <w:fldChar w:fldCharType="separate"/>
            </w:r>
            <w:r w:rsidR="007F2E30">
              <w:rPr>
                <w:noProof/>
                <w:webHidden/>
              </w:rPr>
              <w:t>4</w:t>
            </w:r>
            <w:r w:rsidR="007F2E30">
              <w:rPr>
                <w:noProof/>
                <w:webHidden/>
              </w:rPr>
              <w:fldChar w:fldCharType="end"/>
            </w:r>
          </w:hyperlink>
        </w:p>
        <w:p w14:paraId="45FB2A81" w14:textId="700DA6AC" w:rsidR="007F2E30" w:rsidRDefault="003F26BF">
          <w:pPr>
            <w:pStyle w:val="TOC1"/>
            <w:rPr>
              <w:rFonts w:asciiTheme="minorHAnsi" w:eastAsiaTheme="minorEastAsia" w:hAnsiTheme="minorHAnsi"/>
              <w:b w:val="0"/>
              <w:caps w:val="0"/>
              <w:noProof/>
              <w:sz w:val="22"/>
              <w:szCs w:val="22"/>
              <w:lang w:eastAsia="en-AU"/>
            </w:rPr>
          </w:pPr>
          <w:hyperlink w:anchor="_Toc155972421" w:history="1">
            <w:r w:rsidR="007F2E30" w:rsidRPr="000A33A4">
              <w:rPr>
                <w:rStyle w:val="Hyperlink"/>
                <w:noProof/>
              </w:rPr>
              <w:t>II.</w:t>
            </w:r>
            <w:r w:rsidR="007F2E30">
              <w:rPr>
                <w:rFonts w:asciiTheme="minorHAnsi" w:eastAsiaTheme="minorEastAsia" w:hAnsiTheme="minorHAnsi"/>
                <w:b w:val="0"/>
                <w:caps w:val="0"/>
                <w:noProof/>
                <w:sz w:val="22"/>
                <w:szCs w:val="22"/>
                <w:lang w:eastAsia="en-AU"/>
              </w:rPr>
              <w:tab/>
            </w:r>
            <w:r w:rsidR="007F2E30" w:rsidRPr="000A33A4">
              <w:rPr>
                <w:rStyle w:val="Hyperlink"/>
                <w:noProof/>
              </w:rPr>
              <w:t>The "unwritten" nature of a measure has significance – but does not create a legal rule</w:t>
            </w:r>
            <w:r w:rsidR="007F2E30">
              <w:rPr>
                <w:noProof/>
                <w:webHidden/>
              </w:rPr>
              <w:tab/>
            </w:r>
            <w:r w:rsidR="007F2E30">
              <w:rPr>
                <w:noProof/>
                <w:webHidden/>
              </w:rPr>
              <w:fldChar w:fldCharType="begin"/>
            </w:r>
            <w:r w:rsidR="007F2E30">
              <w:rPr>
                <w:noProof/>
                <w:webHidden/>
              </w:rPr>
              <w:instrText xml:space="preserve"> PAGEREF _Toc155972421 \h </w:instrText>
            </w:r>
            <w:r w:rsidR="007F2E30">
              <w:rPr>
                <w:noProof/>
                <w:webHidden/>
              </w:rPr>
            </w:r>
            <w:r w:rsidR="007F2E30">
              <w:rPr>
                <w:noProof/>
                <w:webHidden/>
              </w:rPr>
              <w:fldChar w:fldCharType="separate"/>
            </w:r>
            <w:r w:rsidR="007F2E30">
              <w:rPr>
                <w:noProof/>
                <w:webHidden/>
              </w:rPr>
              <w:t>5</w:t>
            </w:r>
            <w:r w:rsidR="007F2E30">
              <w:rPr>
                <w:noProof/>
                <w:webHidden/>
              </w:rPr>
              <w:fldChar w:fldCharType="end"/>
            </w:r>
          </w:hyperlink>
        </w:p>
        <w:p w14:paraId="4F9A7C2A" w14:textId="0BF756C8" w:rsidR="007F2E30" w:rsidRDefault="003F26BF">
          <w:pPr>
            <w:pStyle w:val="TOC1"/>
            <w:rPr>
              <w:rFonts w:asciiTheme="minorHAnsi" w:eastAsiaTheme="minorEastAsia" w:hAnsiTheme="minorHAnsi"/>
              <w:b w:val="0"/>
              <w:caps w:val="0"/>
              <w:noProof/>
              <w:sz w:val="22"/>
              <w:szCs w:val="22"/>
              <w:lang w:eastAsia="en-AU"/>
            </w:rPr>
          </w:pPr>
          <w:hyperlink w:anchor="_Toc155972422" w:history="1">
            <w:r w:rsidR="007F2E30" w:rsidRPr="000A33A4">
              <w:rPr>
                <w:rStyle w:val="Hyperlink"/>
                <w:noProof/>
              </w:rPr>
              <w:t>III.</w:t>
            </w:r>
            <w:r w:rsidR="007F2E30">
              <w:rPr>
                <w:rFonts w:asciiTheme="minorHAnsi" w:eastAsiaTheme="minorEastAsia" w:hAnsiTheme="minorHAnsi"/>
                <w:b w:val="0"/>
                <w:caps w:val="0"/>
                <w:noProof/>
                <w:sz w:val="22"/>
                <w:szCs w:val="22"/>
                <w:lang w:eastAsia="en-AU"/>
              </w:rPr>
              <w:tab/>
            </w:r>
            <w:r w:rsidR="007F2E30" w:rsidRPr="000A33A4">
              <w:rPr>
                <w:rStyle w:val="Hyperlink"/>
                <w:noProof/>
              </w:rPr>
              <w:t>Existence of a measure: evidentiary considerations</w:t>
            </w:r>
            <w:r w:rsidR="007F2E30">
              <w:rPr>
                <w:noProof/>
                <w:webHidden/>
              </w:rPr>
              <w:tab/>
            </w:r>
            <w:r w:rsidR="007F2E30">
              <w:rPr>
                <w:noProof/>
                <w:webHidden/>
              </w:rPr>
              <w:fldChar w:fldCharType="begin"/>
            </w:r>
            <w:r w:rsidR="007F2E30">
              <w:rPr>
                <w:noProof/>
                <w:webHidden/>
              </w:rPr>
              <w:instrText xml:space="preserve"> PAGEREF _Toc155972422 \h </w:instrText>
            </w:r>
            <w:r w:rsidR="007F2E30">
              <w:rPr>
                <w:noProof/>
                <w:webHidden/>
              </w:rPr>
            </w:r>
            <w:r w:rsidR="007F2E30">
              <w:rPr>
                <w:noProof/>
                <w:webHidden/>
              </w:rPr>
              <w:fldChar w:fldCharType="separate"/>
            </w:r>
            <w:r w:rsidR="007F2E30">
              <w:rPr>
                <w:noProof/>
                <w:webHidden/>
              </w:rPr>
              <w:t>6</w:t>
            </w:r>
            <w:r w:rsidR="007F2E30">
              <w:rPr>
                <w:noProof/>
                <w:webHidden/>
              </w:rPr>
              <w:fldChar w:fldCharType="end"/>
            </w:r>
          </w:hyperlink>
        </w:p>
        <w:p w14:paraId="749A4746" w14:textId="30F7827D" w:rsidR="007F2E30" w:rsidRDefault="003F26BF">
          <w:pPr>
            <w:pStyle w:val="TOC2"/>
            <w:rPr>
              <w:rFonts w:asciiTheme="minorHAnsi" w:eastAsiaTheme="minorEastAsia" w:hAnsiTheme="minorHAnsi"/>
              <w:b w:val="0"/>
              <w:smallCaps w:val="0"/>
              <w:noProof/>
              <w:sz w:val="22"/>
              <w:szCs w:val="22"/>
              <w:lang w:eastAsia="en-AU"/>
            </w:rPr>
          </w:pPr>
          <w:hyperlink w:anchor="_Toc155972423" w:history="1">
            <w:r w:rsidR="007F2E30" w:rsidRPr="000A33A4">
              <w:rPr>
                <w:rStyle w:val="Hyperlink"/>
                <w:noProof/>
              </w:rPr>
              <w:t>A.</w:t>
            </w:r>
            <w:r w:rsidR="007F2E30">
              <w:rPr>
                <w:rFonts w:asciiTheme="minorHAnsi" w:eastAsiaTheme="minorEastAsia" w:hAnsiTheme="minorHAnsi"/>
                <w:b w:val="0"/>
                <w:smallCaps w:val="0"/>
                <w:noProof/>
                <w:sz w:val="22"/>
                <w:szCs w:val="22"/>
                <w:lang w:eastAsia="en-AU"/>
              </w:rPr>
              <w:tab/>
            </w:r>
            <w:r w:rsidR="007F2E30" w:rsidRPr="000A33A4">
              <w:rPr>
                <w:rStyle w:val="Hyperlink"/>
                <w:noProof/>
              </w:rPr>
              <w:t>A panel's approach to the evidence is case-specific</w:t>
            </w:r>
            <w:r w:rsidR="007F2E30">
              <w:rPr>
                <w:noProof/>
                <w:webHidden/>
              </w:rPr>
              <w:tab/>
            </w:r>
            <w:r w:rsidR="007F2E30">
              <w:rPr>
                <w:noProof/>
                <w:webHidden/>
              </w:rPr>
              <w:fldChar w:fldCharType="begin"/>
            </w:r>
            <w:r w:rsidR="007F2E30">
              <w:rPr>
                <w:noProof/>
                <w:webHidden/>
              </w:rPr>
              <w:instrText xml:space="preserve"> PAGEREF _Toc155972423 \h </w:instrText>
            </w:r>
            <w:r w:rsidR="007F2E30">
              <w:rPr>
                <w:noProof/>
                <w:webHidden/>
              </w:rPr>
            </w:r>
            <w:r w:rsidR="007F2E30">
              <w:rPr>
                <w:noProof/>
                <w:webHidden/>
              </w:rPr>
              <w:fldChar w:fldCharType="separate"/>
            </w:r>
            <w:r w:rsidR="007F2E30">
              <w:rPr>
                <w:noProof/>
                <w:webHidden/>
              </w:rPr>
              <w:t>6</w:t>
            </w:r>
            <w:r w:rsidR="007F2E30">
              <w:rPr>
                <w:noProof/>
                <w:webHidden/>
              </w:rPr>
              <w:fldChar w:fldCharType="end"/>
            </w:r>
          </w:hyperlink>
        </w:p>
        <w:p w14:paraId="5DAD3779" w14:textId="72F19D7B" w:rsidR="007F2E30" w:rsidRDefault="003F26BF">
          <w:pPr>
            <w:pStyle w:val="TOC2"/>
            <w:rPr>
              <w:rFonts w:asciiTheme="minorHAnsi" w:eastAsiaTheme="minorEastAsia" w:hAnsiTheme="minorHAnsi"/>
              <w:b w:val="0"/>
              <w:smallCaps w:val="0"/>
              <w:noProof/>
              <w:sz w:val="22"/>
              <w:szCs w:val="22"/>
              <w:lang w:eastAsia="en-AU"/>
            </w:rPr>
          </w:pPr>
          <w:hyperlink w:anchor="_Toc155972424" w:history="1">
            <w:r w:rsidR="007F2E30" w:rsidRPr="000A33A4">
              <w:rPr>
                <w:rStyle w:val="Hyperlink"/>
                <w:noProof/>
              </w:rPr>
              <w:t>B.</w:t>
            </w:r>
            <w:r w:rsidR="007F2E30">
              <w:rPr>
                <w:rFonts w:asciiTheme="minorHAnsi" w:eastAsiaTheme="minorEastAsia" w:hAnsiTheme="minorHAnsi"/>
                <w:b w:val="0"/>
                <w:smallCaps w:val="0"/>
                <w:noProof/>
                <w:sz w:val="22"/>
                <w:szCs w:val="22"/>
                <w:lang w:eastAsia="en-AU"/>
              </w:rPr>
              <w:tab/>
            </w:r>
            <w:r w:rsidR="007F2E30" w:rsidRPr="000A33A4">
              <w:rPr>
                <w:rStyle w:val="Hyperlink"/>
                <w:noProof/>
              </w:rPr>
              <w:t>A panel can take an active role in assessing the evidence before it</w:t>
            </w:r>
            <w:r w:rsidR="007F2E30">
              <w:rPr>
                <w:noProof/>
                <w:webHidden/>
              </w:rPr>
              <w:tab/>
            </w:r>
            <w:r w:rsidR="007F2E30">
              <w:rPr>
                <w:noProof/>
                <w:webHidden/>
              </w:rPr>
              <w:fldChar w:fldCharType="begin"/>
            </w:r>
            <w:r w:rsidR="007F2E30">
              <w:rPr>
                <w:noProof/>
                <w:webHidden/>
              </w:rPr>
              <w:instrText xml:space="preserve"> PAGEREF _Toc155972424 \h </w:instrText>
            </w:r>
            <w:r w:rsidR="007F2E30">
              <w:rPr>
                <w:noProof/>
                <w:webHidden/>
              </w:rPr>
            </w:r>
            <w:r w:rsidR="007F2E30">
              <w:rPr>
                <w:noProof/>
                <w:webHidden/>
              </w:rPr>
              <w:fldChar w:fldCharType="separate"/>
            </w:r>
            <w:r w:rsidR="007F2E30">
              <w:rPr>
                <w:noProof/>
                <w:webHidden/>
              </w:rPr>
              <w:t>8</w:t>
            </w:r>
            <w:r w:rsidR="007F2E30">
              <w:rPr>
                <w:noProof/>
                <w:webHidden/>
              </w:rPr>
              <w:fldChar w:fldCharType="end"/>
            </w:r>
          </w:hyperlink>
        </w:p>
        <w:p w14:paraId="5935FE4A" w14:textId="78B1BCEF" w:rsidR="007F2E30" w:rsidRDefault="003F26BF">
          <w:pPr>
            <w:pStyle w:val="TOC1"/>
            <w:rPr>
              <w:rFonts w:asciiTheme="minorHAnsi" w:eastAsiaTheme="minorEastAsia" w:hAnsiTheme="minorHAnsi"/>
              <w:b w:val="0"/>
              <w:caps w:val="0"/>
              <w:noProof/>
              <w:sz w:val="22"/>
              <w:szCs w:val="22"/>
              <w:lang w:eastAsia="en-AU"/>
            </w:rPr>
          </w:pPr>
          <w:hyperlink w:anchor="_Toc155972425" w:history="1">
            <w:r w:rsidR="007F2E30" w:rsidRPr="000A33A4">
              <w:rPr>
                <w:rStyle w:val="Hyperlink"/>
                <w:noProof/>
              </w:rPr>
              <w:t>IV.</w:t>
            </w:r>
            <w:r w:rsidR="007F2E30">
              <w:rPr>
                <w:rFonts w:asciiTheme="minorHAnsi" w:eastAsiaTheme="minorEastAsia" w:hAnsiTheme="minorHAnsi"/>
                <w:b w:val="0"/>
                <w:caps w:val="0"/>
                <w:noProof/>
                <w:sz w:val="22"/>
                <w:szCs w:val="22"/>
                <w:lang w:eastAsia="en-AU"/>
              </w:rPr>
              <w:tab/>
            </w:r>
            <w:r w:rsidR="007F2E30" w:rsidRPr="000A33A4">
              <w:rPr>
                <w:rStyle w:val="Hyperlink"/>
                <w:noProof/>
              </w:rPr>
              <w:t>The unwritten measures are interlinked, but not dependent</w:t>
            </w:r>
            <w:r w:rsidR="007F2E30">
              <w:rPr>
                <w:noProof/>
                <w:webHidden/>
              </w:rPr>
              <w:tab/>
            </w:r>
            <w:r w:rsidR="007F2E30">
              <w:rPr>
                <w:noProof/>
                <w:webHidden/>
              </w:rPr>
              <w:fldChar w:fldCharType="begin"/>
            </w:r>
            <w:r w:rsidR="007F2E30">
              <w:rPr>
                <w:noProof/>
                <w:webHidden/>
              </w:rPr>
              <w:instrText xml:space="preserve"> PAGEREF _Toc155972425 \h </w:instrText>
            </w:r>
            <w:r w:rsidR="007F2E30">
              <w:rPr>
                <w:noProof/>
                <w:webHidden/>
              </w:rPr>
            </w:r>
            <w:r w:rsidR="007F2E30">
              <w:rPr>
                <w:noProof/>
                <w:webHidden/>
              </w:rPr>
              <w:fldChar w:fldCharType="separate"/>
            </w:r>
            <w:r w:rsidR="007F2E30">
              <w:rPr>
                <w:noProof/>
                <w:webHidden/>
              </w:rPr>
              <w:t>8</w:t>
            </w:r>
            <w:r w:rsidR="007F2E30">
              <w:rPr>
                <w:noProof/>
                <w:webHidden/>
              </w:rPr>
              <w:fldChar w:fldCharType="end"/>
            </w:r>
          </w:hyperlink>
        </w:p>
        <w:p w14:paraId="1C4170D3" w14:textId="076934DA" w:rsidR="00D47F18" w:rsidRPr="0007327B" w:rsidRDefault="00F945DB" w:rsidP="009A1A7B">
          <w:pPr>
            <w:pStyle w:val="BTNSSBodyTextNoSpacingSmall"/>
            <w:ind w:right="-2"/>
          </w:pPr>
          <w:r w:rsidRPr="0007327B">
            <w:rPr>
              <w:rFonts w:eastAsiaTheme="majorEastAsia" w:cstheme="majorBidi"/>
              <w:sz w:val="24"/>
              <w:szCs w:val="32"/>
            </w:rPr>
            <w:fldChar w:fldCharType="end"/>
          </w:r>
        </w:p>
      </w:sdtContent>
    </w:sdt>
    <w:p w14:paraId="1592067A" w14:textId="77777777" w:rsidR="004D7079" w:rsidRPr="0007327B" w:rsidRDefault="004D7079" w:rsidP="009A1A7B">
      <w:pPr>
        <w:pStyle w:val="BTNSSBodyTextNoSpacingSmall"/>
        <w:ind w:right="-2"/>
      </w:pPr>
    </w:p>
    <w:p w14:paraId="0B0BAD31" w14:textId="77777777" w:rsidR="007F2E30" w:rsidRDefault="007F2E30" w:rsidP="006A4D50">
      <w:pPr>
        <w:pStyle w:val="SHSectionHeading"/>
        <w:ind w:right="-2"/>
      </w:pPr>
    </w:p>
    <w:p w14:paraId="49B15221" w14:textId="2195CDFA" w:rsidR="00F945DB" w:rsidRPr="0007327B" w:rsidRDefault="00F945DB" w:rsidP="006A4D50">
      <w:pPr>
        <w:pStyle w:val="SHSectionHeading"/>
        <w:ind w:right="-2"/>
      </w:pPr>
      <w:bookmarkStart w:id="0" w:name="_Toc155972418"/>
      <w:r w:rsidRPr="0007327B">
        <w:t>Table of Cases</w:t>
      </w:r>
      <w:bookmarkEnd w:id="0"/>
    </w:p>
    <w:tbl>
      <w:tblPr>
        <w:tblStyle w:val="TableGrid"/>
        <w:tblW w:w="5000" w:type="pct"/>
        <w:tblLook w:val="04A0" w:firstRow="1" w:lastRow="0" w:firstColumn="1" w:lastColumn="0" w:noHBand="0" w:noVBand="1"/>
      </w:tblPr>
      <w:tblGrid>
        <w:gridCol w:w="2265"/>
        <w:gridCol w:w="6795"/>
      </w:tblGrid>
      <w:tr w:rsidR="008A1191" w:rsidRPr="0007327B" w14:paraId="722F0373" w14:textId="77777777" w:rsidTr="008A4C51">
        <w:trPr>
          <w:cantSplit/>
          <w:trHeight w:val="397"/>
          <w:tblHeader/>
        </w:trPr>
        <w:tc>
          <w:tcPr>
            <w:tcW w:w="2265" w:type="dxa"/>
            <w:shd w:val="clear" w:color="auto" w:fill="D9D9D9" w:themeFill="background1" w:themeFillShade="D9"/>
          </w:tcPr>
          <w:p w14:paraId="32A8966E" w14:textId="77777777" w:rsidR="008A1191" w:rsidRPr="0007327B" w:rsidRDefault="008A1191" w:rsidP="006A4D50">
            <w:pPr>
              <w:pStyle w:val="THTableHeading"/>
              <w:ind w:right="-2"/>
              <w:jc w:val="center"/>
            </w:pPr>
            <w:r w:rsidRPr="0007327B">
              <w:t>Short Title</w:t>
            </w:r>
          </w:p>
        </w:tc>
        <w:tc>
          <w:tcPr>
            <w:tcW w:w="6795" w:type="dxa"/>
            <w:shd w:val="clear" w:color="auto" w:fill="D9D9D9" w:themeFill="background1" w:themeFillShade="D9"/>
          </w:tcPr>
          <w:p w14:paraId="089FB6A8" w14:textId="77777777" w:rsidR="008A1191" w:rsidRPr="0007327B" w:rsidRDefault="008A1191" w:rsidP="006A4D50">
            <w:pPr>
              <w:pStyle w:val="THTableHeading"/>
              <w:ind w:right="-2"/>
              <w:jc w:val="center"/>
            </w:pPr>
            <w:r w:rsidRPr="0007327B">
              <w:t>Full Case Title and Citation</w:t>
            </w:r>
          </w:p>
        </w:tc>
      </w:tr>
      <w:tr w:rsidR="004F62A8" w:rsidRPr="0007327B" w14:paraId="7E18ED87" w14:textId="77777777" w:rsidTr="008A4C51">
        <w:trPr>
          <w:cantSplit/>
          <w:trHeight w:val="397"/>
        </w:trPr>
        <w:tc>
          <w:tcPr>
            <w:tcW w:w="2265" w:type="dxa"/>
          </w:tcPr>
          <w:p w14:paraId="50438145" w14:textId="12E8FFBA" w:rsidR="004F62A8" w:rsidRPr="00F4393A" w:rsidRDefault="004F62A8" w:rsidP="006A4D50">
            <w:pPr>
              <w:pStyle w:val="TTTableText"/>
              <w:ind w:right="-2"/>
              <w:rPr>
                <w:i/>
                <w:iCs/>
              </w:rPr>
            </w:pPr>
            <w:r w:rsidRPr="0023661E">
              <w:rPr>
                <w:i/>
                <w:iCs/>
              </w:rPr>
              <w:t>Argentina – Import Measures</w:t>
            </w:r>
          </w:p>
        </w:tc>
        <w:tc>
          <w:tcPr>
            <w:tcW w:w="6795" w:type="dxa"/>
          </w:tcPr>
          <w:p w14:paraId="48C30EBB" w14:textId="038F3B4F" w:rsidR="004F62A8" w:rsidRPr="004F62A8" w:rsidRDefault="00386910" w:rsidP="006A4D50">
            <w:pPr>
              <w:pStyle w:val="TTTableText"/>
              <w:ind w:right="-2"/>
            </w:pPr>
            <w:r w:rsidRPr="00EF73B2">
              <w:rPr>
                <w:color w:val="000000"/>
              </w:rPr>
              <w:t xml:space="preserve">Appellate Body Reports, </w:t>
            </w:r>
            <w:r w:rsidRPr="00EF73B2">
              <w:rPr>
                <w:i/>
                <w:color w:val="000000"/>
              </w:rPr>
              <w:t>Argentina – Measures Affecting the Importation of Goods</w:t>
            </w:r>
            <w:r w:rsidRPr="00EF73B2">
              <w:rPr>
                <w:color w:val="000000"/>
              </w:rPr>
              <w:t xml:space="preserve">, </w:t>
            </w:r>
            <w:r w:rsidRPr="00FB359A">
              <w:t>WT/DS438/AB/R</w:t>
            </w:r>
            <w:r w:rsidRPr="00EF73B2">
              <w:rPr>
                <w:color w:val="000000"/>
              </w:rPr>
              <w:t xml:space="preserve"> / </w:t>
            </w:r>
            <w:r w:rsidRPr="00FB359A">
              <w:t>WT/DS444/AB/R</w:t>
            </w:r>
            <w:r w:rsidRPr="00EF73B2">
              <w:rPr>
                <w:color w:val="000000"/>
              </w:rPr>
              <w:t xml:space="preserve"> / </w:t>
            </w:r>
            <w:r w:rsidRPr="00FB359A">
              <w:t>WT/DS445/AB/R</w:t>
            </w:r>
            <w:r w:rsidRPr="00EF73B2">
              <w:rPr>
                <w:color w:val="000000"/>
              </w:rPr>
              <w:t>, adopted 26 January 2015, DSR 2015:II, p. 579</w:t>
            </w:r>
          </w:p>
        </w:tc>
      </w:tr>
      <w:tr w:rsidR="00F65B4D" w:rsidRPr="0007327B" w14:paraId="3B777B4F" w14:textId="77777777" w:rsidTr="008A4C51">
        <w:trPr>
          <w:cantSplit/>
          <w:trHeight w:val="397"/>
        </w:trPr>
        <w:tc>
          <w:tcPr>
            <w:tcW w:w="2265" w:type="dxa"/>
          </w:tcPr>
          <w:p w14:paraId="63C14833" w14:textId="7B139EE8" w:rsidR="00F65B4D" w:rsidRPr="00F4393A" w:rsidRDefault="00F65B4D" w:rsidP="006A4D50">
            <w:pPr>
              <w:pStyle w:val="TTTableText"/>
              <w:ind w:right="-2"/>
              <w:rPr>
                <w:i/>
                <w:iCs/>
              </w:rPr>
            </w:pPr>
            <w:r w:rsidRPr="008C7B4E">
              <w:rPr>
                <w:i/>
                <w:iCs/>
              </w:rPr>
              <w:t>EC – Approval Marketing of Biotech Products</w:t>
            </w:r>
          </w:p>
        </w:tc>
        <w:tc>
          <w:tcPr>
            <w:tcW w:w="6795" w:type="dxa"/>
          </w:tcPr>
          <w:p w14:paraId="08FBB5BB" w14:textId="696A507D" w:rsidR="00F65B4D" w:rsidRPr="00F65B4D" w:rsidRDefault="007E2FEA" w:rsidP="006A4D50">
            <w:pPr>
              <w:pStyle w:val="TTTableText"/>
              <w:ind w:right="-2"/>
            </w:pPr>
            <w:r w:rsidRPr="00471FFA">
              <w:t xml:space="preserve">Panel Reports, </w:t>
            </w:r>
            <w:r w:rsidRPr="00471FFA">
              <w:rPr>
                <w:i/>
              </w:rPr>
              <w:t>European Communities – Measures Affecting the Approval and Marketing of Biotech Products</w:t>
            </w:r>
            <w:r w:rsidRPr="00471FFA">
              <w:t>, WT/DS291/R, Add.1 to Add.9 and Corr.1 / WT/DS292/R, Add.1 to Add.9 and Corr.1 / WT/DS293/R, Add.1 to Add.9 and Corr.1, adopted 21 November 2006, DSR 2006:III, p. 847</w:t>
            </w:r>
          </w:p>
        </w:tc>
      </w:tr>
      <w:tr w:rsidR="001F5A66" w:rsidRPr="0007327B" w14:paraId="0AE5B4FA" w14:textId="77777777" w:rsidTr="008A4C51">
        <w:trPr>
          <w:cantSplit/>
          <w:trHeight w:val="397"/>
        </w:trPr>
        <w:tc>
          <w:tcPr>
            <w:tcW w:w="2265" w:type="dxa"/>
          </w:tcPr>
          <w:p w14:paraId="30C7A834" w14:textId="702351D1" w:rsidR="001F5A66" w:rsidRDefault="001F5A66" w:rsidP="006A4D50">
            <w:pPr>
              <w:pStyle w:val="TTTableText"/>
              <w:ind w:right="-2"/>
              <w:rPr>
                <w:i/>
                <w:iCs/>
              </w:rPr>
            </w:pPr>
            <w:r w:rsidRPr="00D0740E">
              <w:rPr>
                <w:i/>
                <w:iCs/>
              </w:rPr>
              <w:t>Korea – Stainless Steel Bars</w:t>
            </w:r>
          </w:p>
        </w:tc>
        <w:tc>
          <w:tcPr>
            <w:tcW w:w="6795" w:type="dxa"/>
          </w:tcPr>
          <w:p w14:paraId="768C9965" w14:textId="25078CBB" w:rsidR="001F5A66" w:rsidRPr="001F5A66" w:rsidRDefault="00A67B7B" w:rsidP="006A4D50">
            <w:pPr>
              <w:pStyle w:val="TTTableText"/>
              <w:ind w:right="-2"/>
            </w:pPr>
            <w:r w:rsidRPr="00904C7D">
              <w:t>Panel Report,</w:t>
            </w:r>
            <w:r w:rsidRPr="00904C7D">
              <w:rPr>
                <w:i/>
                <w:iCs/>
              </w:rPr>
              <w:t xml:space="preserve"> Korea – Sunset Review of Anti</w:t>
            </w:r>
            <w:r w:rsidRPr="00904C7D">
              <w:rPr>
                <w:i/>
                <w:iCs/>
              </w:rPr>
              <w:noBreakHyphen/>
              <w:t>Dumping Duties on Stainless Steel Bars</w:t>
            </w:r>
            <w:r w:rsidRPr="00904C7D">
              <w:t xml:space="preserve">, </w:t>
            </w:r>
            <w:r w:rsidRPr="005C68DA">
              <w:t>WT/DS553/R</w:t>
            </w:r>
            <w:r w:rsidRPr="00904C7D">
              <w:t xml:space="preserve"> and Add.1, circulated to WTO Members 30 November 2020, appealed 22 January 2021</w:t>
            </w:r>
          </w:p>
        </w:tc>
      </w:tr>
      <w:tr w:rsidR="009127DD" w:rsidRPr="0007327B" w14:paraId="24B8EF3D" w14:textId="77777777" w:rsidTr="008A4C51">
        <w:trPr>
          <w:cantSplit/>
          <w:trHeight w:val="397"/>
        </w:trPr>
        <w:tc>
          <w:tcPr>
            <w:tcW w:w="2265" w:type="dxa"/>
          </w:tcPr>
          <w:p w14:paraId="47A07D7D" w14:textId="6D8EF2BC" w:rsidR="009127DD" w:rsidRDefault="009127DD" w:rsidP="006A4D50">
            <w:pPr>
              <w:pStyle w:val="TTTableText"/>
              <w:ind w:right="-2"/>
              <w:rPr>
                <w:i/>
                <w:iCs/>
              </w:rPr>
            </w:pPr>
            <w:r w:rsidRPr="006E69EE">
              <w:rPr>
                <w:i/>
                <w:iCs/>
              </w:rPr>
              <w:t>Turkey – Pharmaceutical Products (EU</w:t>
            </w:r>
            <w:r>
              <w:rPr>
                <w:i/>
                <w:iCs/>
              </w:rPr>
              <w:t>)</w:t>
            </w:r>
          </w:p>
        </w:tc>
        <w:tc>
          <w:tcPr>
            <w:tcW w:w="6795" w:type="dxa"/>
          </w:tcPr>
          <w:p w14:paraId="72FB109B" w14:textId="469C879B" w:rsidR="009127DD" w:rsidRPr="009127DD" w:rsidRDefault="00051D32" w:rsidP="006A4D50">
            <w:pPr>
              <w:pStyle w:val="TTTableText"/>
              <w:ind w:right="-2"/>
            </w:pPr>
            <w:r w:rsidRPr="00731BDA">
              <w:t xml:space="preserve">Final Panel Report as issued to the parties in </w:t>
            </w:r>
            <w:r w:rsidRPr="00731BDA">
              <w:rPr>
                <w:i/>
                <w:iCs/>
              </w:rPr>
              <w:t>Turkey – Certain Measures Concerning the Production, Importation and Marketing of Pharmaceutical Products</w:t>
            </w:r>
            <w:r w:rsidRPr="00731BDA">
              <w:t>, attached to Türkiye's notice of recourse to arbitration (WT/DS583/12 and Add.1)</w:t>
            </w:r>
          </w:p>
        </w:tc>
      </w:tr>
      <w:tr w:rsidR="00A46E33" w:rsidRPr="0007327B" w14:paraId="3C0B1419" w14:textId="77777777" w:rsidTr="008A4C51">
        <w:trPr>
          <w:cantSplit/>
          <w:trHeight w:val="397"/>
        </w:trPr>
        <w:tc>
          <w:tcPr>
            <w:tcW w:w="2265" w:type="dxa"/>
          </w:tcPr>
          <w:p w14:paraId="61554170" w14:textId="22A4E3F6" w:rsidR="00A46E33" w:rsidRPr="00F4393A" w:rsidRDefault="00A46E33" w:rsidP="006A4D50">
            <w:pPr>
              <w:pStyle w:val="TTTableText"/>
              <w:ind w:right="-2"/>
              <w:rPr>
                <w:i/>
                <w:iCs/>
              </w:rPr>
            </w:pPr>
            <w:r>
              <w:rPr>
                <w:i/>
                <w:iCs/>
              </w:rPr>
              <w:t>US – Continued Zeroing</w:t>
            </w:r>
          </w:p>
        </w:tc>
        <w:tc>
          <w:tcPr>
            <w:tcW w:w="6795" w:type="dxa"/>
          </w:tcPr>
          <w:p w14:paraId="1EBC6212" w14:textId="3CB325B8" w:rsidR="00A46E33" w:rsidRDefault="009047ED" w:rsidP="006A4D50">
            <w:pPr>
              <w:pStyle w:val="TTTableText"/>
              <w:ind w:right="-2"/>
            </w:pPr>
            <w:r w:rsidRPr="00EF73B2">
              <w:rPr>
                <w:color w:val="000000"/>
              </w:rPr>
              <w:t xml:space="preserve">Appellate Body Report, </w:t>
            </w:r>
            <w:r w:rsidRPr="00EF73B2">
              <w:rPr>
                <w:i/>
                <w:color w:val="000000"/>
              </w:rPr>
              <w:t>United States – Continued Existence and Application of Zeroing Methodology</w:t>
            </w:r>
            <w:r w:rsidRPr="00EF73B2">
              <w:rPr>
                <w:color w:val="000000"/>
              </w:rPr>
              <w:t xml:space="preserve">, </w:t>
            </w:r>
            <w:r w:rsidRPr="00FB359A">
              <w:t>WT/DS350/AB/R</w:t>
            </w:r>
            <w:r w:rsidRPr="00EF73B2">
              <w:rPr>
                <w:color w:val="000000"/>
              </w:rPr>
              <w:t>, adopted 19 February 2009, DSR 2009:III, p. 1291</w:t>
            </w:r>
          </w:p>
        </w:tc>
      </w:tr>
      <w:tr w:rsidR="00703738" w:rsidRPr="0007327B" w14:paraId="36E2399C" w14:textId="77777777" w:rsidTr="008A4C51">
        <w:trPr>
          <w:cantSplit/>
          <w:trHeight w:val="397"/>
        </w:trPr>
        <w:tc>
          <w:tcPr>
            <w:tcW w:w="2265" w:type="dxa"/>
          </w:tcPr>
          <w:p w14:paraId="787309E5" w14:textId="7EB8D2EB" w:rsidR="00703738" w:rsidRPr="00F4393A" w:rsidRDefault="00703738" w:rsidP="006A4D50">
            <w:pPr>
              <w:pStyle w:val="TTTableText"/>
              <w:ind w:right="-2"/>
              <w:rPr>
                <w:i/>
                <w:iCs/>
              </w:rPr>
            </w:pPr>
            <w:r>
              <w:rPr>
                <w:i/>
                <w:iCs/>
              </w:rPr>
              <w:t>US – Countervailing Duty Investigation on DRAMS</w:t>
            </w:r>
          </w:p>
        </w:tc>
        <w:tc>
          <w:tcPr>
            <w:tcW w:w="6795" w:type="dxa"/>
          </w:tcPr>
          <w:p w14:paraId="704F8D07" w14:textId="28F8305E" w:rsidR="00703738" w:rsidRDefault="009753D5" w:rsidP="006A4D50">
            <w:pPr>
              <w:pStyle w:val="TTTableText"/>
              <w:ind w:right="-2"/>
            </w:pPr>
            <w:r w:rsidRPr="00EF73B2">
              <w:rPr>
                <w:color w:val="000000"/>
              </w:rPr>
              <w:t xml:space="preserve">Appellate Body Report, </w:t>
            </w:r>
            <w:r w:rsidRPr="00EF73B2">
              <w:rPr>
                <w:i/>
                <w:color w:val="000000"/>
              </w:rPr>
              <w:t>United States – Countervailing Duty Investigation on Dynamic Random Access Memory Semiconductors (DRAMS) from Korea</w:t>
            </w:r>
            <w:r w:rsidRPr="00EF73B2">
              <w:rPr>
                <w:color w:val="000000"/>
              </w:rPr>
              <w:t xml:space="preserve">, </w:t>
            </w:r>
            <w:r w:rsidRPr="00FB359A">
              <w:t>WT/DS296/AB/R</w:t>
            </w:r>
            <w:r w:rsidRPr="00EF73B2">
              <w:rPr>
                <w:color w:val="000000"/>
              </w:rPr>
              <w:t>, adopted 20 July 2005, DSR 2005:XVI, p. 8131</w:t>
            </w:r>
          </w:p>
        </w:tc>
      </w:tr>
      <w:tr w:rsidR="004F62A8" w:rsidRPr="0007327B" w14:paraId="7CEEAD07" w14:textId="77777777" w:rsidTr="008A4C51">
        <w:trPr>
          <w:cantSplit/>
          <w:trHeight w:val="397"/>
        </w:trPr>
        <w:tc>
          <w:tcPr>
            <w:tcW w:w="2265" w:type="dxa"/>
          </w:tcPr>
          <w:p w14:paraId="1E54FDEE" w14:textId="20617C46" w:rsidR="004F62A8" w:rsidRDefault="004F62A8" w:rsidP="006A4D50">
            <w:pPr>
              <w:pStyle w:val="TTTableText"/>
              <w:ind w:right="-2"/>
              <w:rPr>
                <w:i/>
                <w:iCs/>
              </w:rPr>
            </w:pPr>
            <w:r w:rsidRPr="00F4393A">
              <w:rPr>
                <w:i/>
                <w:iCs/>
              </w:rPr>
              <w:lastRenderedPageBreak/>
              <w:t>US – Corrosion-Resistant Steel Sunset Review</w:t>
            </w:r>
          </w:p>
        </w:tc>
        <w:tc>
          <w:tcPr>
            <w:tcW w:w="6795" w:type="dxa"/>
          </w:tcPr>
          <w:p w14:paraId="3D9E4CA2" w14:textId="7BFEA94B" w:rsidR="004F62A8" w:rsidRPr="0007327B" w:rsidRDefault="008B458E" w:rsidP="006A4D50">
            <w:pPr>
              <w:pStyle w:val="TTTableText"/>
              <w:ind w:right="-2"/>
            </w:pPr>
            <w:r w:rsidRPr="00904C7D">
              <w:t xml:space="preserve">Appellate Body Report, </w:t>
            </w:r>
            <w:r w:rsidRPr="00904C7D">
              <w:rPr>
                <w:i/>
              </w:rPr>
              <w:t>United States – Sunset Review of Anti-Dumping Duties on Corrosion</w:t>
            </w:r>
            <w:r w:rsidRPr="00904C7D">
              <w:rPr>
                <w:i/>
              </w:rPr>
              <w:noBreakHyphen/>
              <w:t>Resistant Carbon Steel Flat Products from Japan</w:t>
            </w:r>
            <w:r w:rsidRPr="00904C7D">
              <w:t xml:space="preserve">, </w:t>
            </w:r>
            <w:r w:rsidRPr="005C68DA">
              <w:t>WT/DS244/AB/R</w:t>
            </w:r>
            <w:r w:rsidRPr="00904C7D">
              <w:t>, adopted 9 January 2004, DSR 2004:I, p. 3</w:t>
            </w:r>
          </w:p>
        </w:tc>
      </w:tr>
      <w:tr w:rsidR="00A53901" w:rsidRPr="0007327B" w14:paraId="72951D63" w14:textId="77777777" w:rsidTr="008A4C51">
        <w:trPr>
          <w:cantSplit/>
          <w:trHeight w:val="397"/>
        </w:trPr>
        <w:tc>
          <w:tcPr>
            <w:tcW w:w="2265" w:type="dxa"/>
          </w:tcPr>
          <w:p w14:paraId="63FBF366" w14:textId="5A6F52A5" w:rsidR="00A53901" w:rsidRDefault="00A53901" w:rsidP="006A4D50">
            <w:pPr>
              <w:pStyle w:val="TTTableText"/>
              <w:ind w:right="-2"/>
              <w:rPr>
                <w:i/>
                <w:iCs/>
              </w:rPr>
            </w:pPr>
            <w:r w:rsidRPr="009B4060">
              <w:rPr>
                <w:i/>
                <w:iCs/>
              </w:rPr>
              <w:t>US – FSC (Article 21.5 – EC)</w:t>
            </w:r>
          </w:p>
        </w:tc>
        <w:tc>
          <w:tcPr>
            <w:tcW w:w="6795" w:type="dxa"/>
          </w:tcPr>
          <w:p w14:paraId="53B56FF6" w14:textId="368F561F" w:rsidR="00A53901" w:rsidRPr="00A53901" w:rsidRDefault="00374B86" w:rsidP="006A4D50">
            <w:pPr>
              <w:pStyle w:val="TTTableText"/>
              <w:ind w:right="-2"/>
            </w:pPr>
            <w:r>
              <w:rPr>
                <w:color w:val="000000"/>
              </w:rPr>
              <w:t>Panel Report</w:t>
            </w:r>
            <w:r w:rsidRPr="00EF73B2">
              <w:rPr>
                <w:color w:val="000000"/>
              </w:rPr>
              <w:t xml:space="preserve">, </w:t>
            </w:r>
            <w:r w:rsidRPr="00EF73B2">
              <w:rPr>
                <w:i/>
                <w:color w:val="000000"/>
              </w:rPr>
              <w:t>United States – Tax Treatment for "Foreign Sales Corporations" – Recourse to Article 21.5 of the DSU by the European Communities</w:t>
            </w:r>
            <w:r w:rsidRPr="00EF73B2">
              <w:rPr>
                <w:color w:val="000000"/>
              </w:rPr>
              <w:t xml:space="preserve">, </w:t>
            </w:r>
            <w:r w:rsidRPr="00FB359A">
              <w:rPr>
                <w:rFonts w:eastAsia="Times New Roman"/>
                <w:bCs/>
              </w:rPr>
              <w:t>WT/DS108/AB/RW</w:t>
            </w:r>
            <w:r w:rsidRPr="00EF73B2">
              <w:rPr>
                <w:color w:val="000000"/>
              </w:rPr>
              <w:t>, adopted 29 January 2002, DSR 2002:I, p. 55</w:t>
            </w:r>
          </w:p>
        </w:tc>
      </w:tr>
      <w:tr w:rsidR="008A1191" w:rsidRPr="0007327B" w14:paraId="7EC07185" w14:textId="77777777" w:rsidTr="008A4C51">
        <w:trPr>
          <w:cantSplit/>
          <w:trHeight w:val="397"/>
        </w:trPr>
        <w:tc>
          <w:tcPr>
            <w:tcW w:w="2265" w:type="dxa"/>
          </w:tcPr>
          <w:p w14:paraId="10A44A5E" w14:textId="572F7325" w:rsidR="008A1191" w:rsidRPr="0007327B" w:rsidRDefault="004F62A8" w:rsidP="006A4D50">
            <w:pPr>
              <w:pStyle w:val="TTTableText"/>
              <w:ind w:right="-2"/>
            </w:pPr>
            <w:r>
              <w:rPr>
                <w:i/>
                <w:iCs/>
              </w:rPr>
              <w:t>US – Shrimp</w:t>
            </w:r>
          </w:p>
        </w:tc>
        <w:tc>
          <w:tcPr>
            <w:tcW w:w="6795" w:type="dxa"/>
          </w:tcPr>
          <w:p w14:paraId="09C5A7BB" w14:textId="0DC71600" w:rsidR="008A1191" w:rsidRPr="0007327B" w:rsidRDefault="000A197B" w:rsidP="006A4D50">
            <w:pPr>
              <w:pStyle w:val="TTTableText"/>
              <w:ind w:right="-2"/>
            </w:pPr>
            <w:r w:rsidRPr="0077171F">
              <w:rPr>
                <w:color w:val="000000"/>
              </w:rPr>
              <w:t xml:space="preserve">Appellate Body Report, </w:t>
            </w:r>
            <w:r w:rsidRPr="0077171F">
              <w:rPr>
                <w:i/>
                <w:color w:val="000000"/>
              </w:rPr>
              <w:t>United States – Import Prohibition of Certain Shrimp and Shrimp Products</w:t>
            </w:r>
            <w:r w:rsidRPr="0077171F">
              <w:rPr>
                <w:color w:val="000000"/>
              </w:rPr>
              <w:t xml:space="preserve">, </w:t>
            </w:r>
            <w:r w:rsidRPr="00FB359A">
              <w:t>WT/DS58/AB/R</w:t>
            </w:r>
            <w:r w:rsidRPr="0077171F">
              <w:rPr>
                <w:color w:val="000000"/>
              </w:rPr>
              <w:t>, adopted 6 November 1998, DSR 1998:VII, p. 2755</w:t>
            </w:r>
          </w:p>
        </w:tc>
      </w:tr>
      <w:tr w:rsidR="004F62A8" w:rsidRPr="0007327B" w14:paraId="2D94FAE1" w14:textId="77777777" w:rsidTr="008A4C51">
        <w:trPr>
          <w:cantSplit/>
          <w:trHeight w:val="397"/>
        </w:trPr>
        <w:tc>
          <w:tcPr>
            <w:tcW w:w="2265" w:type="dxa"/>
          </w:tcPr>
          <w:p w14:paraId="512214E1" w14:textId="45E51887" w:rsidR="004F62A8" w:rsidRDefault="00D6465F" w:rsidP="006A4D50">
            <w:pPr>
              <w:pStyle w:val="TTTableText"/>
              <w:ind w:right="-2"/>
              <w:rPr>
                <w:i/>
                <w:iCs/>
              </w:rPr>
            </w:pPr>
            <w:r>
              <w:rPr>
                <w:i/>
                <w:iCs/>
              </w:rPr>
              <w:t>US – Wool Shirts and Blouses</w:t>
            </w:r>
          </w:p>
        </w:tc>
        <w:tc>
          <w:tcPr>
            <w:tcW w:w="6795" w:type="dxa"/>
          </w:tcPr>
          <w:p w14:paraId="2387D8CD" w14:textId="67FB9EE5" w:rsidR="004F62A8" w:rsidRPr="0007327B" w:rsidRDefault="00BE65D9" w:rsidP="006A4D50">
            <w:pPr>
              <w:pStyle w:val="TTTableText"/>
              <w:ind w:right="-2"/>
            </w:pPr>
            <w:r w:rsidRPr="00672950">
              <w:t xml:space="preserve">Appellate Body Report, </w:t>
            </w:r>
            <w:r w:rsidRPr="00672950">
              <w:rPr>
                <w:i/>
              </w:rPr>
              <w:t>United States – Measure Affecting Imports of Woven Wool Shirts and Blouses from India</w:t>
            </w:r>
            <w:r w:rsidRPr="00672950">
              <w:t>, WT/DS33/AB/R, adopted 23 May 1997, and Corr.1, DSR 1997:I, p. 323</w:t>
            </w:r>
          </w:p>
        </w:tc>
      </w:tr>
    </w:tbl>
    <w:p w14:paraId="37CFEB2F" w14:textId="77777777" w:rsidR="004D7079" w:rsidRPr="0007327B" w:rsidRDefault="004D7079" w:rsidP="006A4D50">
      <w:pPr>
        <w:pStyle w:val="BTNSSBodyTextNoSpacingSmall"/>
        <w:ind w:right="-2"/>
      </w:pPr>
    </w:p>
    <w:p w14:paraId="690F8B72" w14:textId="77777777" w:rsidR="00D86B4E" w:rsidRDefault="00D86B4E" w:rsidP="006A4D50">
      <w:pPr>
        <w:pStyle w:val="SHSectionHeading"/>
        <w:ind w:right="-2"/>
      </w:pPr>
    </w:p>
    <w:p w14:paraId="3E7E4B42" w14:textId="733C3D7B" w:rsidR="008A1191" w:rsidRPr="0007327B" w:rsidRDefault="004524CE" w:rsidP="006A4D50">
      <w:pPr>
        <w:pStyle w:val="SHSectionHeading"/>
        <w:ind w:right="-2"/>
      </w:pPr>
      <w:bookmarkStart w:id="1" w:name="_Toc155972419"/>
      <w:r w:rsidRPr="0007327B">
        <w:t>List of Acronyms, Abbreviations and Short Forms</w:t>
      </w:r>
      <w:bookmarkEnd w:id="1"/>
    </w:p>
    <w:tbl>
      <w:tblPr>
        <w:tblStyle w:val="TableGrid"/>
        <w:tblW w:w="5000" w:type="pct"/>
        <w:tblLook w:val="04A0" w:firstRow="1" w:lastRow="0" w:firstColumn="1" w:lastColumn="0" w:noHBand="0" w:noVBand="1"/>
      </w:tblPr>
      <w:tblGrid>
        <w:gridCol w:w="1696"/>
        <w:gridCol w:w="7364"/>
      </w:tblGrid>
      <w:tr w:rsidR="008A1191" w:rsidRPr="0007327B" w14:paraId="68C8130A" w14:textId="77777777" w:rsidTr="008A1191">
        <w:trPr>
          <w:cantSplit/>
          <w:trHeight w:val="397"/>
          <w:tblHeader/>
        </w:trPr>
        <w:tc>
          <w:tcPr>
            <w:tcW w:w="1696" w:type="dxa"/>
            <w:shd w:val="clear" w:color="auto" w:fill="D9D9D9" w:themeFill="background1" w:themeFillShade="D9"/>
          </w:tcPr>
          <w:p w14:paraId="0E19ED02" w14:textId="77777777" w:rsidR="008A1191" w:rsidRPr="0007327B" w:rsidRDefault="008A1191" w:rsidP="006A4D50">
            <w:pPr>
              <w:pStyle w:val="THTableHeading"/>
              <w:ind w:right="-2"/>
              <w:jc w:val="center"/>
            </w:pPr>
            <w:r w:rsidRPr="0007327B">
              <w:t>Abbreviation</w:t>
            </w:r>
          </w:p>
        </w:tc>
        <w:tc>
          <w:tcPr>
            <w:tcW w:w="7364" w:type="dxa"/>
            <w:shd w:val="clear" w:color="auto" w:fill="D9D9D9" w:themeFill="background1" w:themeFillShade="D9"/>
          </w:tcPr>
          <w:p w14:paraId="13A62AE3" w14:textId="77777777" w:rsidR="008A1191" w:rsidRPr="0007327B" w:rsidRDefault="008A1191" w:rsidP="006A4D50">
            <w:pPr>
              <w:pStyle w:val="THTableHeading"/>
              <w:ind w:right="-2"/>
              <w:jc w:val="center"/>
            </w:pPr>
            <w:r w:rsidRPr="0007327B">
              <w:t>Full Form or Description</w:t>
            </w:r>
          </w:p>
        </w:tc>
      </w:tr>
      <w:tr w:rsidR="008A1191" w:rsidRPr="0007327B" w14:paraId="3BD9593C" w14:textId="77777777" w:rsidTr="008A1191">
        <w:trPr>
          <w:cantSplit/>
          <w:trHeight w:val="397"/>
        </w:trPr>
        <w:tc>
          <w:tcPr>
            <w:tcW w:w="1696" w:type="dxa"/>
          </w:tcPr>
          <w:p w14:paraId="5E8F58E6" w14:textId="22998E59" w:rsidR="008A1191" w:rsidRPr="0007327B" w:rsidRDefault="00827EAC" w:rsidP="006A4D50">
            <w:pPr>
              <w:pStyle w:val="TTTableText"/>
              <w:ind w:right="-2"/>
            </w:pPr>
            <w:r>
              <w:t>DSU</w:t>
            </w:r>
          </w:p>
        </w:tc>
        <w:tc>
          <w:tcPr>
            <w:tcW w:w="7364" w:type="dxa"/>
          </w:tcPr>
          <w:p w14:paraId="3C524978" w14:textId="77F6C3C5" w:rsidR="008A1191" w:rsidRPr="0007327B" w:rsidRDefault="00827EAC" w:rsidP="006A4D50">
            <w:pPr>
              <w:pStyle w:val="TTTableText"/>
              <w:ind w:right="-2"/>
            </w:pPr>
            <w:r>
              <w:t>Understanding on Rules a</w:t>
            </w:r>
            <w:r w:rsidR="00C32857">
              <w:t>nd Procedures Governing the Settlement of Disputes</w:t>
            </w:r>
          </w:p>
        </w:tc>
      </w:tr>
      <w:tr w:rsidR="00C32857" w:rsidRPr="0007327B" w14:paraId="6C1228A4" w14:textId="77777777" w:rsidTr="008A1191">
        <w:trPr>
          <w:cantSplit/>
          <w:trHeight w:val="397"/>
        </w:trPr>
        <w:tc>
          <w:tcPr>
            <w:tcW w:w="1696" w:type="dxa"/>
          </w:tcPr>
          <w:p w14:paraId="07ABAD4E" w14:textId="04156826" w:rsidR="00C32857" w:rsidRDefault="00C32857" w:rsidP="006A4D50">
            <w:pPr>
              <w:pStyle w:val="TTTableText"/>
              <w:ind w:right="-2"/>
            </w:pPr>
            <w:r>
              <w:t>Member</w:t>
            </w:r>
          </w:p>
        </w:tc>
        <w:tc>
          <w:tcPr>
            <w:tcW w:w="7364" w:type="dxa"/>
          </w:tcPr>
          <w:p w14:paraId="60244FB1" w14:textId="436BC16E" w:rsidR="00C32857" w:rsidRPr="0007327B" w:rsidDel="00827EAC" w:rsidRDefault="00C32857" w:rsidP="006A4D50">
            <w:pPr>
              <w:pStyle w:val="TTTableText"/>
              <w:ind w:right="-2"/>
            </w:pPr>
            <w:r>
              <w:t>Member of the World Trade Organization</w:t>
            </w:r>
          </w:p>
        </w:tc>
      </w:tr>
      <w:tr w:rsidR="00C32857" w:rsidRPr="0007327B" w14:paraId="02E0144E" w14:textId="77777777" w:rsidTr="008A1191">
        <w:trPr>
          <w:cantSplit/>
          <w:trHeight w:val="397"/>
        </w:trPr>
        <w:tc>
          <w:tcPr>
            <w:tcW w:w="1696" w:type="dxa"/>
          </w:tcPr>
          <w:p w14:paraId="3187C71A" w14:textId="447E52F7" w:rsidR="00C32857" w:rsidRDefault="00C32857" w:rsidP="006A4D50">
            <w:pPr>
              <w:pStyle w:val="TTTableText"/>
              <w:ind w:right="-2"/>
            </w:pPr>
            <w:r>
              <w:t>WTO</w:t>
            </w:r>
          </w:p>
        </w:tc>
        <w:tc>
          <w:tcPr>
            <w:tcW w:w="7364" w:type="dxa"/>
          </w:tcPr>
          <w:p w14:paraId="40EDEE69" w14:textId="7E12DFE0" w:rsidR="00C32857" w:rsidRDefault="00C32857" w:rsidP="006A4D50">
            <w:pPr>
              <w:pStyle w:val="TTTableText"/>
              <w:ind w:right="-2"/>
            </w:pPr>
            <w:r>
              <w:t>World Trade Organization</w:t>
            </w:r>
          </w:p>
        </w:tc>
      </w:tr>
    </w:tbl>
    <w:p w14:paraId="1C412811" w14:textId="77777777" w:rsidR="004D7079" w:rsidRPr="0007327B" w:rsidRDefault="004D7079" w:rsidP="006A4D50">
      <w:pPr>
        <w:pStyle w:val="BTNSSBodyTextNoSpacingSmall"/>
        <w:ind w:right="-2"/>
      </w:pPr>
    </w:p>
    <w:p w14:paraId="1015A322" w14:textId="77777777" w:rsidR="00F57DC7" w:rsidRPr="0007327B" w:rsidRDefault="00F57DC7" w:rsidP="006A4D50">
      <w:pPr>
        <w:pStyle w:val="BTNSSBodyTextNoSpacingSmall"/>
        <w:ind w:right="-2"/>
      </w:pPr>
    </w:p>
    <w:p w14:paraId="003039A1" w14:textId="5D58F329" w:rsidR="006A4D50" w:rsidRDefault="006A4D50" w:rsidP="00D86B4E">
      <w:pPr>
        <w:pStyle w:val="BTBodyText"/>
      </w:pPr>
      <w:r>
        <w:br w:type="page"/>
      </w:r>
    </w:p>
    <w:p w14:paraId="55326614" w14:textId="7415B791" w:rsidR="00DA7499" w:rsidRDefault="00156790" w:rsidP="006A4D50">
      <w:pPr>
        <w:pStyle w:val="HL1HeadingLevel1"/>
        <w:ind w:left="0" w:right="-2" w:firstLine="0"/>
      </w:pPr>
      <w:bookmarkStart w:id="2" w:name="_Toc155972420"/>
      <w:r>
        <w:lastRenderedPageBreak/>
        <w:t>Australia's interest in this dispute</w:t>
      </w:r>
      <w:bookmarkEnd w:id="2"/>
    </w:p>
    <w:p w14:paraId="11F56D7E" w14:textId="680C10E1" w:rsidR="00584F0F" w:rsidRPr="00774C5B" w:rsidRDefault="00197D46" w:rsidP="006A4D50">
      <w:pPr>
        <w:pStyle w:val="P1-N1Paragraph1-Number1"/>
        <w:ind w:right="-2"/>
      </w:pPr>
      <w:r>
        <w:t xml:space="preserve">This </w:t>
      </w:r>
      <w:r w:rsidR="006604E3">
        <w:t>dispute</w:t>
      </w:r>
      <w:r w:rsidR="00544A6B" w:rsidRPr="00943C52">
        <w:t xml:space="preserve"> raise</w:t>
      </w:r>
      <w:r>
        <w:t>s</w:t>
      </w:r>
      <w:r w:rsidR="00544A6B" w:rsidRPr="00943C52">
        <w:t xml:space="preserve"> serious allegations about disguised, trade-restrictive measures, which are designed to evade scrutiny by a panel.</w:t>
      </w:r>
      <w:r w:rsidR="00544A6B">
        <w:rPr>
          <w:rStyle w:val="FootnoteReference"/>
        </w:rPr>
        <w:footnoteReference w:id="1"/>
      </w:r>
      <w:r w:rsidR="00544A6B" w:rsidRPr="00943C52">
        <w:t xml:space="preserve"> </w:t>
      </w:r>
      <w:r w:rsidR="00F74567" w:rsidRPr="00774C5B">
        <w:t xml:space="preserve">Such conduct can </w:t>
      </w:r>
      <w:r w:rsidR="00881370" w:rsidRPr="00774C5B">
        <w:t xml:space="preserve">erode </w:t>
      </w:r>
      <w:r w:rsidR="00917FCE" w:rsidRPr="00774C5B">
        <w:t xml:space="preserve">Members' </w:t>
      </w:r>
      <w:r w:rsidR="00881370" w:rsidRPr="00774C5B">
        <w:t xml:space="preserve">confidence in </w:t>
      </w:r>
      <w:r w:rsidR="00A717F3" w:rsidRPr="00774C5B">
        <w:t xml:space="preserve">the multilateral trading system, contributing to non-compliance </w:t>
      </w:r>
      <w:r w:rsidR="00A717F3" w:rsidRPr="006A4D50">
        <w:t>with the rules</w:t>
      </w:r>
      <w:r w:rsidR="008E32A6" w:rsidRPr="006A4D50">
        <w:t>.</w:t>
      </w:r>
      <w:r w:rsidR="00CF7C85" w:rsidRPr="006A4D50">
        <w:rPr>
          <w:rStyle w:val="FootnoteReference"/>
        </w:rPr>
        <w:footnoteReference w:id="2"/>
      </w:r>
      <w:r w:rsidR="008E32A6" w:rsidRPr="006A4D50">
        <w:t xml:space="preserve"> Such measures are even more concerning if they are pursued in an abusive, arbitrary or pretextual manner, in order to pressure, induce or influence a foreign government into taking, or not taking, a decision or action in order to achieve a strategic political or policy objective.</w:t>
      </w:r>
      <w:r w:rsidR="00A717F3" w:rsidRPr="00774C5B">
        <w:t xml:space="preserve"> </w:t>
      </w:r>
      <w:r w:rsidR="0088609F" w:rsidRPr="00774C5B">
        <w:t>Conduct of this nature undermines the</w:t>
      </w:r>
      <w:r w:rsidR="00881370" w:rsidRPr="00774C5B">
        <w:t xml:space="preserve"> predictability and stability of the trading environment for all Members</w:t>
      </w:r>
      <w:r w:rsidR="0088609F" w:rsidRPr="00774C5B">
        <w:t xml:space="preserve"> and it must not be legitimised</w:t>
      </w:r>
      <w:r w:rsidR="00881370" w:rsidRPr="00774C5B">
        <w:t>.</w:t>
      </w:r>
      <w:r w:rsidR="0070109E" w:rsidRPr="00774C5B">
        <w:rPr>
          <w:rStyle w:val="FootnoteReference"/>
        </w:rPr>
        <w:footnoteReference w:id="3"/>
      </w:r>
      <w:r w:rsidR="006E0E00" w:rsidRPr="00774C5B">
        <w:t xml:space="preserve"> </w:t>
      </w:r>
      <w:r w:rsidR="001B2EA8" w:rsidRPr="00774C5B">
        <w:t xml:space="preserve">Australia has </w:t>
      </w:r>
      <w:r w:rsidR="00C22783" w:rsidRPr="00774C5B">
        <w:t xml:space="preserve">consistently raised concerns about </w:t>
      </w:r>
      <w:r w:rsidR="004559DB" w:rsidRPr="00774C5B">
        <w:t>this type of conduct</w:t>
      </w:r>
      <w:r w:rsidR="001B2EA8" w:rsidRPr="00774C5B">
        <w:t xml:space="preserve">, </w:t>
      </w:r>
      <w:r w:rsidR="00936FD3" w:rsidRPr="00774C5B">
        <w:t>in a range of fora.</w:t>
      </w:r>
      <w:r w:rsidR="006E0E00" w:rsidRPr="00774C5B">
        <w:rPr>
          <w:rStyle w:val="FootnoteReference"/>
        </w:rPr>
        <w:footnoteReference w:id="4"/>
      </w:r>
    </w:p>
    <w:p w14:paraId="39F4DB8D" w14:textId="3DEC873B" w:rsidR="00AF0E8A" w:rsidRPr="00EA755D" w:rsidRDefault="00C53BD9" w:rsidP="006A4D50">
      <w:pPr>
        <w:pStyle w:val="P1-N1Paragraph1-Number1"/>
        <w:ind w:right="-2"/>
      </w:pPr>
      <w:r>
        <w:t>The</w:t>
      </w:r>
      <w:r w:rsidR="009A4A48">
        <w:t xml:space="preserve"> </w:t>
      </w:r>
      <w:r w:rsidR="003A01BA">
        <w:t xml:space="preserve">unwritten </w:t>
      </w:r>
      <w:r w:rsidR="00294508">
        <w:t xml:space="preserve">and pretextual </w:t>
      </w:r>
      <w:r w:rsidR="003A01BA">
        <w:t>nature of the measures which are alleged to have occu</w:t>
      </w:r>
      <w:r w:rsidR="00684F1B">
        <w:t xml:space="preserve">rred in this dispute </w:t>
      </w:r>
      <w:r w:rsidR="001F123D">
        <w:t xml:space="preserve">also </w:t>
      </w:r>
      <w:r w:rsidR="0087261B">
        <w:t xml:space="preserve">raise </w:t>
      </w:r>
      <w:r w:rsidR="009408E5">
        <w:t>challenging</w:t>
      </w:r>
      <w:r w:rsidR="00D92A0E">
        <w:t xml:space="preserve"> questions</w:t>
      </w:r>
      <w:r w:rsidR="003371AE">
        <w:t xml:space="preserve"> of evidence and law</w:t>
      </w:r>
      <w:r w:rsidR="009408E5">
        <w:t>.</w:t>
      </w:r>
      <w:r w:rsidR="009408E5">
        <w:rPr>
          <w:rStyle w:val="FootnoteReference"/>
        </w:rPr>
        <w:footnoteReference w:id="5"/>
      </w:r>
      <w:r w:rsidR="009408E5">
        <w:t xml:space="preserve"> </w:t>
      </w:r>
      <w:r w:rsidR="00E166CA">
        <w:t>Unwritten</w:t>
      </w:r>
      <w:r w:rsidR="0087261B">
        <w:t xml:space="preserve"> or c</w:t>
      </w:r>
      <w:r w:rsidR="00AF0E8A">
        <w:t xml:space="preserve">oncealed measures </w:t>
      </w:r>
      <w:r w:rsidR="006D6A21">
        <w:t>involve an</w:t>
      </w:r>
      <w:r w:rsidR="00771BF1">
        <w:t xml:space="preserve"> inherent</w:t>
      </w:r>
      <w:r w:rsidR="00E55733">
        <w:t xml:space="preserve"> information </w:t>
      </w:r>
      <w:r w:rsidR="00771BF1">
        <w:t>asymmetry, with one side of the dispute havin</w:t>
      </w:r>
      <w:r w:rsidR="00771BF1" w:rsidRPr="00EA755D">
        <w:t>g limited evidence to prove the existence of such measures.</w:t>
      </w:r>
      <w:r w:rsidR="005D054E" w:rsidRPr="00EA755D">
        <w:rPr>
          <w:rStyle w:val="FootnoteReference"/>
        </w:rPr>
        <w:footnoteReference w:id="6"/>
      </w:r>
      <w:r w:rsidR="00771BF1" w:rsidRPr="00EA755D">
        <w:t xml:space="preserve"> The absence of written proof of the measure </w:t>
      </w:r>
      <w:r w:rsidR="00D71935" w:rsidRPr="00EA755D">
        <w:t xml:space="preserve">also </w:t>
      </w:r>
      <w:r w:rsidR="00771BF1" w:rsidRPr="00EA755D">
        <w:t>provides an easy point of rebuttal for the other side</w:t>
      </w:r>
      <w:r w:rsidR="00AF0E8A" w:rsidRPr="00EA755D">
        <w:t>.</w:t>
      </w:r>
      <w:r w:rsidR="00AF0455" w:rsidRPr="00EA755D">
        <w:rPr>
          <w:rStyle w:val="FootnoteReference"/>
        </w:rPr>
        <w:footnoteReference w:id="7"/>
      </w:r>
      <w:r w:rsidR="00790638" w:rsidRPr="00EA755D">
        <w:t xml:space="preserve"> </w:t>
      </w:r>
      <w:r w:rsidR="00550A8B" w:rsidRPr="00EA755D">
        <w:t xml:space="preserve">Measures which are disguised, progressive and fluctuating may also </w:t>
      </w:r>
      <w:r w:rsidR="0087261B" w:rsidRPr="00EA755D">
        <w:t xml:space="preserve">present </w:t>
      </w:r>
      <w:r w:rsidR="00550A8B" w:rsidRPr="00EA755D">
        <w:t>challenges for a</w:t>
      </w:r>
      <w:r w:rsidR="00E93D23" w:rsidRPr="00EA755D">
        <w:t xml:space="preserve"> complainant in framing its claims</w:t>
      </w:r>
      <w:r w:rsidR="00F97582" w:rsidRPr="00EA755D">
        <w:t xml:space="preserve"> </w:t>
      </w:r>
      <w:r w:rsidR="00E32051" w:rsidRPr="00EA755D">
        <w:t xml:space="preserve">and properly resolving the dispute, </w:t>
      </w:r>
      <w:r w:rsidR="004D620F" w:rsidRPr="00EA755D">
        <w:t xml:space="preserve">within the </w:t>
      </w:r>
      <w:r w:rsidR="00CA6CE2" w:rsidRPr="00EA755D">
        <w:t xml:space="preserve">rules of the </w:t>
      </w:r>
      <w:r w:rsidR="004D620F" w:rsidRPr="00EA755D">
        <w:t>WTO dispute settlement system</w:t>
      </w:r>
      <w:r w:rsidR="00E93D23" w:rsidRPr="00EA755D">
        <w:t>.</w:t>
      </w:r>
      <w:r w:rsidR="00970320" w:rsidRPr="00EA755D">
        <w:rPr>
          <w:rStyle w:val="FootnoteReference"/>
        </w:rPr>
        <w:footnoteReference w:id="8"/>
      </w:r>
      <w:r w:rsidR="00E93D23" w:rsidRPr="00EA755D">
        <w:t xml:space="preserve"> </w:t>
      </w:r>
      <w:r w:rsidR="00265631" w:rsidRPr="00EA755D">
        <w:t>The Panel must strike a balance between applying reasonable and appropriate flexibility in its assessment of the dispute, whilst also ensuring adequate evidentiary rigour.</w:t>
      </w:r>
      <w:r w:rsidR="00265631" w:rsidRPr="00EA755D">
        <w:rPr>
          <w:rStyle w:val="FootnoteReference"/>
        </w:rPr>
        <w:footnoteReference w:id="9"/>
      </w:r>
    </w:p>
    <w:p w14:paraId="02355CA9" w14:textId="4FD02008" w:rsidR="002D7DF1" w:rsidRDefault="00AF0E8A" w:rsidP="006A4D50">
      <w:pPr>
        <w:pStyle w:val="P1-N1Paragraph1-Number1"/>
        <w:ind w:right="-2"/>
      </w:pPr>
      <w:r w:rsidRPr="00EA755D">
        <w:t>In light of these considerations,</w:t>
      </w:r>
      <w:r w:rsidR="002D7DF1" w:rsidRPr="00EA755D">
        <w:t xml:space="preserve"> Australia places</w:t>
      </w:r>
      <w:r w:rsidRPr="00EA755D">
        <w:t xml:space="preserve"> great</w:t>
      </w:r>
      <w:r w:rsidR="002D7DF1" w:rsidRPr="00EA755D">
        <w:t xml:space="preserve"> </w:t>
      </w:r>
      <w:r w:rsidR="006F62EA" w:rsidRPr="00EA755D">
        <w:t>importance on the full</w:t>
      </w:r>
      <w:r w:rsidR="00AC105D" w:rsidRPr="00EA755D">
        <w:t xml:space="preserve"> </w:t>
      </w:r>
      <w:r w:rsidR="00AF7318" w:rsidRPr="00EA755D">
        <w:t xml:space="preserve">assessment </w:t>
      </w:r>
      <w:r w:rsidR="00EE474C" w:rsidRPr="00EA755D">
        <w:t>of the E</w:t>
      </w:r>
      <w:r w:rsidR="00293365" w:rsidRPr="00EA755D">
        <w:t xml:space="preserve">uropean </w:t>
      </w:r>
      <w:r w:rsidR="00EE474C" w:rsidRPr="00EA755D">
        <w:t>U</w:t>
      </w:r>
      <w:r w:rsidR="00293365" w:rsidRPr="00EA755D">
        <w:t>nion</w:t>
      </w:r>
      <w:r w:rsidR="00EE474C" w:rsidRPr="00EA755D">
        <w:t xml:space="preserve">'s </w:t>
      </w:r>
      <w:r w:rsidR="00324864" w:rsidRPr="00EA755D">
        <w:t>measures and claims</w:t>
      </w:r>
      <w:r w:rsidR="00FF63C5" w:rsidRPr="00EA755D">
        <w:rPr>
          <w:rStyle w:val="FootnoteReference"/>
        </w:rPr>
        <w:footnoteReference w:id="10"/>
      </w:r>
      <w:r w:rsidR="00EE474C" w:rsidRPr="00EA755D">
        <w:t xml:space="preserve"> and the </w:t>
      </w:r>
      <w:r w:rsidR="00AC105D" w:rsidRPr="00EA755D">
        <w:t xml:space="preserve">proper interpretation </w:t>
      </w:r>
      <w:r w:rsidR="00EE474C" w:rsidRPr="00EA755D">
        <w:t xml:space="preserve">and </w:t>
      </w:r>
      <w:r w:rsidR="00EE474C" w:rsidRPr="00EA755D">
        <w:lastRenderedPageBreak/>
        <w:t xml:space="preserve">application of </w:t>
      </w:r>
      <w:r w:rsidR="00AC105D" w:rsidRPr="00EA755D">
        <w:t>WTO rules</w:t>
      </w:r>
      <w:r w:rsidR="00324864" w:rsidRPr="00EA755D">
        <w:t xml:space="preserve"> to this dispute.</w:t>
      </w:r>
      <w:r w:rsidR="005D3B48" w:rsidRPr="00EA755D">
        <w:rPr>
          <w:rStyle w:val="FootnoteReference"/>
        </w:rPr>
        <w:footnoteReference w:id="11"/>
      </w:r>
      <w:r w:rsidR="00EE474C" w:rsidRPr="00EA755D">
        <w:t xml:space="preserve"> </w:t>
      </w:r>
      <w:r w:rsidR="00280433" w:rsidRPr="00EA755D">
        <w:t>In Australia's view,</w:t>
      </w:r>
      <w:r w:rsidR="00E1359D" w:rsidRPr="00EA755D">
        <w:t xml:space="preserve"> WTO rules </w:t>
      </w:r>
      <w:r w:rsidR="00F41446">
        <w:t>can</w:t>
      </w:r>
      <w:r w:rsidR="00E1359D" w:rsidRPr="00EA755D">
        <w:t xml:space="preserve"> appropriately</w:t>
      </w:r>
      <w:r w:rsidR="00DF1E66" w:rsidRPr="00EA755D">
        <w:t xml:space="preserve"> capture and discipline even disguised measures</w:t>
      </w:r>
      <w:r w:rsidR="000432EA" w:rsidRPr="00EA755D">
        <w:t xml:space="preserve">, where sufficient </w:t>
      </w:r>
      <w:r w:rsidR="00534239" w:rsidRPr="00EA755D">
        <w:t>evidence of their existence is put forward</w:t>
      </w:r>
      <w:r w:rsidR="00DF1E66" w:rsidRPr="00EA755D">
        <w:t>.</w:t>
      </w:r>
      <w:r w:rsidR="008415F0" w:rsidRPr="00EA755D">
        <w:rPr>
          <w:rStyle w:val="FootnoteReference"/>
        </w:rPr>
        <w:footnoteReference w:id="12"/>
      </w:r>
      <w:r w:rsidR="00DF1E66" w:rsidRPr="00EA755D">
        <w:t xml:space="preserve"> </w:t>
      </w:r>
      <w:r w:rsidR="002B516D" w:rsidRPr="00EA755D">
        <w:t>As part of its objective assessment of this matter under Article 11 of the DSU, the</w:t>
      </w:r>
      <w:r w:rsidR="00720AEE" w:rsidRPr="00EA755D">
        <w:t xml:space="preserve"> Panel has "ample</w:t>
      </w:r>
      <w:r w:rsidR="00720AEE">
        <w:t xml:space="preserve"> and extensive authority to undertake and control the process by which it informs itself both of the relevant facts of the dispute and of the legal norms and principles applicable to such facts</w:t>
      </w:r>
      <w:r w:rsidR="002B516D">
        <w:t>"</w:t>
      </w:r>
      <w:r w:rsidR="00720AEE">
        <w:t>.</w:t>
      </w:r>
      <w:r w:rsidR="00720AEE">
        <w:rPr>
          <w:rStyle w:val="FootnoteReference"/>
        </w:rPr>
        <w:footnoteReference w:id="13"/>
      </w:r>
    </w:p>
    <w:p w14:paraId="7263AF2A" w14:textId="00E65050" w:rsidR="00D52A17" w:rsidRPr="0007327B" w:rsidRDefault="00AF562A" w:rsidP="006A4D50">
      <w:pPr>
        <w:pStyle w:val="HL1HeadingLevel1"/>
        <w:ind w:left="0" w:right="-2" w:firstLine="0"/>
      </w:pPr>
      <w:bookmarkStart w:id="3" w:name="_Toc155972421"/>
      <w:r>
        <w:t>T</w:t>
      </w:r>
      <w:r w:rsidR="00FC6C90">
        <w:t xml:space="preserve">he </w:t>
      </w:r>
      <w:r w:rsidR="00E9649A">
        <w:t>"</w:t>
      </w:r>
      <w:r w:rsidR="00FC6C90">
        <w:t>unwritten</w:t>
      </w:r>
      <w:r w:rsidR="00E9649A">
        <w:t>"</w:t>
      </w:r>
      <w:r w:rsidR="00FC6C90">
        <w:t xml:space="preserve"> nature of a measure </w:t>
      </w:r>
      <w:r w:rsidR="00802FB1">
        <w:t>has</w:t>
      </w:r>
      <w:r w:rsidR="00B57EFE">
        <w:t xml:space="preserve"> </w:t>
      </w:r>
      <w:r w:rsidR="00EF2455">
        <w:t>significan</w:t>
      </w:r>
      <w:r w:rsidR="00802FB1">
        <w:t>ce</w:t>
      </w:r>
      <w:r w:rsidR="00041ED3">
        <w:t xml:space="preserve"> </w:t>
      </w:r>
      <w:r w:rsidR="005A2DB7">
        <w:t>–</w:t>
      </w:r>
      <w:r w:rsidR="00B57EFE">
        <w:t xml:space="preserve"> but</w:t>
      </w:r>
      <w:r w:rsidR="005A2DB7">
        <w:t xml:space="preserve"> does not create a legal rule</w:t>
      </w:r>
      <w:bookmarkEnd w:id="3"/>
    </w:p>
    <w:p w14:paraId="7877378A" w14:textId="4F824073" w:rsidR="00E4212F" w:rsidRDefault="00E4212F" w:rsidP="006A4D50">
      <w:pPr>
        <w:pStyle w:val="P1-N1Paragraph1-Number1"/>
        <w:keepNext/>
        <w:ind w:right="-2"/>
      </w:pPr>
      <w:r>
        <w:t xml:space="preserve">A complainant has considerable discretion to identify and define the measures which it seeks </w:t>
      </w:r>
      <w:r w:rsidR="00815D54">
        <w:t xml:space="preserve">to </w:t>
      </w:r>
      <w:r>
        <w:t>challenge through WTO dispute settlement.</w:t>
      </w:r>
      <w:r>
        <w:rPr>
          <w:rStyle w:val="FootnoteReference"/>
        </w:rPr>
        <w:footnoteReference w:id="14"/>
      </w:r>
      <w:r>
        <w:t xml:space="preserve"> The scope of challengeable measures is broad.</w:t>
      </w:r>
      <w:r>
        <w:rPr>
          <w:rStyle w:val="FootnoteReference"/>
        </w:rPr>
        <w:footnoteReference w:id="15"/>
      </w:r>
      <w:r>
        <w:t xml:space="preserve"> The concept is not a device to restrict Members from bringing claims in good faith</w:t>
      </w:r>
      <w:r>
        <w:rPr>
          <w:rStyle w:val="FootnoteReference"/>
        </w:rPr>
        <w:footnoteReference w:id="16"/>
      </w:r>
      <w:r>
        <w:t xml:space="preserve"> and it must</w:t>
      </w:r>
      <w:r w:rsidR="00815D54">
        <w:t xml:space="preserve"> be</w:t>
      </w:r>
      <w:r>
        <w:t xml:space="preserve"> interpreted and applied consistently with the "comprehensive nature of the right of Members to resort to [WTO] dispute settlement".</w:t>
      </w:r>
      <w:r>
        <w:rPr>
          <w:rStyle w:val="FootnoteReference"/>
        </w:rPr>
        <w:footnoteReference w:id="17"/>
      </w:r>
    </w:p>
    <w:p w14:paraId="7769DA56" w14:textId="5A3FBCD5" w:rsidR="000C7131" w:rsidRDefault="005B11B8" w:rsidP="006A4D50">
      <w:pPr>
        <w:pStyle w:val="P1-N1Paragraph1-Number1"/>
        <w:ind w:right="-2"/>
      </w:pPr>
      <w:r>
        <w:t>Ther</w:t>
      </w:r>
      <w:r w:rsidR="000C7131">
        <w:t xml:space="preserve">e are no strict legal rules or standards governing the analysis of </w:t>
      </w:r>
      <w:r w:rsidR="000C7131" w:rsidRPr="009D265F">
        <w:t xml:space="preserve">unwritten </w:t>
      </w:r>
      <w:r w:rsidR="000C7131">
        <w:t>measures, for the purpose of determining their existence as challengeable measures in the WTO dispute settlement system.</w:t>
      </w:r>
      <w:r w:rsidR="000C7131">
        <w:rPr>
          <w:rStyle w:val="FootnoteReference"/>
        </w:rPr>
        <w:footnoteReference w:id="18"/>
      </w:r>
      <w:r w:rsidR="000C7131">
        <w:t xml:space="preserve"> An unwritten measure is simply a "measure" for that purpose.</w:t>
      </w:r>
      <w:r w:rsidR="000C7131">
        <w:rPr>
          <w:rStyle w:val="FootnoteReference"/>
        </w:rPr>
        <w:footnoteReference w:id="19"/>
      </w:r>
      <w:r w:rsidR="000C7131">
        <w:t xml:space="preserve"> </w:t>
      </w:r>
    </w:p>
    <w:p w14:paraId="09510EAC" w14:textId="284B7500" w:rsidR="001B5F2E" w:rsidRDefault="00462607" w:rsidP="006A4D50">
      <w:pPr>
        <w:pStyle w:val="P1-N1Paragraph1-Number1"/>
        <w:ind w:right="-2"/>
      </w:pPr>
      <w:r>
        <w:t xml:space="preserve">The only elements which a complainant is </w:t>
      </w:r>
      <w:r w:rsidR="004A604F">
        <w:t xml:space="preserve">always required to prove </w:t>
      </w:r>
      <w:r w:rsidR="00D15F64">
        <w:t xml:space="preserve">in order to establish the existence of any </w:t>
      </w:r>
      <w:r w:rsidR="00F65A92">
        <w:t>"</w:t>
      </w:r>
      <w:r w:rsidR="00D15F64">
        <w:t>measure</w:t>
      </w:r>
      <w:r w:rsidR="00F65A92">
        <w:t>"</w:t>
      </w:r>
      <w:r w:rsidR="00D15F64">
        <w:t xml:space="preserve"> are "attribution" and "precise content"</w:t>
      </w:r>
      <w:r w:rsidR="00F01538">
        <w:t>.</w:t>
      </w:r>
      <w:r w:rsidR="00477528">
        <w:rPr>
          <w:rStyle w:val="FootnoteReference"/>
        </w:rPr>
        <w:footnoteReference w:id="20"/>
      </w:r>
      <w:r w:rsidR="00F01538">
        <w:t xml:space="preserve"> </w:t>
      </w:r>
      <w:r w:rsidR="00960C08">
        <w:t>A</w:t>
      </w:r>
      <w:r w:rsidR="00F01538">
        <w:t>dditional considerations such as</w:t>
      </w:r>
      <w:r w:rsidR="00206053">
        <w:t xml:space="preserve"> </w:t>
      </w:r>
      <w:r w:rsidR="00A50ACB">
        <w:t xml:space="preserve">"consistency of application" </w:t>
      </w:r>
      <w:r w:rsidR="00206053">
        <w:t>or</w:t>
      </w:r>
      <w:r w:rsidR="00A50ACB">
        <w:t xml:space="preserve"> "future application" </w:t>
      </w:r>
      <w:r w:rsidR="00BE4C3C">
        <w:t xml:space="preserve">are not required to be </w:t>
      </w:r>
      <w:r w:rsidR="00FF37C5">
        <w:t>proven</w:t>
      </w:r>
      <w:r w:rsidR="00F65A92">
        <w:t>,</w:t>
      </w:r>
      <w:r w:rsidR="00E732A5">
        <w:t xml:space="preserve"> </w:t>
      </w:r>
      <w:r w:rsidR="00FF37C5">
        <w:t>unless</w:t>
      </w:r>
      <w:r w:rsidR="00BE4C3C">
        <w:t xml:space="preserve"> they are a relevant characteristic of the measure</w:t>
      </w:r>
      <w:r w:rsidR="00DF04BB">
        <w:t xml:space="preserve"> at issue.</w:t>
      </w:r>
      <w:r w:rsidR="00BE4C3C">
        <w:rPr>
          <w:rStyle w:val="FootnoteReference"/>
        </w:rPr>
        <w:footnoteReference w:id="21"/>
      </w:r>
      <w:r w:rsidR="00F14F56">
        <w:t xml:space="preserve"> Analytical </w:t>
      </w:r>
      <w:r w:rsidR="00F14F56">
        <w:lastRenderedPageBreak/>
        <w:t xml:space="preserve">"devices" </w:t>
      </w:r>
      <w:r w:rsidR="004843E7">
        <w:t xml:space="preserve">may be helpful to establish the existence of certain types of measures. </w:t>
      </w:r>
      <w:r w:rsidR="003A5CE3">
        <w:t xml:space="preserve">But </w:t>
      </w:r>
      <w:r w:rsidR="00143D70">
        <w:t xml:space="preserve">the application of </w:t>
      </w:r>
      <w:r w:rsidR="003A5CE3">
        <w:t xml:space="preserve">such </w:t>
      </w:r>
      <w:r w:rsidR="004E48BE">
        <w:t>devices</w:t>
      </w:r>
      <w:r w:rsidR="003A5CE3">
        <w:t xml:space="preserve"> </w:t>
      </w:r>
      <w:r w:rsidR="00143D70">
        <w:t>is not</w:t>
      </w:r>
      <w:r w:rsidR="003A5CE3">
        <w:t xml:space="preserve"> mandatory</w:t>
      </w:r>
      <w:r w:rsidR="00E732A5">
        <w:t>,</w:t>
      </w:r>
      <w:r w:rsidR="00FD4F33">
        <w:t xml:space="preserve"> and </w:t>
      </w:r>
      <w:r w:rsidR="004711A1">
        <w:t xml:space="preserve">their previous usage </w:t>
      </w:r>
      <w:r w:rsidR="00FD4F33">
        <w:t>do</w:t>
      </w:r>
      <w:r w:rsidR="00DD4166">
        <w:t>es</w:t>
      </w:r>
      <w:r w:rsidR="00FD4F33">
        <w:t xml:space="preserve"> not support a</w:t>
      </w:r>
      <w:r w:rsidR="00261C9B">
        <w:t xml:space="preserve"> broad</w:t>
      </w:r>
      <w:r w:rsidR="007B0FCC">
        <w:t>ly-applied</w:t>
      </w:r>
      <w:r w:rsidR="003A5CE3">
        <w:t xml:space="preserve"> model for </w:t>
      </w:r>
      <w:r w:rsidR="000302B9">
        <w:t>establishing</w:t>
      </w:r>
      <w:r w:rsidR="003A5CE3">
        <w:t xml:space="preserve"> measures</w:t>
      </w:r>
      <w:r w:rsidR="00F07193">
        <w:t xml:space="preserve"> </w:t>
      </w:r>
      <w:r w:rsidR="00EE19E4">
        <w:t xml:space="preserve">based </w:t>
      </w:r>
      <w:r w:rsidR="00B97D06">
        <w:t xml:space="preserve">upon </w:t>
      </w:r>
      <w:r w:rsidR="00F92397">
        <w:t>arbitrary characteristic</w:t>
      </w:r>
      <w:r w:rsidR="006A4D50">
        <w:t>s</w:t>
      </w:r>
      <w:r w:rsidR="00F92397">
        <w:t>.</w:t>
      </w:r>
      <w:r w:rsidR="00B626D2">
        <w:rPr>
          <w:rStyle w:val="FootnoteReference"/>
        </w:rPr>
        <w:footnoteReference w:id="22"/>
      </w:r>
      <w:r w:rsidR="00C75769">
        <w:t xml:space="preserve"> </w:t>
      </w:r>
    </w:p>
    <w:p w14:paraId="148BD9FA" w14:textId="1E523130" w:rsidR="00836299" w:rsidRDefault="00836299" w:rsidP="006A4D50">
      <w:pPr>
        <w:pStyle w:val="P1-N1Paragraph1-Number1"/>
        <w:ind w:right="-2"/>
      </w:pPr>
      <w:r>
        <w:t xml:space="preserve">In Australia's </w:t>
      </w:r>
      <w:r w:rsidR="00601C51">
        <w:t>view</w:t>
      </w:r>
      <w:r>
        <w:t xml:space="preserve">, </w:t>
      </w:r>
      <w:r w:rsidR="000F6DB1">
        <w:t>any significance to be attributed to the</w:t>
      </w:r>
      <w:r>
        <w:t xml:space="preserve"> "unwritten"</w:t>
      </w:r>
      <w:r w:rsidR="00953620">
        <w:t xml:space="preserve"> nature of a measure </w:t>
      </w:r>
      <w:r w:rsidR="00DE5265">
        <w:t>will be of an</w:t>
      </w:r>
      <w:r w:rsidR="000F6DB1">
        <w:t xml:space="preserve"> </w:t>
      </w:r>
      <w:r w:rsidR="00953620">
        <w:t>evidentiary</w:t>
      </w:r>
      <w:r w:rsidR="00DE5265">
        <w:t xml:space="preserve"> nature,</w:t>
      </w:r>
      <w:r w:rsidR="000919BE">
        <w:rPr>
          <w:rStyle w:val="FootnoteReference"/>
        </w:rPr>
        <w:footnoteReference w:id="23"/>
      </w:r>
      <w:r w:rsidR="009A26F2">
        <w:t xml:space="preserve"> not </w:t>
      </w:r>
      <w:r w:rsidR="00DE5265">
        <w:t xml:space="preserve">a </w:t>
      </w:r>
      <w:r w:rsidR="009A26F2">
        <w:t>legal</w:t>
      </w:r>
      <w:r w:rsidR="003E13C1">
        <w:t xml:space="preserve"> and mandatory nature</w:t>
      </w:r>
      <w:r w:rsidR="00C31B29">
        <w:t>.</w:t>
      </w:r>
      <w:r w:rsidR="005B4F3A">
        <w:rPr>
          <w:rStyle w:val="FootnoteReference"/>
        </w:rPr>
        <w:footnoteReference w:id="24"/>
      </w:r>
      <w:r w:rsidR="006B22E7">
        <w:t xml:space="preserve"> </w:t>
      </w:r>
      <w:r w:rsidR="009975FA">
        <w:t xml:space="preserve">Allegations of unwritten or </w:t>
      </w:r>
      <w:r w:rsidR="009975FA">
        <w:rPr>
          <w:i/>
          <w:iCs/>
        </w:rPr>
        <w:t xml:space="preserve">de facto </w:t>
      </w:r>
      <w:r w:rsidR="009975FA">
        <w:t>measures</w:t>
      </w:r>
      <w:r w:rsidR="00251083">
        <w:t xml:space="preserve"> </w:t>
      </w:r>
      <w:r w:rsidR="004A01A4">
        <w:t xml:space="preserve">are likely to be supported by </w:t>
      </w:r>
      <w:r w:rsidR="00414348">
        <w:t>circumstantial evidence.</w:t>
      </w:r>
      <w:r w:rsidR="00C7013D">
        <w:rPr>
          <w:rStyle w:val="FootnoteReference"/>
        </w:rPr>
        <w:footnoteReference w:id="25"/>
      </w:r>
      <w:r w:rsidR="007C0FA9">
        <w:t xml:space="preserve"> </w:t>
      </w:r>
      <w:r w:rsidR="001B2461">
        <w:t xml:space="preserve">The </w:t>
      </w:r>
      <w:r w:rsidR="00414348">
        <w:t xml:space="preserve">indirect nature of such evidence </w:t>
      </w:r>
      <w:r w:rsidR="004B5BC1">
        <w:t>will</w:t>
      </w:r>
      <w:r w:rsidR="00414348">
        <w:t xml:space="preserve"> </w:t>
      </w:r>
      <w:r w:rsidR="001B2461">
        <w:t>invariably</w:t>
      </w:r>
      <w:r w:rsidR="007C0FA9">
        <w:t xml:space="preserve"> inform a panel's approach to </w:t>
      </w:r>
      <w:r w:rsidR="0026645C">
        <w:t xml:space="preserve">the </w:t>
      </w:r>
      <w:r w:rsidR="00A15481">
        <w:t xml:space="preserve">analysis of the existence of </w:t>
      </w:r>
      <w:r w:rsidR="001B2461">
        <w:t>the</w:t>
      </w:r>
      <w:r w:rsidR="00A15481">
        <w:t xml:space="preserve"> measure</w:t>
      </w:r>
      <w:r w:rsidR="001B2461">
        <w:t xml:space="preserve"> at issue</w:t>
      </w:r>
      <w:r w:rsidR="00CA0D44">
        <w:t>,</w:t>
      </w:r>
      <w:r w:rsidR="00F32BC6">
        <w:t xml:space="preserve"> to some extent.</w:t>
      </w:r>
      <w:r w:rsidR="0026645C">
        <w:rPr>
          <w:rStyle w:val="FootnoteReference"/>
        </w:rPr>
        <w:footnoteReference w:id="26"/>
      </w:r>
      <w:r w:rsidR="0026645C">
        <w:t xml:space="preserve"> </w:t>
      </w:r>
      <w:r w:rsidR="00714BC7">
        <w:t>But it does not create a rule.</w:t>
      </w:r>
      <w:r w:rsidR="0094359C">
        <w:rPr>
          <w:rStyle w:val="FootnoteReference"/>
        </w:rPr>
        <w:footnoteReference w:id="27"/>
      </w:r>
      <w:r w:rsidR="00714BC7">
        <w:t xml:space="preserve"> </w:t>
      </w:r>
    </w:p>
    <w:p w14:paraId="241FB278" w14:textId="7D716632" w:rsidR="00A40E77" w:rsidRDefault="00AF562A" w:rsidP="006A4D50">
      <w:pPr>
        <w:pStyle w:val="HL1HeadingLevel1"/>
        <w:ind w:left="0" w:right="-2" w:firstLine="0"/>
      </w:pPr>
      <w:bookmarkStart w:id="4" w:name="_Toc155972422"/>
      <w:r>
        <w:t>E</w:t>
      </w:r>
      <w:r w:rsidR="00F441D8">
        <w:t>xistence of a measure: e</w:t>
      </w:r>
      <w:r w:rsidR="00A40E77">
        <w:t>videntiary considerations</w:t>
      </w:r>
      <w:bookmarkEnd w:id="4"/>
    </w:p>
    <w:p w14:paraId="41121377" w14:textId="78ED8F3E" w:rsidR="00601C51" w:rsidRPr="00657B51" w:rsidRDefault="00A40E77" w:rsidP="006A4D50">
      <w:pPr>
        <w:pStyle w:val="HL2HeadingLevel2"/>
        <w:tabs>
          <w:tab w:val="clear" w:pos="1702"/>
          <w:tab w:val="num" w:pos="851"/>
        </w:tabs>
        <w:ind w:left="0" w:right="-2" w:firstLine="0"/>
      </w:pPr>
      <w:bookmarkStart w:id="5" w:name="_Toc155972423"/>
      <w:r>
        <w:t>A</w:t>
      </w:r>
      <w:r w:rsidR="00601C51" w:rsidRPr="00657B51">
        <w:t xml:space="preserve"> panel's approach to </w:t>
      </w:r>
      <w:r w:rsidR="003945AF">
        <w:t xml:space="preserve">the </w:t>
      </w:r>
      <w:r w:rsidR="00601C51" w:rsidRPr="00657B51">
        <w:t>evidence is case-specific</w:t>
      </w:r>
      <w:bookmarkEnd w:id="5"/>
      <w:r w:rsidR="00FD4B24">
        <w:t xml:space="preserve"> </w:t>
      </w:r>
    </w:p>
    <w:p w14:paraId="20DC3BE1" w14:textId="40BEA4FF" w:rsidR="00DF1923" w:rsidRDefault="00165C20" w:rsidP="006A4D50">
      <w:pPr>
        <w:pStyle w:val="P1-N1Paragraph1-Number1"/>
        <w:ind w:right="-2"/>
      </w:pPr>
      <w:r w:rsidRPr="00165C20">
        <w:t>It is well-established that "precisely how much and precisely what kind of evidence will be required to establish [a presumption that what is claimed is true] will necessarily vary from measure to measure, provision to provision, and case to case."</w:t>
      </w:r>
      <w:r w:rsidRPr="007A6755">
        <w:rPr>
          <w:rStyle w:val="FootnoteReference"/>
        </w:rPr>
        <w:footnoteReference w:id="28"/>
      </w:r>
      <w:r w:rsidR="00EC6A98">
        <w:t xml:space="preserve"> </w:t>
      </w:r>
      <w:r w:rsidR="00C25EDD">
        <w:t>It does not follow from this</w:t>
      </w:r>
      <w:r w:rsidR="00CB15F1">
        <w:t xml:space="preserve"> that </w:t>
      </w:r>
      <w:r w:rsidR="009A4C1C">
        <w:t>panels should take a consistent approach</w:t>
      </w:r>
      <w:r w:rsidR="00431073">
        <w:t xml:space="preserve"> to the</w:t>
      </w:r>
      <w:r w:rsidR="00C25EDD">
        <w:t xml:space="preserve"> evidence</w:t>
      </w:r>
      <w:r w:rsidR="00E165C8">
        <w:t xml:space="preserve"> </w:t>
      </w:r>
      <w:r w:rsidR="00240D77">
        <w:t xml:space="preserve">applicable to </w:t>
      </w:r>
      <w:r w:rsidR="009A4C1C">
        <w:t>persistent features of measures</w:t>
      </w:r>
      <w:r w:rsidR="00714BC7">
        <w:t>,</w:t>
      </w:r>
      <w:r w:rsidR="00FC193D">
        <w:rPr>
          <w:rStyle w:val="FootnoteReference"/>
        </w:rPr>
        <w:footnoteReference w:id="29"/>
      </w:r>
      <w:r w:rsidR="00FD0673">
        <w:t xml:space="preserve"> or that the standard of proof</w:t>
      </w:r>
      <w:r w:rsidR="000C0761">
        <w:t xml:space="preserve"> to establish the existence of a measure</w:t>
      </w:r>
      <w:r w:rsidR="00FD0673">
        <w:t xml:space="preserve"> </w:t>
      </w:r>
      <w:r w:rsidR="00137634">
        <w:t>changes in response to the nature of a measure.</w:t>
      </w:r>
      <w:r w:rsidR="00137634" w:rsidRPr="007A6755">
        <w:rPr>
          <w:rStyle w:val="FootnoteReference"/>
        </w:rPr>
        <w:footnoteReference w:id="30"/>
      </w:r>
      <w:r w:rsidR="00040B62">
        <w:t xml:space="preserve"> Rather, a </w:t>
      </w:r>
      <w:r w:rsidR="001C1FC4">
        <w:t>p</w:t>
      </w:r>
      <w:r w:rsidR="00040B62">
        <w:t>anel should</w:t>
      </w:r>
      <w:r w:rsidR="000B3091">
        <w:t xml:space="preserve"> carefully</w:t>
      </w:r>
      <w:r w:rsidR="00040B62">
        <w:t xml:space="preserve"> assess the evidence </w:t>
      </w:r>
      <w:r w:rsidR="0061699C">
        <w:t xml:space="preserve">of the existence of </w:t>
      </w:r>
      <w:r w:rsidR="0083763B">
        <w:t xml:space="preserve">a </w:t>
      </w:r>
      <w:r w:rsidR="0061699C">
        <w:t xml:space="preserve">measure </w:t>
      </w:r>
      <w:r w:rsidR="00CD63B0">
        <w:t>in light of the circumstances of the particular case</w:t>
      </w:r>
      <w:r w:rsidR="0072474F" w:rsidRPr="007A6755">
        <w:rPr>
          <w:rStyle w:val="FootnoteReference"/>
        </w:rPr>
        <w:footnoteReference w:id="31"/>
      </w:r>
      <w:r w:rsidR="00040B62">
        <w:t xml:space="preserve"> and </w:t>
      </w:r>
      <w:r w:rsidR="00C00184">
        <w:t>in totality</w:t>
      </w:r>
      <w:r w:rsidR="00D57AB8">
        <w:t>.</w:t>
      </w:r>
      <w:r w:rsidR="0072474F" w:rsidRPr="007A6755">
        <w:rPr>
          <w:rStyle w:val="FootnoteReference"/>
        </w:rPr>
        <w:footnoteReference w:id="32"/>
      </w:r>
    </w:p>
    <w:p w14:paraId="0A99884A" w14:textId="0C107D2D" w:rsidR="000A6EFF" w:rsidRDefault="00555882" w:rsidP="006A4D50">
      <w:pPr>
        <w:pStyle w:val="P1-N1Paragraph1-Number1"/>
        <w:ind w:right="-2"/>
      </w:pPr>
      <w:r>
        <w:t>In particular, while</w:t>
      </w:r>
      <w:r w:rsidR="00E666B7">
        <w:t xml:space="preserve"> </w:t>
      </w:r>
      <w:r w:rsidR="00B75692">
        <w:t xml:space="preserve">the evidence </w:t>
      </w:r>
      <w:r w:rsidR="00814FBF">
        <w:t>of</w:t>
      </w:r>
      <w:r w:rsidR="0083763B">
        <w:t xml:space="preserve"> an</w:t>
      </w:r>
      <w:r w:rsidR="00B75692">
        <w:t xml:space="preserve"> unwritten measure may tend towards being circumstantial in nature, </w:t>
      </w:r>
      <w:r w:rsidR="003D7C75">
        <w:t xml:space="preserve">that factor does not </w:t>
      </w:r>
      <w:r w:rsidR="00245A7C">
        <w:t xml:space="preserve">support a </w:t>
      </w:r>
      <w:r w:rsidR="00431073">
        <w:t xml:space="preserve">specific </w:t>
      </w:r>
      <w:r w:rsidR="00BA6F7C">
        <w:t>legal standard for the</w:t>
      </w:r>
      <w:r w:rsidR="00431073">
        <w:t xml:space="preserve"> evidence of </w:t>
      </w:r>
      <w:r w:rsidR="003D7C75">
        <w:t>unwritten measures</w:t>
      </w:r>
      <w:r w:rsidR="00A1702E">
        <w:t>.</w:t>
      </w:r>
      <w:r w:rsidR="00374F2A">
        <w:rPr>
          <w:rStyle w:val="FootnoteReference"/>
        </w:rPr>
        <w:footnoteReference w:id="33"/>
      </w:r>
      <w:r w:rsidR="00A1702E">
        <w:t xml:space="preserve"> </w:t>
      </w:r>
      <w:r w:rsidR="00A325C8">
        <w:t>Just</w:t>
      </w:r>
      <w:r w:rsidR="00EB61D2">
        <w:t xml:space="preserve"> like </w:t>
      </w:r>
      <w:r w:rsidR="00B470A6">
        <w:t>direct evidence</w:t>
      </w:r>
      <w:r w:rsidR="00EB61D2">
        <w:t xml:space="preserve">, </w:t>
      </w:r>
      <w:r w:rsidR="00DC38CB">
        <w:t xml:space="preserve">a single piece of </w:t>
      </w:r>
      <w:r w:rsidR="00DC3933">
        <w:t xml:space="preserve">circumstantial evidence </w:t>
      </w:r>
      <w:r w:rsidR="00DC3933">
        <w:lastRenderedPageBreak/>
        <w:t>may still be relied upon to</w:t>
      </w:r>
      <w:r w:rsidR="000A6EFF">
        <w:t xml:space="preserve"> establish a fact</w:t>
      </w:r>
      <w:r w:rsidR="005D6AC9">
        <w:t>.</w:t>
      </w:r>
      <w:r w:rsidR="000A6EFF">
        <w:rPr>
          <w:rStyle w:val="FootnoteReference"/>
        </w:rPr>
        <w:footnoteReference w:id="34"/>
      </w:r>
      <w:r w:rsidR="00241229">
        <w:t xml:space="preserve"> </w:t>
      </w:r>
      <w:r w:rsidR="00DC3933">
        <w:t xml:space="preserve">The key question is whether the evidence before </w:t>
      </w:r>
      <w:r w:rsidR="000064AF">
        <w:t>a</w:t>
      </w:r>
      <w:r w:rsidR="00DC3933">
        <w:t xml:space="preserve"> panel</w:t>
      </w:r>
      <w:r w:rsidR="00F85072">
        <w:t xml:space="preserve"> </w:t>
      </w:r>
      <w:r w:rsidR="000064AF">
        <w:t xml:space="preserve">is </w:t>
      </w:r>
      <w:r w:rsidR="00F85072">
        <w:t xml:space="preserve">sufficient </w:t>
      </w:r>
      <w:r w:rsidR="009F2C06">
        <w:t xml:space="preserve">to </w:t>
      </w:r>
      <w:r w:rsidR="000064AF">
        <w:t>establish a fact</w:t>
      </w:r>
      <w:r w:rsidR="00BB2958">
        <w:t xml:space="preserve"> </w:t>
      </w:r>
      <w:r w:rsidR="00F85072">
        <w:t xml:space="preserve">- </w:t>
      </w:r>
      <w:r w:rsidR="009F2C06">
        <w:t>whether that is done through 1 o</w:t>
      </w:r>
      <w:r w:rsidR="006F4315">
        <w:t>r</w:t>
      </w:r>
      <w:r w:rsidR="009F2C06">
        <w:t xml:space="preserve"> 900 exhibits</w:t>
      </w:r>
      <w:r w:rsidR="009F2C06">
        <w:rPr>
          <w:rStyle w:val="FootnoteReference"/>
        </w:rPr>
        <w:footnoteReference w:id="35"/>
      </w:r>
      <w:r w:rsidR="00CA2A1C">
        <w:t xml:space="preserve"> and whether that evidence is circumstantial or otherwise. </w:t>
      </w:r>
      <w:r w:rsidR="00E260BC">
        <w:t xml:space="preserve">There is no requirement </w:t>
      </w:r>
      <w:r w:rsidR="00BB34F0">
        <w:t>of</w:t>
      </w:r>
      <w:r w:rsidR="00E260BC">
        <w:t xml:space="preserve"> a "high </w:t>
      </w:r>
      <w:r w:rsidR="00FD357A">
        <w:t>bar</w:t>
      </w:r>
      <w:r w:rsidR="00E260BC">
        <w:t>"</w:t>
      </w:r>
      <w:r w:rsidR="0097741C">
        <w:t>,</w:t>
      </w:r>
      <w:r w:rsidR="00E260BC">
        <w:rPr>
          <w:rStyle w:val="FootnoteReference"/>
        </w:rPr>
        <w:footnoteReference w:id="36"/>
      </w:r>
      <w:r w:rsidR="00FD357A">
        <w:t xml:space="preserve"> </w:t>
      </w:r>
      <w:r w:rsidR="00B102A3">
        <w:t xml:space="preserve">a </w:t>
      </w:r>
      <w:r w:rsidR="00FD357A">
        <w:t>high volume of evidence</w:t>
      </w:r>
      <w:r w:rsidR="0097741C">
        <w:t>,</w:t>
      </w:r>
      <w:r w:rsidR="00815D54">
        <w:rPr>
          <w:rStyle w:val="FootnoteReference"/>
        </w:rPr>
        <w:footnoteReference w:id="37"/>
      </w:r>
      <w:r w:rsidR="00560FC7">
        <w:t xml:space="preserve"> nor any standard of consistency,</w:t>
      </w:r>
      <w:r w:rsidR="00C737CE">
        <w:rPr>
          <w:rStyle w:val="FootnoteReference"/>
        </w:rPr>
        <w:footnoteReference w:id="38"/>
      </w:r>
      <w:r w:rsidR="00A26ED6">
        <w:t xml:space="preserve"> </w:t>
      </w:r>
      <w:r w:rsidR="00560FC7">
        <w:t>applicable to</w:t>
      </w:r>
      <w:r w:rsidR="00A26ED6">
        <w:t xml:space="preserve"> </w:t>
      </w:r>
      <w:r w:rsidR="00743562">
        <w:t>unwritten measures</w:t>
      </w:r>
      <w:r w:rsidR="00A26ED6">
        <w:t>.</w:t>
      </w:r>
      <w:r w:rsidR="009726D6">
        <w:rPr>
          <w:rStyle w:val="FootnoteReference"/>
        </w:rPr>
        <w:footnoteReference w:id="39"/>
      </w:r>
    </w:p>
    <w:p w14:paraId="027AC36B" w14:textId="3C74D59F" w:rsidR="00616805" w:rsidRDefault="004F0594" w:rsidP="006A4D50">
      <w:pPr>
        <w:pStyle w:val="P1-N1Paragraph1-Number1"/>
        <w:ind w:right="-2"/>
      </w:pPr>
      <w:r>
        <w:t xml:space="preserve">However, </w:t>
      </w:r>
      <w:r w:rsidR="008F6BFF">
        <w:t xml:space="preserve">circumstantial evidence may </w:t>
      </w:r>
      <w:r w:rsidR="000B038A">
        <w:t>present</w:t>
      </w:r>
      <w:r w:rsidR="008F6BFF">
        <w:t xml:space="preserve"> challenges for a panel</w:t>
      </w:r>
      <w:r w:rsidR="00712CEC">
        <w:t>,</w:t>
      </w:r>
      <w:r w:rsidR="008F6BFF">
        <w:t xml:space="preserve"> in </w:t>
      </w:r>
      <w:r w:rsidR="000B038A">
        <w:t xml:space="preserve">properly </w:t>
      </w:r>
      <w:r w:rsidR="008F6BFF">
        <w:t xml:space="preserve">assessing </w:t>
      </w:r>
      <w:r w:rsidR="000B038A">
        <w:t xml:space="preserve">the </w:t>
      </w:r>
      <w:r w:rsidR="008B394F">
        <w:t xml:space="preserve">meaning and </w:t>
      </w:r>
      <w:r w:rsidR="000B038A">
        <w:t>weight</w:t>
      </w:r>
      <w:r w:rsidR="008F6BFF">
        <w:t xml:space="preserve"> to be ascribed to such evidence</w:t>
      </w:r>
      <w:r w:rsidR="0015247C">
        <w:t>. Th</w:t>
      </w:r>
      <w:r w:rsidR="005B2395">
        <w:t xml:space="preserve">at </w:t>
      </w:r>
      <w:r w:rsidR="00616805">
        <w:t xml:space="preserve">can </w:t>
      </w:r>
      <w:r w:rsidR="008F6BFF">
        <w:t xml:space="preserve">"only be </w:t>
      </w:r>
      <w:r w:rsidR="00847EFA">
        <w:t>determined in the specific circumstances of each case."</w:t>
      </w:r>
      <w:r w:rsidR="00951D60">
        <w:rPr>
          <w:rStyle w:val="FootnoteReference"/>
        </w:rPr>
        <w:footnoteReference w:id="40"/>
      </w:r>
      <w:r w:rsidR="00052590">
        <w:t xml:space="preserve"> </w:t>
      </w:r>
      <w:r w:rsidR="00323209">
        <w:t xml:space="preserve">In undertaking this </w:t>
      </w:r>
      <w:r w:rsidR="009A4458">
        <w:t>analysis</w:t>
      </w:r>
      <w:r w:rsidR="00323209">
        <w:t xml:space="preserve">, a panel should engage in a "cumulative appreciation of all of the evidence", assessing the </w:t>
      </w:r>
      <w:r w:rsidR="00B6155A">
        <w:t xml:space="preserve">probative value </w:t>
      </w:r>
      <w:r w:rsidR="00323209">
        <w:t>of circumstantial evidence in light of other evidence.</w:t>
      </w:r>
      <w:r w:rsidR="007606A6">
        <w:rPr>
          <w:rStyle w:val="FootnoteReference"/>
        </w:rPr>
        <w:footnoteReference w:id="41"/>
      </w:r>
      <w:r w:rsidR="00C92058">
        <w:t xml:space="preserve"> As the Appellate Body has stated, "a piece of evidence</w:t>
      </w:r>
      <w:r w:rsidR="00E112B6">
        <w:t xml:space="preserve"> that may initially appear to be of little or no probative value, when viewed in isolation, </w:t>
      </w:r>
      <w:r w:rsidR="00E112B6">
        <w:rPr>
          <w:i/>
          <w:iCs/>
        </w:rPr>
        <w:t>could</w:t>
      </w:r>
      <w:r w:rsidR="00E112B6">
        <w:t>, when placed beside another piece of evidence of the same nature, form part of an overall picture that gives rise to a reasonable inference".</w:t>
      </w:r>
      <w:r w:rsidR="00E112B6">
        <w:rPr>
          <w:rStyle w:val="FootnoteReference"/>
        </w:rPr>
        <w:footnoteReference w:id="42"/>
      </w:r>
    </w:p>
    <w:p w14:paraId="75AC362F" w14:textId="65926C55" w:rsidR="00C13CB6" w:rsidRDefault="00110B96" w:rsidP="006A4D50">
      <w:pPr>
        <w:pStyle w:val="P1-N1Paragraph1-Number1"/>
        <w:ind w:right="-2"/>
      </w:pPr>
      <w:r>
        <w:t>In that connection, the</w:t>
      </w:r>
      <w:r w:rsidR="00616805">
        <w:t xml:space="preserve"> context of an unwritten measure </w:t>
      </w:r>
      <w:r w:rsidR="00007801">
        <w:t xml:space="preserve">can </w:t>
      </w:r>
      <w:r w:rsidR="00323209">
        <w:t>be</w:t>
      </w:r>
      <w:r w:rsidR="00616805">
        <w:t xml:space="preserve"> particularly </w:t>
      </w:r>
      <w:r w:rsidR="005D59DF">
        <w:t xml:space="preserve">important </w:t>
      </w:r>
      <w:r w:rsidR="009A4458">
        <w:t>to inform a</w:t>
      </w:r>
      <w:r w:rsidR="005D59DF">
        <w:t xml:space="preserve"> panel's consideratio</w:t>
      </w:r>
      <w:r w:rsidR="00616805">
        <w:t xml:space="preserve">n of the evidence of </w:t>
      </w:r>
      <w:r w:rsidR="003837CC">
        <w:t xml:space="preserve">the existence of </w:t>
      </w:r>
      <w:r>
        <w:t>unwritten measures</w:t>
      </w:r>
      <w:r w:rsidR="005D59DF">
        <w:t xml:space="preserve">. For example, the allegedly </w:t>
      </w:r>
      <w:r w:rsidR="00835CFD">
        <w:t xml:space="preserve">pretextual </w:t>
      </w:r>
      <w:r w:rsidR="00C13CB6">
        <w:t>nature of a</w:t>
      </w:r>
      <w:r w:rsidR="006C592B">
        <w:t>n unwritten</w:t>
      </w:r>
      <w:r w:rsidR="00C13CB6">
        <w:t xml:space="preserve"> measure may </w:t>
      </w:r>
      <w:r w:rsidR="00835CFD">
        <w:t>suggest that certain evidenc</w:t>
      </w:r>
      <w:r w:rsidR="006E4893">
        <w:t xml:space="preserve">e – such as that </w:t>
      </w:r>
      <w:r w:rsidR="00007801">
        <w:t>which seeks to rely upon the very circumstances through which the measure is allegedly disguised</w:t>
      </w:r>
      <w:r w:rsidR="006C592B">
        <w:t xml:space="preserve"> -</w:t>
      </w:r>
      <w:r w:rsidR="00007801">
        <w:t xml:space="preserve"> is of limited probative value</w:t>
      </w:r>
      <w:r w:rsidR="006C592B">
        <w:t xml:space="preserve"> in </w:t>
      </w:r>
      <w:r w:rsidR="00840429">
        <w:t>analysing</w:t>
      </w:r>
      <w:r w:rsidR="006C592B">
        <w:t xml:space="preserve"> that measure'</w:t>
      </w:r>
      <w:r w:rsidR="00840429">
        <w:t>s</w:t>
      </w:r>
      <w:r w:rsidR="006C592B">
        <w:t xml:space="preserve"> existence.</w:t>
      </w:r>
      <w:r w:rsidR="000B5528">
        <w:rPr>
          <w:rStyle w:val="FootnoteReference"/>
        </w:rPr>
        <w:footnoteReference w:id="43"/>
      </w:r>
      <w:r w:rsidR="00653388">
        <w:t xml:space="preserve"> In a similar vein, the possibility that a Member could "insulate itself from effective discipline"</w:t>
      </w:r>
      <w:r w:rsidR="00194112">
        <w:t xml:space="preserve"> </w:t>
      </w:r>
      <w:r w:rsidR="00E8309C">
        <w:t xml:space="preserve">may also inform a panel's assessment of </w:t>
      </w:r>
      <w:r w:rsidR="00C26535">
        <w:t xml:space="preserve">the weight of certain </w:t>
      </w:r>
      <w:r w:rsidR="00E8309C">
        <w:lastRenderedPageBreak/>
        <w:t>circumstantial evidence.</w:t>
      </w:r>
      <w:r w:rsidR="00E8309C">
        <w:rPr>
          <w:rStyle w:val="FootnoteReference"/>
        </w:rPr>
        <w:footnoteReference w:id="44"/>
      </w:r>
      <w:r w:rsidR="0064062C">
        <w:t xml:space="preserve"> It is appropriate for a panel to give consideration to the "overall situation as an integrated whole" in its approach to the evidence before it.</w:t>
      </w:r>
      <w:r w:rsidR="001E3C55">
        <w:rPr>
          <w:rStyle w:val="FootnoteReference"/>
        </w:rPr>
        <w:footnoteReference w:id="45"/>
      </w:r>
    </w:p>
    <w:p w14:paraId="7743E8EE" w14:textId="53BF1A03" w:rsidR="00E834DB" w:rsidRDefault="00A40E77" w:rsidP="006A4D50">
      <w:pPr>
        <w:pStyle w:val="HL2HeadingLevel2"/>
        <w:tabs>
          <w:tab w:val="clear" w:pos="1702"/>
          <w:tab w:val="num" w:pos="851"/>
        </w:tabs>
        <w:ind w:left="0" w:right="-2" w:firstLine="0"/>
      </w:pPr>
      <w:bookmarkStart w:id="6" w:name="_Toc155972424"/>
      <w:r>
        <w:t>A panel</w:t>
      </w:r>
      <w:r w:rsidR="00EA20A7">
        <w:t xml:space="preserve"> can take </w:t>
      </w:r>
      <w:r w:rsidR="00566B86">
        <w:t>an active role in assessing the evidence before it</w:t>
      </w:r>
      <w:bookmarkEnd w:id="6"/>
      <w:r w:rsidR="007E1F3E">
        <w:t xml:space="preserve"> </w:t>
      </w:r>
    </w:p>
    <w:p w14:paraId="4F7F80F5" w14:textId="007DD6A4" w:rsidR="00CB6843" w:rsidRDefault="005B1D1B" w:rsidP="006A4D50">
      <w:pPr>
        <w:pStyle w:val="P1-N1Paragraph1-Number1"/>
        <w:ind w:right="-2"/>
      </w:pPr>
      <w:r>
        <w:t xml:space="preserve">Proving the existence of a challenged measure is part of the complainant's well-established and mandatory burden in establishing its </w:t>
      </w:r>
      <w:r>
        <w:rPr>
          <w:i/>
          <w:iCs/>
        </w:rPr>
        <w:t xml:space="preserve">prima facie </w:t>
      </w:r>
      <w:r>
        <w:t>case</w:t>
      </w:r>
      <w:r w:rsidR="008F1010">
        <w:t>.</w:t>
      </w:r>
      <w:r w:rsidR="008F1010">
        <w:rPr>
          <w:rStyle w:val="FootnoteReference"/>
        </w:rPr>
        <w:footnoteReference w:id="46"/>
      </w:r>
      <w:r w:rsidR="00E4179D">
        <w:t xml:space="preserve"> </w:t>
      </w:r>
      <w:r w:rsidR="00150F6B">
        <w:t xml:space="preserve">This does not mean that a panel is "frozen into inactivity" while the </w:t>
      </w:r>
      <w:r w:rsidR="00CE2566">
        <w:t xml:space="preserve">complainant </w:t>
      </w:r>
      <w:r w:rsidR="00086305">
        <w:t xml:space="preserve">seeks to </w:t>
      </w:r>
      <w:r w:rsidR="00CE2566">
        <w:t>discharge that burden</w:t>
      </w:r>
      <w:r w:rsidR="00150F6B">
        <w:t>.</w:t>
      </w:r>
      <w:r w:rsidR="00150F6B">
        <w:rPr>
          <w:rStyle w:val="FootnoteReference"/>
        </w:rPr>
        <w:footnoteReference w:id="47"/>
      </w:r>
      <w:r w:rsidR="00150F6B">
        <w:t xml:space="preserve"> </w:t>
      </w:r>
    </w:p>
    <w:p w14:paraId="62E38F9E" w14:textId="5D11A425" w:rsidR="00911480" w:rsidRDefault="00813F38" w:rsidP="006A4D50">
      <w:pPr>
        <w:pStyle w:val="P1-N1Paragraph1-Number1"/>
        <w:ind w:right="-2"/>
      </w:pPr>
      <w:r>
        <w:t>A</w:t>
      </w:r>
      <w:r w:rsidR="007F50FC">
        <w:t xml:space="preserve"> </w:t>
      </w:r>
      <w:r w:rsidR="00A040F3">
        <w:t>p</w:t>
      </w:r>
      <w:r w:rsidR="007F50FC">
        <w:t xml:space="preserve">anel is empowered to seek additional information which </w:t>
      </w:r>
      <w:r w:rsidR="00B474AE">
        <w:t>will elucidate its understanding of the evidence before it</w:t>
      </w:r>
      <w:r w:rsidR="00137BCF">
        <w:t>,</w:t>
      </w:r>
      <w:r w:rsidR="00D02090">
        <w:t xml:space="preserve"> at any time</w:t>
      </w:r>
      <w:r w:rsidR="00225592">
        <w:t xml:space="preserve">, </w:t>
      </w:r>
      <w:r w:rsidR="006B2FD1">
        <w:t>pursuant to</w:t>
      </w:r>
      <w:r w:rsidR="00225592">
        <w:t xml:space="preserve"> Article 13 of the DSU.</w:t>
      </w:r>
      <w:r w:rsidR="00D02090">
        <w:rPr>
          <w:rStyle w:val="FootnoteReference"/>
        </w:rPr>
        <w:footnoteReference w:id="48"/>
      </w:r>
      <w:r w:rsidR="00B474AE">
        <w:t xml:space="preserve"> </w:t>
      </w:r>
      <w:r w:rsidR="00E4179D">
        <w:t xml:space="preserve">It </w:t>
      </w:r>
      <w:r w:rsidR="00115227">
        <w:t xml:space="preserve">may take account of </w:t>
      </w:r>
      <w:r w:rsidR="00192678">
        <w:t>any failure to provide requested information</w:t>
      </w:r>
      <w:r w:rsidR="00E4179D">
        <w:t>,</w:t>
      </w:r>
      <w:r w:rsidR="00192678">
        <w:t xml:space="preserve"> in assessing the evidence on record and conclusions which should be drawn from it.</w:t>
      </w:r>
      <w:r w:rsidR="009A224C">
        <w:rPr>
          <w:rStyle w:val="FootnoteReference"/>
        </w:rPr>
        <w:footnoteReference w:id="49"/>
      </w:r>
      <w:r w:rsidR="00557207">
        <w:t xml:space="preserve"> </w:t>
      </w:r>
    </w:p>
    <w:p w14:paraId="648254C5" w14:textId="0924C4B9" w:rsidR="00110394" w:rsidRDefault="00557207" w:rsidP="006A4D50">
      <w:pPr>
        <w:pStyle w:val="P1-N1Paragraph1-Number1"/>
        <w:ind w:right="-2"/>
      </w:pPr>
      <w:r>
        <w:t>In Australia's view, th</w:t>
      </w:r>
      <w:r w:rsidR="00880DFB">
        <w:t xml:space="preserve">e Panel is entitled to seek further information which will assist it to examine China's </w:t>
      </w:r>
      <w:r w:rsidR="009D3E11">
        <w:t>arguments in its first written submission</w:t>
      </w:r>
      <w:r w:rsidR="00880DFB">
        <w:t xml:space="preserve"> and in doing so, to make findings relevant to the </w:t>
      </w:r>
      <w:r w:rsidR="00040A21">
        <w:t>European Union's</w:t>
      </w:r>
      <w:r w:rsidR="00880DFB">
        <w:t xml:space="preserve"> </w:t>
      </w:r>
      <w:r w:rsidR="00880DFB" w:rsidRPr="00110394">
        <w:rPr>
          <w:i/>
          <w:iCs/>
        </w:rPr>
        <w:t xml:space="preserve">prima facie </w:t>
      </w:r>
      <w:r w:rsidR="00880DFB">
        <w:t>case.</w:t>
      </w:r>
      <w:r w:rsidR="00880DFB">
        <w:rPr>
          <w:rStyle w:val="FootnoteReference"/>
        </w:rPr>
        <w:footnoteReference w:id="50"/>
      </w:r>
      <w:r>
        <w:t xml:space="preserve"> </w:t>
      </w:r>
      <w:r w:rsidR="00750D33">
        <w:t xml:space="preserve">This includes information on the hypothetical justifications </w:t>
      </w:r>
      <w:r w:rsidR="00566B86">
        <w:t xml:space="preserve">which </w:t>
      </w:r>
      <w:r w:rsidR="00D416F8">
        <w:t xml:space="preserve">have been </w:t>
      </w:r>
      <w:r w:rsidR="009F70B5">
        <w:t>suggested</w:t>
      </w:r>
      <w:r w:rsidR="00566B86">
        <w:t xml:space="preserve"> by China,</w:t>
      </w:r>
      <w:r w:rsidR="00D4304D">
        <w:t xml:space="preserve"> in response to the </w:t>
      </w:r>
      <w:r w:rsidR="00566B86">
        <w:t>E</w:t>
      </w:r>
      <w:r w:rsidR="00285DF2">
        <w:t xml:space="preserve">uropean </w:t>
      </w:r>
      <w:r w:rsidR="00566B86">
        <w:t>U</w:t>
      </w:r>
      <w:r w:rsidR="00285DF2">
        <w:t>nion</w:t>
      </w:r>
      <w:r w:rsidR="00566B86">
        <w:t>'s evidence in support of the existence of the unwritten measures.</w:t>
      </w:r>
      <w:r w:rsidR="00742E50">
        <w:rPr>
          <w:rStyle w:val="FootnoteReference"/>
        </w:rPr>
        <w:footnoteReference w:id="51"/>
      </w:r>
      <w:r w:rsidR="00CA1936">
        <w:t xml:space="preserve"> </w:t>
      </w:r>
    </w:p>
    <w:p w14:paraId="7DDC20B6" w14:textId="4B7CAAF0" w:rsidR="00E8438F" w:rsidRDefault="00110394" w:rsidP="006A4D50">
      <w:pPr>
        <w:pStyle w:val="HL1HeadingLevel1"/>
        <w:ind w:left="0" w:right="-2" w:firstLine="0"/>
      </w:pPr>
      <w:bookmarkStart w:id="7" w:name="_Toc155972425"/>
      <w:r>
        <w:t>T</w:t>
      </w:r>
      <w:r w:rsidR="00C457C9">
        <w:t xml:space="preserve">he </w:t>
      </w:r>
      <w:r w:rsidR="006C42DD">
        <w:t xml:space="preserve">unwritten measures </w:t>
      </w:r>
      <w:r w:rsidR="00DD2567">
        <w:t>are interlinked, but not dependent</w:t>
      </w:r>
      <w:bookmarkEnd w:id="7"/>
    </w:p>
    <w:p w14:paraId="05EF07F4" w14:textId="20D2C5BE" w:rsidR="00FE77B8" w:rsidRDefault="00A36BF5" w:rsidP="006A4D50">
      <w:pPr>
        <w:pStyle w:val="P1-N1Paragraph1-Number1"/>
        <w:ind w:right="-2"/>
      </w:pPr>
      <w:r>
        <w:t xml:space="preserve">The </w:t>
      </w:r>
      <w:r w:rsidR="00FE77B8">
        <w:t>relationship between the unwritten measures</w:t>
      </w:r>
      <w:r w:rsidR="00231A3E">
        <w:rPr>
          <w:rStyle w:val="FootnoteReference"/>
        </w:rPr>
        <w:footnoteReference w:id="52"/>
      </w:r>
      <w:r w:rsidR="00FE77B8">
        <w:t xml:space="preserve"> is </w:t>
      </w:r>
      <w:r w:rsidR="006A56E1">
        <w:t xml:space="preserve">a key factor </w:t>
      </w:r>
      <w:r w:rsidR="00AE2BD4">
        <w:t>in the</w:t>
      </w:r>
      <w:r w:rsidR="00493D8A">
        <w:t xml:space="preserve"> Panel's order of analysis</w:t>
      </w:r>
      <w:r w:rsidR="00AE2BD4">
        <w:t xml:space="preserve"> between th</w:t>
      </w:r>
      <w:r w:rsidR="000439B0">
        <w:t>ose</w:t>
      </w:r>
      <w:r w:rsidR="00AE2BD4">
        <w:t xml:space="preserve"> measures</w:t>
      </w:r>
      <w:r w:rsidR="00493D8A">
        <w:rPr>
          <w:rStyle w:val="FootnoteReference"/>
        </w:rPr>
        <w:footnoteReference w:id="53"/>
      </w:r>
      <w:r w:rsidR="00493D8A">
        <w:t xml:space="preserve"> and the availability of judicial economy in relation to claims </w:t>
      </w:r>
      <w:r w:rsidR="006524C7">
        <w:t>as between those</w:t>
      </w:r>
      <w:r w:rsidR="00493D8A">
        <w:t xml:space="preserve"> measures.</w:t>
      </w:r>
      <w:r w:rsidR="00CD73DD">
        <w:rPr>
          <w:rStyle w:val="FootnoteReference"/>
        </w:rPr>
        <w:footnoteReference w:id="54"/>
      </w:r>
    </w:p>
    <w:p w14:paraId="3E91C9EC" w14:textId="0B0F5A45" w:rsidR="00A36BF5" w:rsidRDefault="00AE2BD4" w:rsidP="006A4D50">
      <w:pPr>
        <w:pStyle w:val="P1-N1Paragraph1-Number1"/>
        <w:ind w:right="-2"/>
      </w:pPr>
      <w:r>
        <w:t xml:space="preserve">The </w:t>
      </w:r>
      <w:r w:rsidR="00A36BF5">
        <w:t xml:space="preserve">threshold </w:t>
      </w:r>
      <w:r w:rsidR="00CD73DD">
        <w:t>issue</w:t>
      </w:r>
      <w:r w:rsidR="00A36BF5">
        <w:t xml:space="preserve"> of whether a panel is entitled to exercise judicial economy with respect to any claim "is a legal question, and it turns on whether such </w:t>
      </w:r>
      <w:r w:rsidR="00815D54">
        <w:t xml:space="preserve">a </w:t>
      </w:r>
      <w:r w:rsidR="00A36BF5">
        <w:t xml:space="preserve">ruling would be </w:t>
      </w:r>
      <w:r w:rsidR="00A36BF5">
        <w:lastRenderedPageBreak/>
        <w:t>superfluous from the perspective of implementation."</w:t>
      </w:r>
      <w:r w:rsidR="000B2123">
        <w:rPr>
          <w:rStyle w:val="FootnoteReference"/>
        </w:rPr>
        <w:footnoteReference w:id="55"/>
      </w:r>
      <w:r w:rsidR="00A36BF5">
        <w:t xml:space="preserve"> In Australia's view, the E</w:t>
      </w:r>
      <w:r w:rsidR="00293365">
        <w:t xml:space="preserve">uropean </w:t>
      </w:r>
      <w:r w:rsidR="00A36BF5">
        <w:t>U</w:t>
      </w:r>
      <w:r w:rsidR="00293365">
        <w:t>nion</w:t>
      </w:r>
      <w:r w:rsidR="00A36BF5">
        <w:t>'s characte</w:t>
      </w:r>
      <w:r w:rsidR="000B2123">
        <w:t xml:space="preserve">risation of the relationship between the unwritten measures does not support a finding that the Panel is entitled to exercise judicial economy on claims </w:t>
      </w:r>
      <w:r w:rsidR="000B2123" w:rsidRPr="000B2123">
        <w:rPr>
          <w:i/>
          <w:iCs/>
        </w:rPr>
        <w:t>as between</w:t>
      </w:r>
      <w:r w:rsidR="000B2123">
        <w:t xml:space="preserve"> those measures.</w:t>
      </w:r>
      <w:r w:rsidR="00832FC5">
        <w:rPr>
          <w:rStyle w:val="FootnoteReference"/>
        </w:rPr>
        <w:footnoteReference w:id="56"/>
      </w:r>
    </w:p>
    <w:p w14:paraId="30596065" w14:textId="02527B79" w:rsidR="008446BD" w:rsidRDefault="008446BD" w:rsidP="006A4D50">
      <w:pPr>
        <w:pStyle w:val="P1-N1Paragraph1-Number1"/>
        <w:ind w:right="-2"/>
      </w:pPr>
      <w:r>
        <w:t>Based on the E</w:t>
      </w:r>
      <w:r w:rsidR="00293365">
        <w:t xml:space="preserve">uropean </w:t>
      </w:r>
      <w:r>
        <w:t>U</w:t>
      </w:r>
      <w:r w:rsidR="00293365">
        <w:t>nion</w:t>
      </w:r>
      <w:r>
        <w:t xml:space="preserve">'s description of the measures, Australia understands that the individual measures are manifestations of the overarching measure, but do not </w:t>
      </w:r>
      <w:r>
        <w:rPr>
          <w:i/>
          <w:iCs/>
        </w:rPr>
        <w:t>comprise</w:t>
      </w:r>
      <w:r>
        <w:t xml:space="preserve"> the overarching measure</w:t>
      </w:r>
      <w:r w:rsidR="00801136">
        <w:t>.</w:t>
      </w:r>
      <w:r w:rsidR="00801136">
        <w:rPr>
          <w:rStyle w:val="FootnoteReference"/>
        </w:rPr>
        <w:footnoteReference w:id="57"/>
      </w:r>
      <w:r w:rsidR="00BC5BD3">
        <w:t xml:space="preserve"> This means that any affirmative finding concerning </w:t>
      </w:r>
      <w:r w:rsidR="001A5270">
        <w:t>a claim in respect of one of the measures would not necessarily lead to the "modification or withdrawal of the other [measure]" such that findings concerning th</w:t>
      </w:r>
      <w:r w:rsidR="00D964D9">
        <w:t>at</w:t>
      </w:r>
      <w:r w:rsidR="001A5270">
        <w:t xml:space="preserve"> other measure would then be "superfluous".</w:t>
      </w:r>
      <w:r w:rsidR="001A5270">
        <w:rPr>
          <w:rStyle w:val="FootnoteReference"/>
        </w:rPr>
        <w:footnoteReference w:id="58"/>
      </w:r>
      <w:r w:rsidR="001A5270">
        <w:t xml:space="preserve"> </w:t>
      </w:r>
      <w:r w:rsidR="00066D26">
        <w:t>On the same basis,</w:t>
      </w:r>
      <w:r w:rsidR="001A5270">
        <w:t xml:space="preserve"> any finding by the Panel that the import restriction measure does not exist as a challengeable measure, </w:t>
      </w:r>
      <w:r w:rsidR="00C457C9">
        <w:t>does not support a consequential finding that the overarching measure also does</w:t>
      </w:r>
      <w:r w:rsidR="000E7EA4">
        <w:t xml:space="preserve"> not</w:t>
      </w:r>
      <w:r w:rsidR="00C457C9">
        <w:t xml:space="preserve"> exist.</w:t>
      </w:r>
      <w:r w:rsidR="00C457C9">
        <w:rPr>
          <w:rStyle w:val="FootnoteReference"/>
        </w:rPr>
        <w:footnoteReference w:id="59"/>
      </w:r>
      <w:r w:rsidR="001A5270">
        <w:t xml:space="preserve"> </w:t>
      </w:r>
    </w:p>
    <w:p w14:paraId="30BECDD7" w14:textId="11612C31" w:rsidR="00D52A17" w:rsidRPr="0007327B" w:rsidRDefault="00DE61F4" w:rsidP="006A4D50">
      <w:pPr>
        <w:pStyle w:val="P1-N1Paragraph1-Number1"/>
        <w:ind w:right="-2"/>
      </w:pPr>
      <w:r>
        <w:t>The claims brought by the E</w:t>
      </w:r>
      <w:r w:rsidR="001C0954">
        <w:t xml:space="preserve">uropean </w:t>
      </w:r>
      <w:r>
        <w:t>U</w:t>
      </w:r>
      <w:r w:rsidR="001C0954">
        <w:t>nion</w:t>
      </w:r>
      <w:r>
        <w:t xml:space="preserve"> engage </w:t>
      </w:r>
      <w:r w:rsidR="00C61B58">
        <w:t xml:space="preserve">challenging </w:t>
      </w:r>
      <w:r>
        <w:t>"questions of great practical interest" around the existence and operation of the unwritten measures.</w:t>
      </w:r>
      <w:r>
        <w:rPr>
          <w:rStyle w:val="FootnoteReference"/>
        </w:rPr>
        <w:footnoteReference w:id="60"/>
      </w:r>
      <w:r w:rsidR="00163E95">
        <w:t xml:space="preserve"> </w:t>
      </w:r>
      <w:r w:rsidR="00E22727">
        <w:t xml:space="preserve">The implementation of the unwritten measures is also </w:t>
      </w:r>
      <w:r w:rsidR="00096034">
        <w:t xml:space="preserve">allegedly </w:t>
      </w:r>
      <w:r w:rsidR="00D02728">
        <w:t xml:space="preserve">fluctuating </w:t>
      </w:r>
      <w:r w:rsidR="00360BEA">
        <w:t>and sporadic. In light of these factors, as well as China's denial of the very existence of the unwritten measures, there is a risk that im</w:t>
      </w:r>
      <w:r w:rsidR="00775E8A">
        <w:t>plementation</w:t>
      </w:r>
      <w:r w:rsidR="00360BEA">
        <w:t xml:space="preserve"> of any findings in relation to </w:t>
      </w:r>
      <w:r w:rsidR="00775E8A">
        <w:t>a single claim will not resolve the dispute.</w:t>
      </w:r>
      <w:r w:rsidR="00A4668B">
        <w:rPr>
          <w:rStyle w:val="FootnoteReference"/>
        </w:rPr>
        <w:footnoteReference w:id="61"/>
      </w:r>
      <w:r w:rsidR="00775E8A">
        <w:t xml:space="preserve"> Accordingly, Australia </w:t>
      </w:r>
      <w:r w:rsidR="00D02728">
        <w:t xml:space="preserve">submits that the Panel should exercise its mandate </w:t>
      </w:r>
      <w:r w:rsidR="00701D26">
        <w:t xml:space="preserve">in such a way as </w:t>
      </w:r>
      <w:r w:rsidR="003A4013">
        <w:t>to provide as much clarity to the parties as possible</w:t>
      </w:r>
      <w:r w:rsidR="00110394">
        <w:t xml:space="preserve"> in respect to claims concerning the unwri</w:t>
      </w:r>
      <w:r w:rsidR="001C0954">
        <w:t>t</w:t>
      </w:r>
      <w:r w:rsidR="00110394">
        <w:t>ten measures,</w:t>
      </w:r>
      <w:r w:rsidR="00D02728">
        <w:t xml:space="preserve"> by declining to exercise judicial economy</w:t>
      </w:r>
      <w:r w:rsidR="00E22727">
        <w:t xml:space="preserve"> </w:t>
      </w:r>
      <w:r w:rsidR="00110394">
        <w:t>in that regard</w:t>
      </w:r>
      <w:r w:rsidR="007B07F5">
        <w:t>.</w:t>
      </w:r>
      <w:r w:rsidR="00D02728">
        <w:rPr>
          <w:rStyle w:val="FootnoteReference"/>
        </w:rPr>
        <w:footnoteReference w:id="62"/>
      </w:r>
    </w:p>
    <w:sectPr w:rsidR="00D52A17" w:rsidRPr="0007327B" w:rsidSect="008F5B14">
      <w:headerReference w:type="default" r:id="rId8"/>
      <w:footerReference w:type="default" r:id="rId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9120" w14:textId="77777777" w:rsidR="00B904BA" w:rsidRDefault="00B904BA" w:rsidP="00006269">
      <w:pPr>
        <w:spacing w:after="0" w:line="240" w:lineRule="auto"/>
      </w:pPr>
      <w:r>
        <w:separator/>
      </w:r>
    </w:p>
  </w:endnote>
  <w:endnote w:type="continuationSeparator" w:id="0">
    <w:p w14:paraId="4EE813C0" w14:textId="77777777" w:rsidR="00B904BA" w:rsidRDefault="00B904BA"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6921" w14:textId="77777777" w:rsidR="00380795" w:rsidRDefault="00380795">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5D8B" w14:textId="77777777" w:rsidR="00B904BA" w:rsidRDefault="00B904BA" w:rsidP="00006269">
      <w:pPr>
        <w:spacing w:after="0" w:line="240" w:lineRule="auto"/>
      </w:pPr>
      <w:r>
        <w:separator/>
      </w:r>
    </w:p>
  </w:footnote>
  <w:footnote w:type="continuationSeparator" w:id="0">
    <w:p w14:paraId="231C8B38" w14:textId="77777777" w:rsidR="00B904BA" w:rsidRDefault="00B904BA" w:rsidP="00006269">
      <w:pPr>
        <w:spacing w:after="0" w:line="240" w:lineRule="auto"/>
      </w:pPr>
      <w:r>
        <w:continuationSeparator/>
      </w:r>
    </w:p>
  </w:footnote>
  <w:footnote w:id="1">
    <w:p w14:paraId="6F15D460" w14:textId="297021AA" w:rsidR="00544A6B" w:rsidRDefault="00544A6B" w:rsidP="00544A6B">
      <w:pPr>
        <w:pStyle w:val="FootnoteText"/>
      </w:pPr>
      <w:r>
        <w:rPr>
          <w:rStyle w:val="FootnoteReference"/>
        </w:rPr>
        <w:footnoteRef/>
      </w:r>
      <w:r>
        <w:t xml:space="preserve"> See Australia's third party written submission, para. 2 and footnote therein</w:t>
      </w:r>
      <w:r w:rsidR="003F2D1A">
        <w:t>; oral statement, para. 9</w:t>
      </w:r>
      <w:r w:rsidR="00A14495">
        <w:t>.</w:t>
      </w:r>
    </w:p>
  </w:footnote>
  <w:footnote w:id="2">
    <w:p w14:paraId="7E073FF9" w14:textId="5716A962" w:rsidR="00CF7C85" w:rsidRDefault="00CF7C85">
      <w:pPr>
        <w:pStyle w:val="FootnoteText"/>
      </w:pPr>
      <w:r>
        <w:rPr>
          <w:rStyle w:val="FootnoteReference"/>
        </w:rPr>
        <w:footnoteRef/>
      </w:r>
      <w:r>
        <w:t xml:space="preserve"> Australia's oral </w:t>
      </w:r>
      <w:r w:rsidR="00FD3D46">
        <w:t xml:space="preserve">third party written submission, para. 52; oral </w:t>
      </w:r>
      <w:r>
        <w:t>statement</w:t>
      </w:r>
      <w:r w:rsidR="0070109E">
        <w:t>, para. 22.</w:t>
      </w:r>
    </w:p>
  </w:footnote>
  <w:footnote w:id="3">
    <w:p w14:paraId="7ECFA33D" w14:textId="31A21306" w:rsidR="0070109E" w:rsidRDefault="0070109E">
      <w:pPr>
        <w:pStyle w:val="FootnoteText"/>
      </w:pPr>
      <w:r>
        <w:rPr>
          <w:rStyle w:val="FootnoteReference"/>
        </w:rPr>
        <w:footnoteRef/>
      </w:r>
      <w:r>
        <w:t xml:space="preserve"> See Australia's third party written submission, section V ("Systemic Implications") and in particular para. 23; oral statement, section V ("Systemic Implications"). Such measures would not include measures adopted and maintained in a transparent manner, in good faith, in pursuit of a legitimate public policy objective, such as health and safety or environmental protection, among others: see Australia's third party </w:t>
      </w:r>
      <w:r w:rsidR="00F73678">
        <w:t xml:space="preserve">written </w:t>
      </w:r>
      <w:r>
        <w:t>submission, fn. 97.</w:t>
      </w:r>
    </w:p>
  </w:footnote>
  <w:footnote w:id="4">
    <w:p w14:paraId="1B5C3C55" w14:textId="3C60D1FC" w:rsidR="006E0E00" w:rsidRDefault="006E0E00">
      <w:pPr>
        <w:pStyle w:val="FootnoteText"/>
      </w:pPr>
      <w:r>
        <w:rPr>
          <w:rStyle w:val="FootnoteReference"/>
        </w:rPr>
        <w:footnoteRef/>
      </w:r>
      <w:r>
        <w:t xml:space="preserve"> Australia's third party written submission, para. 53 and footnotes therein.</w:t>
      </w:r>
    </w:p>
  </w:footnote>
  <w:footnote w:id="5">
    <w:p w14:paraId="4B0BBFB7" w14:textId="423E21CC" w:rsidR="009408E5" w:rsidRDefault="009408E5" w:rsidP="009408E5">
      <w:pPr>
        <w:pStyle w:val="FootnoteText"/>
      </w:pPr>
      <w:r>
        <w:rPr>
          <w:rStyle w:val="FootnoteReference"/>
        </w:rPr>
        <w:footnoteRef/>
      </w:r>
      <w:r>
        <w:t xml:space="preserve"> Australia's response to Panel question no. 2(a) to third parties, para. 7; third party written submission, para</w:t>
      </w:r>
      <w:r w:rsidR="008B0350">
        <w:t>s</w:t>
      </w:r>
      <w:r>
        <w:t>.</w:t>
      </w:r>
      <w:r w:rsidR="008B0350">
        <w:t xml:space="preserve"> 3,</w:t>
      </w:r>
      <w:r>
        <w:t xml:space="preserve"> 10.</w:t>
      </w:r>
    </w:p>
  </w:footnote>
  <w:footnote w:id="6">
    <w:p w14:paraId="1EA4C453" w14:textId="5344284E" w:rsidR="005D054E" w:rsidRDefault="005D054E">
      <w:pPr>
        <w:pStyle w:val="FootnoteText"/>
      </w:pPr>
      <w:r>
        <w:rPr>
          <w:rStyle w:val="FootnoteReference"/>
        </w:rPr>
        <w:footnoteRef/>
      </w:r>
      <w:r>
        <w:t xml:space="preserve"> </w:t>
      </w:r>
      <w:r w:rsidR="00A45EF2">
        <w:t>Australia's third party written submission, para. 3.</w:t>
      </w:r>
    </w:p>
  </w:footnote>
  <w:footnote w:id="7">
    <w:p w14:paraId="686EA3C3" w14:textId="5CF15933" w:rsidR="00AF0455" w:rsidRDefault="00AF0455">
      <w:pPr>
        <w:pStyle w:val="FootnoteText"/>
      </w:pPr>
      <w:r>
        <w:rPr>
          <w:rStyle w:val="FootnoteReference"/>
        </w:rPr>
        <w:footnoteRef/>
      </w:r>
      <w:r>
        <w:t xml:space="preserve"> Australia's third party written submission, para. 3.</w:t>
      </w:r>
      <w:r w:rsidR="00436936">
        <w:t xml:space="preserve"> See also, Australia's oral statement, paras. 9 – 1</w:t>
      </w:r>
      <w:r w:rsidR="00916C72">
        <w:t>1</w:t>
      </w:r>
      <w:r w:rsidR="00436936">
        <w:t>.</w:t>
      </w:r>
    </w:p>
  </w:footnote>
  <w:footnote w:id="8">
    <w:p w14:paraId="73BE47AC" w14:textId="1846839B" w:rsidR="00970320" w:rsidRDefault="00970320">
      <w:pPr>
        <w:pStyle w:val="FootnoteText"/>
      </w:pPr>
      <w:r>
        <w:rPr>
          <w:rStyle w:val="FootnoteReference"/>
        </w:rPr>
        <w:footnoteRef/>
      </w:r>
      <w:r>
        <w:t xml:space="preserve"> </w:t>
      </w:r>
      <w:r w:rsidR="00DE4B0C">
        <w:t xml:space="preserve">See </w:t>
      </w:r>
      <w:r w:rsidR="006B6D1D">
        <w:t xml:space="preserve">for example, </w:t>
      </w:r>
      <w:r w:rsidR="00DE4B0C">
        <w:t xml:space="preserve">Australia's response to Panel question </w:t>
      </w:r>
      <w:r w:rsidR="00293365">
        <w:t>no</w:t>
      </w:r>
      <w:r w:rsidR="0017719B">
        <w:t>s</w:t>
      </w:r>
      <w:r w:rsidR="00293365">
        <w:t>.</w:t>
      </w:r>
      <w:r w:rsidR="00DE4B0C">
        <w:t xml:space="preserve"> 2(a) and 2(b) to third parties, paras. </w:t>
      </w:r>
      <w:r w:rsidR="00B32076">
        <w:t>8 – 14.</w:t>
      </w:r>
      <w:r w:rsidR="006B6D1D">
        <w:t xml:space="preserve"> </w:t>
      </w:r>
    </w:p>
  </w:footnote>
  <w:footnote w:id="9">
    <w:p w14:paraId="78B72AB5" w14:textId="77777777" w:rsidR="00265631" w:rsidRDefault="00265631" w:rsidP="00265631">
      <w:pPr>
        <w:pStyle w:val="FootnoteText"/>
      </w:pPr>
      <w:r>
        <w:rPr>
          <w:rStyle w:val="FootnoteReference"/>
        </w:rPr>
        <w:footnoteRef/>
      </w:r>
      <w:r>
        <w:t xml:space="preserve"> Australia's third party written submission, para. 3.</w:t>
      </w:r>
    </w:p>
  </w:footnote>
  <w:footnote w:id="10">
    <w:p w14:paraId="597B5505" w14:textId="64D0CE3B" w:rsidR="00FF63C5" w:rsidRDefault="00FF63C5">
      <w:pPr>
        <w:pStyle w:val="FootnoteText"/>
      </w:pPr>
      <w:r>
        <w:rPr>
          <w:rStyle w:val="FootnoteReference"/>
        </w:rPr>
        <w:footnoteRef/>
      </w:r>
      <w:r>
        <w:t xml:space="preserve"> </w:t>
      </w:r>
      <w:r w:rsidR="00B234E2">
        <w:t xml:space="preserve">To the extent required </w:t>
      </w:r>
      <w:r w:rsidR="00230CBB">
        <w:t>in order to</w:t>
      </w:r>
      <w:r>
        <w:t xml:space="preserve"> resolve the dispute before the Panel: see Australia's third party written submission, para. 55 and response to Panel question no. 2 to third parties</w:t>
      </w:r>
      <w:r w:rsidR="006D6ED3">
        <w:t>; oral statement, para. 4, bullet point 4.</w:t>
      </w:r>
    </w:p>
  </w:footnote>
  <w:footnote w:id="11">
    <w:p w14:paraId="431A227F" w14:textId="6CE4EBAD" w:rsidR="005D3B48" w:rsidRDefault="005D3B48">
      <w:pPr>
        <w:pStyle w:val="FootnoteText"/>
      </w:pPr>
      <w:r>
        <w:rPr>
          <w:rStyle w:val="FootnoteReference"/>
        </w:rPr>
        <w:footnoteRef/>
      </w:r>
      <w:r>
        <w:t xml:space="preserve"> Australia's third party written submission, para</w:t>
      </w:r>
      <w:r w:rsidR="00FF63C5">
        <w:t>s</w:t>
      </w:r>
      <w:r>
        <w:t>.</w:t>
      </w:r>
      <w:r w:rsidR="00FF63C5">
        <w:t xml:space="preserve"> 56 -</w:t>
      </w:r>
      <w:r>
        <w:t xml:space="preserve"> 57.</w:t>
      </w:r>
    </w:p>
  </w:footnote>
  <w:footnote w:id="12">
    <w:p w14:paraId="501FA4C2" w14:textId="73B148E4" w:rsidR="008415F0" w:rsidRDefault="008415F0">
      <w:pPr>
        <w:pStyle w:val="FootnoteText"/>
      </w:pPr>
      <w:r>
        <w:rPr>
          <w:rStyle w:val="FootnoteReference"/>
        </w:rPr>
        <w:footnoteRef/>
      </w:r>
      <w:r>
        <w:t xml:space="preserve"> Australia's third party written submission, paras. 56 – 57; </w:t>
      </w:r>
      <w:r w:rsidR="006D6ED3">
        <w:t>oral statement, para. 4, bullet point 4.</w:t>
      </w:r>
    </w:p>
  </w:footnote>
  <w:footnote w:id="13">
    <w:p w14:paraId="676EA718" w14:textId="4E34BFE3" w:rsidR="00720AEE" w:rsidRPr="00720AEE" w:rsidRDefault="00720AEE">
      <w:pPr>
        <w:pStyle w:val="FootnoteText"/>
      </w:pPr>
      <w:r>
        <w:rPr>
          <w:rStyle w:val="FootnoteReference"/>
        </w:rPr>
        <w:footnoteRef/>
      </w:r>
      <w:r>
        <w:t xml:space="preserve"> Australia's third party written submission, para. 9 and fn. 5, quoting Appellate Body Report, </w:t>
      </w:r>
      <w:r>
        <w:rPr>
          <w:i/>
          <w:iCs/>
        </w:rPr>
        <w:t>US – Shrimp</w:t>
      </w:r>
      <w:r>
        <w:t>, para. 106.</w:t>
      </w:r>
    </w:p>
  </w:footnote>
  <w:footnote w:id="14">
    <w:p w14:paraId="7279FF93" w14:textId="77777777" w:rsidR="00E4212F" w:rsidRDefault="00E4212F" w:rsidP="00E4212F">
      <w:pPr>
        <w:pStyle w:val="FootnoteText"/>
      </w:pPr>
      <w:r>
        <w:rPr>
          <w:rStyle w:val="FootnoteReference"/>
        </w:rPr>
        <w:footnoteRef/>
      </w:r>
      <w:r>
        <w:t xml:space="preserve"> Australia's third party written submission, para. 13.</w:t>
      </w:r>
    </w:p>
  </w:footnote>
  <w:footnote w:id="15">
    <w:p w14:paraId="4D4E90E7" w14:textId="77777777" w:rsidR="00E4212F" w:rsidRDefault="00E4212F" w:rsidP="00E4212F">
      <w:pPr>
        <w:pStyle w:val="FootnoteText"/>
      </w:pPr>
      <w:r>
        <w:rPr>
          <w:rStyle w:val="FootnoteReference"/>
        </w:rPr>
        <w:footnoteRef/>
      </w:r>
      <w:r>
        <w:t xml:space="preserve"> Australia's third party written submission, para. 11 and footnotes therein; oral statement, paras. 16 – 17.</w:t>
      </w:r>
    </w:p>
  </w:footnote>
  <w:footnote w:id="16">
    <w:p w14:paraId="5A19DA57" w14:textId="77777777" w:rsidR="00E4212F" w:rsidRDefault="00E4212F" w:rsidP="00E4212F">
      <w:pPr>
        <w:pStyle w:val="FootnoteText"/>
      </w:pPr>
      <w:r>
        <w:rPr>
          <w:rStyle w:val="FootnoteReference"/>
        </w:rPr>
        <w:footnoteRef/>
      </w:r>
      <w:r>
        <w:t xml:space="preserve"> Australia's oral statement, para. 17.</w:t>
      </w:r>
    </w:p>
  </w:footnote>
  <w:footnote w:id="17">
    <w:p w14:paraId="2CDA0F14" w14:textId="77777777" w:rsidR="00E4212F" w:rsidRPr="008C2595" w:rsidRDefault="00E4212F" w:rsidP="00E4212F">
      <w:pPr>
        <w:pStyle w:val="FootnoteText"/>
        <w:rPr>
          <w:u w:val="single"/>
        </w:rPr>
      </w:pPr>
      <w:r>
        <w:rPr>
          <w:rStyle w:val="FootnoteReference"/>
        </w:rPr>
        <w:footnoteRef/>
      </w:r>
      <w:r>
        <w:t xml:space="preserve"> Australia's oral statement, para. 20 and fn. 34, quoting Appellate Body Report, </w:t>
      </w:r>
      <w:r>
        <w:rPr>
          <w:i/>
          <w:iCs/>
        </w:rPr>
        <w:t>US – Corrosion-Resistant Steel Sunset Review</w:t>
      </w:r>
      <w:r>
        <w:t>, para. 89.</w:t>
      </w:r>
    </w:p>
  </w:footnote>
  <w:footnote w:id="18">
    <w:p w14:paraId="7565162E" w14:textId="77777777" w:rsidR="000C7131" w:rsidRDefault="000C7131" w:rsidP="000C7131">
      <w:pPr>
        <w:pStyle w:val="FootnoteText"/>
      </w:pPr>
      <w:r>
        <w:rPr>
          <w:rStyle w:val="FootnoteReference"/>
        </w:rPr>
        <w:footnoteRef/>
      </w:r>
      <w:r>
        <w:t xml:space="preserve"> Australia's third party written submission, para. 28; oral statement, para. 4, bullet point 2.</w:t>
      </w:r>
    </w:p>
  </w:footnote>
  <w:footnote w:id="19">
    <w:p w14:paraId="4210E217" w14:textId="77777777" w:rsidR="000C7131" w:rsidRDefault="000C7131" w:rsidP="000C7131">
      <w:pPr>
        <w:pStyle w:val="FootnoteText"/>
      </w:pPr>
      <w:r>
        <w:rPr>
          <w:rStyle w:val="FootnoteReference"/>
        </w:rPr>
        <w:footnoteRef/>
      </w:r>
      <w:r>
        <w:t xml:space="preserve"> Australia's oral statement, para. 4, bullet point 2.</w:t>
      </w:r>
    </w:p>
  </w:footnote>
  <w:footnote w:id="20">
    <w:p w14:paraId="759ABC18" w14:textId="3C92B396" w:rsidR="00477528" w:rsidRPr="0010562D" w:rsidRDefault="00477528">
      <w:pPr>
        <w:pStyle w:val="FootnoteText"/>
      </w:pPr>
      <w:r>
        <w:rPr>
          <w:rStyle w:val="FootnoteReference"/>
        </w:rPr>
        <w:footnoteRef/>
      </w:r>
      <w:r>
        <w:t xml:space="preserve"> Australia's third party written submission, para. </w:t>
      </w:r>
      <w:r w:rsidR="0010562D">
        <w:t>20</w:t>
      </w:r>
      <w:r w:rsidR="004114AE">
        <w:t>.</w:t>
      </w:r>
    </w:p>
  </w:footnote>
  <w:footnote w:id="21">
    <w:p w14:paraId="5C4D5C90" w14:textId="00A36383" w:rsidR="00BE4C3C" w:rsidRDefault="00BE4C3C">
      <w:pPr>
        <w:pStyle w:val="FootnoteText"/>
      </w:pPr>
      <w:r>
        <w:rPr>
          <w:rStyle w:val="FootnoteReference"/>
        </w:rPr>
        <w:footnoteRef/>
      </w:r>
      <w:r>
        <w:t xml:space="preserve"> </w:t>
      </w:r>
      <w:r w:rsidR="00C53484">
        <w:t xml:space="preserve">See </w:t>
      </w:r>
      <w:r>
        <w:t xml:space="preserve">Australia's response to Panel question no. 1 to third parties, para. 1; response to Panel question no. 3 to third parties, para. 15. </w:t>
      </w:r>
      <w:r w:rsidR="008372EF">
        <w:t>See also, Australia's third party written submission, para</w:t>
      </w:r>
      <w:r w:rsidR="00F871F4">
        <w:t>s 20 – 21,</w:t>
      </w:r>
      <w:r w:rsidR="008372EF">
        <w:t xml:space="preserve"> </w:t>
      </w:r>
      <w:r w:rsidR="00EB2A2E">
        <w:t xml:space="preserve">25 and </w:t>
      </w:r>
      <w:r w:rsidR="008372EF">
        <w:t xml:space="preserve">28 and fn. 43, quoting Appellate Body Reports, </w:t>
      </w:r>
      <w:r w:rsidR="008372EF">
        <w:rPr>
          <w:i/>
          <w:iCs/>
        </w:rPr>
        <w:t>Argentina – Import Measures</w:t>
      </w:r>
      <w:r w:rsidR="008372EF">
        <w:t>, para. 5.112: "the elements a panel needs to review in ascertaining the existence of an unwritten measure will depend on the specific measure challenged and how it is described and characterised by the complainant".</w:t>
      </w:r>
    </w:p>
  </w:footnote>
  <w:footnote w:id="22">
    <w:p w14:paraId="78D02885" w14:textId="43411B0C" w:rsidR="00B626D2" w:rsidRDefault="00B626D2">
      <w:pPr>
        <w:pStyle w:val="FootnoteText"/>
      </w:pPr>
      <w:r>
        <w:rPr>
          <w:rStyle w:val="FootnoteReference"/>
        </w:rPr>
        <w:footnoteRef/>
      </w:r>
      <w:r>
        <w:t xml:space="preserve"> Australia's third party written submission, paras. 26 – 27.</w:t>
      </w:r>
    </w:p>
  </w:footnote>
  <w:footnote w:id="23">
    <w:p w14:paraId="22232B45" w14:textId="264A98C1" w:rsidR="000919BE" w:rsidRDefault="000919BE">
      <w:pPr>
        <w:pStyle w:val="FootnoteText"/>
      </w:pPr>
      <w:r>
        <w:rPr>
          <w:rStyle w:val="FootnoteReference"/>
        </w:rPr>
        <w:footnoteRef/>
      </w:r>
      <w:r>
        <w:t xml:space="preserve"> In addition to the unique systemic importance of the allegedly disguised, unwritten measures challenged in this dispute, as set out in </w:t>
      </w:r>
      <w:r w:rsidRPr="00572485">
        <w:t>para</w:t>
      </w:r>
      <w:r w:rsidR="00572485" w:rsidRPr="00572485">
        <w:t>graphs</w:t>
      </w:r>
      <w:r w:rsidRPr="00572485">
        <w:t xml:space="preserve"> 1 – 3 of</w:t>
      </w:r>
      <w:r>
        <w:t xml:space="preserve"> this Executive Summary, above.</w:t>
      </w:r>
      <w:r w:rsidR="00387AFE">
        <w:t xml:space="preserve"> </w:t>
      </w:r>
    </w:p>
  </w:footnote>
  <w:footnote w:id="24">
    <w:p w14:paraId="3D57126E" w14:textId="150F44C9" w:rsidR="005B4F3A" w:rsidRDefault="005B4F3A">
      <w:pPr>
        <w:pStyle w:val="FootnoteText"/>
      </w:pPr>
      <w:r>
        <w:rPr>
          <w:rStyle w:val="FootnoteReference"/>
        </w:rPr>
        <w:footnoteRef/>
      </w:r>
      <w:r>
        <w:t xml:space="preserve"> In the sense </w:t>
      </w:r>
      <w:r w:rsidR="00300FF2">
        <w:t>of a</w:t>
      </w:r>
      <w:r w:rsidR="004F7621">
        <w:t>ny strict</w:t>
      </w:r>
      <w:r w:rsidR="00300FF2">
        <w:t xml:space="preserve"> legal rule or requirement</w:t>
      </w:r>
      <w:r w:rsidR="00E777FB">
        <w:t xml:space="preserve"> applicable to</w:t>
      </w:r>
      <w:r w:rsidR="00F64880">
        <w:t xml:space="preserve"> the existence of</w:t>
      </w:r>
      <w:r w:rsidR="00E777FB">
        <w:t xml:space="preserve"> unwritten measures.</w:t>
      </w:r>
      <w:r w:rsidR="00484191">
        <w:t xml:space="preserve"> See Australia's third party written submission, para. 43: "these features are not dispositive of any legal standard." (footnote omitted)</w:t>
      </w:r>
    </w:p>
  </w:footnote>
  <w:footnote w:id="25">
    <w:p w14:paraId="0A82BEE1" w14:textId="283E41FD" w:rsidR="00C7013D" w:rsidRPr="0097366A" w:rsidRDefault="00C7013D">
      <w:pPr>
        <w:pStyle w:val="FootnoteText"/>
      </w:pPr>
      <w:r>
        <w:rPr>
          <w:rStyle w:val="FootnoteReference"/>
        </w:rPr>
        <w:footnoteRef/>
      </w:r>
      <w:r>
        <w:t xml:space="preserve"> A</w:t>
      </w:r>
      <w:r w:rsidR="0097366A">
        <w:t>ustralia's third party</w:t>
      </w:r>
      <w:r w:rsidR="00376452">
        <w:t xml:space="preserve"> written</w:t>
      </w:r>
      <w:r w:rsidR="0097366A">
        <w:t xml:space="preserve"> submission, para. 43 and fn. 76, quoting Panel Reports, </w:t>
      </w:r>
      <w:r w:rsidR="0097366A">
        <w:rPr>
          <w:i/>
          <w:iCs/>
        </w:rPr>
        <w:t>EC – Approval Marketing of Biotech Products</w:t>
      </w:r>
      <w:r w:rsidR="0097366A">
        <w:t>, para. 7.522.</w:t>
      </w:r>
    </w:p>
  </w:footnote>
  <w:footnote w:id="26">
    <w:p w14:paraId="7AD5AEED" w14:textId="0CD2EBD7" w:rsidR="0026645C" w:rsidRDefault="0026645C">
      <w:pPr>
        <w:pStyle w:val="FootnoteText"/>
      </w:pPr>
      <w:r>
        <w:rPr>
          <w:rStyle w:val="FootnoteReference"/>
        </w:rPr>
        <w:footnoteRef/>
      </w:r>
      <w:r>
        <w:t xml:space="preserve"> </w:t>
      </w:r>
      <w:r w:rsidR="00BB34F0">
        <w:t xml:space="preserve">In that connection, see </w:t>
      </w:r>
      <w:r w:rsidR="00BB34F0" w:rsidRPr="00572485">
        <w:t>para</w:t>
      </w:r>
      <w:r w:rsidR="00572485" w:rsidRPr="00572485">
        <w:t xml:space="preserve">graphs </w:t>
      </w:r>
      <w:r w:rsidR="00BB34F0" w:rsidRPr="00572485">
        <w:t>10 – 11 below</w:t>
      </w:r>
      <w:r w:rsidR="00BB34F0">
        <w:t xml:space="preserve">. See also, </w:t>
      </w:r>
      <w:r>
        <w:t xml:space="preserve">Australia's third party written submission, paras. </w:t>
      </w:r>
      <w:r w:rsidR="00376452">
        <w:t>41</w:t>
      </w:r>
      <w:r>
        <w:t xml:space="preserve"> </w:t>
      </w:r>
      <w:r w:rsidR="00376452">
        <w:t>–</w:t>
      </w:r>
      <w:r>
        <w:t xml:space="preserve"> </w:t>
      </w:r>
      <w:r w:rsidR="00376452">
        <w:t>43.</w:t>
      </w:r>
    </w:p>
  </w:footnote>
  <w:footnote w:id="27">
    <w:p w14:paraId="5235C8FE" w14:textId="053C4394" w:rsidR="0094359C" w:rsidRDefault="0094359C">
      <w:pPr>
        <w:pStyle w:val="FootnoteText"/>
      </w:pPr>
      <w:r>
        <w:rPr>
          <w:rStyle w:val="FootnoteReference"/>
        </w:rPr>
        <w:footnoteRef/>
      </w:r>
      <w:r>
        <w:t xml:space="preserve"> Australia's third party written submission, para</w:t>
      </w:r>
      <w:r w:rsidR="00F04EF4">
        <w:t>. 43</w:t>
      </w:r>
      <w:r w:rsidR="009E32C7">
        <w:t xml:space="preserve">; response to Panel question </w:t>
      </w:r>
      <w:r w:rsidR="009856E3">
        <w:t xml:space="preserve">no. </w:t>
      </w:r>
      <w:r w:rsidR="009E32C7">
        <w:t>4 to third parties, paras. 24 – 25.</w:t>
      </w:r>
    </w:p>
  </w:footnote>
  <w:footnote w:id="28">
    <w:p w14:paraId="1816CFD1" w14:textId="23956544" w:rsidR="00165C20" w:rsidRPr="00CB73B4" w:rsidRDefault="00165C20">
      <w:pPr>
        <w:pStyle w:val="FootnoteText"/>
      </w:pPr>
      <w:r>
        <w:rPr>
          <w:rStyle w:val="FootnoteReference"/>
        </w:rPr>
        <w:footnoteRef/>
      </w:r>
      <w:r>
        <w:t xml:space="preserve"> Australia's third party written submission, para. 41 and fn. 75, quoting </w:t>
      </w:r>
      <w:r w:rsidR="00CB73B4">
        <w:t xml:space="preserve">Appellate Body Report, </w:t>
      </w:r>
      <w:r w:rsidR="00CB73B4">
        <w:rPr>
          <w:i/>
          <w:iCs/>
        </w:rPr>
        <w:t>US – Wool Shirts and Blouses</w:t>
      </w:r>
      <w:r w:rsidR="00CB73B4">
        <w:t>, para. 14.</w:t>
      </w:r>
    </w:p>
  </w:footnote>
  <w:footnote w:id="29">
    <w:p w14:paraId="62CDFB29" w14:textId="36171AE6" w:rsidR="00FC193D" w:rsidRDefault="00FC193D">
      <w:pPr>
        <w:pStyle w:val="FootnoteText"/>
      </w:pPr>
      <w:r>
        <w:rPr>
          <w:rStyle w:val="FootnoteReference"/>
        </w:rPr>
        <w:footnoteRef/>
      </w:r>
      <w:r>
        <w:t xml:space="preserve"> Australia's third party written submission, paras. </w:t>
      </w:r>
      <w:r w:rsidR="00815D54">
        <w:t xml:space="preserve">21, </w:t>
      </w:r>
      <w:r w:rsidR="004B768E">
        <w:t>23 – 24.</w:t>
      </w:r>
    </w:p>
  </w:footnote>
  <w:footnote w:id="30">
    <w:p w14:paraId="02694E61" w14:textId="445A5750" w:rsidR="00137634" w:rsidRDefault="00137634">
      <w:pPr>
        <w:pStyle w:val="FootnoteText"/>
      </w:pPr>
      <w:r>
        <w:rPr>
          <w:rStyle w:val="FootnoteReference"/>
        </w:rPr>
        <w:footnoteRef/>
      </w:r>
      <w:r>
        <w:t xml:space="preserve"> Australia's third party written submission, paras. 15 – 1</w:t>
      </w:r>
      <w:r w:rsidR="008A4249">
        <w:t>7</w:t>
      </w:r>
      <w:r w:rsidR="00E515F7">
        <w:t>,</w:t>
      </w:r>
      <w:r w:rsidR="008A4249">
        <w:t xml:space="preserve"> 23 - 29</w:t>
      </w:r>
      <w:r>
        <w:t>.</w:t>
      </w:r>
    </w:p>
  </w:footnote>
  <w:footnote w:id="31">
    <w:p w14:paraId="4B582462" w14:textId="643C1E21" w:rsidR="0072474F" w:rsidRDefault="0072474F">
      <w:pPr>
        <w:pStyle w:val="FootnoteText"/>
      </w:pPr>
      <w:r>
        <w:rPr>
          <w:rStyle w:val="FootnoteReference"/>
        </w:rPr>
        <w:footnoteRef/>
      </w:r>
      <w:r>
        <w:t xml:space="preserve"> Australia's third party written submission, para. 40.</w:t>
      </w:r>
    </w:p>
  </w:footnote>
  <w:footnote w:id="32">
    <w:p w14:paraId="6F61CA95" w14:textId="359B7747" w:rsidR="0072474F" w:rsidRDefault="0072474F">
      <w:pPr>
        <w:pStyle w:val="FootnoteText"/>
      </w:pPr>
      <w:r>
        <w:rPr>
          <w:rStyle w:val="FootnoteReference"/>
        </w:rPr>
        <w:footnoteRef/>
      </w:r>
      <w:r>
        <w:t xml:space="preserve"> Australia's third party written submission, paras. 36 – 39.</w:t>
      </w:r>
    </w:p>
  </w:footnote>
  <w:footnote w:id="33">
    <w:p w14:paraId="76738B3F" w14:textId="756CC1B5" w:rsidR="00374F2A" w:rsidRDefault="00374F2A">
      <w:pPr>
        <w:pStyle w:val="FootnoteText"/>
      </w:pPr>
      <w:r>
        <w:rPr>
          <w:rStyle w:val="FootnoteReference"/>
        </w:rPr>
        <w:footnoteRef/>
      </w:r>
      <w:r>
        <w:t xml:space="preserve"> Australia's third party written submission, </w:t>
      </w:r>
      <w:r w:rsidR="008C0B02">
        <w:t xml:space="preserve">para. </w:t>
      </w:r>
      <w:r w:rsidR="00C057F7">
        <w:t>43</w:t>
      </w:r>
      <w:r w:rsidR="00085E66">
        <w:t>: "these factors are not dispositive of any legal standard".</w:t>
      </w:r>
    </w:p>
  </w:footnote>
  <w:footnote w:id="34">
    <w:p w14:paraId="2A841AB4" w14:textId="02AE7B2D" w:rsidR="000A6EFF" w:rsidRPr="00A75055" w:rsidRDefault="000A6EFF" w:rsidP="000A6EFF">
      <w:pPr>
        <w:pStyle w:val="FootnoteText"/>
      </w:pPr>
      <w:r>
        <w:rPr>
          <w:rStyle w:val="FootnoteReference"/>
        </w:rPr>
        <w:footnoteRef/>
      </w:r>
      <w:r>
        <w:t xml:space="preserve"> </w:t>
      </w:r>
      <w:r w:rsidR="00153408">
        <w:t xml:space="preserve">Including the fact of the existence of a measure. </w:t>
      </w:r>
      <w:r w:rsidR="003314B9">
        <w:t xml:space="preserve">See </w:t>
      </w:r>
      <w:r w:rsidR="0039249B">
        <w:t xml:space="preserve">Australia's third party written submission, </w:t>
      </w:r>
      <w:r w:rsidR="0039249B" w:rsidRPr="005A69B0">
        <w:t>para</w:t>
      </w:r>
      <w:r w:rsidR="007B472B">
        <w:t>s</w:t>
      </w:r>
      <w:r w:rsidR="0039249B">
        <w:t>.</w:t>
      </w:r>
      <w:r w:rsidR="007B472B">
        <w:t xml:space="preserve"> 40 and fn. 74 quoting Appellate Body Report, </w:t>
      </w:r>
      <w:r w:rsidR="007B472B">
        <w:rPr>
          <w:i/>
          <w:iCs/>
        </w:rPr>
        <w:t xml:space="preserve">Argentina </w:t>
      </w:r>
      <w:r w:rsidR="0063390D">
        <w:rPr>
          <w:i/>
          <w:iCs/>
        </w:rPr>
        <w:t>-</w:t>
      </w:r>
      <w:r w:rsidR="007B472B">
        <w:rPr>
          <w:i/>
          <w:iCs/>
        </w:rPr>
        <w:t xml:space="preserve"> Import Measures</w:t>
      </w:r>
      <w:r w:rsidR="007B472B">
        <w:t>, para. 5.176,</w:t>
      </w:r>
      <w:r w:rsidR="0039249B">
        <w:t xml:space="preserve"> 43 and fn. 78, quoting Panel Reports, </w:t>
      </w:r>
      <w:r w:rsidR="0039249B">
        <w:rPr>
          <w:i/>
          <w:iCs/>
        </w:rPr>
        <w:t>EC – Approval and Marketing of Biotech Products</w:t>
      </w:r>
      <w:r w:rsidR="0039249B">
        <w:t>, para. 7.522.</w:t>
      </w:r>
      <w:r w:rsidR="005B3A11">
        <w:t xml:space="preserve"> </w:t>
      </w:r>
      <w:r w:rsidR="0016104A">
        <w:t xml:space="preserve">See also, Australia's response to Panel question no. 4 to third parties, para. </w:t>
      </w:r>
      <w:r w:rsidR="00F7326F">
        <w:t>24.</w:t>
      </w:r>
      <w:r w:rsidR="00871BDE">
        <w:t xml:space="preserve"> </w:t>
      </w:r>
    </w:p>
  </w:footnote>
  <w:footnote w:id="35">
    <w:p w14:paraId="5A12C017" w14:textId="2B4729AE" w:rsidR="009F2C06" w:rsidRDefault="009F2C06">
      <w:pPr>
        <w:pStyle w:val="FootnoteText"/>
      </w:pPr>
      <w:r>
        <w:rPr>
          <w:rStyle w:val="FootnoteReference"/>
        </w:rPr>
        <w:footnoteRef/>
      </w:r>
      <w:r>
        <w:t xml:space="preserve"> </w:t>
      </w:r>
      <w:r w:rsidR="00791B36">
        <w:t>Australia's third party written submission, para</w:t>
      </w:r>
      <w:r w:rsidR="00A1769A">
        <w:t>s</w:t>
      </w:r>
      <w:r w:rsidR="00791B36">
        <w:t xml:space="preserve">. </w:t>
      </w:r>
      <w:r w:rsidR="00D57AB8">
        <w:t xml:space="preserve">15, </w:t>
      </w:r>
      <w:r w:rsidR="00791B36">
        <w:t>18</w:t>
      </w:r>
      <w:r w:rsidR="00D57AB8">
        <w:t xml:space="preserve"> and</w:t>
      </w:r>
      <w:r w:rsidR="00A1769A">
        <w:t xml:space="preserve"> 40.</w:t>
      </w:r>
      <w:r w:rsidR="002448DD">
        <w:t xml:space="preserve"> In relation to circumstantial evidence, see als</w:t>
      </w:r>
      <w:r w:rsidR="000374CC">
        <w:t>o,</w:t>
      </w:r>
      <w:r w:rsidR="002448DD">
        <w:t xml:space="preserve"> Australia's third party written submission,</w:t>
      </w:r>
      <w:r w:rsidR="00B26423">
        <w:t xml:space="preserve"> para. 43 and</w:t>
      </w:r>
      <w:r w:rsidR="002448DD">
        <w:t xml:space="preserve"> fn. 7</w:t>
      </w:r>
      <w:r w:rsidR="003A760E">
        <w:t>9</w:t>
      </w:r>
      <w:r w:rsidR="002448DD">
        <w:t xml:space="preserve">, quoting Panel Reports, </w:t>
      </w:r>
      <w:r w:rsidR="002448DD">
        <w:rPr>
          <w:i/>
          <w:iCs/>
        </w:rPr>
        <w:t>EC – Approval and Marketing of Biotech Products</w:t>
      </w:r>
      <w:r w:rsidR="002448DD">
        <w:t xml:space="preserve">, para. 7.522. See also, Australia's response to Panel question no. 4 </w:t>
      </w:r>
      <w:r w:rsidR="003B6D1B">
        <w:t xml:space="preserve">to third parties </w:t>
      </w:r>
      <w:r w:rsidR="002448DD">
        <w:t>regarding the relevance of evidence of "consequences of an alleged unwritten measure to demonstrating its existence".</w:t>
      </w:r>
    </w:p>
  </w:footnote>
  <w:footnote w:id="36">
    <w:p w14:paraId="0B163551" w14:textId="77777777" w:rsidR="00E260BC" w:rsidRDefault="00E260BC" w:rsidP="00E260BC">
      <w:pPr>
        <w:pStyle w:val="FootnoteText"/>
      </w:pPr>
      <w:r>
        <w:rPr>
          <w:rStyle w:val="FootnoteReference"/>
        </w:rPr>
        <w:footnoteRef/>
      </w:r>
      <w:r>
        <w:t xml:space="preserve"> Australia's third party written submission, para. 19.</w:t>
      </w:r>
    </w:p>
  </w:footnote>
  <w:footnote w:id="37">
    <w:p w14:paraId="2F29F08C" w14:textId="31B13272" w:rsidR="00815D54" w:rsidRDefault="00815D54">
      <w:pPr>
        <w:pStyle w:val="FootnoteText"/>
      </w:pPr>
      <w:r>
        <w:rPr>
          <w:rStyle w:val="FootnoteReference"/>
        </w:rPr>
        <w:footnoteRef/>
      </w:r>
      <w:r>
        <w:t xml:space="preserve"> Australia's third party written submission, para. 19</w:t>
      </w:r>
    </w:p>
  </w:footnote>
  <w:footnote w:id="38">
    <w:p w14:paraId="1BA2AE32" w14:textId="10B83CFC" w:rsidR="00C737CE" w:rsidRDefault="00C737CE">
      <w:pPr>
        <w:pStyle w:val="FootnoteText"/>
      </w:pPr>
      <w:r>
        <w:rPr>
          <w:rStyle w:val="FootnoteReference"/>
        </w:rPr>
        <w:footnoteRef/>
      </w:r>
      <w:r>
        <w:t xml:space="preserve"> Australia's </w:t>
      </w:r>
      <w:r w:rsidR="00EC4416">
        <w:t>third party written submission, para</w:t>
      </w:r>
      <w:r w:rsidR="00F75FED">
        <w:t xml:space="preserve">s. 24 – 25; </w:t>
      </w:r>
      <w:r>
        <w:t xml:space="preserve">response to </w:t>
      </w:r>
      <w:r w:rsidR="00EC4416">
        <w:t>P</w:t>
      </w:r>
      <w:r>
        <w:t>anel question no. 1 to third parties</w:t>
      </w:r>
      <w:r w:rsidR="00A46E33">
        <w:t>, para. 1.</w:t>
      </w:r>
    </w:p>
  </w:footnote>
  <w:footnote w:id="39">
    <w:p w14:paraId="4B677551" w14:textId="598DF6C1" w:rsidR="009726D6" w:rsidRDefault="009726D6">
      <w:pPr>
        <w:pStyle w:val="FootnoteText"/>
      </w:pPr>
      <w:r>
        <w:rPr>
          <w:rStyle w:val="FootnoteReference"/>
        </w:rPr>
        <w:footnoteRef/>
      </w:r>
      <w:r>
        <w:t xml:space="preserve"> Australia does, however, acknowledge the Appellate Body's statement that "particular rigour" is required in the context of unwritten norms: see Australia's third party written s</w:t>
      </w:r>
      <w:r w:rsidR="002944B4">
        <w:t>ubmission</w:t>
      </w:r>
      <w:r>
        <w:t>, para. 19 and footnotes therein.</w:t>
      </w:r>
    </w:p>
  </w:footnote>
  <w:footnote w:id="40">
    <w:p w14:paraId="7E89023B" w14:textId="675E05FE" w:rsidR="00951D60" w:rsidRPr="00AC46BA" w:rsidRDefault="00951D60">
      <w:pPr>
        <w:pStyle w:val="FootnoteText"/>
      </w:pPr>
      <w:r>
        <w:rPr>
          <w:rStyle w:val="FootnoteReference"/>
        </w:rPr>
        <w:footnoteRef/>
      </w:r>
      <w:r>
        <w:t xml:space="preserve"> Australia's third party written submission, para. </w:t>
      </w:r>
      <w:r w:rsidR="00AC46BA">
        <w:t xml:space="preserve">43 and fn. 79, quoting Panel Reports, </w:t>
      </w:r>
      <w:r w:rsidR="00AC46BA">
        <w:rPr>
          <w:i/>
          <w:iCs/>
        </w:rPr>
        <w:t>EC – Approval and Marketing of Biotech Products</w:t>
      </w:r>
      <w:r w:rsidR="00AC46BA">
        <w:t>, para. 7.522.</w:t>
      </w:r>
    </w:p>
  </w:footnote>
  <w:footnote w:id="41">
    <w:p w14:paraId="474A9E7E" w14:textId="3C96F744" w:rsidR="007606A6" w:rsidRPr="00B65144" w:rsidRDefault="007606A6">
      <w:pPr>
        <w:pStyle w:val="FootnoteText"/>
      </w:pPr>
      <w:r>
        <w:rPr>
          <w:rStyle w:val="FootnoteReference"/>
        </w:rPr>
        <w:footnoteRef/>
      </w:r>
      <w:r>
        <w:t xml:space="preserve"> Australia's third party written submission, para</w:t>
      </w:r>
      <w:r w:rsidR="00C811D8">
        <w:t>s</w:t>
      </w:r>
      <w:r>
        <w:t>.</w:t>
      </w:r>
      <w:r w:rsidR="00C811D8">
        <w:t xml:space="preserve"> 37 -</w:t>
      </w:r>
      <w:r>
        <w:t xml:space="preserve"> 38 and fn</w:t>
      </w:r>
      <w:r w:rsidR="00605257">
        <w:t xml:space="preserve">s. 64 and 65, quoting </w:t>
      </w:r>
      <w:r w:rsidR="00B65144">
        <w:t xml:space="preserve">Appellate Body Report, </w:t>
      </w:r>
      <w:r w:rsidR="00B65144">
        <w:rPr>
          <w:i/>
          <w:iCs/>
        </w:rPr>
        <w:t>US – Continued Zeroing</w:t>
      </w:r>
      <w:r w:rsidR="00B65144">
        <w:t>, para. 337.</w:t>
      </w:r>
      <w:r w:rsidR="0077577F">
        <w:t xml:space="preserve"> See also, Australia's response to Panel question no. </w:t>
      </w:r>
      <w:r w:rsidR="000B0284">
        <w:t>4 to third parties, para. 25 and fn. 44.</w:t>
      </w:r>
    </w:p>
  </w:footnote>
  <w:footnote w:id="42">
    <w:p w14:paraId="4434BCD9" w14:textId="6F30696E" w:rsidR="00E112B6" w:rsidRPr="00E112B6" w:rsidRDefault="00E112B6">
      <w:pPr>
        <w:pStyle w:val="FootnoteText"/>
      </w:pPr>
      <w:r>
        <w:rPr>
          <w:rStyle w:val="FootnoteReference"/>
        </w:rPr>
        <w:footnoteRef/>
      </w:r>
      <w:r>
        <w:t xml:space="preserve"> Australia's third party written submission, fn. </w:t>
      </w:r>
      <w:r w:rsidR="0022157E">
        <w:t xml:space="preserve">62, quoting </w:t>
      </w:r>
      <w:r>
        <w:t xml:space="preserve">Appellate Body Report, </w:t>
      </w:r>
      <w:r>
        <w:rPr>
          <w:i/>
          <w:iCs/>
        </w:rPr>
        <w:t>US – Countervailing Duty Investigation on DRAMS</w:t>
      </w:r>
      <w:r>
        <w:t>, para. 154. (emphasis original)</w:t>
      </w:r>
    </w:p>
  </w:footnote>
  <w:footnote w:id="43">
    <w:p w14:paraId="570AF34C" w14:textId="0697B948" w:rsidR="000B5528" w:rsidRDefault="000B5528">
      <w:pPr>
        <w:pStyle w:val="FootnoteText"/>
      </w:pPr>
      <w:r>
        <w:rPr>
          <w:rStyle w:val="FootnoteReference"/>
        </w:rPr>
        <w:footnoteRef/>
      </w:r>
      <w:r>
        <w:t xml:space="preserve"> Australia's third party written submission, para. 42; </w:t>
      </w:r>
      <w:r w:rsidR="0046429E">
        <w:t>response to Panel question no. 1 to third parties, paras. 2 – 3</w:t>
      </w:r>
      <w:r w:rsidR="00703813">
        <w:t xml:space="preserve">, </w:t>
      </w:r>
      <w:r w:rsidR="000B1F22">
        <w:t>6.</w:t>
      </w:r>
    </w:p>
  </w:footnote>
  <w:footnote w:id="44">
    <w:p w14:paraId="752F371F" w14:textId="746E8A7F" w:rsidR="00E8309C" w:rsidRDefault="00E8309C">
      <w:pPr>
        <w:pStyle w:val="FootnoteText"/>
      </w:pPr>
      <w:r>
        <w:rPr>
          <w:rStyle w:val="FootnoteReference"/>
        </w:rPr>
        <w:footnoteRef/>
      </w:r>
      <w:r>
        <w:t xml:space="preserve"> Australia's third party written submission, para. 39; oral statement, para. </w:t>
      </w:r>
      <w:r w:rsidR="009A3369">
        <w:t>4, bullet point 3.</w:t>
      </w:r>
    </w:p>
  </w:footnote>
  <w:footnote w:id="45">
    <w:p w14:paraId="49A9EFA2" w14:textId="3AE163CF" w:rsidR="001E3C55" w:rsidRDefault="001E3C55">
      <w:pPr>
        <w:pStyle w:val="FootnoteText"/>
      </w:pPr>
      <w:r>
        <w:rPr>
          <w:rStyle w:val="FootnoteReference"/>
        </w:rPr>
        <w:footnoteRef/>
      </w:r>
      <w:r>
        <w:t xml:space="preserve"> Australia's third party written submission, para. 39 and fn. 72, quoting </w:t>
      </w:r>
      <w:r w:rsidR="00670E71">
        <w:t>P</w:t>
      </w:r>
      <w:r w:rsidR="00670E71" w:rsidRPr="00670E71">
        <w:t xml:space="preserve">anel Report, </w:t>
      </w:r>
      <w:r w:rsidR="00670E71" w:rsidRPr="00670E71">
        <w:rPr>
          <w:i/>
          <w:iCs/>
        </w:rPr>
        <w:t>US – FSC (Article 21.5 – EC)</w:t>
      </w:r>
      <w:r w:rsidR="00670E71" w:rsidRPr="00670E71">
        <w:t xml:space="preserve">, </w:t>
      </w:r>
      <w:r w:rsidR="00670E71">
        <w:t>para. 8.23.</w:t>
      </w:r>
    </w:p>
  </w:footnote>
  <w:footnote w:id="46">
    <w:p w14:paraId="3FECC695" w14:textId="6823FCD6" w:rsidR="008F1010" w:rsidRDefault="008F1010">
      <w:pPr>
        <w:pStyle w:val="FootnoteText"/>
      </w:pPr>
      <w:r>
        <w:rPr>
          <w:rStyle w:val="FootnoteReference"/>
        </w:rPr>
        <w:footnoteRef/>
      </w:r>
      <w:r>
        <w:t xml:space="preserve"> Australia's third party written submission, para</w:t>
      </w:r>
      <w:r w:rsidR="00E166CA">
        <w:t>s</w:t>
      </w:r>
      <w:r>
        <w:t>.</w:t>
      </w:r>
      <w:r w:rsidR="00E166CA">
        <w:t xml:space="preserve"> 13 -</w:t>
      </w:r>
      <w:r>
        <w:t xml:space="preserve"> 14 and footnotes therein.</w:t>
      </w:r>
    </w:p>
  </w:footnote>
  <w:footnote w:id="47">
    <w:p w14:paraId="312148B9" w14:textId="58F77A60" w:rsidR="00150F6B" w:rsidRPr="002632C3" w:rsidRDefault="00150F6B">
      <w:pPr>
        <w:pStyle w:val="FootnoteText"/>
      </w:pPr>
      <w:r>
        <w:rPr>
          <w:rStyle w:val="FootnoteReference"/>
        </w:rPr>
        <w:footnoteRef/>
      </w:r>
      <w:r>
        <w:t xml:space="preserve"> Australia's oral statement, para. 13 and fn. </w:t>
      </w:r>
      <w:r w:rsidR="000C4FEE">
        <w:t xml:space="preserve">27, quoting Panel Report, </w:t>
      </w:r>
      <w:r w:rsidR="002632C3">
        <w:rPr>
          <w:i/>
          <w:iCs/>
        </w:rPr>
        <w:t>Korea – Stainless Steel Bars</w:t>
      </w:r>
      <w:r w:rsidR="002632C3">
        <w:t>, paras. 7.24 – 7.25. (footnotes omitted)</w:t>
      </w:r>
    </w:p>
  </w:footnote>
  <w:footnote w:id="48">
    <w:p w14:paraId="1B0B8583" w14:textId="16C0A538" w:rsidR="00D02090" w:rsidRDefault="00D02090">
      <w:pPr>
        <w:pStyle w:val="FootnoteText"/>
      </w:pPr>
      <w:r>
        <w:rPr>
          <w:rStyle w:val="FootnoteReference"/>
        </w:rPr>
        <w:footnoteRef/>
      </w:r>
      <w:r>
        <w:t xml:space="preserve"> Australia's third party written submission, para</w:t>
      </w:r>
      <w:r w:rsidR="00FA00C0">
        <w:t>s. 48 – 49; oral statement, para</w:t>
      </w:r>
      <w:r w:rsidR="00E4179D">
        <w:t>s. 12 – 13.</w:t>
      </w:r>
    </w:p>
  </w:footnote>
  <w:footnote w:id="49">
    <w:p w14:paraId="1046A581" w14:textId="447BF240" w:rsidR="009A224C" w:rsidRDefault="009A224C">
      <w:pPr>
        <w:pStyle w:val="FootnoteText"/>
      </w:pPr>
      <w:r>
        <w:rPr>
          <w:rStyle w:val="FootnoteReference"/>
        </w:rPr>
        <w:footnoteRef/>
      </w:r>
      <w:r>
        <w:t xml:space="preserve"> Australia's third party written submission, para. 51; oral statement, para. 15.</w:t>
      </w:r>
    </w:p>
  </w:footnote>
  <w:footnote w:id="50">
    <w:p w14:paraId="4B32B715" w14:textId="0F521D5F" w:rsidR="00880DFB" w:rsidRDefault="00880DFB">
      <w:pPr>
        <w:pStyle w:val="FootnoteText"/>
      </w:pPr>
      <w:r>
        <w:rPr>
          <w:rStyle w:val="FootnoteReference"/>
        </w:rPr>
        <w:footnoteRef/>
      </w:r>
      <w:r>
        <w:t xml:space="preserve"> Australia's oral statement, para. 13.</w:t>
      </w:r>
    </w:p>
  </w:footnote>
  <w:footnote w:id="51">
    <w:p w14:paraId="67F13613" w14:textId="52210674" w:rsidR="00742E50" w:rsidRDefault="00742E50">
      <w:pPr>
        <w:pStyle w:val="FootnoteText"/>
      </w:pPr>
      <w:r>
        <w:rPr>
          <w:rStyle w:val="FootnoteReference"/>
        </w:rPr>
        <w:footnoteRef/>
      </w:r>
      <w:r>
        <w:t xml:space="preserve"> Australia's oral statement, paras. 9 – 12.</w:t>
      </w:r>
    </w:p>
  </w:footnote>
  <w:footnote w:id="52">
    <w:p w14:paraId="50F8DBEB" w14:textId="3F9E6585" w:rsidR="00231A3E" w:rsidRDefault="00231A3E">
      <w:pPr>
        <w:pStyle w:val="FootnoteText"/>
      </w:pPr>
      <w:r>
        <w:rPr>
          <w:rStyle w:val="FootnoteReference"/>
        </w:rPr>
        <w:footnoteRef/>
      </w:r>
      <w:r>
        <w:t xml:space="preserve"> Reference to the "unwritten measures" means the overarching measure and the import restriction measure as described in the European Union's first written </w:t>
      </w:r>
      <w:proofErr w:type="gramStart"/>
      <w:r>
        <w:t>submission, unless</w:t>
      </w:r>
      <w:proofErr w:type="gramEnd"/>
      <w:r>
        <w:t xml:space="preserve"> the context suggest otherwise.</w:t>
      </w:r>
    </w:p>
  </w:footnote>
  <w:footnote w:id="53">
    <w:p w14:paraId="1DAA4D22" w14:textId="6680AD85" w:rsidR="00493D8A" w:rsidRDefault="00493D8A">
      <w:pPr>
        <w:pStyle w:val="FootnoteText"/>
      </w:pPr>
      <w:r>
        <w:rPr>
          <w:rStyle w:val="FootnoteReference"/>
        </w:rPr>
        <w:footnoteRef/>
      </w:r>
      <w:r>
        <w:t xml:space="preserve"> Australia's third party written submission, para. 45 and fn. 88.</w:t>
      </w:r>
    </w:p>
  </w:footnote>
  <w:footnote w:id="54">
    <w:p w14:paraId="3C58BEC6" w14:textId="184DB1D9" w:rsidR="00CD73DD" w:rsidRDefault="00CD73DD">
      <w:pPr>
        <w:pStyle w:val="FootnoteText"/>
      </w:pPr>
      <w:r>
        <w:rPr>
          <w:rStyle w:val="FootnoteReference"/>
        </w:rPr>
        <w:footnoteRef/>
      </w:r>
      <w:r>
        <w:t xml:space="preserve"> Australia's </w:t>
      </w:r>
      <w:r w:rsidR="009B3829">
        <w:t>response to Panel question no. 2 to third parties, paras. 9 – 14.</w:t>
      </w:r>
    </w:p>
  </w:footnote>
  <w:footnote w:id="55">
    <w:p w14:paraId="455C19E3" w14:textId="05ABB76E" w:rsidR="000B2123" w:rsidRPr="00A32F60" w:rsidRDefault="000B2123">
      <w:pPr>
        <w:pStyle w:val="FootnoteText"/>
      </w:pPr>
      <w:r>
        <w:rPr>
          <w:rStyle w:val="FootnoteReference"/>
        </w:rPr>
        <w:footnoteRef/>
      </w:r>
      <w:r>
        <w:t xml:space="preserve"> Australia's response to Panel question no. </w:t>
      </w:r>
      <w:r w:rsidR="00186975">
        <w:t>2(a)</w:t>
      </w:r>
      <w:r>
        <w:t xml:space="preserve"> to third parties, para. </w:t>
      </w:r>
      <w:r w:rsidR="00186975">
        <w:t xml:space="preserve">9 and fn. </w:t>
      </w:r>
      <w:r w:rsidR="00A32F60">
        <w:t>19, quoting Final Panel Report as issue</w:t>
      </w:r>
      <w:r w:rsidR="001F5A66">
        <w:t>d</w:t>
      </w:r>
      <w:r w:rsidR="00A32F60">
        <w:t xml:space="preserve"> to the parties, </w:t>
      </w:r>
      <w:r w:rsidR="00A32F60">
        <w:rPr>
          <w:i/>
          <w:iCs/>
        </w:rPr>
        <w:t>Turkey – Pharmaceutical Products (EU)</w:t>
      </w:r>
      <w:r w:rsidR="00A32F60">
        <w:t xml:space="preserve">, para. </w:t>
      </w:r>
      <w:r w:rsidR="008446BD">
        <w:t>7.265.</w:t>
      </w:r>
    </w:p>
  </w:footnote>
  <w:footnote w:id="56">
    <w:p w14:paraId="6723232D" w14:textId="65EEE2A4" w:rsidR="00832FC5" w:rsidRDefault="00832FC5">
      <w:pPr>
        <w:pStyle w:val="FootnoteText"/>
      </w:pPr>
      <w:r>
        <w:rPr>
          <w:rStyle w:val="FootnoteReference"/>
        </w:rPr>
        <w:footnoteRef/>
      </w:r>
      <w:r>
        <w:t xml:space="preserve"> Australia's response to Panel question no</w:t>
      </w:r>
      <w:r w:rsidR="00282038">
        <w:t>. 2(a) to third parti</w:t>
      </w:r>
      <w:r w:rsidR="00815D54">
        <w:t>e</w:t>
      </w:r>
      <w:r w:rsidR="00282038">
        <w:t>s, para. 9 and fn. 18.</w:t>
      </w:r>
    </w:p>
  </w:footnote>
  <w:footnote w:id="57">
    <w:p w14:paraId="5CF585B8" w14:textId="2D098720" w:rsidR="00801136" w:rsidRDefault="00801136">
      <w:pPr>
        <w:pStyle w:val="FootnoteText"/>
      </w:pPr>
      <w:r>
        <w:rPr>
          <w:rStyle w:val="FootnoteReference"/>
        </w:rPr>
        <w:footnoteRef/>
      </w:r>
      <w:r>
        <w:t xml:space="preserve"> Australia's response to Panel question no. </w:t>
      </w:r>
      <w:r w:rsidR="00BC5BD3">
        <w:t>2(b)</w:t>
      </w:r>
      <w:r w:rsidR="00DE61F4">
        <w:t xml:space="preserve"> to third parties,</w:t>
      </w:r>
      <w:r w:rsidR="00BC5BD3">
        <w:t xml:space="preserve"> para. 12. </w:t>
      </w:r>
    </w:p>
  </w:footnote>
  <w:footnote w:id="58">
    <w:p w14:paraId="33369B9E" w14:textId="27A8BA40" w:rsidR="001A5270" w:rsidRPr="001A5270" w:rsidRDefault="001A5270">
      <w:pPr>
        <w:pStyle w:val="FootnoteText"/>
      </w:pPr>
      <w:r>
        <w:rPr>
          <w:rStyle w:val="FootnoteReference"/>
        </w:rPr>
        <w:footnoteRef/>
      </w:r>
      <w:r>
        <w:t xml:space="preserve"> Australia's response to Panel question no. 2(b)</w:t>
      </w:r>
      <w:r w:rsidR="00DE61F4">
        <w:t xml:space="preserve"> to third parties, </w:t>
      </w:r>
      <w:r>
        <w:t xml:space="preserve">para. 9 and fn. 20, quoting Final </w:t>
      </w:r>
      <w:r w:rsidR="00BB669D">
        <w:t xml:space="preserve">Panel </w:t>
      </w:r>
      <w:r>
        <w:t>Report as issue</w:t>
      </w:r>
      <w:r w:rsidR="009127DD">
        <w:t>d</w:t>
      </w:r>
      <w:r>
        <w:t xml:space="preserve"> to the parties, </w:t>
      </w:r>
      <w:r>
        <w:rPr>
          <w:i/>
          <w:iCs/>
        </w:rPr>
        <w:t>Turkey – Pharmaceutical Products (EU)</w:t>
      </w:r>
      <w:r>
        <w:t>, para. 7.265.</w:t>
      </w:r>
    </w:p>
  </w:footnote>
  <w:footnote w:id="59">
    <w:p w14:paraId="1CCC35F7" w14:textId="1A26B87E" w:rsidR="00C457C9" w:rsidRDefault="00C457C9">
      <w:pPr>
        <w:pStyle w:val="FootnoteText"/>
      </w:pPr>
      <w:r>
        <w:rPr>
          <w:rStyle w:val="FootnoteReference"/>
        </w:rPr>
        <w:footnoteRef/>
      </w:r>
      <w:r>
        <w:t xml:space="preserve"> </w:t>
      </w:r>
      <w:r w:rsidR="006C42DD">
        <w:t>Australia's response to Panel question no. 2(b)</w:t>
      </w:r>
      <w:r w:rsidR="00DE61F4">
        <w:t xml:space="preserve"> to third parties,</w:t>
      </w:r>
      <w:r w:rsidR="006C42DD">
        <w:t xml:space="preserve"> para. 10.</w:t>
      </w:r>
    </w:p>
  </w:footnote>
  <w:footnote w:id="60">
    <w:p w14:paraId="704A1AF7" w14:textId="56B72801" w:rsidR="00DE61F4" w:rsidRDefault="00DE61F4">
      <w:pPr>
        <w:pStyle w:val="FootnoteText"/>
      </w:pPr>
      <w:r>
        <w:rPr>
          <w:rStyle w:val="FootnoteReference"/>
        </w:rPr>
        <w:footnoteRef/>
      </w:r>
      <w:r>
        <w:t xml:space="preserve"> Australia's response to Panel question no. </w:t>
      </w:r>
      <w:r w:rsidR="004A6811">
        <w:t>2(a) to third parties, para. 7. See also, para</w:t>
      </w:r>
      <w:r w:rsidR="00572485">
        <w:t xml:space="preserve">graph </w:t>
      </w:r>
      <w:r w:rsidR="004A6811" w:rsidRPr="00572485">
        <w:t>2</w:t>
      </w:r>
      <w:r w:rsidR="004A6811">
        <w:t xml:space="preserve"> </w:t>
      </w:r>
      <w:r w:rsidR="00BB669D">
        <w:t xml:space="preserve">of this Executive Summary, </w:t>
      </w:r>
      <w:r w:rsidR="004A6811">
        <w:t>above.</w:t>
      </w:r>
    </w:p>
  </w:footnote>
  <w:footnote w:id="61">
    <w:p w14:paraId="3162EB1F" w14:textId="6F44FCAE" w:rsidR="00A4668B" w:rsidRDefault="00A4668B">
      <w:pPr>
        <w:pStyle w:val="FootnoteText"/>
      </w:pPr>
      <w:r>
        <w:rPr>
          <w:rStyle w:val="FootnoteReference"/>
        </w:rPr>
        <w:footnoteRef/>
      </w:r>
      <w:r>
        <w:t xml:space="preserve"> Australia's response to Panel question no. 2(a) to third parties, para. 8.</w:t>
      </w:r>
    </w:p>
  </w:footnote>
  <w:footnote w:id="62">
    <w:p w14:paraId="06A2231D" w14:textId="4461177D" w:rsidR="00D02728" w:rsidRDefault="00D02728">
      <w:pPr>
        <w:pStyle w:val="FootnoteText"/>
      </w:pPr>
      <w:r>
        <w:rPr>
          <w:rStyle w:val="FootnoteReference"/>
        </w:rPr>
        <w:footnoteRef/>
      </w:r>
      <w:r>
        <w:t xml:space="preserve"> Australia's response to Panel question</w:t>
      </w:r>
      <w:r w:rsidR="0029699C">
        <w:t xml:space="preserve"> no. 2(a) to third parties, para.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9582" w14:textId="39F446D4" w:rsidR="00380795" w:rsidRDefault="00833C2D">
    <w:pPr>
      <w:pStyle w:val="Header"/>
    </w:pPr>
    <w:r>
      <w:rPr>
        <w:i/>
        <w:iCs/>
      </w:rPr>
      <w:t>China – Measures Concerning Trade in Goods</w:t>
    </w:r>
    <w:r w:rsidR="00380795">
      <w:ptab w:relativeTo="margin" w:alignment="right" w:leader="none"/>
    </w:r>
    <w:r>
      <w:t>Third Party Executive Summary of Australia</w:t>
    </w:r>
  </w:p>
  <w:p w14:paraId="67257B9C" w14:textId="0F93A011" w:rsidR="00380795" w:rsidRDefault="00D86B4E" w:rsidP="00D86B4E">
    <w:pPr>
      <w:pStyle w:val="Header"/>
    </w:pPr>
    <w:r>
      <w:t>(DS610)                                                                                                                                              1</w:t>
    </w:r>
    <w:r w:rsidR="00833C2D">
      <w:t>2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2"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3"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4" w15:restartNumberingAfterBreak="0">
    <w:nsid w:val="643C288A"/>
    <w:multiLevelType w:val="hybridMultilevel"/>
    <w:tmpl w:val="F8684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7674970">
    <w:abstractNumId w:val="2"/>
  </w:num>
  <w:num w:numId="2" w16cid:durableId="1497383301">
    <w:abstractNumId w:val="1"/>
  </w:num>
  <w:num w:numId="3" w16cid:durableId="414088971">
    <w:abstractNumId w:val="2"/>
    <w:lvlOverride w:ilvl="0">
      <w:startOverride w:val="1"/>
    </w:lvlOverride>
  </w:num>
  <w:num w:numId="4" w16cid:durableId="330790745">
    <w:abstractNumId w:val="0"/>
  </w:num>
  <w:num w:numId="5" w16cid:durableId="876047340">
    <w:abstractNumId w:val="5"/>
  </w:num>
  <w:num w:numId="6" w16cid:durableId="2130738400">
    <w:abstractNumId w:val="3"/>
  </w:num>
  <w:num w:numId="7" w16cid:durableId="1994681634">
    <w:abstractNumId w:val="3"/>
  </w:num>
  <w:num w:numId="8" w16cid:durableId="1286694917">
    <w:abstractNumId w:val="4"/>
  </w:num>
  <w:num w:numId="9" w16cid:durableId="40187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2D"/>
    <w:rsid w:val="00004009"/>
    <w:rsid w:val="00006269"/>
    <w:rsid w:val="000064AF"/>
    <w:rsid w:val="00007801"/>
    <w:rsid w:val="00012A2D"/>
    <w:rsid w:val="00013F6E"/>
    <w:rsid w:val="00014312"/>
    <w:rsid w:val="00023C47"/>
    <w:rsid w:val="00025483"/>
    <w:rsid w:val="000302B9"/>
    <w:rsid w:val="00030A32"/>
    <w:rsid w:val="00031577"/>
    <w:rsid w:val="000374CC"/>
    <w:rsid w:val="00040228"/>
    <w:rsid w:val="00040482"/>
    <w:rsid w:val="00040A21"/>
    <w:rsid w:val="00040B62"/>
    <w:rsid w:val="00041ED3"/>
    <w:rsid w:val="000432EA"/>
    <w:rsid w:val="000439B0"/>
    <w:rsid w:val="000453F8"/>
    <w:rsid w:val="00046BAF"/>
    <w:rsid w:val="00046E20"/>
    <w:rsid w:val="00051CFD"/>
    <w:rsid w:val="00051D32"/>
    <w:rsid w:val="00052590"/>
    <w:rsid w:val="00056398"/>
    <w:rsid w:val="0006163A"/>
    <w:rsid w:val="000627AE"/>
    <w:rsid w:val="000662B0"/>
    <w:rsid w:val="00066D26"/>
    <w:rsid w:val="000716BD"/>
    <w:rsid w:val="000719FA"/>
    <w:rsid w:val="00071DD5"/>
    <w:rsid w:val="0007327B"/>
    <w:rsid w:val="00081602"/>
    <w:rsid w:val="00082549"/>
    <w:rsid w:val="00085E66"/>
    <w:rsid w:val="00086305"/>
    <w:rsid w:val="000867AB"/>
    <w:rsid w:val="000919BE"/>
    <w:rsid w:val="00093175"/>
    <w:rsid w:val="0009374F"/>
    <w:rsid w:val="000950D2"/>
    <w:rsid w:val="00096034"/>
    <w:rsid w:val="000A197B"/>
    <w:rsid w:val="000A5EB2"/>
    <w:rsid w:val="000A6EFF"/>
    <w:rsid w:val="000B0284"/>
    <w:rsid w:val="000B038A"/>
    <w:rsid w:val="000B1F22"/>
    <w:rsid w:val="000B2123"/>
    <w:rsid w:val="000B3091"/>
    <w:rsid w:val="000B5528"/>
    <w:rsid w:val="000C0761"/>
    <w:rsid w:val="000C14F5"/>
    <w:rsid w:val="000C1B67"/>
    <w:rsid w:val="000C4FEE"/>
    <w:rsid w:val="000C69EE"/>
    <w:rsid w:val="000C7131"/>
    <w:rsid w:val="000E4C65"/>
    <w:rsid w:val="000E51A4"/>
    <w:rsid w:val="000E7EA4"/>
    <w:rsid w:val="000F02B6"/>
    <w:rsid w:val="000F6DB1"/>
    <w:rsid w:val="000F75DF"/>
    <w:rsid w:val="00103238"/>
    <w:rsid w:val="0010562D"/>
    <w:rsid w:val="00110394"/>
    <w:rsid w:val="00110B96"/>
    <w:rsid w:val="00115227"/>
    <w:rsid w:val="0011547E"/>
    <w:rsid w:val="00117517"/>
    <w:rsid w:val="0012151F"/>
    <w:rsid w:val="00137634"/>
    <w:rsid w:val="00137BCF"/>
    <w:rsid w:val="0014362B"/>
    <w:rsid w:val="00143D70"/>
    <w:rsid w:val="00150F6B"/>
    <w:rsid w:val="0015247C"/>
    <w:rsid w:val="00153408"/>
    <w:rsid w:val="00156790"/>
    <w:rsid w:val="001568BD"/>
    <w:rsid w:val="001570CB"/>
    <w:rsid w:val="0016104A"/>
    <w:rsid w:val="00163E95"/>
    <w:rsid w:val="001645C0"/>
    <w:rsid w:val="00165108"/>
    <w:rsid w:val="00165C20"/>
    <w:rsid w:val="0017192E"/>
    <w:rsid w:val="0017719B"/>
    <w:rsid w:val="00182727"/>
    <w:rsid w:val="00186975"/>
    <w:rsid w:val="00192678"/>
    <w:rsid w:val="00194112"/>
    <w:rsid w:val="00197D46"/>
    <w:rsid w:val="001A41B7"/>
    <w:rsid w:val="001A5270"/>
    <w:rsid w:val="001A546F"/>
    <w:rsid w:val="001A56B1"/>
    <w:rsid w:val="001B125B"/>
    <w:rsid w:val="001B2461"/>
    <w:rsid w:val="001B2EA8"/>
    <w:rsid w:val="001B5F2E"/>
    <w:rsid w:val="001B7F82"/>
    <w:rsid w:val="001C0954"/>
    <w:rsid w:val="001C1FC4"/>
    <w:rsid w:val="001C52A0"/>
    <w:rsid w:val="001C5A9B"/>
    <w:rsid w:val="001C5D3C"/>
    <w:rsid w:val="001D1D7A"/>
    <w:rsid w:val="001D504A"/>
    <w:rsid w:val="001E2BAE"/>
    <w:rsid w:val="001E3C55"/>
    <w:rsid w:val="001E4155"/>
    <w:rsid w:val="001F123D"/>
    <w:rsid w:val="001F307E"/>
    <w:rsid w:val="001F3767"/>
    <w:rsid w:val="001F46B7"/>
    <w:rsid w:val="001F5A66"/>
    <w:rsid w:val="00205451"/>
    <w:rsid w:val="00206053"/>
    <w:rsid w:val="002070FA"/>
    <w:rsid w:val="002074D5"/>
    <w:rsid w:val="00212CBA"/>
    <w:rsid w:val="0022157E"/>
    <w:rsid w:val="00225592"/>
    <w:rsid w:val="002272D0"/>
    <w:rsid w:val="00230197"/>
    <w:rsid w:val="00230CBB"/>
    <w:rsid w:val="00231A3E"/>
    <w:rsid w:val="0023272D"/>
    <w:rsid w:val="00235F2C"/>
    <w:rsid w:val="00237671"/>
    <w:rsid w:val="00240D77"/>
    <w:rsid w:val="0024104E"/>
    <w:rsid w:val="00241229"/>
    <w:rsid w:val="00242685"/>
    <w:rsid w:val="002448DD"/>
    <w:rsid w:val="00245A7C"/>
    <w:rsid w:val="00245FA1"/>
    <w:rsid w:val="00246269"/>
    <w:rsid w:val="00251083"/>
    <w:rsid w:val="002511F1"/>
    <w:rsid w:val="00253D95"/>
    <w:rsid w:val="002603E6"/>
    <w:rsid w:val="0026128E"/>
    <w:rsid w:val="00261C9B"/>
    <w:rsid w:val="002632C3"/>
    <w:rsid w:val="00264EA4"/>
    <w:rsid w:val="00265631"/>
    <w:rsid w:val="00265C35"/>
    <w:rsid w:val="0026645C"/>
    <w:rsid w:val="00274865"/>
    <w:rsid w:val="002774D9"/>
    <w:rsid w:val="00280433"/>
    <w:rsid w:val="00280D79"/>
    <w:rsid w:val="00282038"/>
    <w:rsid w:val="00283DB2"/>
    <w:rsid w:val="00285DF2"/>
    <w:rsid w:val="00293365"/>
    <w:rsid w:val="002944B4"/>
    <w:rsid w:val="00294508"/>
    <w:rsid w:val="0029493C"/>
    <w:rsid w:val="0029699C"/>
    <w:rsid w:val="002B1314"/>
    <w:rsid w:val="002B516D"/>
    <w:rsid w:val="002B6143"/>
    <w:rsid w:val="002C08C0"/>
    <w:rsid w:val="002D0735"/>
    <w:rsid w:val="002D180D"/>
    <w:rsid w:val="002D7DF1"/>
    <w:rsid w:val="002E1402"/>
    <w:rsid w:val="002E4E06"/>
    <w:rsid w:val="002F0F48"/>
    <w:rsid w:val="002F1025"/>
    <w:rsid w:val="002F2304"/>
    <w:rsid w:val="002F433F"/>
    <w:rsid w:val="002F44ED"/>
    <w:rsid w:val="002F4FA4"/>
    <w:rsid w:val="003005A3"/>
    <w:rsid w:val="00300FF2"/>
    <w:rsid w:val="00302282"/>
    <w:rsid w:val="00307801"/>
    <w:rsid w:val="0031054B"/>
    <w:rsid w:val="00311071"/>
    <w:rsid w:val="00323209"/>
    <w:rsid w:val="0032362A"/>
    <w:rsid w:val="00323D58"/>
    <w:rsid w:val="00324864"/>
    <w:rsid w:val="00330582"/>
    <w:rsid w:val="00330C3B"/>
    <w:rsid w:val="003314B9"/>
    <w:rsid w:val="00335059"/>
    <w:rsid w:val="00335489"/>
    <w:rsid w:val="003371AE"/>
    <w:rsid w:val="0034041A"/>
    <w:rsid w:val="0034043F"/>
    <w:rsid w:val="0034182B"/>
    <w:rsid w:val="00343C7D"/>
    <w:rsid w:val="003517B0"/>
    <w:rsid w:val="00354A06"/>
    <w:rsid w:val="00355394"/>
    <w:rsid w:val="00360ACF"/>
    <w:rsid w:val="00360BEA"/>
    <w:rsid w:val="00374B86"/>
    <w:rsid w:val="00374F2A"/>
    <w:rsid w:val="00376452"/>
    <w:rsid w:val="00380306"/>
    <w:rsid w:val="00380454"/>
    <w:rsid w:val="00380795"/>
    <w:rsid w:val="00382018"/>
    <w:rsid w:val="00382D0E"/>
    <w:rsid w:val="003837CC"/>
    <w:rsid w:val="0038664C"/>
    <w:rsid w:val="00386910"/>
    <w:rsid w:val="00387AFE"/>
    <w:rsid w:val="0039249B"/>
    <w:rsid w:val="003945AF"/>
    <w:rsid w:val="00396B82"/>
    <w:rsid w:val="003A01BA"/>
    <w:rsid w:val="003A10EE"/>
    <w:rsid w:val="003A32F1"/>
    <w:rsid w:val="003A3FC8"/>
    <w:rsid w:val="003A4013"/>
    <w:rsid w:val="003A56A4"/>
    <w:rsid w:val="003A5CE3"/>
    <w:rsid w:val="003A5EE8"/>
    <w:rsid w:val="003A760E"/>
    <w:rsid w:val="003B6D1B"/>
    <w:rsid w:val="003C4C34"/>
    <w:rsid w:val="003D13F7"/>
    <w:rsid w:val="003D3F44"/>
    <w:rsid w:val="003D7C75"/>
    <w:rsid w:val="003E13C1"/>
    <w:rsid w:val="003E3CEB"/>
    <w:rsid w:val="003E6146"/>
    <w:rsid w:val="003F1D4E"/>
    <w:rsid w:val="003F26BF"/>
    <w:rsid w:val="003F2C72"/>
    <w:rsid w:val="003F2D1A"/>
    <w:rsid w:val="003F5BFE"/>
    <w:rsid w:val="00400C9B"/>
    <w:rsid w:val="0040108F"/>
    <w:rsid w:val="004114AE"/>
    <w:rsid w:val="00414348"/>
    <w:rsid w:val="00414A5C"/>
    <w:rsid w:val="00420443"/>
    <w:rsid w:val="0042073B"/>
    <w:rsid w:val="00424ECA"/>
    <w:rsid w:val="00431073"/>
    <w:rsid w:val="004342E7"/>
    <w:rsid w:val="00434F09"/>
    <w:rsid w:val="00436936"/>
    <w:rsid w:val="00440026"/>
    <w:rsid w:val="004524CE"/>
    <w:rsid w:val="00453C6C"/>
    <w:rsid w:val="00454A8F"/>
    <w:rsid w:val="004559DB"/>
    <w:rsid w:val="00462607"/>
    <w:rsid w:val="0046429E"/>
    <w:rsid w:val="004711A1"/>
    <w:rsid w:val="00477519"/>
    <w:rsid w:val="00477528"/>
    <w:rsid w:val="00484191"/>
    <w:rsid w:val="004841EB"/>
    <w:rsid w:val="004843E7"/>
    <w:rsid w:val="004873AD"/>
    <w:rsid w:val="00493D8A"/>
    <w:rsid w:val="00496116"/>
    <w:rsid w:val="004A01A4"/>
    <w:rsid w:val="004A604F"/>
    <w:rsid w:val="004A6811"/>
    <w:rsid w:val="004B4757"/>
    <w:rsid w:val="004B5BC1"/>
    <w:rsid w:val="004B768E"/>
    <w:rsid w:val="004C0D8E"/>
    <w:rsid w:val="004C1FC8"/>
    <w:rsid w:val="004C3306"/>
    <w:rsid w:val="004C335E"/>
    <w:rsid w:val="004D620F"/>
    <w:rsid w:val="004D6BFA"/>
    <w:rsid w:val="004D7079"/>
    <w:rsid w:val="004D7C3F"/>
    <w:rsid w:val="004D7E5A"/>
    <w:rsid w:val="004E2E2A"/>
    <w:rsid w:val="004E48BE"/>
    <w:rsid w:val="004F028D"/>
    <w:rsid w:val="004F0594"/>
    <w:rsid w:val="004F62A8"/>
    <w:rsid w:val="004F7621"/>
    <w:rsid w:val="0050080F"/>
    <w:rsid w:val="00502F1A"/>
    <w:rsid w:val="00505CB1"/>
    <w:rsid w:val="00513A57"/>
    <w:rsid w:val="005214E6"/>
    <w:rsid w:val="00523D66"/>
    <w:rsid w:val="00525CB3"/>
    <w:rsid w:val="00525D12"/>
    <w:rsid w:val="00527E18"/>
    <w:rsid w:val="00534239"/>
    <w:rsid w:val="00544A6B"/>
    <w:rsid w:val="0054720A"/>
    <w:rsid w:val="00547F08"/>
    <w:rsid w:val="00550A8B"/>
    <w:rsid w:val="005510AD"/>
    <w:rsid w:val="00555882"/>
    <w:rsid w:val="00557207"/>
    <w:rsid w:val="005607F9"/>
    <w:rsid w:val="00560FAE"/>
    <w:rsid w:val="00560FC7"/>
    <w:rsid w:val="0056104F"/>
    <w:rsid w:val="00566995"/>
    <w:rsid w:val="00566B86"/>
    <w:rsid w:val="00567A8B"/>
    <w:rsid w:val="005714C3"/>
    <w:rsid w:val="00571839"/>
    <w:rsid w:val="00572485"/>
    <w:rsid w:val="00580D0A"/>
    <w:rsid w:val="005831D7"/>
    <w:rsid w:val="00583556"/>
    <w:rsid w:val="00584CFE"/>
    <w:rsid w:val="00584F0F"/>
    <w:rsid w:val="0058590A"/>
    <w:rsid w:val="005878DA"/>
    <w:rsid w:val="005955B8"/>
    <w:rsid w:val="005A2DB7"/>
    <w:rsid w:val="005A44F8"/>
    <w:rsid w:val="005A69B0"/>
    <w:rsid w:val="005B11B8"/>
    <w:rsid w:val="005B1D1B"/>
    <w:rsid w:val="005B2395"/>
    <w:rsid w:val="005B3A11"/>
    <w:rsid w:val="005B45D7"/>
    <w:rsid w:val="005B4F3A"/>
    <w:rsid w:val="005B6710"/>
    <w:rsid w:val="005B7576"/>
    <w:rsid w:val="005C0E21"/>
    <w:rsid w:val="005C0F3F"/>
    <w:rsid w:val="005C2A45"/>
    <w:rsid w:val="005D054E"/>
    <w:rsid w:val="005D0800"/>
    <w:rsid w:val="005D1A7D"/>
    <w:rsid w:val="005D2D08"/>
    <w:rsid w:val="005D3B48"/>
    <w:rsid w:val="005D3BE7"/>
    <w:rsid w:val="005D4F24"/>
    <w:rsid w:val="005D5846"/>
    <w:rsid w:val="005D59DF"/>
    <w:rsid w:val="005D5F35"/>
    <w:rsid w:val="005D6AC9"/>
    <w:rsid w:val="005E065F"/>
    <w:rsid w:val="005E4300"/>
    <w:rsid w:val="005E62DB"/>
    <w:rsid w:val="005E66D1"/>
    <w:rsid w:val="005E6A4E"/>
    <w:rsid w:val="005E7CD7"/>
    <w:rsid w:val="005F0DD5"/>
    <w:rsid w:val="005F4454"/>
    <w:rsid w:val="005F46B0"/>
    <w:rsid w:val="006005D8"/>
    <w:rsid w:val="00601C51"/>
    <w:rsid w:val="00605257"/>
    <w:rsid w:val="00606C14"/>
    <w:rsid w:val="00607E67"/>
    <w:rsid w:val="00611627"/>
    <w:rsid w:val="00616805"/>
    <w:rsid w:val="0061699C"/>
    <w:rsid w:val="0062041F"/>
    <w:rsid w:val="006220E2"/>
    <w:rsid w:val="00631C3B"/>
    <w:rsid w:val="0063390D"/>
    <w:rsid w:val="0064062C"/>
    <w:rsid w:val="00641127"/>
    <w:rsid w:val="0064347C"/>
    <w:rsid w:val="00650D40"/>
    <w:rsid w:val="006524C7"/>
    <w:rsid w:val="00653388"/>
    <w:rsid w:val="00653937"/>
    <w:rsid w:val="006550D0"/>
    <w:rsid w:val="00657B51"/>
    <w:rsid w:val="006604E3"/>
    <w:rsid w:val="006609CD"/>
    <w:rsid w:val="0066169E"/>
    <w:rsid w:val="006616C6"/>
    <w:rsid w:val="006667C2"/>
    <w:rsid w:val="00670656"/>
    <w:rsid w:val="00670E71"/>
    <w:rsid w:val="00675218"/>
    <w:rsid w:val="006778A5"/>
    <w:rsid w:val="00684F1B"/>
    <w:rsid w:val="006921BC"/>
    <w:rsid w:val="00695D05"/>
    <w:rsid w:val="006A4D50"/>
    <w:rsid w:val="006A56E1"/>
    <w:rsid w:val="006B1C9A"/>
    <w:rsid w:val="006B22E7"/>
    <w:rsid w:val="006B2FD1"/>
    <w:rsid w:val="006B4085"/>
    <w:rsid w:val="006B4AB8"/>
    <w:rsid w:val="006B6D1D"/>
    <w:rsid w:val="006C1D90"/>
    <w:rsid w:val="006C42DD"/>
    <w:rsid w:val="006C4BD9"/>
    <w:rsid w:val="006C592B"/>
    <w:rsid w:val="006C7D77"/>
    <w:rsid w:val="006D1E46"/>
    <w:rsid w:val="006D6A21"/>
    <w:rsid w:val="006D6ED3"/>
    <w:rsid w:val="006E0E00"/>
    <w:rsid w:val="006E2F9F"/>
    <w:rsid w:val="006E314A"/>
    <w:rsid w:val="006E4893"/>
    <w:rsid w:val="006E78F1"/>
    <w:rsid w:val="006E7A3F"/>
    <w:rsid w:val="006F189E"/>
    <w:rsid w:val="006F1CC8"/>
    <w:rsid w:val="006F1FF8"/>
    <w:rsid w:val="006F2CDF"/>
    <w:rsid w:val="006F4315"/>
    <w:rsid w:val="006F45D7"/>
    <w:rsid w:val="006F62EA"/>
    <w:rsid w:val="0070109E"/>
    <w:rsid w:val="00701992"/>
    <w:rsid w:val="00701D26"/>
    <w:rsid w:val="00701EB8"/>
    <w:rsid w:val="00703738"/>
    <w:rsid w:val="00703813"/>
    <w:rsid w:val="00706CC5"/>
    <w:rsid w:val="00706E5D"/>
    <w:rsid w:val="00712CEC"/>
    <w:rsid w:val="00714B29"/>
    <w:rsid w:val="00714BC7"/>
    <w:rsid w:val="00716CA8"/>
    <w:rsid w:val="00720AEE"/>
    <w:rsid w:val="00724191"/>
    <w:rsid w:val="0072474F"/>
    <w:rsid w:val="007260EC"/>
    <w:rsid w:val="00733362"/>
    <w:rsid w:val="00736C15"/>
    <w:rsid w:val="00742E50"/>
    <w:rsid w:val="00743562"/>
    <w:rsid w:val="00750D33"/>
    <w:rsid w:val="00752167"/>
    <w:rsid w:val="00752BF5"/>
    <w:rsid w:val="007532D5"/>
    <w:rsid w:val="007606A6"/>
    <w:rsid w:val="007630FC"/>
    <w:rsid w:val="00763B98"/>
    <w:rsid w:val="0076488C"/>
    <w:rsid w:val="007673F8"/>
    <w:rsid w:val="0077102C"/>
    <w:rsid w:val="00771BF1"/>
    <w:rsid w:val="00774C5B"/>
    <w:rsid w:val="0077577F"/>
    <w:rsid w:val="00775E8A"/>
    <w:rsid w:val="00785050"/>
    <w:rsid w:val="00786580"/>
    <w:rsid w:val="00790638"/>
    <w:rsid w:val="00791B36"/>
    <w:rsid w:val="00791E95"/>
    <w:rsid w:val="00795605"/>
    <w:rsid w:val="007A3EF1"/>
    <w:rsid w:val="007A50A6"/>
    <w:rsid w:val="007A6202"/>
    <w:rsid w:val="007A6755"/>
    <w:rsid w:val="007A7375"/>
    <w:rsid w:val="007B07F5"/>
    <w:rsid w:val="007B0FCC"/>
    <w:rsid w:val="007B3D90"/>
    <w:rsid w:val="007B472B"/>
    <w:rsid w:val="007B493E"/>
    <w:rsid w:val="007B4AFE"/>
    <w:rsid w:val="007B647F"/>
    <w:rsid w:val="007C0FA9"/>
    <w:rsid w:val="007C5A23"/>
    <w:rsid w:val="007D04EF"/>
    <w:rsid w:val="007D1A40"/>
    <w:rsid w:val="007D77DD"/>
    <w:rsid w:val="007E1F3E"/>
    <w:rsid w:val="007E2FEA"/>
    <w:rsid w:val="007E6A65"/>
    <w:rsid w:val="007E6B1F"/>
    <w:rsid w:val="007E7DB4"/>
    <w:rsid w:val="007F0619"/>
    <w:rsid w:val="007F2E30"/>
    <w:rsid w:val="007F50FC"/>
    <w:rsid w:val="00800159"/>
    <w:rsid w:val="00801136"/>
    <w:rsid w:val="00802FB1"/>
    <w:rsid w:val="008113AA"/>
    <w:rsid w:val="008119B2"/>
    <w:rsid w:val="0081332E"/>
    <w:rsid w:val="00813F38"/>
    <w:rsid w:val="00814FBF"/>
    <w:rsid w:val="00815D54"/>
    <w:rsid w:val="00817194"/>
    <w:rsid w:val="00820118"/>
    <w:rsid w:val="00822453"/>
    <w:rsid w:val="008224A7"/>
    <w:rsid w:val="00823D8C"/>
    <w:rsid w:val="00824C41"/>
    <w:rsid w:val="0082642F"/>
    <w:rsid w:val="00827EAC"/>
    <w:rsid w:val="00832FC5"/>
    <w:rsid w:val="00833C2D"/>
    <w:rsid w:val="00834F36"/>
    <w:rsid w:val="00835CFD"/>
    <w:rsid w:val="00836299"/>
    <w:rsid w:val="008372EF"/>
    <w:rsid w:val="0083763B"/>
    <w:rsid w:val="00840429"/>
    <w:rsid w:val="008415F0"/>
    <w:rsid w:val="008446BD"/>
    <w:rsid w:val="00847A37"/>
    <w:rsid w:val="00847EFA"/>
    <w:rsid w:val="00871BDE"/>
    <w:rsid w:val="0087261B"/>
    <w:rsid w:val="00876A03"/>
    <w:rsid w:val="00880DFB"/>
    <w:rsid w:val="00881370"/>
    <w:rsid w:val="0088439F"/>
    <w:rsid w:val="0088609F"/>
    <w:rsid w:val="00887792"/>
    <w:rsid w:val="008929A5"/>
    <w:rsid w:val="008A1191"/>
    <w:rsid w:val="008A3F4A"/>
    <w:rsid w:val="008A4249"/>
    <w:rsid w:val="008A4C51"/>
    <w:rsid w:val="008B0350"/>
    <w:rsid w:val="008B394F"/>
    <w:rsid w:val="008B458E"/>
    <w:rsid w:val="008B4D44"/>
    <w:rsid w:val="008C0B02"/>
    <w:rsid w:val="008C1917"/>
    <w:rsid w:val="008C2595"/>
    <w:rsid w:val="008C302F"/>
    <w:rsid w:val="008D49F6"/>
    <w:rsid w:val="008D5D62"/>
    <w:rsid w:val="008E0031"/>
    <w:rsid w:val="008E0CB0"/>
    <w:rsid w:val="008E32A6"/>
    <w:rsid w:val="008E4A75"/>
    <w:rsid w:val="008F1010"/>
    <w:rsid w:val="008F4D6A"/>
    <w:rsid w:val="008F5ACF"/>
    <w:rsid w:val="008F5B14"/>
    <w:rsid w:val="008F6BFF"/>
    <w:rsid w:val="008F7779"/>
    <w:rsid w:val="009028B2"/>
    <w:rsid w:val="00902AC7"/>
    <w:rsid w:val="00903646"/>
    <w:rsid w:val="009047ED"/>
    <w:rsid w:val="009075BF"/>
    <w:rsid w:val="009079BC"/>
    <w:rsid w:val="00911480"/>
    <w:rsid w:val="009127DD"/>
    <w:rsid w:val="00913D00"/>
    <w:rsid w:val="00916C72"/>
    <w:rsid w:val="00917FCE"/>
    <w:rsid w:val="0092481F"/>
    <w:rsid w:val="0093054A"/>
    <w:rsid w:val="00930DC5"/>
    <w:rsid w:val="00932657"/>
    <w:rsid w:val="00936FD3"/>
    <w:rsid w:val="009408E5"/>
    <w:rsid w:val="009410A9"/>
    <w:rsid w:val="0094263F"/>
    <w:rsid w:val="0094291F"/>
    <w:rsid w:val="0094359C"/>
    <w:rsid w:val="009436F8"/>
    <w:rsid w:val="00943C52"/>
    <w:rsid w:val="009440F9"/>
    <w:rsid w:val="009441C2"/>
    <w:rsid w:val="009442A5"/>
    <w:rsid w:val="00945CE8"/>
    <w:rsid w:val="00950970"/>
    <w:rsid w:val="00951D60"/>
    <w:rsid w:val="00953620"/>
    <w:rsid w:val="00956347"/>
    <w:rsid w:val="00956A88"/>
    <w:rsid w:val="00960C08"/>
    <w:rsid w:val="00961225"/>
    <w:rsid w:val="0096145F"/>
    <w:rsid w:val="00962C06"/>
    <w:rsid w:val="00970320"/>
    <w:rsid w:val="0097257B"/>
    <w:rsid w:val="009726D6"/>
    <w:rsid w:val="00972AE8"/>
    <w:rsid w:val="0097366A"/>
    <w:rsid w:val="009753D5"/>
    <w:rsid w:val="0097741C"/>
    <w:rsid w:val="00982909"/>
    <w:rsid w:val="009856E3"/>
    <w:rsid w:val="00991E72"/>
    <w:rsid w:val="00993EE9"/>
    <w:rsid w:val="009950B3"/>
    <w:rsid w:val="009975FA"/>
    <w:rsid w:val="009A0F0B"/>
    <w:rsid w:val="009A1A7B"/>
    <w:rsid w:val="009A224C"/>
    <w:rsid w:val="009A26F2"/>
    <w:rsid w:val="009A3369"/>
    <w:rsid w:val="009A4458"/>
    <w:rsid w:val="009A4A48"/>
    <w:rsid w:val="009A4C1C"/>
    <w:rsid w:val="009B1BCD"/>
    <w:rsid w:val="009B3829"/>
    <w:rsid w:val="009B52AC"/>
    <w:rsid w:val="009C367F"/>
    <w:rsid w:val="009C44AA"/>
    <w:rsid w:val="009C70E6"/>
    <w:rsid w:val="009D0DE8"/>
    <w:rsid w:val="009D265F"/>
    <w:rsid w:val="009D3E11"/>
    <w:rsid w:val="009D473A"/>
    <w:rsid w:val="009E004D"/>
    <w:rsid w:val="009E32C7"/>
    <w:rsid w:val="009F2C06"/>
    <w:rsid w:val="009F61AB"/>
    <w:rsid w:val="009F70B5"/>
    <w:rsid w:val="009F736B"/>
    <w:rsid w:val="009F7513"/>
    <w:rsid w:val="00A040F3"/>
    <w:rsid w:val="00A137E6"/>
    <w:rsid w:val="00A14495"/>
    <w:rsid w:val="00A14D38"/>
    <w:rsid w:val="00A15481"/>
    <w:rsid w:val="00A1702E"/>
    <w:rsid w:val="00A1769A"/>
    <w:rsid w:val="00A20C1F"/>
    <w:rsid w:val="00A240BC"/>
    <w:rsid w:val="00A245AB"/>
    <w:rsid w:val="00A24A45"/>
    <w:rsid w:val="00A24CA2"/>
    <w:rsid w:val="00A261D8"/>
    <w:rsid w:val="00A26ED6"/>
    <w:rsid w:val="00A31E82"/>
    <w:rsid w:val="00A325C8"/>
    <w:rsid w:val="00A32910"/>
    <w:rsid w:val="00A32BB8"/>
    <w:rsid w:val="00A32F60"/>
    <w:rsid w:val="00A351B1"/>
    <w:rsid w:val="00A35F65"/>
    <w:rsid w:val="00A36BF5"/>
    <w:rsid w:val="00A40E77"/>
    <w:rsid w:val="00A4580B"/>
    <w:rsid w:val="00A45EF2"/>
    <w:rsid w:val="00A4668B"/>
    <w:rsid w:val="00A46E33"/>
    <w:rsid w:val="00A47229"/>
    <w:rsid w:val="00A50ACB"/>
    <w:rsid w:val="00A5375A"/>
    <w:rsid w:val="00A537EE"/>
    <w:rsid w:val="00A53901"/>
    <w:rsid w:val="00A54F00"/>
    <w:rsid w:val="00A61633"/>
    <w:rsid w:val="00A62994"/>
    <w:rsid w:val="00A62B63"/>
    <w:rsid w:val="00A6428E"/>
    <w:rsid w:val="00A67B7B"/>
    <w:rsid w:val="00A708CF"/>
    <w:rsid w:val="00A717F3"/>
    <w:rsid w:val="00A74284"/>
    <w:rsid w:val="00A75055"/>
    <w:rsid w:val="00A7760F"/>
    <w:rsid w:val="00A77B53"/>
    <w:rsid w:val="00A84749"/>
    <w:rsid w:val="00A900B6"/>
    <w:rsid w:val="00A977A6"/>
    <w:rsid w:val="00AA0A64"/>
    <w:rsid w:val="00AA5506"/>
    <w:rsid w:val="00AA580C"/>
    <w:rsid w:val="00AB7B0F"/>
    <w:rsid w:val="00AC105D"/>
    <w:rsid w:val="00AC3B05"/>
    <w:rsid w:val="00AC46BA"/>
    <w:rsid w:val="00AC4A0D"/>
    <w:rsid w:val="00AC4ABF"/>
    <w:rsid w:val="00AD0459"/>
    <w:rsid w:val="00AD0C5E"/>
    <w:rsid w:val="00AD2825"/>
    <w:rsid w:val="00AD31C4"/>
    <w:rsid w:val="00AD3FCF"/>
    <w:rsid w:val="00AD52FF"/>
    <w:rsid w:val="00AE250F"/>
    <w:rsid w:val="00AE2BD4"/>
    <w:rsid w:val="00AF0455"/>
    <w:rsid w:val="00AF0E8A"/>
    <w:rsid w:val="00AF4DE4"/>
    <w:rsid w:val="00AF562A"/>
    <w:rsid w:val="00AF7318"/>
    <w:rsid w:val="00B03F76"/>
    <w:rsid w:val="00B102A3"/>
    <w:rsid w:val="00B10942"/>
    <w:rsid w:val="00B136BB"/>
    <w:rsid w:val="00B15298"/>
    <w:rsid w:val="00B15D11"/>
    <w:rsid w:val="00B17079"/>
    <w:rsid w:val="00B20115"/>
    <w:rsid w:val="00B20805"/>
    <w:rsid w:val="00B225E8"/>
    <w:rsid w:val="00B234E2"/>
    <w:rsid w:val="00B26423"/>
    <w:rsid w:val="00B32076"/>
    <w:rsid w:val="00B36BF4"/>
    <w:rsid w:val="00B36F52"/>
    <w:rsid w:val="00B455DD"/>
    <w:rsid w:val="00B46303"/>
    <w:rsid w:val="00B470A6"/>
    <w:rsid w:val="00B474AE"/>
    <w:rsid w:val="00B55F73"/>
    <w:rsid w:val="00B56EB9"/>
    <w:rsid w:val="00B57EFE"/>
    <w:rsid w:val="00B6155A"/>
    <w:rsid w:val="00B61586"/>
    <w:rsid w:val="00B61ED2"/>
    <w:rsid w:val="00B626D2"/>
    <w:rsid w:val="00B65144"/>
    <w:rsid w:val="00B72B0A"/>
    <w:rsid w:val="00B75692"/>
    <w:rsid w:val="00B80E42"/>
    <w:rsid w:val="00B904BA"/>
    <w:rsid w:val="00B90D33"/>
    <w:rsid w:val="00B96619"/>
    <w:rsid w:val="00B9740F"/>
    <w:rsid w:val="00B97D06"/>
    <w:rsid w:val="00BA6F7C"/>
    <w:rsid w:val="00BA7965"/>
    <w:rsid w:val="00BB2958"/>
    <w:rsid w:val="00BB32C9"/>
    <w:rsid w:val="00BB34F0"/>
    <w:rsid w:val="00BB669D"/>
    <w:rsid w:val="00BC2952"/>
    <w:rsid w:val="00BC35E5"/>
    <w:rsid w:val="00BC3EBB"/>
    <w:rsid w:val="00BC5BD3"/>
    <w:rsid w:val="00BD0E60"/>
    <w:rsid w:val="00BD5792"/>
    <w:rsid w:val="00BD69E2"/>
    <w:rsid w:val="00BD7648"/>
    <w:rsid w:val="00BD7EF3"/>
    <w:rsid w:val="00BE0B1C"/>
    <w:rsid w:val="00BE126F"/>
    <w:rsid w:val="00BE1F81"/>
    <w:rsid w:val="00BE4C3C"/>
    <w:rsid w:val="00BE65D9"/>
    <w:rsid w:val="00BF2E2B"/>
    <w:rsid w:val="00BF4AE2"/>
    <w:rsid w:val="00C00184"/>
    <w:rsid w:val="00C02DD4"/>
    <w:rsid w:val="00C03843"/>
    <w:rsid w:val="00C057F7"/>
    <w:rsid w:val="00C105A7"/>
    <w:rsid w:val="00C1082E"/>
    <w:rsid w:val="00C10D29"/>
    <w:rsid w:val="00C13CB6"/>
    <w:rsid w:val="00C2017B"/>
    <w:rsid w:val="00C22056"/>
    <w:rsid w:val="00C22783"/>
    <w:rsid w:val="00C23E2E"/>
    <w:rsid w:val="00C24A27"/>
    <w:rsid w:val="00C25AB8"/>
    <w:rsid w:val="00C25EDD"/>
    <w:rsid w:val="00C26535"/>
    <w:rsid w:val="00C31B29"/>
    <w:rsid w:val="00C32857"/>
    <w:rsid w:val="00C32ADE"/>
    <w:rsid w:val="00C42D70"/>
    <w:rsid w:val="00C45722"/>
    <w:rsid w:val="00C457C9"/>
    <w:rsid w:val="00C45EAB"/>
    <w:rsid w:val="00C46100"/>
    <w:rsid w:val="00C53026"/>
    <w:rsid w:val="00C53484"/>
    <w:rsid w:val="00C53BD9"/>
    <w:rsid w:val="00C5737E"/>
    <w:rsid w:val="00C61B58"/>
    <w:rsid w:val="00C62FFB"/>
    <w:rsid w:val="00C67829"/>
    <w:rsid w:val="00C7013D"/>
    <w:rsid w:val="00C715A9"/>
    <w:rsid w:val="00C73188"/>
    <w:rsid w:val="00C735FB"/>
    <w:rsid w:val="00C7372D"/>
    <w:rsid w:val="00C737AF"/>
    <w:rsid w:val="00C737CE"/>
    <w:rsid w:val="00C740D8"/>
    <w:rsid w:val="00C74121"/>
    <w:rsid w:val="00C75769"/>
    <w:rsid w:val="00C811D8"/>
    <w:rsid w:val="00C8308D"/>
    <w:rsid w:val="00C83D06"/>
    <w:rsid w:val="00C84084"/>
    <w:rsid w:val="00C875EE"/>
    <w:rsid w:val="00C90D90"/>
    <w:rsid w:val="00C92058"/>
    <w:rsid w:val="00C93194"/>
    <w:rsid w:val="00C971A5"/>
    <w:rsid w:val="00CA078E"/>
    <w:rsid w:val="00CA0D44"/>
    <w:rsid w:val="00CA1936"/>
    <w:rsid w:val="00CA2A1C"/>
    <w:rsid w:val="00CA6CE2"/>
    <w:rsid w:val="00CB069D"/>
    <w:rsid w:val="00CB15F1"/>
    <w:rsid w:val="00CB6843"/>
    <w:rsid w:val="00CB73B4"/>
    <w:rsid w:val="00CC4A2F"/>
    <w:rsid w:val="00CC77FF"/>
    <w:rsid w:val="00CD1B47"/>
    <w:rsid w:val="00CD5454"/>
    <w:rsid w:val="00CD63B0"/>
    <w:rsid w:val="00CD73DD"/>
    <w:rsid w:val="00CD759A"/>
    <w:rsid w:val="00CE2566"/>
    <w:rsid w:val="00CE30E3"/>
    <w:rsid w:val="00CE3892"/>
    <w:rsid w:val="00CF096B"/>
    <w:rsid w:val="00CF51E8"/>
    <w:rsid w:val="00CF5811"/>
    <w:rsid w:val="00CF67D5"/>
    <w:rsid w:val="00CF7C85"/>
    <w:rsid w:val="00D02090"/>
    <w:rsid w:val="00D02728"/>
    <w:rsid w:val="00D113A1"/>
    <w:rsid w:val="00D127E2"/>
    <w:rsid w:val="00D15F64"/>
    <w:rsid w:val="00D16B11"/>
    <w:rsid w:val="00D17517"/>
    <w:rsid w:val="00D2074D"/>
    <w:rsid w:val="00D265E1"/>
    <w:rsid w:val="00D32C87"/>
    <w:rsid w:val="00D36654"/>
    <w:rsid w:val="00D373BD"/>
    <w:rsid w:val="00D416F8"/>
    <w:rsid w:val="00D4304D"/>
    <w:rsid w:val="00D456CA"/>
    <w:rsid w:val="00D4583D"/>
    <w:rsid w:val="00D47F18"/>
    <w:rsid w:val="00D52037"/>
    <w:rsid w:val="00D52A17"/>
    <w:rsid w:val="00D5545A"/>
    <w:rsid w:val="00D55C93"/>
    <w:rsid w:val="00D5794B"/>
    <w:rsid w:val="00D57AB8"/>
    <w:rsid w:val="00D61D4A"/>
    <w:rsid w:val="00D6465F"/>
    <w:rsid w:val="00D71935"/>
    <w:rsid w:val="00D81E5C"/>
    <w:rsid w:val="00D83F97"/>
    <w:rsid w:val="00D86B4E"/>
    <w:rsid w:val="00D875D9"/>
    <w:rsid w:val="00D91350"/>
    <w:rsid w:val="00D92A0E"/>
    <w:rsid w:val="00D94896"/>
    <w:rsid w:val="00D964D9"/>
    <w:rsid w:val="00DA5381"/>
    <w:rsid w:val="00DA7499"/>
    <w:rsid w:val="00DB0228"/>
    <w:rsid w:val="00DB68EC"/>
    <w:rsid w:val="00DB7728"/>
    <w:rsid w:val="00DC15AF"/>
    <w:rsid w:val="00DC38CB"/>
    <w:rsid w:val="00DC3933"/>
    <w:rsid w:val="00DC4F90"/>
    <w:rsid w:val="00DD2567"/>
    <w:rsid w:val="00DD373A"/>
    <w:rsid w:val="00DD4166"/>
    <w:rsid w:val="00DD4BA0"/>
    <w:rsid w:val="00DE4B0C"/>
    <w:rsid w:val="00DE5265"/>
    <w:rsid w:val="00DE61F4"/>
    <w:rsid w:val="00DF04BB"/>
    <w:rsid w:val="00DF1923"/>
    <w:rsid w:val="00DF1E66"/>
    <w:rsid w:val="00DF2024"/>
    <w:rsid w:val="00DF544C"/>
    <w:rsid w:val="00DF61D9"/>
    <w:rsid w:val="00DF76D2"/>
    <w:rsid w:val="00E032A8"/>
    <w:rsid w:val="00E112B6"/>
    <w:rsid w:val="00E1154C"/>
    <w:rsid w:val="00E1359D"/>
    <w:rsid w:val="00E165C8"/>
    <w:rsid w:val="00E166CA"/>
    <w:rsid w:val="00E17E6E"/>
    <w:rsid w:val="00E17FE0"/>
    <w:rsid w:val="00E21513"/>
    <w:rsid w:val="00E22727"/>
    <w:rsid w:val="00E2512F"/>
    <w:rsid w:val="00E25E73"/>
    <w:rsid w:val="00E260BC"/>
    <w:rsid w:val="00E32051"/>
    <w:rsid w:val="00E4179D"/>
    <w:rsid w:val="00E4212F"/>
    <w:rsid w:val="00E4323E"/>
    <w:rsid w:val="00E515F7"/>
    <w:rsid w:val="00E53F5D"/>
    <w:rsid w:val="00E55733"/>
    <w:rsid w:val="00E57797"/>
    <w:rsid w:val="00E666B7"/>
    <w:rsid w:val="00E717FB"/>
    <w:rsid w:val="00E732A5"/>
    <w:rsid w:val="00E749BA"/>
    <w:rsid w:val="00E7629B"/>
    <w:rsid w:val="00E777FB"/>
    <w:rsid w:val="00E77C18"/>
    <w:rsid w:val="00E77FCF"/>
    <w:rsid w:val="00E8309C"/>
    <w:rsid w:val="00E834DB"/>
    <w:rsid w:val="00E8438F"/>
    <w:rsid w:val="00E859E2"/>
    <w:rsid w:val="00E8692B"/>
    <w:rsid w:val="00E90685"/>
    <w:rsid w:val="00E93D23"/>
    <w:rsid w:val="00E961E8"/>
    <w:rsid w:val="00E9649A"/>
    <w:rsid w:val="00E97FF2"/>
    <w:rsid w:val="00EA0898"/>
    <w:rsid w:val="00EA20A7"/>
    <w:rsid w:val="00EA2DC6"/>
    <w:rsid w:val="00EA3F65"/>
    <w:rsid w:val="00EA755D"/>
    <w:rsid w:val="00EB18FA"/>
    <w:rsid w:val="00EB1B5F"/>
    <w:rsid w:val="00EB2A2E"/>
    <w:rsid w:val="00EB52CC"/>
    <w:rsid w:val="00EB61D2"/>
    <w:rsid w:val="00EC1233"/>
    <w:rsid w:val="00EC2FEC"/>
    <w:rsid w:val="00EC4416"/>
    <w:rsid w:val="00EC6A98"/>
    <w:rsid w:val="00ED1747"/>
    <w:rsid w:val="00ED3D2C"/>
    <w:rsid w:val="00EE19E4"/>
    <w:rsid w:val="00EE325B"/>
    <w:rsid w:val="00EE474C"/>
    <w:rsid w:val="00EE47D1"/>
    <w:rsid w:val="00EE51FE"/>
    <w:rsid w:val="00EE6140"/>
    <w:rsid w:val="00EE6C76"/>
    <w:rsid w:val="00EF043D"/>
    <w:rsid w:val="00EF1C76"/>
    <w:rsid w:val="00EF2455"/>
    <w:rsid w:val="00EF4D82"/>
    <w:rsid w:val="00EF6F3E"/>
    <w:rsid w:val="00F01538"/>
    <w:rsid w:val="00F01A73"/>
    <w:rsid w:val="00F04EF4"/>
    <w:rsid w:val="00F07193"/>
    <w:rsid w:val="00F10E86"/>
    <w:rsid w:val="00F12B15"/>
    <w:rsid w:val="00F14F56"/>
    <w:rsid w:val="00F17867"/>
    <w:rsid w:val="00F20263"/>
    <w:rsid w:val="00F20382"/>
    <w:rsid w:val="00F22B9B"/>
    <w:rsid w:val="00F22C0D"/>
    <w:rsid w:val="00F24279"/>
    <w:rsid w:val="00F3101B"/>
    <w:rsid w:val="00F32BC6"/>
    <w:rsid w:val="00F33B31"/>
    <w:rsid w:val="00F41446"/>
    <w:rsid w:val="00F4221D"/>
    <w:rsid w:val="00F441D8"/>
    <w:rsid w:val="00F47433"/>
    <w:rsid w:val="00F564C0"/>
    <w:rsid w:val="00F57DC7"/>
    <w:rsid w:val="00F64880"/>
    <w:rsid w:val="00F65160"/>
    <w:rsid w:val="00F65A92"/>
    <w:rsid w:val="00F65B4D"/>
    <w:rsid w:val="00F7326F"/>
    <w:rsid w:val="00F73343"/>
    <w:rsid w:val="00F73678"/>
    <w:rsid w:val="00F74567"/>
    <w:rsid w:val="00F745E0"/>
    <w:rsid w:val="00F75FED"/>
    <w:rsid w:val="00F85072"/>
    <w:rsid w:val="00F871F4"/>
    <w:rsid w:val="00F92397"/>
    <w:rsid w:val="00F92A4F"/>
    <w:rsid w:val="00F93F5B"/>
    <w:rsid w:val="00F945DB"/>
    <w:rsid w:val="00F97582"/>
    <w:rsid w:val="00FA00C0"/>
    <w:rsid w:val="00FA3211"/>
    <w:rsid w:val="00FB59EA"/>
    <w:rsid w:val="00FC103A"/>
    <w:rsid w:val="00FC18D5"/>
    <w:rsid w:val="00FC193D"/>
    <w:rsid w:val="00FC4A62"/>
    <w:rsid w:val="00FC6C90"/>
    <w:rsid w:val="00FD017C"/>
    <w:rsid w:val="00FD0673"/>
    <w:rsid w:val="00FD12C7"/>
    <w:rsid w:val="00FD25CE"/>
    <w:rsid w:val="00FD357A"/>
    <w:rsid w:val="00FD3D46"/>
    <w:rsid w:val="00FD4B24"/>
    <w:rsid w:val="00FD4F33"/>
    <w:rsid w:val="00FD6FDE"/>
    <w:rsid w:val="00FE3CE9"/>
    <w:rsid w:val="00FE77B8"/>
    <w:rsid w:val="00FF1BC3"/>
    <w:rsid w:val="00FF1E31"/>
    <w:rsid w:val="00FF2BB1"/>
    <w:rsid w:val="00FF3120"/>
    <w:rsid w:val="00FF37C5"/>
    <w:rsid w:val="00FF5573"/>
    <w:rsid w:val="00FF6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DE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DE5265"/>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basedOn w:val="Normal"/>
    <w:link w:val="FootnoteTextChar"/>
    <w:uiPriority w:val="99"/>
    <w:rsid w:val="00EE47D1"/>
    <w:pPr>
      <w:spacing w:after="0" w:line="240" w:lineRule="auto"/>
    </w:pPr>
    <w:rPr>
      <w:sz w:val="18"/>
      <w:szCs w:val="20"/>
    </w:rPr>
  </w:style>
  <w:style w:type="character" w:customStyle="1" w:styleId="FootnoteTextChar">
    <w:name w:val="Footnote Text Char"/>
    <w:basedOn w:val="DefaultParagraphFont"/>
    <w:link w:val="FootnoteText"/>
    <w:uiPriority w:val="99"/>
    <w:rsid w:val="00EE47D1"/>
    <w:rPr>
      <w:sz w:val="18"/>
      <w:szCs w:val="20"/>
    </w:rPr>
  </w:style>
  <w:style w:type="character" w:styleId="FootnoteReference">
    <w:name w:val="footnote reference"/>
    <w:basedOn w:val="DefaultParagraphFont"/>
    <w:uiPriority w:val="99"/>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paragraph" w:customStyle="1" w:styleId="Default">
    <w:name w:val="Default"/>
    <w:rsid w:val="00833C2D"/>
    <w:pPr>
      <w:autoSpaceDE w:val="0"/>
      <w:autoSpaceDN w:val="0"/>
      <w:adjustRightInd w:val="0"/>
      <w:spacing w:after="0" w:line="240" w:lineRule="auto"/>
      <w:jc w:val="left"/>
    </w:pPr>
    <w:rPr>
      <w:rFonts w:ascii="Verdana" w:hAnsi="Verdana" w:cs="Verdana"/>
      <w:color w:val="000000"/>
    </w:rPr>
  </w:style>
  <w:style w:type="character" w:styleId="CommentReference">
    <w:name w:val="annotation reference"/>
    <w:basedOn w:val="DefaultParagraphFont"/>
    <w:uiPriority w:val="99"/>
    <w:semiHidden/>
    <w:unhideWhenUsed/>
    <w:rsid w:val="00716CA8"/>
    <w:rPr>
      <w:sz w:val="16"/>
      <w:szCs w:val="16"/>
    </w:rPr>
  </w:style>
  <w:style w:type="paragraph" w:styleId="CommentText">
    <w:name w:val="annotation text"/>
    <w:basedOn w:val="Normal"/>
    <w:link w:val="CommentTextChar"/>
    <w:uiPriority w:val="99"/>
    <w:unhideWhenUsed/>
    <w:rsid w:val="00716CA8"/>
    <w:pPr>
      <w:spacing w:line="240" w:lineRule="auto"/>
    </w:pPr>
    <w:rPr>
      <w:sz w:val="20"/>
      <w:szCs w:val="20"/>
    </w:rPr>
  </w:style>
  <w:style w:type="character" w:customStyle="1" w:styleId="CommentTextChar">
    <w:name w:val="Comment Text Char"/>
    <w:basedOn w:val="DefaultParagraphFont"/>
    <w:link w:val="CommentText"/>
    <w:uiPriority w:val="99"/>
    <w:rsid w:val="00716CA8"/>
    <w:rPr>
      <w:sz w:val="20"/>
      <w:szCs w:val="20"/>
    </w:rPr>
  </w:style>
  <w:style w:type="paragraph" w:styleId="CommentSubject">
    <w:name w:val="annotation subject"/>
    <w:basedOn w:val="CommentText"/>
    <w:next w:val="CommentText"/>
    <w:link w:val="CommentSubjectChar"/>
    <w:uiPriority w:val="99"/>
    <w:semiHidden/>
    <w:unhideWhenUsed/>
    <w:rsid w:val="00716CA8"/>
    <w:rPr>
      <w:b/>
      <w:bCs/>
    </w:rPr>
  </w:style>
  <w:style w:type="character" w:customStyle="1" w:styleId="CommentSubjectChar">
    <w:name w:val="Comment Subject Char"/>
    <w:basedOn w:val="CommentTextChar"/>
    <w:link w:val="CommentSubject"/>
    <w:uiPriority w:val="99"/>
    <w:semiHidden/>
    <w:rsid w:val="00716CA8"/>
    <w:rPr>
      <w:b/>
      <w:bCs/>
      <w:sz w:val="20"/>
      <w:szCs w:val="20"/>
    </w:rPr>
  </w:style>
  <w:style w:type="paragraph" w:styleId="Revision">
    <w:name w:val="Revision"/>
    <w:hidden/>
    <w:uiPriority w:val="99"/>
    <w:semiHidden/>
    <w:rsid w:val="008119B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06CC-4618-4076-A042-3A748153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2122</Words>
  <Characters>11558</Characters>
  <Application>Microsoft Office Word</Application>
  <DocSecurity>0</DocSecurity>
  <Lines>246</Lines>
  <Paragraphs>71</Paragraphs>
  <ScaleCrop>false</ScaleCrop>
  <HeadingPairs>
    <vt:vector size="2" baseType="variant">
      <vt:variant>
        <vt:lpstr>Title</vt:lpstr>
      </vt:variant>
      <vt:variant>
        <vt:i4>1</vt:i4>
      </vt:variant>
    </vt:vector>
  </HeadingPairs>
  <TitlesOfParts>
    <vt:vector size="1" baseType="lpstr">
      <vt:lpstr>CHINA – MEASURES CONCERNING TRADE IN GOODS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 MEASURES CONCERNING TRADE IN GOODS - EXECUTIVE SUMMARY OF AUSTRALIA'S THIRD PARTY WRITTEN SUBMISSION, THIRD PARTY ORAL STATEMENT AND RESPONSES TO QUESTIONS FROM THE PANEL TO THIRD PARTIES</dc:title>
  <dc:subject/>
  <dc:creator/>
  <cp:keywords>[SEC=OFFICIAL]</cp:keywords>
  <dc:description/>
  <cp:lastModifiedBy/>
  <cp:revision>1</cp:revision>
  <dcterms:created xsi:type="dcterms:W3CDTF">2024-01-12T06:24:00Z</dcterms:created>
  <dcterms:modified xsi:type="dcterms:W3CDTF">2024-05-14T01:41:00Z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v=2022.1;a=SHA256;h=E32D20897C127C1D5E914987830463E9E8E40146426E43FA12842B5A778A6B2B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2024-05-14T01:41:27Z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FA1F888C4C4A419BA1A2D92686522284</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5C282A2356E62D2D77DB5E3EF4064724</vt:lpwstr>
  </property>
  <property fmtid="{D5CDD505-2E9C-101B-9397-08002B2CF9AE}" pid="25" name="PM_Hash_Salt">
    <vt:lpwstr>5C282A2356E62D2D77DB5E3EF4064724</vt:lpwstr>
  </property>
  <property fmtid="{D5CDD505-2E9C-101B-9397-08002B2CF9AE}" pid="26" name="PM_Hash_SHA1">
    <vt:lpwstr>BB14EA4F76EA5B718E15230B691A1CF7F9FE5033</vt:lpwstr>
  </property>
</Properties>
</file>