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23C" w14:textId="77777777"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p w14:paraId="0DDCD626" w14:textId="745EB8A9" w:rsidR="009C74E1" w:rsidRPr="00AE62EF" w:rsidRDefault="009C74E1" w:rsidP="0012146F">
      <w:pPr>
        <w:pStyle w:val="BTBodyText"/>
        <w:spacing w:after="240"/>
        <w:jc w:val="center"/>
        <w:rPr>
          <w:rFonts w:cs="Calibri"/>
          <w:b/>
          <w:bCs/>
          <w:sz w:val="32"/>
          <w:szCs w:val="32"/>
        </w:rPr>
      </w:pPr>
      <w:bookmarkStart w:id="1" w:name="_Toc100253863"/>
      <w:bookmarkStart w:id="2" w:name="_Toc155884800"/>
      <w:r w:rsidRPr="00AE62EF">
        <w:rPr>
          <w:rFonts w:cs="Calibri"/>
          <w:b/>
          <w:bCs/>
          <w:sz w:val="32"/>
          <w:szCs w:val="32"/>
        </w:rPr>
        <w:t>Before the World Trade Organization</w:t>
      </w:r>
    </w:p>
    <w:p w14:paraId="6C102321" w14:textId="77777777" w:rsidR="009C74E1" w:rsidRPr="00AE62EF" w:rsidRDefault="009C74E1" w:rsidP="0012146F">
      <w:pPr>
        <w:pStyle w:val="BTBodyText"/>
        <w:spacing w:after="240"/>
        <w:jc w:val="center"/>
        <w:rPr>
          <w:rFonts w:cs="Calibri"/>
          <w:b/>
          <w:bCs/>
          <w:sz w:val="32"/>
          <w:szCs w:val="32"/>
        </w:rPr>
      </w:pPr>
      <w:r w:rsidRPr="00AE62EF">
        <w:rPr>
          <w:rFonts w:cs="Calibri"/>
          <w:b/>
          <w:bCs/>
          <w:sz w:val="32"/>
          <w:szCs w:val="32"/>
        </w:rPr>
        <w:t>Panel Proceedings</w:t>
      </w:r>
    </w:p>
    <w:p w14:paraId="42209316" w14:textId="77777777" w:rsidR="009C74E1" w:rsidRPr="009C74E1" w:rsidRDefault="009C74E1" w:rsidP="001E7173">
      <w:pPr>
        <w:pStyle w:val="Heading1"/>
        <w:spacing w:before="1200"/>
      </w:pPr>
      <w:bookmarkStart w:id="3" w:name="_Hlk171437609"/>
      <w:r w:rsidRPr="009C74E1">
        <w:t>United States — Anti-Dumping Measure on Oil Country Tubular Goods from Argentina</w:t>
      </w:r>
      <w:bookmarkEnd w:id="3"/>
    </w:p>
    <w:p w14:paraId="76B7949F" w14:textId="77777777" w:rsidR="009C74E1" w:rsidRPr="00AE62EF" w:rsidRDefault="009C74E1" w:rsidP="001E1E4D">
      <w:pPr>
        <w:pStyle w:val="DSNDSNumber"/>
        <w:rPr>
          <w:rFonts w:cs="Calibri"/>
        </w:rPr>
      </w:pPr>
      <w:r w:rsidRPr="00AE62EF">
        <w:rPr>
          <w:rFonts w:cs="Calibri"/>
        </w:rPr>
        <w:t>(DS61</w:t>
      </w:r>
      <w:r>
        <w:rPr>
          <w:rFonts w:cs="Calibri"/>
        </w:rPr>
        <w:t>7</w:t>
      </w:r>
      <w:r w:rsidRPr="00AE62EF">
        <w:rPr>
          <w:rFonts w:cs="Calibri"/>
        </w:rPr>
        <w:t>)</w:t>
      </w:r>
    </w:p>
    <w:p w14:paraId="7BCD8B99" w14:textId="77777777" w:rsidR="009C74E1" w:rsidRPr="009053D0" w:rsidRDefault="009C74E1" w:rsidP="001E7173">
      <w:pPr>
        <w:pStyle w:val="Heading2"/>
        <w:spacing w:before="1200"/>
      </w:pPr>
      <w:r w:rsidRPr="009053D0">
        <w:t>Third Party Oral Statement of Australia</w:t>
      </w:r>
    </w:p>
    <w:p w14:paraId="177165E5" w14:textId="77777777" w:rsidR="009C74E1" w:rsidRPr="00AE62EF" w:rsidRDefault="009C74E1" w:rsidP="001E1E4D">
      <w:pPr>
        <w:pStyle w:val="DDDocumentDate"/>
        <w:rPr>
          <w:rFonts w:cs="Calibri"/>
        </w:rPr>
      </w:pPr>
      <w:r>
        <w:rPr>
          <w:rFonts w:cs="Calibri"/>
        </w:rPr>
        <w:t>11 July</w:t>
      </w:r>
      <w:r w:rsidRPr="00AE62EF">
        <w:rPr>
          <w:rFonts w:cs="Calibri"/>
        </w:rPr>
        <w:t xml:space="preserve"> 2024</w:t>
      </w:r>
    </w:p>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p w14:paraId="12676F1A" w14:textId="77777777" w:rsidR="00F71EA3" w:rsidRPr="00AE62EF" w:rsidRDefault="00F71EA3" w:rsidP="00F71EA3">
      <w:pPr>
        <w:pStyle w:val="BTNSSBodyTextNoSpacingSmall"/>
        <w:rPr>
          <w:rFonts w:cs="Calibri"/>
        </w:rPr>
      </w:pPr>
    </w:p>
    <w:p w14:paraId="251DE0E9" w14:textId="77777777" w:rsidR="00F71EA3" w:rsidRPr="00AE62EF" w:rsidRDefault="00F71EA3" w:rsidP="001E7173">
      <w:pPr>
        <w:pStyle w:val="NoSpacing"/>
      </w:pPr>
      <w:bookmarkStart w:id="4" w:name="_Toc100253860"/>
    </w:p>
    <w:sdt>
      <w:sdtPr>
        <w:rPr>
          <w:rFonts w:cs="Calibri"/>
          <w:b w:val="0"/>
          <w:caps w:val="0"/>
          <w:lang w:val="en-AU"/>
        </w:rPr>
        <w:id w:val="794183329"/>
        <w:docPartObj>
          <w:docPartGallery w:val="Table of Contents"/>
          <w:docPartUnique/>
        </w:docPartObj>
      </w:sdtPr>
      <w:sdtEndPr>
        <w:rPr>
          <w:bCs/>
          <w:noProof/>
        </w:rPr>
      </w:sdtEndPr>
      <w:sdtContent>
        <w:p w14:paraId="064A016C" w14:textId="67D8A723" w:rsidR="00F71EA3" w:rsidRPr="009053D0" w:rsidRDefault="00AE7057" w:rsidP="00F71EA3">
          <w:pPr>
            <w:pStyle w:val="TOCHeading"/>
            <w:rPr>
              <w:rStyle w:val="Heading3Char"/>
              <w:b/>
              <w:bCs/>
            </w:rPr>
          </w:pPr>
          <w:r w:rsidRPr="009053D0">
            <w:rPr>
              <w:rStyle w:val="Heading3Char"/>
              <w:b/>
              <w:bCs/>
            </w:rPr>
            <w:t>CONTENTS</w:t>
          </w:r>
        </w:p>
        <w:p w14:paraId="7A09EE12" w14:textId="32B03A11" w:rsidR="00505764"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71645702" w:history="1">
            <w:r w:rsidR="00505764" w:rsidRPr="00452AD7">
              <w:rPr>
                <w:rStyle w:val="Hyperlink"/>
                <w:rFonts w:cs="Calibri"/>
                <w:noProof/>
              </w:rPr>
              <w:t>Table of Cases</w:t>
            </w:r>
            <w:r w:rsidR="00505764">
              <w:rPr>
                <w:noProof/>
                <w:webHidden/>
              </w:rPr>
              <w:tab/>
            </w:r>
            <w:r w:rsidR="00505764">
              <w:rPr>
                <w:noProof/>
                <w:webHidden/>
              </w:rPr>
              <w:fldChar w:fldCharType="begin"/>
            </w:r>
            <w:r w:rsidR="00505764">
              <w:rPr>
                <w:noProof/>
                <w:webHidden/>
              </w:rPr>
              <w:instrText xml:space="preserve"> PAGEREF _Toc171645702 \h </w:instrText>
            </w:r>
            <w:r w:rsidR="00505764">
              <w:rPr>
                <w:noProof/>
                <w:webHidden/>
              </w:rPr>
            </w:r>
            <w:r w:rsidR="00505764">
              <w:rPr>
                <w:noProof/>
                <w:webHidden/>
              </w:rPr>
              <w:fldChar w:fldCharType="separate"/>
            </w:r>
            <w:r w:rsidR="00505764">
              <w:rPr>
                <w:noProof/>
                <w:webHidden/>
              </w:rPr>
              <w:t>3</w:t>
            </w:r>
            <w:r w:rsidR="00505764">
              <w:rPr>
                <w:noProof/>
                <w:webHidden/>
              </w:rPr>
              <w:fldChar w:fldCharType="end"/>
            </w:r>
          </w:hyperlink>
        </w:p>
        <w:p w14:paraId="69FF2CCA" w14:textId="2F10A972"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3" w:history="1">
            <w:r w:rsidR="00505764" w:rsidRPr="00452AD7">
              <w:rPr>
                <w:rStyle w:val="Hyperlink"/>
                <w:rFonts w:cs="Calibri"/>
                <w:noProof/>
              </w:rPr>
              <w:t>List of Acronyms, Abbreviations and Short Forms</w:t>
            </w:r>
            <w:r w:rsidR="00505764">
              <w:rPr>
                <w:noProof/>
                <w:webHidden/>
              </w:rPr>
              <w:tab/>
            </w:r>
            <w:r w:rsidR="00505764">
              <w:rPr>
                <w:noProof/>
                <w:webHidden/>
              </w:rPr>
              <w:fldChar w:fldCharType="begin"/>
            </w:r>
            <w:r w:rsidR="00505764">
              <w:rPr>
                <w:noProof/>
                <w:webHidden/>
              </w:rPr>
              <w:instrText xml:space="preserve"> PAGEREF _Toc171645703 \h </w:instrText>
            </w:r>
            <w:r w:rsidR="00505764">
              <w:rPr>
                <w:noProof/>
                <w:webHidden/>
              </w:rPr>
            </w:r>
            <w:r w:rsidR="00505764">
              <w:rPr>
                <w:noProof/>
                <w:webHidden/>
              </w:rPr>
              <w:fldChar w:fldCharType="separate"/>
            </w:r>
            <w:r w:rsidR="00505764">
              <w:rPr>
                <w:noProof/>
                <w:webHidden/>
              </w:rPr>
              <w:t>3</w:t>
            </w:r>
            <w:r w:rsidR="00505764">
              <w:rPr>
                <w:noProof/>
                <w:webHidden/>
              </w:rPr>
              <w:fldChar w:fldCharType="end"/>
            </w:r>
          </w:hyperlink>
        </w:p>
        <w:p w14:paraId="7D6622B6" w14:textId="6A4AC70B"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4" w:history="1">
            <w:r w:rsidR="00505764" w:rsidRPr="00452AD7">
              <w:rPr>
                <w:rStyle w:val="Hyperlink"/>
                <w:rFonts w:cs="Calibri"/>
                <w:noProof/>
              </w:rPr>
              <w:t>I.</w:t>
            </w:r>
            <w:r w:rsidR="00505764">
              <w:rPr>
                <w:rFonts w:asciiTheme="minorHAnsi" w:eastAsiaTheme="minorEastAsia" w:hAnsiTheme="minorHAnsi"/>
                <w:b w:val="0"/>
                <w:caps w:val="0"/>
                <w:noProof/>
                <w:kern w:val="2"/>
                <w:sz w:val="22"/>
                <w:szCs w:val="22"/>
                <w:lang w:eastAsia="en-AU"/>
                <w14:ligatures w14:val="standardContextual"/>
              </w:rPr>
              <w:tab/>
            </w:r>
            <w:r w:rsidR="00505764" w:rsidRPr="00452AD7">
              <w:rPr>
                <w:rStyle w:val="Hyperlink"/>
                <w:rFonts w:cs="Calibri"/>
                <w:noProof/>
              </w:rPr>
              <w:t>Introduction</w:t>
            </w:r>
            <w:r w:rsidR="00505764">
              <w:rPr>
                <w:noProof/>
                <w:webHidden/>
              </w:rPr>
              <w:tab/>
            </w:r>
            <w:r w:rsidR="00505764">
              <w:rPr>
                <w:noProof/>
                <w:webHidden/>
              </w:rPr>
              <w:fldChar w:fldCharType="begin"/>
            </w:r>
            <w:r w:rsidR="00505764">
              <w:rPr>
                <w:noProof/>
                <w:webHidden/>
              </w:rPr>
              <w:instrText xml:space="preserve"> PAGEREF _Toc171645704 \h </w:instrText>
            </w:r>
            <w:r w:rsidR="00505764">
              <w:rPr>
                <w:noProof/>
                <w:webHidden/>
              </w:rPr>
            </w:r>
            <w:r w:rsidR="00505764">
              <w:rPr>
                <w:noProof/>
                <w:webHidden/>
              </w:rPr>
              <w:fldChar w:fldCharType="separate"/>
            </w:r>
            <w:r w:rsidR="00505764">
              <w:rPr>
                <w:noProof/>
                <w:webHidden/>
              </w:rPr>
              <w:t>4</w:t>
            </w:r>
            <w:r w:rsidR="00505764">
              <w:rPr>
                <w:noProof/>
                <w:webHidden/>
              </w:rPr>
              <w:fldChar w:fldCharType="end"/>
            </w:r>
          </w:hyperlink>
        </w:p>
        <w:p w14:paraId="524E9E72" w14:textId="1D8DAE91"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5" w:history="1">
            <w:r w:rsidR="00505764" w:rsidRPr="00452AD7">
              <w:rPr>
                <w:rStyle w:val="Hyperlink"/>
                <w:noProof/>
              </w:rPr>
              <w:t>II.</w:t>
            </w:r>
            <w:r w:rsidR="00505764">
              <w:rPr>
                <w:rFonts w:asciiTheme="minorHAnsi" w:eastAsiaTheme="minorEastAsia" w:hAnsiTheme="minorHAnsi"/>
                <w:b w:val="0"/>
                <w:caps w:val="0"/>
                <w:noProof/>
                <w:kern w:val="2"/>
                <w:sz w:val="22"/>
                <w:szCs w:val="22"/>
                <w:lang w:eastAsia="en-AU"/>
                <w14:ligatures w14:val="standardContextual"/>
              </w:rPr>
              <w:tab/>
            </w:r>
            <w:r w:rsidR="00505764" w:rsidRPr="00452AD7">
              <w:rPr>
                <w:rStyle w:val="Hyperlink"/>
                <w:noProof/>
              </w:rPr>
              <w:t>The initiation of the investigation</w:t>
            </w:r>
            <w:r w:rsidR="00505764">
              <w:rPr>
                <w:noProof/>
                <w:webHidden/>
              </w:rPr>
              <w:tab/>
            </w:r>
            <w:r w:rsidR="00505764">
              <w:rPr>
                <w:noProof/>
                <w:webHidden/>
              </w:rPr>
              <w:fldChar w:fldCharType="begin"/>
            </w:r>
            <w:r w:rsidR="00505764">
              <w:rPr>
                <w:noProof/>
                <w:webHidden/>
              </w:rPr>
              <w:instrText xml:space="preserve"> PAGEREF _Toc171645705 \h </w:instrText>
            </w:r>
            <w:r w:rsidR="00505764">
              <w:rPr>
                <w:noProof/>
                <w:webHidden/>
              </w:rPr>
            </w:r>
            <w:r w:rsidR="00505764">
              <w:rPr>
                <w:noProof/>
                <w:webHidden/>
              </w:rPr>
              <w:fldChar w:fldCharType="separate"/>
            </w:r>
            <w:r w:rsidR="00505764">
              <w:rPr>
                <w:noProof/>
                <w:webHidden/>
              </w:rPr>
              <w:t>4</w:t>
            </w:r>
            <w:r w:rsidR="00505764">
              <w:rPr>
                <w:noProof/>
                <w:webHidden/>
              </w:rPr>
              <w:fldChar w:fldCharType="end"/>
            </w:r>
          </w:hyperlink>
        </w:p>
        <w:p w14:paraId="2D215ED8" w14:textId="1C88F5BF"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6" w:history="1">
            <w:r w:rsidR="00505764" w:rsidRPr="00452AD7">
              <w:rPr>
                <w:rStyle w:val="Hyperlink"/>
                <w:noProof/>
              </w:rPr>
              <w:t>III.</w:t>
            </w:r>
            <w:r w:rsidR="00505764">
              <w:rPr>
                <w:rFonts w:asciiTheme="minorHAnsi" w:eastAsiaTheme="minorEastAsia" w:hAnsiTheme="minorHAnsi"/>
                <w:b w:val="0"/>
                <w:caps w:val="0"/>
                <w:noProof/>
                <w:kern w:val="2"/>
                <w:sz w:val="22"/>
                <w:szCs w:val="22"/>
                <w:lang w:eastAsia="en-AU"/>
                <w14:ligatures w14:val="standardContextual"/>
              </w:rPr>
              <w:tab/>
            </w:r>
            <w:r w:rsidR="00505764" w:rsidRPr="00452AD7">
              <w:rPr>
                <w:rStyle w:val="Hyperlink"/>
                <w:noProof/>
              </w:rPr>
              <w:t>CROSS-CUMULATION – DUMPED IMPORTS WITH SUBSIDISED IMPORTS</w:t>
            </w:r>
            <w:r w:rsidR="00505764">
              <w:rPr>
                <w:noProof/>
                <w:webHidden/>
              </w:rPr>
              <w:tab/>
            </w:r>
            <w:r w:rsidR="00505764">
              <w:rPr>
                <w:noProof/>
                <w:webHidden/>
              </w:rPr>
              <w:fldChar w:fldCharType="begin"/>
            </w:r>
            <w:r w:rsidR="00505764">
              <w:rPr>
                <w:noProof/>
                <w:webHidden/>
              </w:rPr>
              <w:instrText xml:space="preserve"> PAGEREF _Toc171645706 \h </w:instrText>
            </w:r>
            <w:r w:rsidR="00505764">
              <w:rPr>
                <w:noProof/>
                <w:webHidden/>
              </w:rPr>
            </w:r>
            <w:r w:rsidR="00505764">
              <w:rPr>
                <w:noProof/>
                <w:webHidden/>
              </w:rPr>
              <w:fldChar w:fldCharType="separate"/>
            </w:r>
            <w:r w:rsidR="00505764">
              <w:rPr>
                <w:noProof/>
                <w:webHidden/>
              </w:rPr>
              <w:t>5</w:t>
            </w:r>
            <w:r w:rsidR="00505764">
              <w:rPr>
                <w:noProof/>
                <w:webHidden/>
              </w:rPr>
              <w:fldChar w:fldCharType="end"/>
            </w:r>
          </w:hyperlink>
        </w:p>
        <w:p w14:paraId="74405FBB" w14:textId="0508C188"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7" w:history="1">
            <w:r w:rsidR="00505764" w:rsidRPr="00452AD7">
              <w:rPr>
                <w:rStyle w:val="Hyperlink"/>
                <w:rFonts w:cs="Calibri"/>
                <w:noProof/>
              </w:rPr>
              <w:t>IV.</w:t>
            </w:r>
            <w:r w:rsidR="00505764">
              <w:rPr>
                <w:rFonts w:asciiTheme="minorHAnsi" w:eastAsiaTheme="minorEastAsia" w:hAnsiTheme="minorHAnsi"/>
                <w:b w:val="0"/>
                <w:caps w:val="0"/>
                <w:noProof/>
                <w:kern w:val="2"/>
                <w:sz w:val="22"/>
                <w:szCs w:val="22"/>
                <w:lang w:eastAsia="en-AU"/>
                <w14:ligatures w14:val="standardContextual"/>
              </w:rPr>
              <w:tab/>
            </w:r>
            <w:r w:rsidR="00505764" w:rsidRPr="00452AD7">
              <w:rPr>
                <w:rStyle w:val="Hyperlink"/>
                <w:noProof/>
              </w:rPr>
              <w:t>Permissible Interpretations of the Anti-Dumping Agreement</w:t>
            </w:r>
            <w:r w:rsidR="00505764">
              <w:rPr>
                <w:noProof/>
                <w:webHidden/>
              </w:rPr>
              <w:tab/>
            </w:r>
            <w:r w:rsidR="00505764">
              <w:rPr>
                <w:noProof/>
                <w:webHidden/>
              </w:rPr>
              <w:fldChar w:fldCharType="begin"/>
            </w:r>
            <w:r w:rsidR="00505764">
              <w:rPr>
                <w:noProof/>
                <w:webHidden/>
              </w:rPr>
              <w:instrText xml:space="preserve"> PAGEREF _Toc171645707 \h </w:instrText>
            </w:r>
            <w:r w:rsidR="00505764">
              <w:rPr>
                <w:noProof/>
                <w:webHidden/>
              </w:rPr>
            </w:r>
            <w:r w:rsidR="00505764">
              <w:rPr>
                <w:noProof/>
                <w:webHidden/>
              </w:rPr>
              <w:fldChar w:fldCharType="separate"/>
            </w:r>
            <w:r w:rsidR="00505764">
              <w:rPr>
                <w:noProof/>
                <w:webHidden/>
              </w:rPr>
              <w:t>7</w:t>
            </w:r>
            <w:r w:rsidR="00505764">
              <w:rPr>
                <w:noProof/>
                <w:webHidden/>
              </w:rPr>
              <w:fldChar w:fldCharType="end"/>
            </w:r>
          </w:hyperlink>
        </w:p>
        <w:p w14:paraId="64A56BE9" w14:textId="3BD94DCB" w:rsidR="00505764"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1645708" w:history="1">
            <w:r w:rsidR="00505764" w:rsidRPr="00452AD7">
              <w:rPr>
                <w:rStyle w:val="Hyperlink"/>
                <w:noProof/>
              </w:rPr>
              <w:t>V.</w:t>
            </w:r>
            <w:r w:rsidR="00505764">
              <w:rPr>
                <w:rFonts w:asciiTheme="minorHAnsi" w:eastAsiaTheme="minorEastAsia" w:hAnsiTheme="minorHAnsi"/>
                <w:b w:val="0"/>
                <w:caps w:val="0"/>
                <w:noProof/>
                <w:kern w:val="2"/>
                <w:sz w:val="22"/>
                <w:szCs w:val="22"/>
                <w:lang w:eastAsia="en-AU"/>
                <w14:ligatures w14:val="standardContextual"/>
              </w:rPr>
              <w:tab/>
            </w:r>
            <w:r w:rsidR="00505764" w:rsidRPr="00452AD7">
              <w:rPr>
                <w:rStyle w:val="Hyperlink"/>
                <w:noProof/>
              </w:rPr>
              <w:t>Conclusion</w:t>
            </w:r>
            <w:r w:rsidR="00505764">
              <w:rPr>
                <w:noProof/>
                <w:webHidden/>
              </w:rPr>
              <w:tab/>
            </w:r>
            <w:r w:rsidR="00505764">
              <w:rPr>
                <w:noProof/>
                <w:webHidden/>
              </w:rPr>
              <w:fldChar w:fldCharType="begin"/>
            </w:r>
            <w:r w:rsidR="00505764">
              <w:rPr>
                <w:noProof/>
                <w:webHidden/>
              </w:rPr>
              <w:instrText xml:space="preserve"> PAGEREF _Toc171645708 \h </w:instrText>
            </w:r>
            <w:r w:rsidR="00505764">
              <w:rPr>
                <w:noProof/>
                <w:webHidden/>
              </w:rPr>
            </w:r>
            <w:r w:rsidR="00505764">
              <w:rPr>
                <w:noProof/>
                <w:webHidden/>
              </w:rPr>
              <w:fldChar w:fldCharType="separate"/>
            </w:r>
            <w:r w:rsidR="00505764">
              <w:rPr>
                <w:noProof/>
                <w:webHidden/>
              </w:rPr>
              <w:t>8</w:t>
            </w:r>
            <w:r w:rsidR="00505764">
              <w:rPr>
                <w:noProof/>
                <w:webHidden/>
              </w:rPr>
              <w:fldChar w:fldCharType="end"/>
            </w:r>
          </w:hyperlink>
        </w:p>
        <w:p w14:paraId="41BE8831" w14:textId="749DE7D1" w:rsidR="009053D0" w:rsidRDefault="00F71EA3" w:rsidP="00F71EA3">
          <w:pPr>
            <w:rPr>
              <w:rFonts w:cs="Calibri"/>
              <w:bCs/>
              <w:noProof/>
            </w:rPr>
          </w:pPr>
          <w:r w:rsidRPr="00AE62EF">
            <w:rPr>
              <w:rFonts w:cs="Calibri"/>
              <w:b/>
              <w:bCs/>
              <w:noProof/>
            </w:rPr>
            <w:fldChar w:fldCharType="end"/>
          </w:r>
        </w:p>
      </w:sdtContent>
    </w:sdt>
    <w:p w14:paraId="68D322AD" w14:textId="77777777" w:rsidR="009053D0" w:rsidRDefault="009053D0">
      <w:pPr>
        <w:spacing w:line="259" w:lineRule="auto"/>
        <w:jc w:val="left"/>
        <w:rPr>
          <w:rFonts w:cs="Calibri"/>
          <w:bCs/>
          <w:noProof/>
        </w:rPr>
      </w:pPr>
      <w:r>
        <w:rPr>
          <w:rFonts w:cs="Calibri"/>
          <w:bCs/>
          <w:noProof/>
        </w:rPr>
        <w:br w:type="page"/>
      </w:r>
    </w:p>
    <w:p w14:paraId="7908D6D5" w14:textId="77777777" w:rsidR="009053D0" w:rsidRPr="00F71EA3" w:rsidRDefault="009053D0" w:rsidP="00AE7057">
      <w:pPr>
        <w:pStyle w:val="Heading3"/>
      </w:pPr>
      <w:bookmarkStart w:id="5" w:name="_Toc171645702"/>
      <w:r w:rsidRPr="00F71EA3">
        <w:lastRenderedPageBreak/>
        <w:t>Table of Cases</w:t>
      </w:r>
      <w:bookmarkEnd w:id="5"/>
    </w:p>
    <w:tbl>
      <w:tblPr>
        <w:tblStyle w:val="TableGrid"/>
        <w:tblW w:w="5000" w:type="pct"/>
        <w:tblLook w:val="04A0" w:firstRow="1" w:lastRow="0" w:firstColumn="1" w:lastColumn="0" w:noHBand="0" w:noVBand="1"/>
      </w:tblPr>
      <w:tblGrid>
        <w:gridCol w:w="2265"/>
        <w:gridCol w:w="6795"/>
      </w:tblGrid>
      <w:tr w:rsidR="009053D0" w:rsidRPr="00AE62EF" w14:paraId="5D178C14" w14:textId="77777777" w:rsidTr="00A95A57">
        <w:trPr>
          <w:cantSplit/>
          <w:trHeight w:val="397"/>
          <w:tblHeader/>
        </w:trPr>
        <w:tc>
          <w:tcPr>
            <w:tcW w:w="2265" w:type="dxa"/>
            <w:shd w:val="clear" w:color="auto" w:fill="D9D9D9" w:themeFill="background1" w:themeFillShade="D9"/>
          </w:tcPr>
          <w:p w14:paraId="63269CEB" w14:textId="77777777" w:rsidR="009053D0" w:rsidRPr="00AE62EF" w:rsidRDefault="009053D0" w:rsidP="00A95A57">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5B5EC0CE" w14:textId="77777777" w:rsidR="009053D0" w:rsidRPr="00AE62EF" w:rsidRDefault="009053D0" w:rsidP="00A95A57">
            <w:pPr>
              <w:pStyle w:val="THTableHeading"/>
              <w:jc w:val="center"/>
              <w:rPr>
                <w:rFonts w:cs="Calibri"/>
              </w:rPr>
            </w:pPr>
            <w:r w:rsidRPr="00AE62EF">
              <w:rPr>
                <w:rFonts w:cs="Calibri"/>
              </w:rPr>
              <w:t>Full Case Title and Citation</w:t>
            </w:r>
          </w:p>
        </w:tc>
      </w:tr>
      <w:tr w:rsidR="009053D0" w:rsidRPr="00AE62EF" w14:paraId="66B5E37E" w14:textId="77777777" w:rsidTr="00A95A57">
        <w:trPr>
          <w:cantSplit/>
          <w:trHeight w:val="397"/>
        </w:trPr>
        <w:tc>
          <w:tcPr>
            <w:tcW w:w="2265" w:type="dxa"/>
          </w:tcPr>
          <w:p w14:paraId="6B65D506" w14:textId="77777777" w:rsidR="009053D0" w:rsidRPr="00AE62EF" w:rsidRDefault="009053D0" w:rsidP="00A95A57">
            <w:pPr>
              <w:pStyle w:val="TTTableText"/>
              <w:rPr>
                <w:rFonts w:cs="Calibri"/>
                <w:i/>
                <w:iCs/>
              </w:rPr>
            </w:pPr>
            <w:r>
              <w:rPr>
                <w:rFonts w:cs="Calibri"/>
                <w:i/>
                <w:iCs/>
              </w:rPr>
              <w:t>Colombia — Frozen Fries</w:t>
            </w:r>
          </w:p>
        </w:tc>
        <w:tc>
          <w:tcPr>
            <w:tcW w:w="6795" w:type="dxa"/>
          </w:tcPr>
          <w:p w14:paraId="3CAA2763" w14:textId="77777777" w:rsidR="009053D0" w:rsidRPr="00AE62EF" w:rsidRDefault="009053D0" w:rsidP="00A95A57">
            <w:pPr>
              <w:pStyle w:val="TTTableText"/>
              <w:rPr>
                <w:rFonts w:cs="Calibri"/>
              </w:rPr>
            </w:pPr>
            <w:r>
              <w:rPr>
                <w:rFonts w:cs="Calibri"/>
              </w:rPr>
              <w:t xml:space="preserve">Award of Arbitrators, </w:t>
            </w:r>
            <w:r w:rsidRPr="00F17EA8">
              <w:rPr>
                <w:rFonts w:cs="Calibri"/>
                <w:i/>
                <w:iCs/>
              </w:rPr>
              <w:t>Colombia</w:t>
            </w:r>
            <w:r w:rsidRPr="00EA3B17">
              <w:rPr>
                <w:rFonts w:cs="Calibri"/>
                <w:i/>
                <w:iCs/>
              </w:rPr>
              <w:t xml:space="preserve"> </w:t>
            </w:r>
            <w:r w:rsidRPr="002564DB">
              <w:rPr>
                <w:rFonts w:asciiTheme="minorHAnsi" w:hAnsiTheme="minorHAnsi" w:cstheme="minorHAnsi"/>
                <w:i/>
                <w:iCs/>
              </w:rPr>
              <w:t>–</w:t>
            </w:r>
            <w:r w:rsidRPr="00EA3B17">
              <w:rPr>
                <w:rFonts w:cs="Calibri"/>
                <w:i/>
                <w:iCs/>
              </w:rPr>
              <w:t xml:space="preserve"> </w:t>
            </w:r>
            <w:r w:rsidRPr="00F17EA8">
              <w:rPr>
                <w:rFonts w:cs="Calibri"/>
                <w:i/>
                <w:iCs/>
              </w:rPr>
              <w:t>Anti</w:t>
            </w:r>
            <w:r>
              <w:rPr>
                <w:rFonts w:cs="Calibri"/>
                <w:i/>
                <w:iCs/>
              </w:rPr>
              <w:t xml:space="preserve">-Dumping Duties on Frozen Fries from Belgium, </w:t>
            </w:r>
            <w:proofErr w:type="gramStart"/>
            <w:r>
              <w:rPr>
                <w:rFonts w:cs="Calibri"/>
                <w:i/>
                <w:iCs/>
              </w:rPr>
              <w:t>Germany</w:t>
            </w:r>
            <w:proofErr w:type="gramEnd"/>
            <w:r>
              <w:rPr>
                <w:rFonts w:cs="Calibri"/>
                <w:i/>
                <w:iCs/>
              </w:rPr>
              <w:t xml:space="preserve"> and the Netherlands – Arbitration under Article 25 of the DSU,</w:t>
            </w:r>
            <w:r>
              <w:rPr>
                <w:rFonts w:cs="Calibri"/>
              </w:rPr>
              <w:t xml:space="preserve"> WT/DS591/9/ARB25 and Add.1, 21 December 2022</w:t>
            </w:r>
            <w:r>
              <w:rPr>
                <w:rFonts w:cs="Calibri"/>
                <w:i/>
                <w:iCs/>
              </w:rPr>
              <w:t xml:space="preserve"> </w:t>
            </w:r>
          </w:p>
        </w:tc>
      </w:tr>
      <w:tr w:rsidR="009053D0" w:rsidRPr="00AE62EF" w14:paraId="6909C938" w14:textId="77777777" w:rsidTr="00A95A57">
        <w:trPr>
          <w:cantSplit/>
          <w:trHeight w:val="397"/>
        </w:trPr>
        <w:tc>
          <w:tcPr>
            <w:tcW w:w="2265" w:type="dxa"/>
          </w:tcPr>
          <w:p w14:paraId="6AE55381" w14:textId="77777777" w:rsidR="009053D0" w:rsidRPr="00B010E8" w:rsidRDefault="009053D0" w:rsidP="00A95A57">
            <w:pPr>
              <w:pStyle w:val="FootnoteText"/>
              <w:jc w:val="left"/>
              <w:rPr>
                <w:rFonts w:cs="Calibri"/>
                <w:i/>
                <w:iCs/>
                <w:sz w:val="24"/>
                <w:szCs w:val="24"/>
              </w:rPr>
            </w:pPr>
            <w:r w:rsidRPr="00B010E8">
              <w:rPr>
                <w:rFonts w:asciiTheme="minorHAnsi" w:hAnsiTheme="minorHAnsi" w:cstheme="minorHAnsi"/>
                <w:i/>
                <w:iCs/>
                <w:sz w:val="24"/>
                <w:szCs w:val="24"/>
              </w:rPr>
              <w:t>Pakistan – BOPP Film (UAE)</w:t>
            </w:r>
          </w:p>
        </w:tc>
        <w:tc>
          <w:tcPr>
            <w:tcW w:w="6795" w:type="dxa"/>
          </w:tcPr>
          <w:p w14:paraId="7AC169EE" w14:textId="77777777" w:rsidR="009053D0" w:rsidRPr="00AE62EF" w:rsidRDefault="009053D0" w:rsidP="00A95A57">
            <w:pPr>
              <w:pStyle w:val="TTTableText"/>
              <w:rPr>
                <w:rFonts w:cs="Calibri"/>
              </w:rPr>
            </w:pPr>
            <w:r w:rsidRPr="008607A5">
              <w:rPr>
                <w:rFonts w:asciiTheme="minorHAnsi" w:hAnsiTheme="minorHAnsi" w:cstheme="minorHAnsi"/>
              </w:rPr>
              <w:t xml:space="preserve">Panel Report, </w:t>
            </w:r>
            <w:r w:rsidRPr="008607A5">
              <w:rPr>
                <w:rFonts w:asciiTheme="minorHAnsi" w:hAnsiTheme="minorHAnsi" w:cstheme="minorHAnsi"/>
                <w:i/>
                <w:iCs/>
              </w:rPr>
              <w:t>Pakistan – Anti-Dumping Measures on Biaxially Oriented Polypropylene Film from the United Arab Emirates</w:t>
            </w:r>
            <w:r w:rsidRPr="008607A5">
              <w:rPr>
                <w:rFonts w:asciiTheme="minorHAnsi" w:hAnsiTheme="minorHAnsi" w:cstheme="minorHAnsi"/>
              </w:rPr>
              <w:t>, WT/DS538/R and Add.1, circulated to WTO Members 18 January 2021, appealed on 22 February 2021</w:t>
            </w:r>
          </w:p>
        </w:tc>
      </w:tr>
      <w:tr w:rsidR="009053D0" w:rsidRPr="00AE62EF" w14:paraId="015C9261" w14:textId="77777777" w:rsidTr="00A95A57">
        <w:trPr>
          <w:cantSplit/>
          <w:trHeight w:val="397"/>
        </w:trPr>
        <w:tc>
          <w:tcPr>
            <w:tcW w:w="2265" w:type="dxa"/>
          </w:tcPr>
          <w:p w14:paraId="377949A1" w14:textId="77777777" w:rsidR="009053D0" w:rsidRPr="00B010E8" w:rsidRDefault="009053D0" w:rsidP="00A95A57">
            <w:pPr>
              <w:pStyle w:val="FootnoteText"/>
              <w:jc w:val="left"/>
              <w:rPr>
                <w:rFonts w:cs="Calibri"/>
                <w:i/>
                <w:iCs/>
                <w:sz w:val="24"/>
                <w:szCs w:val="24"/>
              </w:rPr>
            </w:pPr>
            <w:r w:rsidRPr="00B010E8">
              <w:rPr>
                <w:rFonts w:asciiTheme="minorHAnsi" w:hAnsiTheme="minorHAnsi" w:cstheme="minorHAnsi"/>
                <w:i/>
                <w:iCs/>
                <w:sz w:val="24"/>
                <w:szCs w:val="24"/>
              </w:rPr>
              <w:t>US – Carbon Steel (India)</w:t>
            </w:r>
          </w:p>
        </w:tc>
        <w:tc>
          <w:tcPr>
            <w:tcW w:w="6795" w:type="dxa"/>
          </w:tcPr>
          <w:p w14:paraId="430A68A0" w14:textId="77777777" w:rsidR="009053D0" w:rsidRPr="00AE62EF" w:rsidRDefault="009053D0" w:rsidP="00A95A57">
            <w:pPr>
              <w:pStyle w:val="TTTableText"/>
              <w:rPr>
                <w:rFonts w:cs="Calibri"/>
              </w:rPr>
            </w:pPr>
            <w:r>
              <w:rPr>
                <w:rFonts w:asciiTheme="minorHAnsi" w:hAnsiTheme="minorHAnsi" w:cstheme="minorHAnsi"/>
              </w:rPr>
              <w:t xml:space="preserve">Appellate Body Report, </w:t>
            </w:r>
            <w:r>
              <w:rPr>
                <w:rFonts w:asciiTheme="minorHAnsi" w:hAnsiTheme="minorHAnsi" w:cstheme="minorHAnsi"/>
                <w:i/>
                <w:iCs/>
              </w:rPr>
              <w:t xml:space="preserve">United States – Countervailing Measures on Certain Hot-Rolled Carbon Steel Flat Products from India, </w:t>
            </w:r>
            <w:r>
              <w:rPr>
                <w:rFonts w:asciiTheme="minorHAnsi" w:hAnsiTheme="minorHAnsi" w:cstheme="minorHAnsi"/>
              </w:rPr>
              <w:t xml:space="preserve">WT/DS436/AB/R, adopted 19 December 2014, DSR </w:t>
            </w:r>
            <w:proofErr w:type="gramStart"/>
            <w:r>
              <w:rPr>
                <w:rFonts w:asciiTheme="minorHAnsi" w:hAnsiTheme="minorHAnsi" w:cstheme="minorHAnsi"/>
              </w:rPr>
              <w:t>2014:V</w:t>
            </w:r>
            <w:proofErr w:type="gramEnd"/>
            <w:r>
              <w:rPr>
                <w:rFonts w:asciiTheme="minorHAnsi" w:hAnsiTheme="minorHAnsi" w:cstheme="minorHAnsi"/>
              </w:rPr>
              <w:t>, p. 1727</w:t>
            </w:r>
          </w:p>
        </w:tc>
      </w:tr>
      <w:tr w:rsidR="009053D0" w:rsidRPr="00AE62EF" w14:paraId="314230EF" w14:textId="77777777" w:rsidTr="00A95A57">
        <w:trPr>
          <w:cantSplit/>
          <w:trHeight w:val="397"/>
        </w:trPr>
        <w:tc>
          <w:tcPr>
            <w:tcW w:w="2265" w:type="dxa"/>
          </w:tcPr>
          <w:p w14:paraId="576834F4" w14:textId="77777777" w:rsidR="009053D0" w:rsidRPr="00B010E8" w:rsidRDefault="009053D0" w:rsidP="00A95A57">
            <w:pPr>
              <w:pStyle w:val="FootnoteText"/>
              <w:jc w:val="left"/>
              <w:rPr>
                <w:rFonts w:cs="Calibri"/>
                <w:i/>
                <w:iCs/>
                <w:sz w:val="24"/>
                <w:szCs w:val="24"/>
              </w:rPr>
            </w:pPr>
            <w:r w:rsidRPr="00B010E8">
              <w:rPr>
                <w:rFonts w:asciiTheme="minorHAnsi" w:hAnsiTheme="minorHAnsi" w:cstheme="minorHAnsi"/>
                <w:i/>
                <w:iCs/>
                <w:sz w:val="24"/>
                <w:szCs w:val="24"/>
              </w:rPr>
              <w:t>US – Carbon Steel (India)</w:t>
            </w:r>
          </w:p>
        </w:tc>
        <w:tc>
          <w:tcPr>
            <w:tcW w:w="6795" w:type="dxa"/>
          </w:tcPr>
          <w:p w14:paraId="53C46ACE" w14:textId="77777777" w:rsidR="009053D0" w:rsidRPr="00AE62EF" w:rsidRDefault="009053D0" w:rsidP="00A95A57">
            <w:pPr>
              <w:pStyle w:val="TTTableText"/>
              <w:rPr>
                <w:rFonts w:cs="Calibri"/>
              </w:rPr>
            </w:pPr>
            <w:r>
              <w:rPr>
                <w:color w:val="000000"/>
              </w:rPr>
              <w:t xml:space="preserve">Panel Report, </w:t>
            </w:r>
            <w:r>
              <w:rPr>
                <w:i/>
                <w:color w:val="000000"/>
              </w:rPr>
              <w:t>United States – Countervailing Measures on Certain Hot-Rolled Carbon Steel Flat Products from India</w:t>
            </w:r>
            <w:r>
              <w:rPr>
                <w:color w:val="000000"/>
              </w:rPr>
              <w:t xml:space="preserve">, </w:t>
            </w:r>
            <w:r>
              <w:t>WT/DS436/R</w:t>
            </w:r>
            <w:r>
              <w:rPr>
                <w:color w:val="000000"/>
              </w:rPr>
              <w:t xml:space="preserve"> and Add.1, adopted 19 December 2014, as modified by Appellate Body Report WT/DS436/AB/R, DSR 2014:VI, p. 2189</w:t>
            </w:r>
          </w:p>
        </w:tc>
      </w:tr>
      <w:tr w:rsidR="009053D0" w:rsidRPr="00AE62EF" w14:paraId="5625CE9E" w14:textId="77777777" w:rsidTr="00A95A57">
        <w:trPr>
          <w:cantSplit/>
          <w:trHeight w:val="397"/>
        </w:trPr>
        <w:tc>
          <w:tcPr>
            <w:tcW w:w="2265" w:type="dxa"/>
          </w:tcPr>
          <w:p w14:paraId="535C2155" w14:textId="77777777" w:rsidR="009053D0" w:rsidRPr="00B010E8" w:rsidRDefault="009053D0" w:rsidP="00A95A57">
            <w:pPr>
              <w:pStyle w:val="FootnoteText"/>
              <w:jc w:val="left"/>
              <w:rPr>
                <w:rFonts w:asciiTheme="minorHAnsi" w:hAnsiTheme="minorHAnsi" w:cstheme="minorHAnsi"/>
                <w:i/>
                <w:iCs/>
                <w:sz w:val="24"/>
                <w:szCs w:val="24"/>
              </w:rPr>
            </w:pPr>
            <w:r w:rsidRPr="00B010E8">
              <w:rPr>
                <w:rFonts w:asciiTheme="minorHAnsi" w:hAnsiTheme="minorHAnsi" w:cstheme="minorHAnsi"/>
                <w:i/>
                <w:iCs/>
                <w:sz w:val="24"/>
                <w:szCs w:val="24"/>
              </w:rPr>
              <w:t>US – Oil Country Tubular Goods Sunset Reviews</w:t>
            </w:r>
          </w:p>
        </w:tc>
        <w:tc>
          <w:tcPr>
            <w:tcW w:w="6795" w:type="dxa"/>
          </w:tcPr>
          <w:p w14:paraId="107791EC" w14:textId="77777777" w:rsidR="009053D0" w:rsidRDefault="009053D0" w:rsidP="00A95A57">
            <w:pPr>
              <w:pStyle w:val="TTTableText"/>
              <w:rPr>
                <w:color w:val="000000"/>
              </w:rPr>
            </w:pPr>
            <w:r>
              <w:rPr>
                <w:rFonts w:asciiTheme="minorHAnsi" w:hAnsiTheme="minorHAnsi" w:cstheme="minorHAnsi"/>
              </w:rPr>
              <w:t>Appellate Body Report</w:t>
            </w:r>
            <w:r>
              <w:rPr>
                <w:rFonts w:asciiTheme="minorHAnsi" w:hAnsiTheme="minorHAnsi" w:cstheme="minorHAnsi"/>
                <w:i/>
                <w:iCs/>
              </w:rPr>
              <w:t>, United States – Sunset Reviews of Anti-Dumping Measures on Oil Country Tubular Goods from Argentina</w:t>
            </w:r>
            <w:r>
              <w:rPr>
                <w:rFonts w:asciiTheme="minorHAnsi" w:hAnsiTheme="minorHAnsi" w:cstheme="minorHAnsi"/>
              </w:rPr>
              <w:t xml:space="preserve">, WT/DS268/AB/R, adopted 17 December 2004, DSR </w:t>
            </w:r>
            <w:proofErr w:type="gramStart"/>
            <w:r>
              <w:rPr>
                <w:rFonts w:asciiTheme="minorHAnsi" w:hAnsiTheme="minorHAnsi" w:cstheme="minorHAnsi"/>
              </w:rPr>
              <w:t>2004:VII</w:t>
            </w:r>
            <w:proofErr w:type="gramEnd"/>
            <w:r>
              <w:rPr>
                <w:rFonts w:asciiTheme="minorHAnsi" w:hAnsiTheme="minorHAnsi" w:cstheme="minorHAnsi"/>
              </w:rPr>
              <w:t>, p. 3257</w:t>
            </w:r>
          </w:p>
        </w:tc>
      </w:tr>
      <w:tr w:rsidR="009053D0" w:rsidRPr="00AE62EF" w14:paraId="224EBF10" w14:textId="77777777" w:rsidTr="00A95A57">
        <w:trPr>
          <w:cantSplit/>
          <w:trHeight w:val="397"/>
        </w:trPr>
        <w:tc>
          <w:tcPr>
            <w:tcW w:w="2265" w:type="dxa"/>
          </w:tcPr>
          <w:p w14:paraId="037472F8" w14:textId="77777777" w:rsidR="009053D0" w:rsidRPr="00B010E8" w:rsidRDefault="009053D0" w:rsidP="00A95A57">
            <w:pPr>
              <w:pStyle w:val="FootnoteText"/>
              <w:jc w:val="left"/>
              <w:rPr>
                <w:rFonts w:asciiTheme="minorHAnsi" w:hAnsiTheme="minorHAnsi" w:cstheme="minorHAnsi"/>
                <w:i/>
                <w:iCs/>
                <w:sz w:val="24"/>
                <w:szCs w:val="24"/>
              </w:rPr>
            </w:pPr>
            <w:r w:rsidRPr="00B010E8">
              <w:rPr>
                <w:rFonts w:asciiTheme="minorHAnsi" w:hAnsiTheme="minorHAnsi" w:cstheme="minorHAnsi"/>
                <w:i/>
                <w:iCs/>
                <w:sz w:val="24"/>
                <w:szCs w:val="24"/>
              </w:rPr>
              <w:t>US – Pipes and Tubes (Turkey)</w:t>
            </w:r>
          </w:p>
        </w:tc>
        <w:tc>
          <w:tcPr>
            <w:tcW w:w="6795" w:type="dxa"/>
          </w:tcPr>
          <w:p w14:paraId="256B5954" w14:textId="77777777" w:rsidR="009053D0" w:rsidRPr="00B010E8" w:rsidRDefault="009053D0" w:rsidP="00A95A57">
            <w:pPr>
              <w:pStyle w:val="TTTableText"/>
              <w:rPr>
                <w:rFonts w:asciiTheme="minorHAnsi" w:hAnsiTheme="minorHAnsi" w:cstheme="minorHAnsi"/>
              </w:rPr>
            </w:pPr>
            <w:r w:rsidRPr="00B010E8">
              <w:rPr>
                <w:rFonts w:asciiTheme="minorHAnsi" w:hAnsiTheme="minorHAnsi" w:cstheme="minorHAnsi"/>
              </w:rPr>
              <w:t>Panel Report</w:t>
            </w:r>
            <w:r w:rsidRPr="00B010E8">
              <w:rPr>
                <w:rFonts w:asciiTheme="minorHAnsi" w:hAnsiTheme="minorHAnsi" w:cstheme="minorHAnsi"/>
                <w:i/>
                <w:iCs/>
              </w:rPr>
              <w:t>, United States – Countervailing Measures on Certain Pipe and Tube Products from Turkey</w:t>
            </w:r>
            <w:r w:rsidRPr="00B010E8">
              <w:rPr>
                <w:rFonts w:asciiTheme="minorHAnsi" w:hAnsiTheme="minorHAnsi" w:cstheme="minorHAnsi"/>
              </w:rPr>
              <w:t>, WT/DS523/R and Add.1, circulated to WTO Members 18 December 2018, appealed on 25 January 2019</w:t>
            </w:r>
          </w:p>
        </w:tc>
      </w:tr>
    </w:tbl>
    <w:p w14:paraId="42049098" w14:textId="77777777" w:rsidR="009053D0" w:rsidRDefault="009053D0" w:rsidP="001E7173">
      <w:pPr>
        <w:pStyle w:val="NoSpacing"/>
      </w:pPr>
      <w:bookmarkStart w:id="6" w:name="_Toc163465779"/>
    </w:p>
    <w:p w14:paraId="442BF182" w14:textId="77777777" w:rsidR="009053D0" w:rsidRPr="00F71EA3" w:rsidRDefault="009053D0" w:rsidP="00AE7057">
      <w:pPr>
        <w:pStyle w:val="Heading3"/>
      </w:pPr>
      <w:bookmarkStart w:id="7" w:name="_Toc171645703"/>
      <w:r w:rsidRPr="00F71EA3">
        <w:t>List of Acronyms, Abbreviations and Short Forms</w:t>
      </w:r>
      <w:bookmarkEnd w:id="6"/>
      <w:bookmarkEnd w:id="7"/>
    </w:p>
    <w:tbl>
      <w:tblPr>
        <w:tblStyle w:val="TableGrid"/>
        <w:tblW w:w="5000" w:type="pct"/>
        <w:tblLook w:val="04A0" w:firstRow="1" w:lastRow="0" w:firstColumn="1" w:lastColumn="0" w:noHBand="0" w:noVBand="1"/>
      </w:tblPr>
      <w:tblGrid>
        <w:gridCol w:w="2251"/>
        <w:gridCol w:w="6809"/>
      </w:tblGrid>
      <w:tr w:rsidR="009053D0" w:rsidRPr="00AE62EF" w14:paraId="76838A1B" w14:textId="77777777" w:rsidTr="00A95A57">
        <w:trPr>
          <w:cantSplit/>
          <w:trHeight w:val="397"/>
          <w:tblHeader/>
        </w:trPr>
        <w:tc>
          <w:tcPr>
            <w:tcW w:w="2251" w:type="dxa"/>
            <w:shd w:val="clear" w:color="auto" w:fill="D9D9D9" w:themeFill="background1" w:themeFillShade="D9"/>
          </w:tcPr>
          <w:p w14:paraId="64DCDD58" w14:textId="77777777" w:rsidR="009053D0" w:rsidRPr="00AE62EF" w:rsidRDefault="009053D0" w:rsidP="00A95A57">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08246000" w14:textId="77777777" w:rsidR="009053D0" w:rsidRPr="00AE62EF" w:rsidRDefault="009053D0" w:rsidP="00A95A57">
            <w:pPr>
              <w:pStyle w:val="THTableHeading"/>
              <w:jc w:val="center"/>
              <w:rPr>
                <w:rFonts w:cs="Calibri"/>
              </w:rPr>
            </w:pPr>
            <w:r w:rsidRPr="00AE62EF">
              <w:rPr>
                <w:rFonts w:cs="Calibri"/>
              </w:rPr>
              <w:t>Full Form or Description</w:t>
            </w:r>
          </w:p>
        </w:tc>
      </w:tr>
      <w:tr w:rsidR="009053D0" w:rsidRPr="00AE62EF" w14:paraId="1B442383" w14:textId="77777777" w:rsidTr="00A95A57">
        <w:trPr>
          <w:cantSplit/>
          <w:trHeight w:val="397"/>
        </w:trPr>
        <w:tc>
          <w:tcPr>
            <w:tcW w:w="2251" w:type="dxa"/>
          </w:tcPr>
          <w:p w14:paraId="2F563129" w14:textId="77777777" w:rsidR="009053D0" w:rsidRPr="00AE62EF" w:rsidRDefault="009053D0" w:rsidP="00A95A57">
            <w:pPr>
              <w:pStyle w:val="TTTableText"/>
              <w:rPr>
                <w:rFonts w:cs="Calibri"/>
              </w:rPr>
            </w:pPr>
            <w:r>
              <w:rPr>
                <w:rFonts w:cs="Calibri"/>
                <w:lang w:eastAsia="en-AU"/>
              </w:rPr>
              <w:t>Anti-Dumping Agreement</w:t>
            </w:r>
          </w:p>
        </w:tc>
        <w:tc>
          <w:tcPr>
            <w:tcW w:w="6809" w:type="dxa"/>
          </w:tcPr>
          <w:p w14:paraId="18A8B568" w14:textId="77777777" w:rsidR="009053D0" w:rsidRPr="00AE62EF" w:rsidRDefault="009053D0" w:rsidP="00A95A57">
            <w:pPr>
              <w:pStyle w:val="TTTableText"/>
              <w:rPr>
                <w:rFonts w:cs="Calibri"/>
              </w:rPr>
            </w:pPr>
            <w:r>
              <w:rPr>
                <w:rFonts w:cs="Calibri"/>
                <w:lang w:eastAsia="en-AU"/>
              </w:rPr>
              <w:t>Agreement on the Implementation of Article VI of GATT 1994, Apr. 15, 1994, Marrakesh Agreement Establishing the World Trade Organization, Annex 1A, 1868 U.N.T.S. 201</w:t>
            </w:r>
          </w:p>
        </w:tc>
      </w:tr>
      <w:tr w:rsidR="009053D0" w:rsidRPr="00AE62EF" w14:paraId="6A609338" w14:textId="77777777" w:rsidTr="00A95A57">
        <w:trPr>
          <w:cantSplit/>
          <w:trHeight w:val="397"/>
        </w:trPr>
        <w:tc>
          <w:tcPr>
            <w:tcW w:w="2251" w:type="dxa"/>
          </w:tcPr>
          <w:p w14:paraId="20130C11" w14:textId="77777777" w:rsidR="009053D0" w:rsidRPr="00AE62EF" w:rsidRDefault="009053D0" w:rsidP="00A95A57">
            <w:pPr>
              <w:pStyle w:val="TTTableText"/>
              <w:rPr>
                <w:rFonts w:cs="Calibri"/>
              </w:rPr>
            </w:pPr>
            <w:r>
              <w:rPr>
                <w:rFonts w:cs="Calibri"/>
              </w:rPr>
              <w:t>GATT</w:t>
            </w:r>
          </w:p>
        </w:tc>
        <w:tc>
          <w:tcPr>
            <w:tcW w:w="6809" w:type="dxa"/>
          </w:tcPr>
          <w:p w14:paraId="15C2B9DA" w14:textId="77777777" w:rsidR="009053D0" w:rsidRPr="00AE62EF" w:rsidRDefault="009053D0" w:rsidP="00A95A57">
            <w:pPr>
              <w:pStyle w:val="TTTableText"/>
              <w:rPr>
                <w:rFonts w:cs="Calibri"/>
              </w:rPr>
            </w:pPr>
            <w:r>
              <w:rPr>
                <w:rFonts w:cs="Calibri"/>
                <w:lang w:eastAsia="en-AU"/>
              </w:rPr>
              <w:t>Final Act Embodying the Results of the Uruguay Round of Multilateral Trade Negotiations, Apr. 15, 1994, 1867 U.N.T.S. 14, 33 I.L.M. 1143 (1994)</w:t>
            </w:r>
          </w:p>
        </w:tc>
      </w:tr>
      <w:tr w:rsidR="009053D0" w:rsidRPr="00AE62EF" w14:paraId="10689CBF" w14:textId="77777777" w:rsidTr="00A95A57">
        <w:trPr>
          <w:cantSplit/>
          <w:trHeight w:val="397"/>
        </w:trPr>
        <w:tc>
          <w:tcPr>
            <w:tcW w:w="2251" w:type="dxa"/>
          </w:tcPr>
          <w:p w14:paraId="15FCBFEF" w14:textId="77777777" w:rsidR="009053D0" w:rsidRPr="00AE62EF" w:rsidRDefault="009053D0" w:rsidP="00A95A57">
            <w:pPr>
              <w:pStyle w:val="TTTableText"/>
              <w:rPr>
                <w:rFonts w:cs="Calibri"/>
              </w:rPr>
            </w:pPr>
            <w:r>
              <w:rPr>
                <w:rFonts w:cs="Calibri"/>
              </w:rPr>
              <w:t>Vienna Convention</w:t>
            </w:r>
          </w:p>
        </w:tc>
        <w:tc>
          <w:tcPr>
            <w:tcW w:w="6809" w:type="dxa"/>
          </w:tcPr>
          <w:p w14:paraId="1C5BFF94" w14:textId="77777777" w:rsidR="009053D0" w:rsidRPr="00AE62EF" w:rsidRDefault="009053D0" w:rsidP="00A95A57">
            <w:pPr>
              <w:pStyle w:val="TTTableText"/>
              <w:rPr>
                <w:rFonts w:cs="Calibri"/>
              </w:rPr>
            </w:pPr>
            <w:r>
              <w:rPr>
                <w:rStyle w:val="ui-provider"/>
              </w:rPr>
              <w:t xml:space="preserve">Vienna Convention on the Law of Treaties, May 23, 1969, 1155 U.N.T.S. 331 </w:t>
            </w:r>
          </w:p>
        </w:tc>
      </w:tr>
      <w:tr w:rsidR="009053D0" w:rsidRPr="00AE62EF" w14:paraId="6D1CB31D" w14:textId="77777777" w:rsidTr="00A95A57">
        <w:trPr>
          <w:cantSplit/>
          <w:trHeight w:val="397"/>
        </w:trPr>
        <w:tc>
          <w:tcPr>
            <w:tcW w:w="2251" w:type="dxa"/>
          </w:tcPr>
          <w:p w14:paraId="185205E9" w14:textId="77777777" w:rsidR="009053D0" w:rsidRPr="00AE62EF" w:rsidRDefault="009053D0" w:rsidP="00A95A57">
            <w:pPr>
              <w:pStyle w:val="TTTableText"/>
              <w:rPr>
                <w:rFonts w:cs="Calibri"/>
              </w:rPr>
            </w:pPr>
            <w:r w:rsidRPr="00632394">
              <w:rPr>
                <w:rFonts w:cs="Calibri"/>
              </w:rPr>
              <w:t>USDOC</w:t>
            </w:r>
          </w:p>
        </w:tc>
        <w:tc>
          <w:tcPr>
            <w:tcW w:w="6809" w:type="dxa"/>
          </w:tcPr>
          <w:p w14:paraId="1DB969CE" w14:textId="77777777" w:rsidR="009053D0" w:rsidRPr="00AE62EF" w:rsidRDefault="009053D0" w:rsidP="00A95A57">
            <w:pPr>
              <w:pStyle w:val="TTTableText"/>
              <w:rPr>
                <w:rFonts w:cs="Calibri"/>
              </w:rPr>
            </w:pPr>
            <w:r w:rsidRPr="00203B4F">
              <w:rPr>
                <w:rFonts w:cs="Calibri"/>
              </w:rPr>
              <w:t>United States Department of Commerce</w:t>
            </w:r>
          </w:p>
        </w:tc>
      </w:tr>
    </w:tbl>
    <w:p w14:paraId="6D64E34E" w14:textId="77777777" w:rsidR="001E7173" w:rsidRDefault="001E7173" w:rsidP="001E7173">
      <w:pPr>
        <w:pStyle w:val="NoSpacing"/>
        <w:rPr>
          <w:noProof/>
        </w:rPr>
      </w:pPr>
    </w:p>
    <w:p w14:paraId="17856C71" w14:textId="03624E5C" w:rsidR="00AE7057" w:rsidRDefault="00AE7057">
      <w:pPr>
        <w:spacing w:line="259" w:lineRule="auto"/>
        <w:jc w:val="left"/>
        <w:rPr>
          <w:rFonts w:cs="Calibri"/>
          <w:b/>
          <w:bCs/>
          <w:noProof/>
        </w:rPr>
      </w:pPr>
      <w:r>
        <w:rPr>
          <w:rFonts w:cs="Calibri"/>
          <w:b/>
          <w:bCs/>
          <w:noProof/>
        </w:rPr>
        <w:br w:type="page"/>
      </w:r>
    </w:p>
    <w:p w14:paraId="27CE0D6D" w14:textId="77777777" w:rsidR="00F71EA3" w:rsidRPr="00AE7057" w:rsidRDefault="00F71EA3" w:rsidP="00AE7057">
      <w:pPr>
        <w:pStyle w:val="HL1HeadingLevel1"/>
        <w:jc w:val="left"/>
        <w:rPr>
          <w:b/>
          <w:bCs w:val="0"/>
        </w:rPr>
      </w:pPr>
      <w:bookmarkStart w:id="8" w:name="_Toc157084383"/>
      <w:bookmarkStart w:id="9" w:name="_Toc171645704"/>
      <w:bookmarkEnd w:id="4"/>
      <w:bookmarkEnd w:id="8"/>
      <w:r w:rsidRPr="00AE7057">
        <w:rPr>
          <w:b/>
          <w:bCs w:val="0"/>
        </w:rPr>
        <w:lastRenderedPageBreak/>
        <w:t>Introduction</w:t>
      </w:r>
      <w:bookmarkEnd w:id="1"/>
      <w:bookmarkEnd w:id="2"/>
      <w:bookmarkEnd w:id="9"/>
      <w:r w:rsidRPr="00AE7057">
        <w:rPr>
          <w:b/>
          <w:bCs w:val="0"/>
        </w:rPr>
        <w:t xml:space="preserve"> </w:t>
      </w:r>
    </w:p>
    <w:p w14:paraId="68272DF2" w14:textId="26F447F9" w:rsidR="00915F71" w:rsidRPr="00915F71" w:rsidRDefault="00915F71" w:rsidP="00915F71">
      <w:pPr>
        <w:pStyle w:val="P1-N1Paragraph1-Number1"/>
        <w:rPr>
          <w:rFonts w:cs="Calibri"/>
          <w14:ligatures w14:val="standardContextual"/>
        </w:rPr>
      </w:pPr>
      <w:r w:rsidRPr="00915F71">
        <w:rPr>
          <w:rFonts w:cs="Calibri"/>
          <w14:ligatures w14:val="standardContextual"/>
        </w:rPr>
        <w:t>Chair, distinguished members of the Panel – good morning. Thank you for this opportunity for Australia to participate as a third party in this dispute, and to make an oral statement at this session.</w:t>
      </w:r>
      <w:r w:rsidR="00734DFF">
        <w:rPr>
          <w:rFonts w:cs="Calibri"/>
          <w14:ligatures w14:val="standardContextual"/>
        </w:rPr>
        <w:t xml:space="preserve"> </w:t>
      </w:r>
      <w:proofErr w:type="gramStart"/>
      <w:r w:rsidR="00734DFF">
        <w:rPr>
          <w:rFonts w:cs="Calibri"/>
          <w14:ligatures w14:val="standardContextual"/>
        </w:rPr>
        <w:t>In particular, Australia</w:t>
      </w:r>
      <w:proofErr w:type="gramEnd"/>
      <w:r w:rsidR="00734DFF">
        <w:rPr>
          <w:rFonts w:cs="Calibri"/>
          <w14:ligatures w14:val="standardContextual"/>
        </w:rPr>
        <w:t xml:space="preserve"> is a supporter of transparency </w:t>
      </w:r>
      <w:r w:rsidR="00EC6A8A">
        <w:rPr>
          <w:rFonts w:cs="Calibri"/>
          <w14:ligatures w14:val="standardContextual"/>
        </w:rPr>
        <w:t xml:space="preserve">and </w:t>
      </w:r>
      <w:r w:rsidR="00734DFF">
        <w:rPr>
          <w:rFonts w:cs="Calibri"/>
          <w14:ligatures w14:val="standardContextual"/>
        </w:rPr>
        <w:t xml:space="preserve">is pleased </w:t>
      </w:r>
      <w:r w:rsidR="00EC6A8A">
        <w:rPr>
          <w:rFonts w:cs="Calibri"/>
          <w14:ligatures w14:val="standardContextual"/>
        </w:rPr>
        <w:t xml:space="preserve">to participate in this open hearing. </w:t>
      </w:r>
    </w:p>
    <w:p w14:paraId="3C9BABD9" w14:textId="705D0823" w:rsidR="00DC406E" w:rsidRPr="00632394" w:rsidRDefault="00DC406E" w:rsidP="00DC406E">
      <w:pPr>
        <w:pStyle w:val="P1-N1Paragraph1-Number1"/>
        <w:rPr>
          <w:rFonts w:cs="Calibri"/>
        </w:rPr>
      </w:pPr>
      <w:bookmarkStart w:id="10" w:name="_Hlk171437729"/>
      <w:bookmarkStart w:id="11" w:name="_Hlk171437281"/>
      <w:r>
        <w:rPr>
          <w:rFonts w:cs="Calibri"/>
        </w:rPr>
        <w:t>Australia considers this case</w:t>
      </w:r>
      <w:r w:rsidRPr="001A7BB3">
        <w:rPr>
          <w:rFonts w:cs="Calibri"/>
        </w:rPr>
        <w:t xml:space="preserve"> raise</w:t>
      </w:r>
      <w:r>
        <w:rPr>
          <w:rFonts w:cs="Calibri"/>
        </w:rPr>
        <w:t>s</w:t>
      </w:r>
      <w:r w:rsidRPr="001A7BB3">
        <w:rPr>
          <w:rFonts w:cs="Calibri"/>
        </w:rPr>
        <w:t xml:space="preserve"> </w:t>
      </w:r>
      <w:bookmarkEnd w:id="10"/>
      <w:r w:rsidRPr="00632394">
        <w:rPr>
          <w:rFonts w:cs="Calibri"/>
        </w:rPr>
        <w:t xml:space="preserve">important </w:t>
      </w:r>
      <w:bookmarkEnd w:id="11"/>
      <w:r w:rsidRPr="00632394">
        <w:rPr>
          <w:rFonts w:cs="Calibri"/>
        </w:rPr>
        <w:t xml:space="preserve">questions in relation to the application and interpretation of the Anti-Dumping Agreement. I will make </w:t>
      </w:r>
      <w:r w:rsidR="004B56B8">
        <w:rPr>
          <w:rFonts w:cs="Calibri"/>
        </w:rPr>
        <w:t>three</w:t>
      </w:r>
      <w:r w:rsidRPr="00573B41">
        <w:rPr>
          <w:rFonts w:cs="Calibri"/>
        </w:rPr>
        <w:t xml:space="preserve"> key points. First, I will briefly discuss the initiation of the investigation. Then, I will expand on Australia's submission that cross-cumulation between dumped imports and subsidised imports is permissible under the Anti-Dumping Agreement.</w:t>
      </w:r>
      <w:r w:rsidR="004B56B8">
        <w:rPr>
          <w:rFonts w:cs="Calibri"/>
        </w:rPr>
        <w:t xml:space="preserve"> Finally, I address </w:t>
      </w:r>
      <w:r w:rsidR="006F10D5">
        <w:rPr>
          <w:rFonts w:cs="Calibri"/>
        </w:rPr>
        <w:t xml:space="preserve">the concept of </w:t>
      </w:r>
      <w:r w:rsidR="004B56B8">
        <w:rPr>
          <w:rFonts w:cs="Calibri"/>
        </w:rPr>
        <w:t>permissible interpretations of the Anti</w:t>
      </w:r>
      <w:r w:rsidR="004B56B8">
        <w:rPr>
          <w:rFonts w:cs="Calibri"/>
        </w:rPr>
        <w:noBreakHyphen/>
        <w:t>Dumping Agreement.</w:t>
      </w:r>
    </w:p>
    <w:p w14:paraId="648758B4" w14:textId="38D9A26D" w:rsidR="008A5B3E" w:rsidRDefault="008A5B3E" w:rsidP="008A5B3E">
      <w:pPr>
        <w:pStyle w:val="P1-N1Paragraph1-Number1"/>
        <w:rPr>
          <w:sz w:val="22"/>
          <w:szCs w:val="22"/>
        </w:rPr>
      </w:pPr>
      <w:r>
        <w:t>Before proceeding to set out Australia</w:t>
      </w:r>
      <w:r w:rsidR="00762FB6" w:rsidRPr="00762FB6">
        <w:t>'</w:t>
      </w:r>
      <w:r>
        <w:t>s views on the legal issues in this dispute, Australia would like to reiterate its ongoing support for Ukraine and to again condemn in the strongest terms Russia's illegal and immoral invasion of Ukraine. Russia's aggression is a gross violation of international law, including the Charter of the United Nations, and is inconsistent with the global rules and norms that underpin multilateral organisations such as the WTO. There is no other place within the WTO system where the rules-based nature of the organisation is more evident than in the dispute settlement system and through disputes such as the one we are here for today. That is why we cannot talk about the rules without mentioning Russia's gross violation of such rules.</w:t>
      </w:r>
    </w:p>
    <w:p w14:paraId="2DA2D157" w14:textId="15313379" w:rsidR="002C53ED" w:rsidRPr="001E7173" w:rsidRDefault="002C53ED" w:rsidP="001E7173">
      <w:pPr>
        <w:pStyle w:val="HL1HeadingLevel1"/>
        <w:jc w:val="left"/>
        <w:rPr>
          <w:b/>
          <w:bCs w:val="0"/>
        </w:rPr>
      </w:pPr>
      <w:bookmarkStart w:id="12" w:name="_Toc171645705"/>
      <w:r w:rsidRPr="001E7173">
        <w:rPr>
          <w:b/>
          <w:bCs w:val="0"/>
        </w:rPr>
        <w:t>The initiation of the investigation</w:t>
      </w:r>
      <w:bookmarkEnd w:id="12"/>
    </w:p>
    <w:p w14:paraId="6F71867C" w14:textId="58A85C9D" w:rsidR="002C53ED" w:rsidRPr="00632394" w:rsidRDefault="002C53ED" w:rsidP="002C53ED">
      <w:pPr>
        <w:pStyle w:val="P1-N1Paragraph1-Number1"/>
        <w:rPr>
          <w:rFonts w:cs="Calibri"/>
        </w:rPr>
      </w:pPr>
      <w:r w:rsidRPr="00632394">
        <w:rPr>
          <w:rFonts w:cs="Calibri"/>
        </w:rPr>
        <w:t xml:space="preserve">Argentina submits the United States acted inconsistently with </w:t>
      </w:r>
      <w:r w:rsidR="003139CB" w:rsidRPr="00632394">
        <w:rPr>
          <w:rFonts w:cs="Calibri"/>
        </w:rPr>
        <w:t>Article</w:t>
      </w:r>
      <w:r w:rsidRPr="00632394">
        <w:rPr>
          <w:rFonts w:cs="Calibri"/>
        </w:rPr>
        <w:t xml:space="preserve"> 5.3 of the Anti</w:t>
      </w:r>
      <w:r w:rsidR="003139CB" w:rsidRPr="00632394">
        <w:rPr>
          <w:rFonts w:cs="Calibri"/>
        </w:rPr>
        <w:noBreakHyphen/>
      </w:r>
      <w:r w:rsidRPr="00632394">
        <w:rPr>
          <w:rFonts w:cs="Calibri"/>
        </w:rPr>
        <w:t xml:space="preserve">Dumping Agreement. </w:t>
      </w:r>
      <w:proofErr w:type="gramStart"/>
      <w:r w:rsidRPr="00632394">
        <w:rPr>
          <w:rFonts w:cs="Calibri"/>
        </w:rPr>
        <w:t>In particular, Argentina</w:t>
      </w:r>
      <w:proofErr w:type="gramEnd"/>
      <w:r w:rsidRPr="00632394">
        <w:rPr>
          <w:rFonts w:cs="Calibri"/>
        </w:rPr>
        <w:t xml:space="preserve"> raises concerns that USDOC relied upon </w:t>
      </w:r>
      <w:r w:rsidRPr="00632394">
        <w:t>"outdated data"</w:t>
      </w:r>
      <w:r w:rsidRPr="00632394">
        <w:rPr>
          <w:rStyle w:val="FootnoteReference"/>
        </w:rPr>
        <w:footnoteReference w:id="1"/>
      </w:r>
      <w:r w:rsidRPr="00632394">
        <w:t xml:space="preserve"> and that </w:t>
      </w:r>
      <w:r w:rsidR="00365D6B" w:rsidRPr="00632394">
        <w:t xml:space="preserve">the </w:t>
      </w:r>
      <w:r w:rsidRPr="00632394">
        <w:t xml:space="preserve">decision in </w:t>
      </w:r>
      <w:r w:rsidRPr="00632394">
        <w:rPr>
          <w:i/>
          <w:iCs/>
          <w:lang w:val="en-US"/>
        </w:rPr>
        <w:t>Pakistan – BOPP Film (UAE)</w:t>
      </w:r>
      <w:r w:rsidRPr="00632394">
        <w:rPr>
          <w:lang w:val="en-US"/>
        </w:rPr>
        <w:t xml:space="preserve"> </w:t>
      </w:r>
      <w:bookmarkStart w:id="13" w:name="_Hlk169876669"/>
      <w:r w:rsidRPr="00632394">
        <w:t>"</w:t>
      </w:r>
      <w:bookmarkEnd w:id="13"/>
      <w:r w:rsidRPr="00632394">
        <w:rPr>
          <w:lang w:val="en-US"/>
        </w:rPr>
        <w:t>shows that there will be particular concerns with the accuracy and adequacy of the application evidence when it relates to an outdated period.</w:t>
      </w:r>
      <w:r w:rsidRPr="00632394">
        <w:t>"</w:t>
      </w:r>
      <w:r w:rsidRPr="00632394">
        <w:rPr>
          <w:rStyle w:val="FootnoteReference"/>
        </w:rPr>
        <w:footnoteReference w:id="2"/>
      </w:r>
      <w:r w:rsidRPr="00632394">
        <w:t xml:space="preserve"> </w:t>
      </w:r>
    </w:p>
    <w:p w14:paraId="37DD864D" w14:textId="1A545025" w:rsidR="002C53ED" w:rsidRPr="00632394" w:rsidRDefault="00613F6A" w:rsidP="002C53ED">
      <w:pPr>
        <w:pStyle w:val="P1-N1Paragraph1-Number1"/>
        <w:rPr>
          <w:rFonts w:cs="Calibri"/>
        </w:rPr>
      </w:pPr>
      <w:r w:rsidRPr="00632394">
        <w:rPr>
          <w:rFonts w:cs="Calibri"/>
        </w:rPr>
        <w:lastRenderedPageBreak/>
        <w:t>Australia notes that t</w:t>
      </w:r>
      <w:r w:rsidR="002C53ED" w:rsidRPr="00632394">
        <w:rPr>
          <w:rFonts w:cs="Calibri"/>
        </w:rPr>
        <w:t xml:space="preserve">he panel report in </w:t>
      </w:r>
      <w:r w:rsidR="002C53ED" w:rsidRPr="00632394">
        <w:rPr>
          <w:i/>
          <w:iCs/>
          <w:lang w:val="en-US"/>
        </w:rPr>
        <w:t xml:space="preserve">Pakistan – BOPP Film (UAE) </w:t>
      </w:r>
      <w:r w:rsidR="006B71AC" w:rsidRPr="00632394">
        <w:rPr>
          <w:lang w:val="en-US"/>
        </w:rPr>
        <w:t>does not state that Article 5.3</w:t>
      </w:r>
      <w:r w:rsidR="00ED444B" w:rsidRPr="00632394">
        <w:rPr>
          <w:lang w:val="en-US"/>
        </w:rPr>
        <w:t>,</w:t>
      </w:r>
      <w:r w:rsidR="006A4BD2" w:rsidRPr="00632394">
        <w:rPr>
          <w:rStyle w:val="BTBodyTextChar"/>
        </w:rPr>
        <w:t xml:space="preserve"> </w:t>
      </w:r>
      <w:r w:rsidR="006A4BD2" w:rsidRPr="00632394">
        <w:rPr>
          <w:rStyle w:val="Strong"/>
          <w:b w:val="0"/>
          <w:bCs w:val="0"/>
        </w:rPr>
        <w:t>or</w:t>
      </w:r>
      <w:r w:rsidR="006A4BD2" w:rsidRPr="00632394">
        <w:rPr>
          <w:rStyle w:val="Strong"/>
        </w:rPr>
        <w:t xml:space="preserve"> </w:t>
      </w:r>
      <w:r w:rsidR="006A4BD2" w:rsidRPr="00632394">
        <w:rPr>
          <w:rStyle w:val="Strong"/>
          <w:b w:val="0"/>
          <w:bCs w:val="0"/>
        </w:rPr>
        <w:t>any provision in the Anti-Dumping Agreemen</w:t>
      </w:r>
      <w:r w:rsidR="006A4BD2" w:rsidRPr="00632394">
        <w:rPr>
          <w:rStyle w:val="ui-provider"/>
        </w:rPr>
        <w:t>t,</w:t>
      </w:r>
      <w:r w:rsidR="006A4BD2" w:rsidRPr="00632394">
        <w:rPr>
          <w:rStyle w:val="ui-provider"/>
          <w:b/>
          <w:bCs/>
        </w:rPr>
        <w:t xml:space="preserve"> </w:t>
      </w:r>
      <w:r w:rsidR="006A4BD2" w:rsidRPr="00632394">
        <w:rPr>
          <w:rStyle w:val="Strong"/>
          <w:b w:val="0"/>
          <w:bCs w:val="0"/>
        </w:rPr>
        <w:t>impose</w:t>
      </w:r>
      <w:r w:rsidR="006B71AC" w:rsidRPr="00632394">
        <w:rPr>
          <w:lang w:val="en-US"/>
        </w:rPr>
        <w:t xml:space="preserve"> temporal limitation</w:t>
      </w:r>
      <w:r w:rsidR="006A4BD2" w:rsidRPr="00632394">
        <w:rPr>
          <w:lang w:val="en-US"/>
        </w:rPr>
        <w:t>s</w:t>
      </w:r>
      <w:r w:rsidR="006B71AC" w:rsidRPr="00632394">
        <w:rPr>
          <w:lang w:val="en-US"/>
        </w:rPr>
        <w:t xml:space="preserve"> on the evidence an investigating authority may rely on to justify initiation. </w:t>
      </w:r>
      <w:r w:rsidR="006B71AC" w:rsidRPr="00632394">
        <w:t xml:space="preserve">The </w:t>
      </w:r>
      <w:r w:rsidR="006A4BD2" w:rsidRPr="00632394">
        <w:t xml:space="preserve">age of </w:t>
      </w:r>
      <w:r w:rsidRPr="00632394">
        <w:t xml:space="preserve">the </w:t>
      </w:r>
      <w:r w:rsidR="006A4BD2" w:rsidRPr="00632394">
        <w:t xml:space="preserve">evidence </w:t>
      </w:r>
      <w:r w:rsidR="006B71AC" w:rsidRPr="00632394">
        <w:t xml:space="preserve">on which </w:t>
      </w:r>
      <w:r w:rsidR="006A4BD2" w:rsidRPr="00632394">
        <w:t>the application is based</w:t>
      </w:r>
      <w:r w:rsidR="006B71AC" w:rsidRPr="00632394">
        <w:t xml:space="preserve"> is one consideration for an investigating authority</w:t>
      </w:r>
      <w:r w:rsidR="00ED444B" w:rsidRPr="00632394">
        <w:t xml:space="preserve">. </w:t>
      </w:r>
      <w:r w:rsidRPr="00632394">
        <w:t>However, it</w:t>
      </w:r>
      <w:r w:rsidR="006B71AC" w:rsidRPr="00632394">
        <w:t xml:space="preserve"> alone does not answer the question of whether there is sufficient evidence to justify initiation of an investigation. </w:t>
      </w:r>
      <w:r w:rsidR="002C53ED" w:rsidRPr="00632394">
        <w:rPr>
          <w:lang w:val="en-US"/>
        </w:rPr>
        <w:t xml:space="preserve">In fact, the panel in </w:t>
      </w:r>
      <w:r w:rsidR="002C53ED" w:rsidRPr="00632394">
        <w:rPr>
          <w:i/>
          <w:iCs/>
          <w:lang w:val="en-US"/>
        </w:rPr>
        <w:t xml:space="preserve">Pakistan – BOPP Film (UAE) </w:t>
      </w:r>
      <w:r w:rsidR="002C53ED" w:rsidRPr="00632394">
        <w:rPr>
          <w:lang w:val="en-US"/>
        </w:rPr>
        <w:t xml:space="preserve">notes </w:t>
      </w:r>
      <w:r w:rsidR="002C53ED" w:rsidRPr="00632394">
        <w:t>"the mere fact that data relate to the past does not</w:t>
      </w:r>
      <w:r w:rsidRPr="00632394">
        <w:t xml:space="preserve"> </w:t>
      </w:r>
      <w:r w:rsidR="00BE1FB9" w:rsidRPr="00632394">
        <w:t>…</w:t>
      </w:r>
      <w:r w:rsidR="002C53ED" w:rsidRPr="00632394">
        <w:t xml:space="preserve"> mean that they cannot be used to establish the existence of current injurious dumping"</w:t>
      </w:r>
      <w:r w:rsidR="006B71AC" w:rsidRPr="00632394">
        <w:t>.</w:t>
      </w:r>
      <w:r w:rsidR="002C53ED" w:rsidRPr="00632394">
        <w:rPr>
          <w:rStyle w:val="FootnoteReference"/>
        </w:rPr>
        <w:footnoteReference w:id="3"/>
      </w:r>
      <w:r w:rsidR="002C53ED" w:rsidRPr="00632394">
        <w:t xml:space="preserve"> </w:t>
      </w:r>
    </w:p>
    <w:p w14:paraId="5F9CE482" w14:textId="431C2585" w:rsidR="002C53ED" w:rsidRPr="00632394" w:rsidRDefault="006B71AC" w:rsidP="002C53ED">
      <w:pPr>
        <w:pStyle w:val="P1-N1Paragraph1-Number1"/>
      </w:pPr>
      <w:r w:rsidRPr="00632394">
        <w:rPr>
          <w:lang w:val="en-US"/>
        </w:rPr>
        <w:t>W</w:t>
      </w:r>
      <w:r w:rsidR="002C53ED" w:rsidRPr="00632394">
        <w:rPr>
          <w:lang w:val="en-US"/>
        </w:rPr>
        <w:t xml:space="preserve">hat matters </w:t>
      </w:r>
      <w:r w:rsidR="00BB516F" w:rsidRPr="00632394">
        <w:rPr>
          <w:lang w:val="en-US"/>
        </w:rPr>
        <w:t xml:space="preserve">for the purpose of Article 5.3 </w:t>
      </w:r>
      <w:r w:rsidR="002C53ED" w:rsidRPr="00632394">
        <w:rPr>
          <w:lang w:val="en-US"/>
        </w:rPr>
        <w:t xml:space="preserve">is </w:t>
      </w:r>
      <w:r w:rsidRPr="00632394">
        <w:rPr>
          <w:lang w:val="en-US"/>
        </w:rPr>
        <w:t xml:space="preserve">whether </w:t>
      </w:r>
      <w:r w:rsidR="002C53ED" w:rsidRPr="00632394">
        <w:rPr>
          <w:lang w:val="en-US"/>
        </w:rPr>
        <w:t>the</w:t>
      </w:r>
      <w:r w:rsidR="00BB516F" w:rsidRPr="00632394">
        <w:rPr>
          <w:lang w:val="en-US"/>
        </w:rPr>
        <w:t>re is sufficient</w:t>
      </w:r>
      <w:r w:rsidR="002C53ED" w:rsidRPr="00632394">
        <w:rPr>
          <w:lang w:val="en-US"/>
        </w:rPr>
        <w:t xml:space="preserve"> evidence </w:t>
      </w:r>
      <w:r w:rsidR="00BB516F" w:rsidRPr="00632394">
        <w:rPr>
          <w:lang w:val="en-US"/>
        </w:rPr>
        <w:t xml:space="preserve">to </w:t>
      </w:r>
      <w:r w:rsidRPr="00632394">
        <w:rPr>
          <w:lang w:val="en-US"/>
        </w:rPr>
        <w:t xml:space="preserve">justify initiation of an investigation, which is evidence pertaining to dumping, injury and causation </w:t>
      </w:r>
      <w:r w:rsidR="002C53ED" w:rsidRPr="00632394">
        <w:rPr>
          <w:lang w:val="en-US"/>
        </w:rPr>
        <w:t>at the time of initiation.</w:t>
      </w:r>
      <w:r w:rsidR="002C53ED" w:rsidRPr="00632394">
        <w:rPr>
          <w:rStyle w:val="FootnoteReference"/>
          <w:lang w:val="en-US"/>
        </w:rPr>
        <w:footnoteReference w:id="4"/>
      </w:r>
      <w:r w:rsidRPr="00632394">
        <w:rPr>
          <w:lang w:val="en-US"/>
        </w:rPr>
        <w:t xml:space="preserve"> This necessarily involves an investigating authority's assessment of the relevant circumstances. </w:t>
      </w:r>
    </w:p>
    <w:p w14:paraId="4CB5644C" w14:textId="6EF1B44C" w:rsidR="004B23A7" w:rsidRPr="001E7173" w:rsidRDefault="00915F71" w:rsidP="001E7173">
      <w:pPr>
        <w:pStyle w:val="HL1HeadingLevel1"/>
        <w:jc w:val="left"/>
        <w:rPr>
          <w:b/>
          <w:bCs w:val="0"/>
        </w:rPr>
      </w:pPr>
      <w:bookmarkStart w:id="14" w:name="_Toc171645706"/>
      <w:r w:rsidRPr="001E7173">
        <w:rPr>
          <w:b/>
          <w:bCs w:val="0"/>
        </w:rPr>
        <w:t>CROSS-CUMULATION – DUMPED IMPORTS WITH SUBSIDISED IMPORTS</w:t>
      </w:r>
      <w:bookmarkEnd w:id="14"/>
      <w:r w:rsidRPr="001E7173">
        <w:rPr>
          <w:b/>
          <w:bCs w:val="0"/>
        </w:rPr>
        <w:t xml:space="preserve"> </w:t>
      </w:r>
    </w:p>
    <w:bookmarkEnd w:id="0"/>
    <w:p w14:paraId="2114D742" w14:textId="2F9365B2" w:rsidR="0097168F" w:rsidRDefault="0097168F" w:rsidP="003F290A">
      <w:pPr>
        <w:pStyle w:val="P1-N1Paragraph1-Number1"/>
        <w:rPr>
          <w:rFonts w:cs="Calibri"/>
        </w:rPr>
      </w:pPr>
      <w:r>
        <w:rPr>
          <w:rFonts w:cs="Calibri"/>
        </w:rPr>
        <w:t>As Australia set out in its written submission, t</w:t>
      </w:r>
      <w:r w:rsidR="0037031B" w:rsidRPr="003F290A">
        <w:rPr>
          <w:rFonts w:cs="Calibri"/>
        </w:rPr>
        <w:t>h</w:t>
      </w:r>
      <w:r w:rsidR="003F290A" w:rsidRPr="003F290A">
        <w:rPr>
          <w:rFonts w:cs="Calibri"/>
        </w:rPr>
        <w:t>e</w:t>
      </w:r>
      <w:r w:rsidR="0037031B" w:rsidRPr="003F290A">
        <w:rPr>
          <w:rFonts w:cs="Calibri"/>
        </w:rPr>
        <w:t xml:space="preserve"> </w:t>
      </w:r>
      <w:r w:rsidR="003F290A" w:rsidRPr="003F290A">
        <w:rPr>
          <w:rFonts w:cs="Calibri"/>
        </w:rPr>
        <w:t xml:space="preserve">interpretation of </w:t>
      </w:r>
      <w:r>
        <w:rPr>
          <w:rFonts w:cs="Calibri"/>
        </w:rPr>
        <w:t xml:space="preserve">Article 3.3 of the Anti-Dumping Agreement set out by </w:t>
      </w:r>
      <w:r w:rsidR="003F290A">
        <w:rPr>
          <w:rFonts w:cs="Calibri"/>
        </w:rPr>
        <w:t>the United States</w:t>
      </w:r>
      <w:r>
        <w:rPr>
          <w:rFonts w:cs="Calibri"/>
        </w:rPr>
        <w:t xml:space="preserve"> in its first written submission</w:t>
      </w:r>
      <w:r w:rsidR="0037031B" w:rsidRPr="003F290A">
        <w:rPr>
          <w:rFonts w:cs="Calibri"/>
        </w:rPr>
        <w:t xml:space="preserve"> </w:t>
      </w:r>
      <w:r>
        <w:rPr>
          <w:rFonts w:cs="Calibri"/>
        </w:rPr>
        <w:t xml:space="preserve">is </w:t>
      </w:r>
      <w:r w:rsidR="003A37FE" w:rsidRPr="003F290A">
        <w:rPr>
          <w:rFonts w:cs="Calibri"/>
        </w:rPr>
        <w:t xml:space="preserve">in accordance with the customary rules of interpretation, </w:t>
      </w:r>
      <w:r w:rsidR="00613F6A">
        <w:rPr>
          <w:rFonts w:cs="Calibri"/>
        </w:rPr>
        <w:t xml:space="preserve">as </w:t>
      </w:r>
      <w:r w:rsidR="003A37FE" w:rsidRPr="003F290A">
        <w:rPr>
          <w:rFonts w:cs="Calibri"/>
        </w:rPr>
        <w:t>reflected in Article 31(1) of the Vienna Convention</w:t>
      </w:r>
      <w:r>
        <w:rPr>
          <w:rFonts w:cs="Calibri"/>
        </w:rPr>
        <w:t>.</w:t>
      </w:r>
    </w:p>
    <w:p w14:paraId="6F8D139C" w14:textId="074A42F2" w:rsidR="003E1A59" w:rsidRPr="00632394" w:rsidRDefault="003E1A59" w:rsidP="007A1D9E">
      <w:pPr>
        <w:pStyle w:val="P1-N1Paragraph1-Number1"/>
        <w:rPr>
          <w:rFonts w:cs="Calibri"/>
        </w:rPr>
      </w:pPr>
      <w:r w:rsidRPr="00632394">
        <w:rPr>
          <w:rFonts w:cs="Calibri"/>
        </w:rPr>
        <w:t xml:space="preserve">First, </w:t>
      </w:r>
      <w:r w:rsidR="007A1D9E" w:rsidRPr="00632394">
        <w:rPr>
          <w:rFonts w:cs="Calibri"/>
        </w:rPr>
        <w:t>as the United States points out</w:t>
      </w:r>
      <w:r w:rsidR="004B56B8">
        <w:rPr>
          <w:rFonts w:cs="Calibri"/>
        </w:rPr>
        <w:t>,</w:t>
      </w:r>
      <w:r w:rsidR="007A1D9E" w:rsidRPr="00632394">
        <w:rPr>
          <w:rFonts w:cs="Calibri"/>
        </w:rPr>
        <w:t xml:space="preserve"> the text of Article 3.3 is "silent" on cross</w:t>
      </w:r>
      <w:r w:rsidR="00876DED" w:rsidRPr="00632394">
        <w:rPr>
          <w:rFonts w:cs="Calibri"/>
        </w:rPr>
        <w:noBreakHyphen/>
      </w:r>
      <w:r w:rsidR="007A1D9E" w:rsidRPr="00632394">
        <w:rPr>
          <w:rFonts w:cs="Calibri"/>
        </w:rPr>
        <w:t>cumulation.</w:t>
      </w:r>
      <w:r w:rsidR="007A1D9E" w:rsidRPr="00632394">
        <w:rPr>
          <w:rFonts w:cs="Calibri"/>
          <w:vertAlign w:val="superscript"/>
        </w:rPr>
        <w:footnoteReference w:id="5"/>
      </w:r>
      <w:r w:rsidR="007A1D9E" w:rsidRPr="00632394">
        <w:rPr>
          <w:rFonts w:cs="Calibri"/>
        </w:rPr>
        <w:t xml:space="preserve"> It is notable that the Appellate Body has found that the "silence" of </w:t>
      </w:r>
      <w:r w:rsidR="00613F6A" w:rsidRPr="00632394">
        <w:rPr>
          <w:rFonts w:cs="Calibri"/>
        </w:rPr>
        <w:t>Article </w:t>
      </w:r>
      <w:r w:rsidR="007A1D9E" w:rsidRPr="00632394">
        <w:rPr>
          <w:rFonts w:cs="Calibri"/>
        </w:rPr>
        <w:t>3.3 on the permissibility of a particular methodological approach towards cumulation does not indicate that the methodology is prohibited.</w:t>
      </w:r>
      <w:r w:rsidR="007A1D9E" w:rsidRPr="00632394">
        <w:rPr>
          <w:rFonts w:cs="Calibri"/>
          <w:vertAlign w:val="superscript"/>
        </w:rPr>
        <w:footnoteReference w:id="6"/>
      </w:r>
    </w:p>
    <w:p w14:paraId="6F2BBA73" w14:textId="7F5CEDD1" w:rsidR="0037031B" w:rsidRPr="00165FC1" w:rsidRDefault="00D36460" w:rsidP="00E17FCD">
      <w:pPr>
        <w:pStyle w:val="P1-N1Paragraph1-Number1"/>
        <w:rPr>
          <w:rFonts w:cs="Calibri"/>
        </w:rPr>
      </w:pPr>
      <w:r>
        <w:rPr>
          <w:rFonts w:cs="Calibri"/>
        </w:rPr>
        <w:t>Second,</w:t>
      </w:r>
      <w:r w:rsidR="003E3D4C">
        <w:rPr>
          <w:rFonts w:cs="Calibri"/>
        </w:rPr>
        <w:t xml:space="preserve"> as the United States outline</w:t>
      </w:r>
      <w:r w:rsidR="005B1B15">
        <w:rPr>
          <w:rFonts w:cs="Calibri"/>
        </w:rPr>
        <w:t>s</w:t>
      </w:r>
      <w:r w:rsidR="003E3D4C">
        <w:rPr>
          <w:rFonts w:cs="Calibri"/>
        </w:rPr>
        <w:t xml:space="preserve"> </w:t>
      </w:r>
      <w:r w:rsidR="00165FC1">
        <w:rPr>
          <w:rFonts w:cs="Calibri"/>
        </w:rPr>
        <w:t xml:space="preserve">the language </w:t>
      </w:r>
      <w:bookmarkStart w:id="15" w:name="_Hlk168489074"/>
      <w:r w:rsidR="0074242C" w:rsidRPr="0072633A">
        <w:t>"</w:t>
      </w:r>
      <w:bookmarkEnd w:id="15"/>
      <w:r w:rsidR="0074242C">
        <w:rPr>
          <w:rFonts w:cs="Calibri"/>
        </w:rPr>
        <w:t>the effect of the dumping or subsidization, as the case may be</w:t>
      </w:r>
      <w:r w:rsidR="0074242C" w:rsidRPr="0072633A">
        <w:t>"</w:t>
      </w:r>
      <w:r w:rsidR="0074242C">
        <w:rPr>
          <w:rFonts w:cs="Calibri"/>
        </w:rPr>
        <w:t xml:space="preserve"> in</w:t>
      </w:r>
      <w:r w:rsidR="00165FC1">
        <w:rPr>
          <w:rFonts w:cs="Calibri"/>
        </w:rPr>
        <w:t xml:space="preserve"> </w:t>
      </w:r>
      <w:r w:rsidR="003E3D4C">
        <w:rPr>
          <w:rFonts w:cs="Calibri"/>
        </w:rPr>
        <w:t xml:space="preserve">Article VI:6(a) of the GATT provides relevant context to understand Article 3.3 of the Anti-Dumping Agreement. The United States </w:t>
      </w:r>
      <w:r w:rsidR="0074242C">
        <w:rPr>
          <w:rFonts w:cs="Calibri"/>
        </w:rPr>
        <w:t>argues</w:t>
      </w:r>
      <w:r w:rsidR="003E3D4C">
        <w:rPr>
          <w:rFonts w:cs="Calibri"/>
        </w:rPr>
        <w:t xml:space="preserve"> </w:t>
      </w:r>
      <w:r w:rsidR="003E3D4C">
        <w:t>the</w:t>
      </w:r>
      <w:r w:rsidR="00165FC1">
        <w:t xml:space="preserve"> use of the word </w:t>
      </w:r>
      <w:r w:rsidR="00165FC1" w:rsidRPr="0072633A">
        <w:t>"</w:t>
      </w:r>
      <w:r w:rsidR="00165FC1">
        <w:t>or</w:t>
      </w:r>
      <w:r w:rsidR="00165FC1" w:rsidRPr="0072633A">
        <w:t>"</w:t>
      </w:r>
      <w:r w:rsidR="00165FC1">
        <w:t xml:space="preserve"> to join the words </w:t>
      </w:r>
      <w:r w:rsidR="00165FC1" w:rsidRPr="0072633A">
        <w:t>"</w:t>
      </w:r>
      <w:r w:rsidR="00165FC1">
        <w:t>dumping</w:t>
      </w:r>
      <w:r w:rsidR="00165FC1" w:rsidRPr="0072633A">
        <w:t>"</w:t>
      </w:r>
      <w:r w:rsidR="00165FC1">
        <w:t xml:space="preserve"> and </w:t>
      </w:r>
      <w:r w:rsidR="00165FC1" w:rsidRPr="0072633A">
        <w:t>"</w:t>
      </w:r>
      <w:r w:rsidR="00165FC1">
        <w:t>subsidization</w:t>
      </w:r>
      <w:bookmarkStart w:id="16" w:name="_Hlk168488924"/>
      <w:r w:rsidR="00165FC1" w:rsidRPr="0072633A">
        <w:t>"</w:t>
      </w:r>
      <w:r w:rsidR="00165FC1">
        <w:t xml:space="preserve"> </w:t>
      </w:r>
      <w:bookmarkEnd w:id="16"/>
      <w:r w:rsidR="00165FC1">
        <w:t xml:space="preserve">and </w:t>
      </w:r>
      <w:r w:rsidR="00165FC1">
        <w:rPr>
          <w:rFonts w:cs="Calibri"/>
        </w:rPr>
        <w:t xml:space="preserve">the use of the phrase </w:t>
      </w:r>
      <w:r w:rsidR="00165FC1" w:rsidRPr="0072633A">
        <w:t>"</w:t>
      </w:r>
      <w:r w:rsidR="00165FC1">
        <w:t xml:space="preserve">as </w:t>
      </w:r>
      <w:r w:rsidR="00165FC1">
        <w:lastRenderedPageBreak/>
        <w:t>the case may be</w:t>
      </w:r>
      <w:r w:rsidR="00165FC1" w:rsidRPr="0072633A">
        <w:t>"</w:t>
      </w:r>
      <w:r w:rsidR="00165FC1">
        <w:t xml:space="preserve"> reflects the fact that injury determinations can involve either or both unfair trade practices.</w:t>
      </w:r>
      <w:r w:rsidR="00165FC1">
        <w:rPr>
          <w:rStyle w:val="FootnoteReference"/>
        </w:rPr>
        <w:footnoteReference w:id="7"/>
      </w:r>
    </w:p>
    <w:p w14:paraId="562D5224" w14:textId="6615E73F" w:rsidR="007A5C6E" w:rsidRDefault="00165FC1" w:rsidP="007A5C6E">
      <w:pPr>
        <w:pStyle w:val="P1-N1Paragraph1-Number1"/>
      </w:pPr>
      <w:r>
        <w:t xml:space="preserve">Australia acknowledges that it has previously been found that </w:t>
      </w:r>
      <w:r>
        <w:rPr>
          <w:rFonts w:cs="Calibri"/>
        </w:rPr>
        <w:t>Article VI:6(a) does</w:t>
      </w:r>
      <w:r w:rsidR="00F64B8C">
        <w:rPr>
          <w:rFonts w:cs="Calibri"/>
        </w:rPr>
        <w:t xml:space="preserve"> not</w:t>
      </w:r>
      <w:r>
        <w:rPr>
          <w:rFonts w:cs="Calibri"/>
        </w:rPr>
        <w:t xml:space="preserve"> allow cross-cumulation.</w:t>
      </w:r>
      <w:r>
        <w:rPr>
          <w:rStyle w:val="FootnoteReference"/>
          <w:rFonts w:cs="Calibri"/>
        </w:rPr>
        <w:footnoteReference w:id="8"/>
      </w:r>
      <w:r w:rsidR="0074242C">
        <w:rPr>
          <w:rFonts w:cs="Calibri"/>
        </w:rPr>
        <w:t xml:space="preserve"> </w:t>
      </w:r>
      <w:r w:rsidR="00F64B8C">
        <w:rPr>
          <w:rFonts w:cs="Calibri"/>
        </w:rPr>
        <w:t>I</w:t>
      </w:r>
      <w:r w:rsidR="0074242C" w:rsidRPr="00F64B8C">
        <w:rPr>
          <w:rFonts w:cs="Calibri"/>
        </w:rPr>
        <w:t xml:space="preserve">t </w:t>
      </w:r>
      <w:r w:rsidR="00F64B8C">
        <w:rPr>
          <w:rFonts w:cs="Calibri"/>
        </w:rPr>
        <w:t>was historically found</w:t>
      </w:r>
      <w:r w:rsidR="0074242C" w:rsidRPr="00F64B8C">
        <w:rPr>
          <w:rFonts w:cs="Calibri"/>
        </w:rPr>
        <w:t xml:space="preserve"> that in order for the United States</w:t>
      </w:r>
      <w:r w:rsidR="0074242C" w:rsidRPr="00146941">
        <w:t>'</w:t>
      </w:r>
      <w:r w:rsidR="0074242C" w:rsidRPr="00F64B8C">
        <w:rPr>
          <w:rFonts w:cs="Calibri"/>
        </w:rPr>
        <w:t xml:space="preserve"> </w:t>
      </w:r>
      <w:r w:rsidR="00F64B8C">
        <w:rPr>
          <w:rFonts w:cs="Calibri"/>
        </w:rPr>
        <w:t>argument</w:t>
      </w:r>
      <w:r w:rsidR="0074242C" w:rsidRPr="00F64B8C">
        <w:rPr>
          <w:rFonts w:cs="Calibri"/>
        </w:rPr>
        <w:t xml:space="preserve"> to be accepted, the plural </w:t>
      </w:r>
      <w:r w:rsidR="0074242C" w:rsidRPr="0072633A">
        <w:t>"</w:t>
      </w:r>
      <w:r w:rsidR="0074242C">
        <w:t>effects</w:t>
      </w:r>
      <w:r w:rsidR="0074242C" w:rsidRPr="0072633A">
        <w:t>"</w:t>
      </w:r>
      <w:r w:rsidR="0074242C">
        <w:t xml:space="preserve"> would be used instead of </w:t>
      </w:r>
      <w:r w:rsidR="0074242C" w:rsidRPr="0072633A">
        <w:t>"</w:t>
      </w:r>
      <w:r w:rsidR="0074242C">
        <w:t>effect</w:t>
      </w:r>
      <w:r w:rsidR="0074242C" w:rsidRPr="0072633A">
        <w:t>"</w:t>
      </w:r>
      <w:r w:rsidR="0074242C">
        <w:t xml:space="preserve"> in </w:t>
      </w:r>
      <w:r w:rsidR="0074242C" w:rsidRPr="00F64B8C">
        <w:rPr>
          <w:rFonts w:cs="Calibri"/>
        </w:rPr>
        <w:t>Article VI:6(a).</w:t>
      </w:r>
      <w:r w:rsidR="0074242C">
        <w:rPr>
          <w:rStyle w:val="FootnoteReference"/>
          <w:rFonts w:cs="Calibri"/>
        </w:rPr>
        <w:footnoteReference w:id="9"/>
      </w:r>
      <w:r w:rsidR="0074242C" w:rsidRPr="00F64B8C">
        <w:rPr>
          <w:rFonts w:cs="Calibri"/>
        </w:rPr>
        <w:t xml:space="preserve"> </w:t>
      </w:r>
      <w:r w:rsidR="0097168F" w:rsidRPr="007A5C6E">
        <w:rPr>
          <w:rFonts w:cs="Calibri"/>
        </w:rPr>
        <w:t>However, as the United States explained injury caused by dumping and subsidization of imports is, from the perspective of domestic producers and, in turn, investigating authorities, indistinguishable.</w:t>
      </w:r>
      <w:r w:rsidR="0097168F">
        <w:rPr>
          <w:rStyle w:val="FootnoteReference"/>
          <w:rFonts w:cs="Calibri"/>
        </w:rPr>
        <w:footnoteReference w:id="10"/>
      </w:r>
      <w:r w:rsidR="0097168F" w:rsidRPr="007A5C6E">
        <w:rPr>
          <w:rFonts w:cs="Calibri"/>
        </w:rPr>
        <w:t xml:space="preserve"> </w:t>
      </w:r>
      <w:r w:rsidR="0097168F">
        <w:t>This is because</w:t>
      </w:r>
      <w:r w:rsidR="0097168F" w:rsidRPr="007A5C6E">
        <w:rPr>
          <w:i/>
          <w:iCs/>
        </w:rPr>
        <w:t xml:space="preserve"> </w:t>
      </w:r>
      <w:r w:rsidR="0097168F">
        <w:t>dumped imports and subsidized imports will often have cumulative volume or price effects on the relevant domestic industry</w:t>
      </w:r>
      <w:r w:rsidR="00A71E9A">
        <w:t xml:space="preserve">. </w:t>
      </w:r>
    </w:p>
    <w:p w14:paraId="7D2851DD" w14:textId="36D64BF9" w:rsidR="0097168F" w:rsidRPr="00DB7AB6" w:rsidRDefault="0097168F" w:rsidP="00A71E9A">
      <w:pPr>
        <w:pStyle w:val="P1-N1Paragraph1-Number1"/>
      </w:pPr>
      <w:r w:rsidRPr="00A71E9A">
        <w:rPr>
          <w:rFonts w:cs="Calibri"/>
        </w:rPr>
        <w:t>Previous panels have recognised this problematic practical outcome</w:t>
      </w:r>
      <w:r>
        <w:t xml:space="preserve">. For example, in </w:t>
      </w:r>
      <w:r w:rsidRPr="00A71E9A">
        <w:rPr>
          <w:i/>
          <w:iCs/>
          <w:lang w:val="en-US"/>
        </w:rPr>
        <w:t>US – Pipes and Tubes (Turkey)</w:t>
      </w:r>
      <w:r w:rsidRPr="00A71E9A">
        <w:rPr>
          <w:lang w:val="en-US"/>
        </w:rPr>
        <w:t>, the panel acknowledged</w:t>
      </w:r>
      <w:r w:rsidRPr="00A71E9A">
        <w:rPr>
          <w:lang w:val="en-GB"/>
        </w:rPr>
        <w:t xml:space="preserve"> "the United States' and Japan's practical concern, recognizing that economic and statistical methodologies available to investigating authorities do not easily permit separating the injurious effects of dumped and subsidized imports".</w:t>
      </w:r>
      <w:r w:rsidRPr="00DB7AB6">
        <w:rPr>
          <w:vertAlign w:val="superscript"/>
          <w:lang w:val="en-GB"/>
        </w:rPr>
        <w:footnoteReference w:id="11"/>
      </w:r>
      <w:r w:rsidRPr="00DB7AB6">
        <w:t xml:space="preserve"> </w:t>
      </w:r>
      <w:r>
        <w:t xml:space="preserve"> </w:t>
      </w:r>
    </w:p>
    <w:p w14:paraId="56CFAC81" w14:textId="5EDBC3A2" w:rsidR="00165FC1" w:rsidRPr="0097168F" w:rsidRDefault="0097168F" w:rsidP="00E35E05">
      <w:pPr>
        <w:pStyle w:val="P1-N1Paragraph1-Number1"/>
        <w:rPr>
          <w:rFonts w:cs="Calibri"/>
        </w:rPr>
      </w:pPr>
      <w:r w:rsidRPr="0097168F">
        <w:rPr>
          <w:rFonts w:cs="Calibri"/>
        </w:rPr>
        <w:t>In other words, it would not always be possible to separate the injurious effects of dumped and subsidized imports. Thus</w:t>
      </w:r>
      <w:r w:rsidR="0074242C" w:rsidRPr="0097168F">
        <w:rPr>
          <w:rFonts w:cs="Calibri"/>
        </w:rPr>
        <w:t xml:space="preserve">, </w:t>
      </w:r>
      <w:r w:rsidR="0074242C" w:rsidRPr="0072633A">
        <w:t>"</w:t>
      </w:r>
      <w:r w:rsidR="0074242C" w:rsidRPr="0097168F">
        <w:rPr>
          <w:rFonts w:cs="Calibri"/>
        </w:rPr>
        <w:t>the effect</w:t>
      </w:r>
      <w:r w:rsidR="0074242C" w:rsidRPr="0072633A">
        <w:t>"</w:t>
      </w:r>
      <w:r w:rsidR="0074242C">
        <w:t xml:space="preserve"> of simultaneous dumping and subsidization would be </w:t>
      </w:r>
      <w:r w:rsidR="0074242C" w:rsidRPr="0074242C">
        <w:t>indistinguishable to domestic producers injured by those imports, and in turn, an investigating authority.</w:t>
      </w:r>
      <w:r w:rsidR="00F64B8C">
        <w:t xml:space="preserve"> To all practically involved there would only be </w:t>
      </w:r>
      <w:r w:rsidR="00C601B8">
        <w:t>one</w:t>
      </w:r>
      <w:r w:rsidR="00F64B8C">
        <w:t xml:space="preserve"> </w:t>
      </w:r>
      <w:r w:rsidR="00F64B8C" w:rsidRPr="0072633A">
        <w:t>"</w:t>
      </w:r>
      <w:r w:rsidR="00F64B8C">
        <w:t>effect</w:t>
      </w:r>
      <w:r w:rsidR="00F64B8C" w:rsidRPr="0072633A">
        <w:t>"</w:t>
      </w:r>
      <w:r w:rsidR="00F64B8C">
        <w:t xml:space="preserve"> not </w:t>
      </w:r>
      <w:r w:rsidR="00F64B8C" w:rsidRPr="0072633A">
        <w:t>"</w:t>
      </w:r>
      <w:r w:rsidR="00F64B8C">
        <w:t>effects</w:t>
      </w:r>
      <w:r w:rsidR="00F64B8C" w:rsidRPr="0072633A">
        <w:t>"</w:t>
      </w:r>
      <w:r w:rsidR="00F64B8C">
        <w:t>.</w:t>
      </w:r>
      <w:r w:rsidR="00C601B8">
        <w:t xml:space="preserve"> </w:t>
      </w:r>
    </w:p>
    <w:p w14:paraId="4DE1F981" w14:textId="27417779" w:rsidR="00F64B8C" w:rsidRPr="00954085" w:rsidRDefault="00A73C5B" w:rsidP="00F64B8C">
      <w:pPr>
        <w:pStyle w:val="P1-N1Paragraph1-Number1"/>
        <w:rPr>
          <w:rFonts w:cs="Calibri"/>
        </w:rPr>
      </w:pPr>
      <w:r>
        <w:t>Once</w:t>
      </w:r>
      <w:r w:rsidR="00F64B8C">
        <w:t xml:space="preserve"> it is accepted there would </w:t>
      </w:r>
      <w:r w:rsidR="00A23A0D">
        <w:t xml:space="preserve">be </w:t>
      </w:r>
      <w:r w:rsidR="00F64B8C">
        <w:t xml:space="preserve">one </w:t>
      </w:r>
      <w:r w:rsidR="00F64B8C" w:rsidRPr="0072633A">
        <w:t>"</w:t>
      </w:r>
      <w:r w:rsidR="00F64B8C" w:rsidRPr="00F64B8C">
        <w:rPr>
          <w:rFonts w:cs="Calibri"/>
        </w:rPr>
        <w:t>effect</w:t>
      </w:r>
      <w:r w:rsidR="00F64B8C" w:rsidRPr="0072633A">
        <w:t>"</w:t>
      </w:r>
      <w:r w:rsidR="00F64B8C">
        <w:t xml:space="preserve"> </w:t>
      </w:r>
      <w:r w:rsidR="005C3C2A">
        <w:t xml:space="preserve">where </w:t>
      </w:r>
      <w:r w:rsidR="00F64B8C">
        <w:t xml:space="preserve">there is simultaneous dumping and subsidization, </w:t>
      </w:r>
      <w:r w:rsidR="00C601B8">
        <w:t xml:space="preserve">the language </w:t>
      </w:r>
      <w:r w:rsidR="00C601B8" w:rsidRPr="0072633A">
        <w:t>"</w:t>
      </w:r>
      <w:r w:rsidR="00C601B8">
        <w:t>or</w:t>
      </w:r>
      <w:r w:rsidR="00C601B8" w:rsidRPr="0072633A">
        <w:t>"</w:t>
      </w:r>
      <w:r w:rsidR="00C601B8">
        <w:t xml:space="preserve"> and </w:t>
      </w:r>
      <w:r w:rsidR="00C601B8" w:rsidRPr="0072633A">
        <w:t>"</w:t>
      </w:r>
      <w:r w:rsidR="00C601B8">
        <w:t>as the case may be</w:t>
      </w:r>
      <w:r w:rsidR="00C601B8" w:rsidRPr="0072633A">
        <w:t>"</w:t>
      </w:r>
      <w:r w:rsidR="00C601B8">
        <w:t xml:space="preserve"> </w:t>
      </w:r>
      <w:r w:rsidR="005C3C2A">
        <w:t>must be</w:t>
      </w:r>
      <w:r>
        <w:t xml:space="preserve"> naturally read</w:t>
      </w:r>
      <w:r w:rsidR="00C601B8">
        <w:t xml:space="preserve"> as </w:t>
      </w:r>
      <w:r w:rsidR="00C601B8" w:rsidRPr="00954085">
        <w:t>being inclusive</w:t>
      </w:r>
      <w:r w:rsidR="007E7080">
        <w:t xml:space="preserve"> of both dumping and subsidization</w:t>
      </w:r>
      <w:r w:rsidR="00C601B8" w:rsidRPr="00954085">
        <w:t>.</w:t>
      </w:r>
      <w:r w:rsidR="005C3C2A" w:rsidRPr="00954085">
        <w:t xml:space="preserve"> Consequently, </w:t>
      </w:r>
      <w:r w:rsidR="005C6211" w:rsidRPr="00954085">
        <w:t>a</w:t>
      </w:r>
      <w:r w:rsidR="005C3C2A" w:rsidRPr="00954085">
        <w:t xml:space="preserve"> </w:t>
      </w:r>
      <w:r w:rsidR="00910073">
        <w:t xml:space="preserve">natural </w:t>
      </w:r>
      <w:r w:rsidR="005C3C2A" w:rsidRPr="00954085">
        <w:t xml:space="preserve">reading of </w:t>
      </w:r>
      <w:r w:rsidR="00910073">
        <w:rPr>
          <w:rFonts w:cs="Calibri"/>
        </w:rPr>
        <w:t>the provision</w:t>
      </w:r>
      <w:r w:rsidR="005C3C2A" w:rsidRPr="00954085">
        <w:rPr>
          <w:rFonts w:cs="Calibri"/>
        </w:rPr>
        <w:t xml:space="preserve"> suggests that the cumulation of dumping and subsidized impo</w:t>
      </w:r>
      <w:r w:rsidR="0028334B" w:rsidRPr="00954085">
        <w:rPr>
          <w:rFonts w:cs="Calibri"/>
        </w:rPr>
        <w:t>r</w:t>
      </w:r>
      <w:r w:rsidR="005C3C2A" w:rsidRPr="00954085">
        <w:rPr>
          <w:rFonts w:cs="Calibri"/>
        </w:rPr>
        <w:t xml:space="preserve">ts </w:t>
      </w:r>
      <w:r w:rsidR="00EE16EF">
        <w:rPr>
          <w:rFonts w:cs="Calibri"/>
        </w:rPr>
        <w:t xml:space="preserve">is allowed under </w:t>
      </w:r>
      <w:r w:rsidR="00EE16EF" w:rsidRPr="00954085">
        <w:rPr>
          <w:rFonts w:cs="Calibri"/>
        </w:rPr>
        <w:t>Article</w:t>
      </w:r>
      <w:r w:rsidR="00210C5C">
        <w:rPr>
          <w:rFonts w:cs="Calibri"/>
        </w:rPr>
        <w:t> </w:t>
      </w:r>
      <w:r w:rsidR="00EE16EF" w:rsidRPr="00954085">
        <w:rPr>
          <w:rFonts w:cs="Calibri"/>
        </w:rPr>
        <w:t>VI:6(a)</w:t>
      </w:r>
      <w:r w:rsidR="00EE16EF">
        <w:rPr>
          <w:rFonts w:cs="Calibri"/>
        </w:rPr>
        <w:t xml:space="preserve"> of the GATT.</w:t>
      </w:r>
    </w:p>
    <w:p w14:paraId="2B3764E7" w14:textId="77777777" w:rsidR="002C53ED" w:rsidRDefault="00257688" w:rsidP="002C53ED">
      <w:pPr>
        <w:pStyle w:val="P1-N1Paragraph1-Number1"/>
        <w:rPr>
          <w:rFonts w:cs="Calibri"/>
        </w:rPr>
      </w:pPr>
      <w:r w:rsidRPr="00954085">
        <w:rPr>
          <w:rFonts w:cs="Calibri"/>
        </w:rPr>
        <w:lastRenderedPageBreak/>
        <w:t xml:space="preserve">Finally, </w:t>
      </w:r>
      <w:r w:rsidR="007E7080">
        <w:rPr>
          <w:rFonts w:cs="Calibri"/>
        </w:rPr>
        <w:t>the</w:t>
      </w:r>
      <w:r w:rsidR="00B3035C">
        <w:rPr>
          <w:rFonts w:cs="Calibri"/>
        </w:rPr>
        <w:t xml:space="preserve"> United States</w:t>
      </w:r>
      <w:r w:rsidR="00F46EFC" w:rsidRPr="00146941">
        <w:t>'</w:t>
      </w:r>
      <w:r w:rsidR="00B3035C">
        <w:rPr>
          <w:rFonts w:cs="Calibri"/>
        </w:rPr>
        <w:t xml:space="preserve"> interpretation is premised on the understanding that the object and purpose </w:t>
      </w:r>
      <w:r w:rsidR="00F46EFC" w:rsidRPr="00954085">
        <w:rPr>
          <w:rFonts w:cs="Calibri"/>
        </w:rPr>
        <w:t xml:space="preserve">of </w:t>
      </w:r>
      <w:r w:rsidR="00F46EFC">
        <w:rPr>
          <w:rFonts w:cs="Calibri"/>
        </w:rPr>
        <w:t>Article 3.3</w:t>
      </w:r>
      <w:r w:rsidR="007E7080">
        <w:rPr>
          <w:rFonts w:cs="Calibri"/>
        </w:rPr>
        <w:t xml:space="preserve"> of the Anti-Dumping Agreement</w:t>
      </w:r>
      <w:r w:rsidR="00F46EFC">
        <w:rPr>
          <w:rFonts w:cs="Calibri"/>
        </w:rPr>
        <w:t xml:space="preserve"> </w:t>
      </w:r>
      <w:r w:rsidR="00B3035C">
        <w:rPr>
          <w:rFonts w:cs="Calibri"/>
        </w:rPr>
        <w:t>support</w:t>
      </w:r>
      <w:r w:rsidR="00F46EFC">
        <w:rPr>
          <w:rFonts w:cs="Calibri"/>
        </w:rPr>
        <w:t>s</w:t>
      </w:r>
      <w:r w:rsidR="00B3035C">
        <w:rPr>
          <w:rFonts w:cs="Calibri"/>
        </w:rPr>
        <w:t xml:space="preserve"> the proposition that</w:t>
      </w:r>
      <w:r w:rsidR="007E7080">
        <w:rPr>
          <w:rFonts w:cs="Calibri"/>
        </w:rPr>
        <w:t xml:space="preserve"> the</w:t>
      </w:r>
      <w:r w:rsidR="00B3035C">
        <w:rPr>
          <w:rFonts w:cs="Calibri"/>
        </w:rPr>
        <w:t xml:space="preserve"> cumulation of dumped and subsidized imports is not inconsistent with the WTO Agreements.</w:t>
      </w:r>
      <w:r w:rsidR="00B3035C">
        <w:rPr>
          <w:rStyle w:val="FootnoteReference"/>
          <w:rFonts w:cs="Calibri"/>
        </w:rPr>
        <w:footnoteReference w:id="12"/>
      </w:r>
      <w:r w:rsidR="00B3035C">
        <w:rPr>
          <w:rFonts w:cs="Calibri"/>
        </w:rPr>
        <w:t xml:space="preserve"> Australia agrees with the United States.</w:t>
      </w:r>
    </w:p>
    <w:p w14:paraId="1025C6DF" w14:textId="5E56AE94" w:rsidR="002C53ED" w:rsidRPr="002C53ED" w:rsidRDefault="00F931B9" w:rsidP="002C53ED">
      <w:pPr>
        <w:pStyle w:val="P1-N1Paragraph1-Number1"/>
        <w:rPr>
          <w:rFonts w:cs="Calibri"/>
        </w:rPr>
      </w:pPr>
      <w:r w:rsidRPr="002C53ED">
        <w:rPr>
          <w:rFonts w:cs="Calibri"/>
        </w:rPr>
        <w:t xml:space="preserve">The negotiation history </w:t>
      </w:r>
      <w:r>
        <w:t xml:space="preserve">of the Uruguay Round </w:t>
      </w:r>
      <w:r w:rsidR="00632BFE">
        <w:t xml:space="preserve">confirms </w:t>
      </w:r>
      <w:r>
        <w:t xml:space="preserve">that the </w:t>
      </w:r>
      <w:r w:rsidR="00B3035C" w:rsidRPr="002C53ED">
        <w:rPr>
          <w:rFonts w:cs="Calibri"/>
        </w:rPr>
        <w:t xml:space="preserve">purpose of cumulative injury assessments is to address the </w:t>
      </w:r>
      <w:r w:rsidR="00B3035C" w:rsidRPr="0072633A">
        <w:t>"</w:t>
      </w:r>
      <w:r w:rsidR="00B3035C" w:rsidRPr="002C53ED">
        <w:rPr>
          <w:rFonts w:cs="Calibri"/>
        </w:rPr>
        <w:t>hammering effect</w:t>
      </w:r>
      <w:r w:rsidR="00B3035C" w:rsidRPr="0072633A">
        <w:t>"</w:t>
      </w:r>
      <w:r w:rsidR="00F46EFC">
        <w:t xml:space="preserve"> or the collective impact</w:t>
      </w:r>
      <w:r w:rsidR="00B3035C">
        <w:t xml:space="preserve"> </w:t>
      </w:r>
      <w:r w:rsidR="00EF5A20">
        <w:t>of imports from multiple sources.</w:t>
      </w:r>
      <w:r w:rsidR="00F46EFC">
        <w:rPr>
          <w:rStyle w:val="FootnoteReference"/>
        </w:rPr>
        <w:footnoteReference w:id="13"/>
      </w:r>
      <w:r w:rsidR="00DC7A9A">
        <w:t xml:space="preserve"> </w:t>
      </w:r>
      <w:r w:rsidR="00632BFE">
        <w:t xml:space="preserve">In essence, it </w:t>
      </w:r>
      <w:r w:rsidR="00897AE5">
        <w:t xml:space="preserve">is </w:t>
      </w:r>
      <w:r w:rsidR="00632BFE">
        <w:t>acknowledged that where there are multiple causes of injury</w:t>
      </w:r>
      <w:r w:rsidR="00F46EFC">
        <w:t>, it may not be possible</w:t>
      </w:r>
      <w:r w:rsidR="00897AE5">
        <w:t xml:space="preserve"> </w:t>
      </w:r>
      <w:r w:rsidR="00F46EFC">
        <w:t xml:space="preserve">to </w:t>
      </w:r>
      <w:r w:rsidR="00632BFE">
        <w:t xml:space="preserve">disaggregate the effects of each, however it </w:t>
      </w:r>
      <w:r w:rsidR="001C109E">
        <w:t>can</w:t>
      </w:r>
      <w:r w:rsidR="00632BFE">
        <w:t xml:space="preserve"> be demonstrated that each </w:t>
      </w:r>
      <w:r w:rsidR="002C53ED">
        <w:t>contributed,</w:t>
      </w:r>
      <w:r w:rsidR="00632BFE">
        <w:t xml:space="preserve"> and the cumulative outcome was injury</w:t>
      </w:r>
      <w:r w:rsidR="00F46EFC">
        <w:t>.</w:t>
      </w:r>
      <w:r w:rsidR="00F46EFC">
        <w:rPr>
          <w:rStyle w:val="FootnoteReference"/>
        </w:rPr>
        <w:footnoteReference w:id="14"/>
      </w:r>
      <w:r w:rsidR="00F46EFC">
        <w:t xml:space="preserve"> </w:t>
      </w:r>
    </w:p>
    <w:p w14:paraId="3B5A013E" w14:textId="016FF9BE" w:rsidR="00D33FC8" w:rsidRPr="001E7173" w:rsidRDefault="004B56B8" w:rsidP="001E7173">
      <w:pPr>
        <w:pStyle w:val="HL1HeadingLevel1"/>
        <w:jc w:val="left"/>
        <w:rPr>
          <w:b/>
          <w:bCs w:val="0"/>
        </w:rPr>
      </w:pPr>
      <w:bookmarkStart w:id="17" w:name="_Toc171645707"/>
      <w:r w:rsidRPr="001E7173">
        <w:rPr>
          <w:b/>
          <w:bCs w:val="0"/>
        </w:rPr>
        <w:t>Permissible</w:t>
      </w:r>
      <w:r w:rsidR="00D33FC8" w:rsidRPr="001E7173">
        <w:rPr>
          <w:b/>
          <w:bCs w:val="0"/>
        </w:rPr>
        <w:t xml:space="preserve"> Interpretation</w:t>
      </w:r>
      <w:r w:rsidRPr="001E7173">
        <w:rPr>
          <w:b/>
          <w:bCs w:val="0"/>
        </w:rPr>
        <w:t>s</w:t>
      </w:r>
      <w:r w:rsidR="00D33FC8" w:rsidRPr="001E7173">
        <w:rPr>
          <w:b/>
          <w:bCs w:val="0"/>
        </w:rPr>
        <w:t xml:space="preserve"> </w:t>
      </w:r>
      <w:r w:rsidRPr="001E7173">
        <w:rPr>
          <w:b/>
          <w:bCs w:val="0"/>
        </w:rPr>
        <w:t xml:space="preserve">of </w:t>
      </w:r>
      <w:r w:rsidR="00D33FC8" w:rsidRPr="001E7173">
        <w:rPr>
          <w:b/>
          <w:bCs w:val="0"/>
        </w:rPr>
        <w:t>the Anti-Dumping Agreement</w:t>
      </w:r>
      <w:bookmarkEnd w:id="17"/>
    </w:p>
    <w:p w14:paraId="06EE8410" w14:textId="77777777" w:rsidR="00D33FC8" w:rsidRPr="001C646D" w:rsidRDefault="00D33FC8" w:rsidP="00D33FC8">
      <w:pPr>
        <w:pStyle w:val="P1-N1Paragraph1-Number1"/>
        <w:rPr>
          <w:rFonts w:cs="Calibri"/>
        </w:rPr>
      </w:pPr>
      <w:r>
        <w:rPr>
          <w:rFonts w:cs="Calibri"/>
        </w:rPr>
        <w:t xml:space="preserve">As the Panel will recall, the </w:t>
      </w:r>
      <w:r w:rsidRPr="001C646D">
        <w:rPr>
          <w:rFonts w:cs="Calibri"/>
        </w:rPr>
        <w:t xml:space="preserve">text of Article 17.6(ii) </w:t>
      </w:r>
      <w:r>
        <w:rPr>
          <w:rFonts w:cs="Calibri"/>
        </w:rPr>
        <w:t xml:space="preserve">of the Anti-Dumping Agreement concerns </w:t>
      </w:r>
      <w:r w:rsidRPr="001C646D">
        <w:rPr>
          <w:rFonts w:cs="Calibri"/>
        </w:rPr>
        <w:t>permissible interpretation</w:t>
      </w:r>
      <w:r>
        <w:rPr>
          <w:rFonts w:cs="Calibri"/>
        </w:rPr>
        <w:t xml:space="preserve">s of the Agreement. </w:t>
      </w:r>
    </w:p>
    <w:p w14:paraId="074D19CE" w14:textId="3514B713" w:rsidR="00D33FC8" w:rsidRPr="00BA00D6" w:rsidRDefault="00D33FC8" w:rsidP="00D33FC8">
      <w:pPr>
        <w:pStyle w:val="P1-N1Paragraph1-Number1"/>
        <w:rPr>
          <w:rFonts w:cs="Calibri"/>
        </w:rPr>
      </w:pPr>
      <w:r>
        <w:rPr>
          <w:rFonts w:cs="Calibri"/>
        </w:rPr>
        <w:t>The</w:t>
      </w:r>
      <w:r w:rsidRPr="001C646D">
        <w:rPr>
          <w:rFonts w:cs="Calibri"/>
        </w:rPr>
        <w:t xml:space="preserve"> meani</w:t>
      </w:r>
      <w:r w:rsidRPr="00632394">
        <w:rPr>
          <w:rFonts w:cs="Calibri"/>
        </w:rPr>
        <w:t>ng given to this provision has been highly contested.</w:t>
      </w:r>
      <w:r w:rsidRPr="00632394">
        <w:rPr>
          <w:rStyle w:val="FootnoteReference"/>
          <w:rFonts w:cs="Calibri"/>
        </w:rPr>
        <w:footnoteReference w:id="15"/>
      </w:r>
      <w:r w:rsidRPr="00632394">
        <w:rPr>
          <w:rFonts w:cs="Calibri"/>
        </w:rPr>
        <w:t xml:space="preserve"> </w:t>
      </w:r>
      <w:r w:rsidR="003F4630" w:rsidRPr="00632394">
        <w:rPr>
          <w:rFonts w:cs="Calibri"/>
        </w:rPr>
        <w:t xml:space="preserve">However, Australia notes that the Arbitrators in </w:t>
      </w:r>
      <w:r w:rsidR="003F4630" w:rsidRPr="00632394">
        <w:rPr>
          <w:rFonts w:cs="Calibri"/>
          <w:i/>
          <w:iCs/>
        </w:rPr>
        <w:t xml:space="preserve">Colombia – Frozen Fries </w:t>
      </w:r>
      <w:r w:rsidR="003F4630" w:rsidRPr="00632394">
        <w:rPr>
          <w:rFonts w:cs="Calibri"/>
        </w:rPr>
        <w:t>found the following with respect to Article 17.6(ii)</w:t>
      </w:r>
      <w:r w:rsidRPr="00632394">
        <w:rPr>
          <w:rFonts w:cs="Calibri"/>
        </w:rPr>
        <w:t>:</w:t>
      </w:r>
    </w:p>
    <w:p w14:paraId="33E3ABF5" w14:textId="4EEC1DE1" w:rsidR="00D33FC8" w:rsidRDefault="00D33FC8" w:rsidP="00D33FC8">
      <w:pPr>
        <w:pStyle w:val="P2-B1Paragraph2-Bullet1"/>
      </w:pPr>
      <w:r>
        <w:t xml:space="preserve">In applying the first sentence </w:t>
      </w:r>
      <w:r w:rsidRPr="00845ED7">
        <w:t>of Article 17.6(ii)</w:t>
      </w:r>
      <w:r>
        <w:t xml:space="preserve">, it must be accepted that </w:t>
      </w:r>
      <w:r w:rsidRPr="002C6B1A">
        <w:t>"</w:t>
      </w:r>
      <w:r w:rsidRPr="00190E61">
        <w:t xml:space="preserve">different treaty interpreters applying the same tools of the Vienna Convention may, in good faith and with solid arguments in support, reach different conclusions on the </w:t>
      </w:r>
      <w:r w:rsidRPr="006B7AA2">
        <w:rPr>
          <w:rFonts w:cs="Calibri"/>
        </w:rPr>
        <w:t>'</w:t>
      </w:r>
      <w:r w:rsidRPr="00190E61">
        <w:t>correct</w:t>
      </w:r>
      <w:r w:rsidRPr="006B7AA2">
        <w:rPr>
          <w:rFonts w:cs="Calibri"/>
        </w:rPr>
        <w:t>'</w:t>
      </w:r>
      <w:r w:rsidRPr="00190E61">
        <w:t xml:space="preserve"> interpretation of a treaty provision</w:t>
      </w:r>
      <w:r w:rsidRPr="002C6B1A">
        <w:t>"</w:t>
      </w:r>
      <w:r w:rsidR="0050180A">
        <w:t>;</w:t>
      </w:r>
      <w:r>
        <w:rPr>
          <w:rStyle w:val="FootnoteReference"/>
        </w:rPr>
        <w:footnoteReference w:id="16"/>
      </w:r>
    </w:p>
    <w:p w14:paraId="4048B1B7" w14:textId="10BDFF5B" w:rsidR="00D33FC8" w:rsidRDefault="00D33FC8" w:rsidP="00D33FC8">
      <w:pPr>
        <w:pStyle w:val="P2-B1Paragraph2-Bullet1"/>
      </w:pPr>
      <w:r>
        <w:t>By</w:t>
      </w:r>
      <w:r w:rsidRPr="00845ED7">
        <w:t xml:space="preserve"> refer</w:t>
      </w:r>
      <w:r>
        <w:t>ring to</w:t>
      </w:r>
      <w:r w:rsidRPr="00845ED7">
        <w:t xml:space="preserve"> the customary rules of treaty interpretation</w:t>
      </w:r>
      <w:r>
        <w:t>, the</w:t>
      </w:r>
      <w:r w:rsidRPr="00845ED7">
        <w:t xml:space="preserve"> first sentence of Article 17.6(ii)</w:t>
      </w:r>
      <w:r>
        <w:t xml:space="preserve"> provides </w:t>
      </w:r>
      <w:r w:rsidRPr="002C6B1A">
        <w:t>"a yardstick</w:t>
      </w:r>
      <w:r w:rsidR="007A37E2" w:rsidRPr="00153BEC">
        <w:t>"</w:t>
      </w:r>
      <w:r w:rsidRPr="002C6B1A">
        <w:t xml:space="preserve"> for permissibility</w:t>
      </w:r>
      <w:r>
        <w:t xml:space="preserve"> for the second sentence of Article 17.6(ii);</w:t>
      </w:r>
      <w:r>
        <w:rPr>
          <w:rStyle w:val="FootnoteReference"/>
        </w:rPr>
        <w:footnoteReference w:id="17"/>
      </w:r>
      <w:r w:rsidRPr="00FF156B">
        <w:t xml:space="preserve"> </w:t>
      </w:r>
      <w:r>
        <w:t>and</w:t>
      </w:r>
    </w:p>
    <w:p w14:paraId="3FD69FE8" w14:textId="77777777" w:rsidR="00D33FC8" w:rsidRDefault="00D33FC8" w:rsidP="00D33FC8">
      <w:pPr>
        <w:pStyle w:val="P2-B1Paragraph2-Bullet1"/>
      </w:pPr>
      <w:r>
        <w:lastRenderedPageBreak/>
        <w:t>T</w:t>
      </w:r>
      <w:r w:rsidRPr="00153BEC">
        <w:t>he search for a "permissible" interpretation differs from an attempt to find one</w:t>
      </w:r>
      <w:r w:rsidRPr="006B7AA2">
        <w:rPr>
          <w:rFonts w:cs="Calibri"/>
        </w:rPr>
        <w:t>'</w:t>
      </w:r>
      <w:r w:rsidRPr="00153BEC">
        <w:t>s own "final" and "correct" interpretation</w:t>
      </w:r>
      <w:r w:rsidRPr="00146941">
        <w:t xml:space="preserve">. </w:t>
      </w:r>
      <w:r>
        <w:t>Instead</w:t>
      </w:r>
      <w:r w:rsidRPr="00146941">
        <w:t>, the question is whether</w:t>
      </w:r>
      <w:r>
        <w:t>:</w:t>
      </w:r>
      <w:r w:rsidRPr="00146941">
        <w:t xml:space="preserve"> "someone else's interpretation is </w:t>
      </w:r>
      <w:r w:rsidRPr="006B7AA2">
        <w:rPr>
          <w:rFonts w:cs="Calibri"/>
        </w:rPr>
        <w:t>'</w:t>
      </w:r>
      <w:r w:rsidRPr="00146941">
        <w:t>permitted</w:t>
      </w:r>
      <w:r w:rsidRPr="006B7AA2">
        <w:rPr>
          <w:rFonts w:cs="Calibri"/>
        </w:rPr>
        <w:t>'</w:t>
      </w:r>
      <w:r w:rsidRPr="00146941">
        <w:t xml:space="preserve">, </w:t>
      </w:r>
      <w:r w:rsidRPr="006B7AA2">
        <w:rPr>
          <w:rFonts w:cs="Calibri"/>
        </w:rPr>
        <w:t>'</w:t>
      </w:r>
      <w:r w:rsidRPr="00146941">
        <w:t>allowable</w:t>
      </w:r>
      <w:r w:rsidRPr="006B7AA2">
        <w:rPr>
          <w:rFonts w:cs="Calibri"/>
        </w:rPr>
        <w:t>'</w:t>
      </w:r>
      <w:r w:rsidRPr="00146941">
        <w:t xml:space="preserve">, </w:t>
      </w:r>
      <w:r w:rsidRPr="006B7AA2">
        <w:rPr>
          <w:rFonts w:cs="Calibri"/>
        </w:rPr>
        <w:t>'</w:t>
      </w:r>
      <w:r w:rsidRPr="00146941">
        <w:t>acceptable</w:t>
      </w:r>
      <w:r w:rsidRPr="006B7AA2">
        <w:rPr>
          <w:rFonts w:cs="Calibri"/>
        </w:rPr>
        <w:t>'</w:t>
      </w:r>
      <w:r w:rsidRPr="00146941">
        <w:t xml:space="preserve">, or </w:t>
      </w:r>
      <w:r w:rsidRPr="006B7AA2">
        <w:rPr>
          <w:rFonts w:cs="Calibri"/>
        </w:rPr>
        <w:t>'</w:t>
      </w:r>
      <w:r w:rsidRPr="00146941">
        <w:t>admissible</w:t>
      </w:r>
      <w:r w:rsidRPr="006B7AA2">
        <w:rPr>
          <w:rFonts w:cs="Calibri"/>
        </w:rPr>
        <w:t>'</w:t>
      </w:r>
      <w:r w:rsidRPr="00146941">
        <w:t xml:space="preserve"> as an outcome resulting from a proper application of the interpretative process called for under the Vienna Convention."</w:t>
      </w:r>
      <w:r>
        <w:rPr>
          <w:rStyle w:val="FootnoteReference"/>
        </w:rPr>
        <w:footnoteReference w:id="18"/>
      </w:r>
    </w:p>
    <w:p w14:paraId="27C16CBC" w14:textId="2592398E" w:rsidR="00D33FC8" w:rsidRPr="00632394" w:rsidRDefault="00D33FC8" w:rsidP="00D33FC8">
      <w:pPr>
        <w:pStyle w:val="P1-N1Paragraph1-Number1"/>
      </w:pPr>
      <w:r>
        <w:t>In other words,</w:t>
      </w:r>
      <w:r w:rsidR="00E92104">
        <w:t xml:space="preserve"> </w:t>
      </w:r>
      <w:r>
        <w:t xml:space="preserve">when a panel is evaluating an interpretation adopted by an investigating authority, the panel must assess whether the relevant interpretation has crossed a line of no longer being </w:t>
      </w:r>
      <w:r w:rsidRPr="0072633A">
        <w:t>"permissible"</w:t>
      </w:r>
      <w:r>
        <w:t xml:space="preserve"> </w:t>
      </w:r>
      <w:r w:rsidRPr="0072633A">
        <w:t xml:space="preserve">under the Vienna Convention method </w:t>
      </w:r>
      <w:r>
        <w:t>of</w:t>
      </w:r>
      <w:r w:rsidRPr="0072633A">
        <w:t xml:space="preserve"> treaty interpretation.</w:t>
      </w:r>
      <w:r>
        <w:rPr>
          <w:rStyle w:val="FootnoteReference"/>
        </w:rPr>
        <w:footnoteReference w:id="19"/>
      </w:r>
      <w:r w:rsidR="00632394">
        <w:t xml:space="preserve"> It</w:t>
      </w:r>
      <w:r w:rsidR="00632394" w:rsidRPr="00632394">
        <w:t xml:space="preserve"> is only when that interpretative threshold is crossed that a panel can find that a measure is not in conformity with the Anti-Dumping Agreement.</w:t>
      </w:r>
    </w:p>
    <w:p w14:paraId="4F9AB6BC" w14:textId="1420DFB7" w:rsidR="006217F3" w:rsidRPr="001E7173" w:rsidRDefault="006217F3" w:rsidP="001E7173">
      <w:pPr>
        <w:pStyle w:val="HL1HeadingLevel1"/>
        <w:jc w:val="left"/>
        <w:rPr>
          <w:b/>
          <w:bCs w:val="0"/>
        </w:rPr>
      </w:pPr>
      <w:bookmarkStart w:id="18" w:name="_Toc171645708"/>
      <w:r w:rsidRPr="001E7173">
        <w:rPr>
          <w:b/>
          <w:bCs w:val="0"/>
        </w:rPr>
        <w:t>Conclusion</w:t>
      </w:r>
      <w:bookmarkEnd w:id="18"/>
    </w:p>
    <w:p w14:paraId="645A2D09" w14:textId="0CD3CCEF" w:rsidR="00EE2358" w:rsidRPr="00632394" w:rsidRDefault="00BC2F0D" w:rsidP="00EE2358">
      <w:pPr>
        <w:pStyle w:val="P1-N1Paragraph1-Number1"/>
      </w:pPr>
      <w:r w:rsidRPr="00632394">
        <w:rPr>
          <w:rFonts w:cs="Calibri"/>
        </w:rPr>
        <w:t>In conclusion</w:t>
      </w:r>
      <w:r w:rsidR="00EE2358" w:rsidRPr="00632394">
        <w:rPr>
          <w:rFonts w:cs="Calibri"/>
        </w:rPr>
        <w:t xml:space="preserve">, Australia recalls its key submission in these proceedings: </w:t>
      </w:r>
      <w:r w:rsidR="00D33FC8" w:rsidRPr="00632394">
        <w:t>the interpretation of Article 3.3 of the Anti-Dumping Agreement as set out by the United States in its first written submission is properly founded on the text of the Anti</w:t>
      </w:r>
      <w:r w:rsidR="00EE2358" w:rsidRPr="00632394">
        <w:noBreakHyphen/>
      </w:r>
      <w:r w:rsidR="00D33FC8" w:rsidRPr="00632394">
        <w:t xml:space="preserve">Dumping Agreement, as interpreted under the customary rules of interpretation, reflected in Article 31(1) of the Vienna Convention. This interpretation, at a minimum, </w:t>
      </w:r>
      <w:r w:rsidR="00D33FC8" w:rsidRPr="00632394">
        <w:rPr>
          <w:rFonts w:cs="Calibri"/>
        </w:rPr>
        <w:t xml:space="preserve">satisfies the Article 17.6(ii) standard of review articulated by the Arbitrators in </w:t>
      </w:r>
      <w:r w:rsidR="00D33FC8" w:rsidRPr="00632394">
        <w:rPr>
          <w:rFonts w:cs="Calibri"/>
          <w:i/>
          <w:iCs/>
        </w:rPr>
        <w:t>Colombia – Frozen Fries</w:t>
      </w:r>
      <w:r w:rsidR="00D33FC8" w:rsidRPr="00632394">
        <w:rPr>
          <w:rFonts w:cs="Calibri"/>
        </w:rPr>
        <w:t>.</w:t>
      </w:r>
      <w:r w:rsidR="00D33FC8" w:rsidRPr="00632394">
        <w:rPr>
          <w:rStyle w:val="FootnoteReference"/>
          <w:rFonts w:cs="Calibri"/>
        </w:rPr>
        <w:footnoteReference w:id="20"/>
      </w:r>
    </w:p>
    <w:p w14:paraId="299CF1C7" w14:textId="2EFDF59A" w:rsidR="00351569" w:rsidRPr="00632394" w:rsidRDefault="00747BE6" w:rsidP="00EE2358">
      <w:pPr>
        <w:pStyle w:val="P1-N1Paragraph1-Number1"/>
      </w:pPr>
      <w:r w:rsidRPr="00632394">
        <w:rPr>
          <w:rFonts w:cs="Calibri"/>
        </w:rPr>
        <w:t>Accordingly,</w:t>
      </w:r>
      <w:r w:rsidR="00351569" w:rsidRPr="00632394">
        <w:rPr>
          <w:rFonts w:cs="Calibri"/>
        </w:rPr>
        <w:t xml:space="preserve"> Australia submits the cross-cumulation of dumped imports with subsidised imports </w:t>
      </w:r>
      <w:r w:rsidR="00E92104" w:rsidRPr="00632394">
        <w:rPr>
          <w:rFonts w:cs="Calibri"/>
        </w:rPr>
        <w:t>is consistent</w:t>
      </w:r>
      <w:r w:rsidR="00132EEE" w:rsidRPr="00632394">
        <w:t xml:space="preserve"> with the Anti-Dumping Agreement.</w:t>
      </w:r>
    </w:p>
    <w:p w14:paraId="6AFCCC4F" w14:textId="506E10D7" w:rsidR="0097168F" w:rsidRPr="00747BE6" w:rsidRDefault="00747BE6" w:rsidP="00D33FC8">
      <w:pPr>
        <w:pStyle w:val="P1-N1Paragraph1-Number1"/>
      </w:pPr>
      <w:r w:rsidRPr="00632394">
        <w:t>Australia thanks the Panel for its consideration</w:t>
      </w:r>
      <w:r>
        <w:t xml:space="preserve"> of this matter.</w:t>
      </w:r>
    </w:p>
    <w:sectPr w:rsidR="0097168F" w:rsidRPr="00747BE6"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427" w14:textId="77777777" w:rsidR="00D712C0" w:rsidRDefault="00D712C0" w:rsidP="00F71EA3">
      <w:pPr>
        <w:spacing w:after="0" w:line="240" w:lineRule="auto"/>
      </w:pPr>
      <w:r>
        <w:separator/>
      </w:r>
    </w:p>
  </w:endnote>
  <w:endnote w:type="continuationSeparator" w:id="0">
    <w:p w14:paraId="430C457D" w14:textId="77777777" w:rsidR="00D712C0" w:rsidRDefault="00D712C0"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0E23" w14:textId="77777777" w:rsidR="00D712C0" w:rsidRDefault="00D712C0" w:rsidP="00F71EA3">
      <w:pPr>
        <w:spacing w:after="0" w:line="240" w:lineRule="auto"/>
      </w:pPr>
      <w:r>
        <w:separator/>
      </w:r>
    </w:p>
  </w:footnote>
  <w:footnote w:type="continuationSeparator" w:id="0">
    <w:p w14:paraId="0E797217" w14:textId="77777777" w:rsidR="00D712C0" w:rsidRDefault="00D712C0" w:rsidP="00F71EA3">
      <w:pPr>
        <w:spacing w:after="0" w:line="240" w:lineRule="auto"/>
      </w:pPr>
      <w:r>
        <w:continuationSeparator/>
      </w:r>
    </w:p>
  </w:footnote>
  <w:footnote w:id="1">
    <w:p w14:paraId="70BC3697" w14:textId="454B81A5" w:rsidR="002C53ED" w:rsidRDefault="002C53ED" w:rsidP="002C53ED">
      <w:pPr>
        <w:pStyle w:val="FootnoteText"/>
      </w:pPr>
      <w:r>
        <w:rPr>
          <w:rStyle w:val="FootnoteReference"/>
        </w:rPr>
        <w:footnoteRef/>
      </w:r>
      <w:r>
        <w:t xml:space="preserve"> Argentina</w:t>
      </w:r>
      <w:r w:rsidRPr="00165FC1">
        <w:t>'</w:t>
      </w:r>
      <w:r>
        <w:t>s</w:t>
      </w:r>
      <w:r w:rsidRPr="00165FC1">
        <w:t xml:space="preserve"> first written submission, para</w:t>
      </w:r>
      <w:r>
        <w:t xml:space="preserve">. </w:t>
      </w:r>
      <w:r w:rsidR="0029387B">
        <w:t>128</w:t>
      </w:r>
      <w:r>
        <w:t>.</w:t>
      </w:r>
    </w:p>
  </w:footnote>
  <w:footnote w:id="2">
    <w:p w14:paraId="7F8738AF" w14:textId="0047F983" w:rsidR="002C53ED" w:rsidRDefault="002C53ED" w:rsidP="002C53ED">
      <w:pPr>
        <w:pStyle w:val="FootnoteText"/>
      </w:pPr>
      <w:r>
        <w:rPr>
          <w:rStyle w:val="FootnoteReference"/>
        </w:rPr>
        <w:footnoteRef/>
      </w:r>
      <w:r>
        <w:t xml:space="preserve"> Argentina</w:t>
      </w:r>
      <w:r w:rsidRPr="00165FC1">
        <w:t>'</w:t>
      </w:r>
      <w:r>
        <w:t>s</w:t>
      </w:r>
      <w:r w:rsidRPr="00165FC1">
        <w:t xml:space="preserve"> first written submission, para</w:t>
      </w:r>
      <w:r>
        <w:t>. 227.</w:t>
      </w:r>
    </w:p>
  </w:footnote>
  <w:footnote w:id="3">
    <w:p w14:paraId="0A68B9C4" w14:textId="77777777" w:rsidR="002C53ED" w:rsidRPr="00384E37" w:rsidRDefault="002C53ED" w:rsidP="002C53ED">
      <w:pPr>
        <w:pStyle w:val="FootnoteText"/>
      </w:pPr>
      <w:r>
        <w:rPr>
          <w:rStyle w:val="FootnoteReference"/>
        </w:rPr>
        <w:footnoteRef/>
      </w:r>
      <w:r>
        <w:t xml:space="preserve"> Panel Report, </w:t>
      </w:r>
      <w:r w:rsidRPr="00384E37">
        <w:rPr>
          <w:i/>
          <w:iCs/>
          <w:lang w:val="en-US"/>
        </w:rPr>
        <w:t>Pakistan – BOPP Film (UAE)</w:t>
      </w:r>
      <w:r>
        <w:rPr>
          <w:lang w:val="en-US"/>
        </w:rPr>
        <w:t xml:space="preserve">, para. 7.26. </w:t>
      </w:r>
    </w:p>
  </w:footnote>
  <w:footnote w:id="4">
    <w:p w14:paraId="3AF56661" w14:textId="77777777" w:rsidR="002C53ED" w:rsidRDefault="002C53ED" w:rsidP="002C53ED">
      <w:pPr>
        <w:pStyle w:val="FootnoteText"/>
      </w:pPr>
      <w:r>
        <w:rPr>
          <w:rStyle w:val="FootnoteReference"/>
        </w:rPr>
        <w:footnoteRef/>
      </w:r>
      <w:r>
        <w:t xml:space="preserve"> Panel Report, </w:t>
      </w:r>
      <w:r w:rsidRPr="00384E37">
        <w:rPr>
          <w:i/>
          <w:iCs/>
          <w:lang w:val="en-US"/>
        </w:rPr>
        <w:t>Pakistan – BOPP Film (UAE)</w:t>
      </w:r>
      <w:r>
        <w:rPr>
          <w:lang w:val="en-US"/>
        </w:rPr>
        <w:t xml:space="preserve">, para. 7.29. </w:t>
      </w:r>
    </w:p>
  </w:footnote>
  <w:footnote w:id="5">
    <w:p w14:paraId="516456FE" w14:textId="77777777" w:rsidR="007A1D9E" w:rsidRDefault="007A1D9E" w:rsidP="007A1D9E">
      <w:pPr>
        <w:pStyle w:val="FootnoteText"/>
      </w:pPr>
      <w:r>
        <w:rPr>
          <w:rStyle w:val="FootnoteReference"/>
        </w:rPr>
        <w:footnoteRef/>
      </w:r>
      <w:r>
        <w:t xml:space="preserve"> United States</w:t>
      </w:r>
      <w:r w:rsidRPr="006B7AA2">
        <w:rPr>
          <w:rFonts w:cs="Calibri"/>
        </w:rPr>
        <w:t>'</w:t>
      </w:r>
      <w:r>
        <w:t xml:space="preserve"> first written submission, para. 105.</w:t>
      </w:r>
    </w:p>
  </w:footnote>
  <w:footnote w:id="6">
    <w:p w14:paraId="116A2C03" w14:textId="77777777" w:rsidR="007A1D9E" w:rsidRPr="00D3192B" w:rsidRDefault="007A1D9E" w:rsidP="007A1D9E">
      <w:pPr>
        <w:pStyle w:val="FootnoteText"/>
      </w:pPr>
      <w:r>
        <w:rPr>
          <w:rStyle w:val="FootnoteReference"/>
        </w:rPr>
        <w:footnoteRef/>
      </w:r>
      <w:r>
        <w:t xml:space="preserve"> See United States</w:t>
      </w:r>
      <w:r w:rsidRPr="006B7AA2">
        <w:rPr>
          <w:rFonts w:cs="Calibri"/>
        </w:rPr>
        <w:t>'</w:t>
      </w:r>
      <w:r>
        <w:t xml:space="preserve"> first written submission, paras. 107-108; Appellate Body Report, </w:t>
      </w:r>
      <w:r w:rsidRPr="00D3192B">
        <w:rPr>
          <w:i/>
          <w:iCs/>
        </w:rPr>
        <w:t>US — Oil Country Tubular Goods Sunset Reviews</w:t>
      </w:r>
      <w:r>
        <w:t>, paras. 294-300.</w:t>
      </w:r>
    </w:p>
  </w:footnote>
  <w:footnote w:id="7">
    <w:p w14:paraId="5BE9850A" w14:textId="0998B588" w:rsidR="00165FC1" w:rsidRDefault="00165FC1">
      <w:pPr>
        <w:pStyle w:val="FootnoteText"/>
      </w:pPr>
      <w:r>
        <w:rPr>
          <w:rStyle w:val="FootnoteReference"/>
        </w:rPr>
        <w:footnoteRef/>
      </w:r>
      <w:r>
        <w:t xml:space="preserve"> </w:t>
      </w:r>
      <w:r w:rsidRPr="00165FC1">
        <w:t>United States' first written submission, para</w:t>
      </w:r>
      <w:r>
        <w:t>. 114.</w:t>
      </w:r>
    </w:p>
  </w:footnote>
  <w:footnote w:id="8">
    <w:p w14:paraId="1B0AA31B" w14:textId="770E5B6F" w:rsidR="00165FC1" w:rsidRPr="00165FC1" w:rsidRDefault="00165FC1">
      <w:pPr>
        <w:pStyle w:val="FootnoteText"/>
      </w:pPr>
      <w:r>
        <w:rPr>
          <w:rStyle w:val="FootnoteReference"/>
        </w:rPr>
        <w:footnoteRef/>
      </w:r>
      <w:r>
        <w:t xml:space="preserve"> Appellate Body Report, </w:t>
      </w:r>
      <w:r w:rsidRPr="00165FC1">
        <w:rPr>
          <w:i/>
          <w:iCs/>
        </w:rPr>
        <w:t>US — Carbon Steel (India)</w:t>
      </w:r>
      <w:r>
        <w:t xml:space="preserve">, para. 4.599; Panel Report, </w:t>
      </w:r>
      <w:r w:rsidRPr="00165FC1">
        <w:rPr>
          <w:i/>
          <w:iCs/>
        </w:rPr>
        <w:t>US — Carbon Steel (India)</w:t>
      </w:r>
      <w:r>
        <w:t>, paras. 7.347-7.348.</w:t>
      </w:r>
    </w:p>
  </w:footnote>
  <w:footnote w:id="9">
    <w:p w14:paraId="24DBA497" w14:textId="4492DE38" w:rsidR="0074242C" w:rsidRDefault="0074242C">
      <w:pPr>
        <w:pStyle w:val="FootnoteText"/>
      </w:pPr>
      <w:r>
        <w:rPr>
          <w:rStyle w:val="FootnoteReference"/>
        </w:rPr>
        <w:footnoteRef/>
      </w:r>
      <w:r>
        <w:t xml:space="preserve"> Panel Report, </w:t>
      </w:r>
      <w:r w:rsidRPr="00165FC1">
        <w:rPr>
          <w:i/>
          <w:iCs/>
        </w:rPr>
        <w:t>US — Carbon Steel (India)</w:t>
      </w:r>
      <w:r>
        <w:t>, para. 7.348.</w:t>
      </w:r>
    </w:p>
  </w:footnote>
  <w:footnote w:id="10">
    <w:p w14:paraId="59AFC641" w14:textId="77777777" w:rsidR="0097168F" w:rsidRDefault="0097168F" w:rsidP="0097168F">
      <w:pPr>
        <w:pStyle w:val="FootnoteText"/>
      </w:pPr>
      <w:r>
        <w:rPr>
          <w:rStyle w:val="FootnoteReference"/>
        </w:rPr>
        <w:footnoteRef/>
      </w:r>
      <w:r>
        <w:t xml:space="preserve"> </w:t>
      </w:r>
      <w:r w:rsidRPr="00165FC1">
        <w:t>United States' first written submission, para</w:t>
      </w:r>
      <w:r>
        <w:t>. 120. See also Australia</w:t>
      </w:r>
      <w:r w:rsidRPr="006B7AA2">
        <w:rPr>
          <w:rFonts w:cs="Calibri"/>
        </w:rPr>
        <w:t>'</w:t>
      </w:r>
      <w:r>
        <w:rPr>
          <w:rFonts w:cs="Calibri"/>
        </w:rPr>
        <w:t xml:space="preserve">s third party submission, para. 11; </w:t>
      </w:r>
      <w:r>
        <w:t>Japan</w:t>
      </w:r>
      <w:r w:rsidRPr="006B7AA2">
        <w:rPr>
          <w:rFonts w:cs="Calibri"/>
        </w:rPr>
        <w:t>'</w:t>
      </w:r>
      <w:r>
        <w:rPr>
          <w:rFonts w:cs="Calibri"/>
        </w:rPr>
        <w:t>s third party submission, paras. 36-40.</w:t>
      </w:r>
    </w:p>
  </w:footnote>
  <w:footnote w:id="11">
    <w:p w14:paraId="47559629" w14:textId="77777777" w:rsidR="0097168F" w:rsidRDefault="0097168F" w:rsidP="0097168F">
      <w:pPr>
        <w:pStyle w:val="FootnoteText"/>
        <w:rPr>
          <w:lang w:val="en-US"/>
        </w:rPr>
      </w:pPr>
      <w:r>
        <w:rPr>
          <w:rStyle w:val="FootnoteReference"/>
        </w:rPr>
        <w:footnoteRef/>
      </w:r>
      <w:r>
        <w:t xml:space="preserve"> </w:t>
      </w:r>
      <w:r w:rsidRPr="00DB7AB6">
        <w:rPr>
          <w:lang w:val="en-US"/>
        </w:rPr>
        <w:t xml:space="preserve">Panel Report, </w:t>
      </w:r>
      <w:r w:rsidRPr="00DB7AB6">
        <w:rPr>
          <w:i/>
          <w:iCs/>
          <w:lang w:val="en-US"/>
        </w:rPr>
        <w:t>US – Pipes and Tubes (Turkey)</w:t>
      </w:r>
      <w:r w:rsidRPr="00DB7AB6">
        <w:rPr>
          <w:lang w:val="en-US"/>
        </w:rPr>
        <w:t>, fn. 508.</w:t>
      </w:r>
    </w:p>
  </w:footnote>
  <w:footnote w:id="12">
    <w:p w14:paraId="4431DDC4" w14:textId="271EB96F" w:rsidR="00B3035C" w:rsidRDefault="00B3035C">
      <w:pPr>
        <w:pStyle w:val="FootnoteText"/>
      </w:pPr>
      <w:r>
        <w:rPr>
          <w:rStyle w:val="FootnoteReference"/>
        </w:rPr>
        <w:footnoteRef/>
      </w:r>
      <w:r>
        <w:t xml:space="preserve"> </w:t>
      </w:r>
      <w:r w:rsidRPr="00165FC1">
        <w:t>United States' first written submission, para</w:t>
      </w:r>
      <w:r>
        <w:t>. 121.</w:t>
      </w:r>
    </w:p>
  </w:footnote>
  <w:footnote w:id="13">
    <w:p w14:paraId="3A99E21A" w14:textId="155AACA1" w:rsidR="00F46EFC" w:rsidRDefault="00F46EFC" w:rsidP="00F46EFC">
      <w:pPr>
        <w:pStyle w:val="FootnoteText"/>
      </w:pPr>
      <w:r>
        <w:rPr>
          <w:rStyle w:val="FootnoteReference"/>
        </w:rPr>
        <w:footnoteRef/>
      </w:r>
      <w:r>
        <w:t xml:space="preserve"> </w:t>
      </w:r>
      <w:r>
        <w:rPr>
          <w:rFonts w:cs="Calibri"/>
        </w:rPr>
        <w:t>S. Nishimura,</w:t>
      </w:r>
      <w:r w:rsidRPr="00D72D3D">
        <w:t xml:space="preserve"> </w:t>
      </w:r>
      <w:r w:rsidRPr="002C6B1A">
        <w:t>"</w:t>
      </w:r>
      <w:r>
        <w:rPr>
          <w:rFonts w:cs="Calibri"/>
        </w:rPr>
        <w:t xml:space="preserve">Giving Meaning to Limitations – </w:t>
      </w:r>
      <w:r w:rsidR="009037BF">
        <w:rPr>
          <w:rFonts w:cs="Calibri"/>
        </w:rPr>
        <w:t>Exploring</w:t>
      </w:r>
      <w:r>
        <w:rPr>
          <w:rFonts w:cs="Calibri"/>
        </w:rPr>
        <w:t xml:space="preserve"> WTO Disciplines on Cumulation in Anti-Dumping Cases</w:t>
      </w:r>
      <w:r w:rsidRPr="002C6B1A">
        <w:t>"</w:t>
      </w:r>
      <w:r>
        <w:t xml:space="preserve"> (2024), Vol. 58, No. 2, </w:t>
      </w:r>
      <w:r>
        <w:rPr>
          <w:i/>
          <w:iCs/>
        </w:rPr>
        <w:t xml:space="preserve">Journal of World Trade </w:t>
      </w:r>
      <w:r>
        <w:t>58(2), p. 10.</w:t>
      </w:r>
    </w:p>
  </w:footnote>
  <w:footnote w:id="14">
    <w:p w14:paraId="6DC6E9EE" w14:textId="77777777" w:rsidR="00F46EFC" w:rsidRPr="00F931B9" w:rsidRDefault="00F46EFC" w:rsidP="00F46EFC">
      <w:pPr>
        <w:pStyle w:val="FootnoteText"/>
      </w:pPr>
      <w:r>
        <w:rPr>
          <w:rStyle w:val="FootnoteReference"/>
        </w:rPr>
        <w:footnoteRef/>
      </w:r>
      <w:r>
        <w:t xml:space="preserve"> T.P. Stewart, </w:t>
      </w:r>
      <w:r w:rsidRPr="00F931B9">
        <w:rPr>
          <w:i/>
          <w:iCs/>
        </w:rPr>
        <w:t>The GATT Uruguay Round</w:t>
      </w:r>
      <w:r>
        <w:rPr>
          <w:i/>
          <w:iCs/>
        </w:rPr>
        <w:t xml:space="preserve"> –</w:t>
      </w:r>
      <w:r w:rsidRPr="00F931B9">
        <w:rPr>
          <w:i/>
          <w:iCs/>
        </w:rPr>
        <w:t xml:space="preserve"> A Negotiating History (1986-1992)</w:t>
      </w:r>
      <w:r>
        <w:t>,</w:t>
      </w:r>
      <w:r>
        <w:rPr>
          <w:i/>
          <w:iCs/>
        </w:rPr>
        <w:t xml:space="preserve"> </w:t>
      </w:r>
      <w:r>
        <w:t>(Kluwer Law and Taxation Publishers, 1993), p. 1594.</w:t>
      </w:r>
    </w:p>
  </w:footnote>
  <w:footnote w:id="15">
    <w:p w14:paraId="42753FE3" w14:textId="3E43A858" w:rsidR="00D33FC8" w:rsidRPr="003C19E4" w:rsidRDefault="00D33FC8" w:rsidP="00D33FC8">
      <w:pPr>
        <w:pStyle w:val="FootnoteText"/>
      </w:pPr>
      <w:r w:rsidRPr="00AA04F0">
        <w:rPr>
          <w:rStyle w:val="FootnoteReference"/>
        </w:rPr>
        <w:footnoteRef/>
      </w:r>
      <w:r w:rsidRPr="00AA04F0">
        <w:t xml:space="preserve"> See e.g., D. McRae, "</w:t>
      </w:r>
      <w:r w:rsidR="002458E1">
        <w:t xml:space="preserve">Treaty </w:t>
      </w:r>
      <w:r w:rsidRPr="00AA04F0">
        <w:t>Interpretation by the WTO Appellate</w:t>
      </w:r>
      <w:r>
        <w:t xml:space="preserve"> Body: The Conundrum of Article 17(6) of the WTO Antidumping Agreement</w:t>
      </w:r>
      <w:r w:rsidRPr="002C6B1A">
        <w:t>"</w:t>
      </w:r>
      <w:r>
        <w:t xml:space="preserve"> in E.</w:t>
      </w:r>
      <w:r w:rsidRPr="003C19E4">
        <w:t xml:space="preserve"> Cannizzaro</w:t>
      </w:r>
      <w:r>
        <w:t xml:space="preserve"> (ed.), </w:t>
      </w:r>
      <w:r w:rsidRPr="003C19E4">
        <w:rPr>
          <w:i/>
          <w:iCs/>
        </w:rPr>
        <w:t>The Law of Treaties Beyond the Vienna Convention</w:t>
      </w:r>
      <w:r>
        <w:rPr>
          <w:i/>
          <w:iCs/>
        </w:rPr>
        <w:t xml:space="preserve"> </w:t>
      </w:r>
      <w:r>
        <w:t>(Oxford University Press, 2011).</w:t>
      </w:r>
    </w:p>
  </w:footnote>
  <w:footnote w:id="16">
    <w:p w14:paraId="2720CE45" w14:textId="77777777" w:rsidR="00D33FC8" w:rsidRDefault="00D33FC8" w:rsidP="00D33FC8">
      <w:pPr>
        <w:pStyle w:val="FootnoteText"/>
      </w:pPr>
      <w:r>
        <w:rPr>
          <w:rStyle w:val="FootnoteReference"/>
        </w:rPr>
        <w:footnoteRef/>
      </w:r>
      <w:r>
        <w:t xml:space="preserve"> Award of the Arbitrators, </w:t>
      </w:r>
      <w:r w:rsidRPr="004630DE">
        <w:rPr>
          <w:i/>
          <w:iCs/>
        </w:rPr>
        <w:t>Colombia — Frozen Fries</w:t>
      </w:r>
      <w:r>
        <w:t>, para. 4.14.</w:t>
      </w:r>
    </w:p>
  </w:footnote>
  <w:footnote w:id="17">
    <w:p w14:paraId="3095E8A3" w14:textId="77777777" w:rsidR="00D33FC8" w:rsidRDefault="00D33FC8" w:rsidP="00D33FC8">
      <w:pPr>
        <w:pStyle w:val="FootnoteText"/>
      </w:pPr>
      <w:r>
        <w:rPr>
          <w:rStyle w:val="FootnoteReference"/>
        </w:rPr>
        <w:footnoteRef/>
      </w:r>
      <w:r>
        <w:t xml:space="preserve"> Award of the Arbitrators, </w:t>
      </w:r>
      <w:r w:rsidRPr="004630DE">
        <w:rPr>
          <w:i/>
          <w:iCs/>
        </w:rPr>
        <w:t>Colombia — Frozen Fries</w:t>
      </w:r>
      <w:r>
        <w:t>, para. 4.13.</w:t>
      </w:r>
    </w:p>
  </w:footnote>
  <w:footnote w:id="18">
    <w:p w14:paraId="020A7834" w14:textId="77777777" w:rsidR="00D33FC8" w:rsidRDefault="00D33FC8" w:rsidP="00D33FC8">
      <w:pPr>
        <w:pStyle w:val="FootnoteText"/>
      </w:pPr>
      <w:r>
        <w:rPr>
          <w:rStyle w:val="FootnoteReference"/>
        </w:rPr>
        <w:footnoteRef/>
      </w:r>
      <w:r>
        <w:t xml:space="preserve"> Award of the Arbitrators, </w:t>
      </w:r>
      <w:r w:rsidRPr="004630DE">
        <w:rPr>
          <w:i/>
          <w:iCs/>
        </w:rPr>
        <w:t>Colombia — Frozen Fries</w:t>
      </w:r>
      <w:r>
        <w:t>, para. 4.15.</w:t>
      </w:r>
    </w:p>
  </w:footnote>
  <w:footnote w:id="19">
    <w:p w14:paraId="66B22533" w14:textId="77777777" w:rsidR="00D33FC8" w:rsidRDefault="00D33FC8" w:rsidP="00D33FC8">
      <w:pPr>
        <w:pStyle w:val="FootnoteText"/>
      </w:pPr>
      <w:r>
        <w:rPr>
          <w:rStyle w:val="FootnoteReference"/>
        </w:rPr>
        <w:footnoteRef/>
      </w:r>
      <w:r>
        <w:t xml:space="preserve"> Award of the Arbitrators, </w:t>
      </w:r>
      <w:r w:rsidRPr="004630DE">
        <w:rPr>
          <w:i/>
          <w:iCs/>
        </w:rPr>
        <w:t>Colombia — Frozen Fries</w:t>
      </w:r>
      <w:r>
        <w:t>, para. 4.15.</w:t>
      </w:r>
    </w:p>
  </w:footnote>
  <w:footnote w:id="20">
    <w:p w14:paraId="3089528D" w14:textId="77777777" w:rsidR="00D33FC8" w:rsidRDefault="00D33FC8" w:rsidP="00D33FC8">
      <w:pPr>
        <w:pStyle w:val="FootnoteText"/>
      </w:pPr>
      <w:r>
        <w:rPr>
          <w:rStyle w:val="FootnoteReference"/>
        </w:rPr>
        <w:footnoteRef/>
      </w:r>
      <w:r>
        <w:t xml:space="preserve"> See Australia</w:t>
      </w:r>
      <w:r w:rsidRPr="006B7AA2">
        <w:rPr>
          <w:rFonts w:cs="Calibri"/>
        </w:rPr>
        <w:t>'</w:t>
      </w:r>
      <w:r>
        <w:rPr>
          <w:rFonts w:cs="Calibri"/>
        </w:rPr>
        <w:t>s third party submission, paras.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4566159C" w:rsidR="00635A10" w:rsidRPr="000E24A1" w:rsidRDefault="0086504D">
    <w:pPr>
      <w:pStyle w:val="Header"/>
      <w:rPr>
        <w:i/>
        <w:iCs/>
      </w:rPr>
    </w:pPr>
    <w:r w:rsidRPr="003E5AB2">
      <w:rPr>
        <w:i/>
        <w:iCs/>
      </w:rPr>
      <w:t>United States — Anti-</w:t>
    </w:r>
    <w:r>
      <w:rPr>
        <w:i/>
        <w:iCs/>
      </w:rPr>
      <w:t>D</w:t>
    </w:r>
    <w:r w:rsidRPr="003E5AB2">
      <w:rPr>
        <w:i/>
        <w:iCs/>
      </w:rPr>
      <w:t xml:space="preserve">umping </w:t>
    </w:r>
    <w:r>
      <w:rPr>
        <w:i/>
        <w:iCs/>
      </w:rPr>
      <w:t>M</w:t>
    </w:r>
    <w:r w:rsidRPr="003E5AB2">
      <w:rPr>
        <w:i/>
        <w:iCs/>
      </w:rPr>
      <w:t>easure</w:t>
    </w:r>
    <w:r>
      <w:rPr>
        <w:i/>
        <w:iCs/>
      </w:rPr>
      <w:t xml:space="preserve"> on Oil</w:t>
    </w:r>
    <w:r>
      <w:rPr>
        <w:i/>
        <w:iCs/>
      </w:rPr>
      <w:tab/>
    </w:r>
    <w:r w:rsidR="00635A10" w:rsidRPr="000E24A1">
      <w:rPr>
        <w:i/>
        <w:iCs/>
      </w:rPr>
      <w:tab/>
    </w:r>
    <w:r w:rsidR="00505764" w:rsidRPr="000E24A1">
      <w:rPr>
        <w:i/>
        <w:iCs/>
      </w:rPr>
      <w:t>Third party oral statement of Australia</w:t>
    </w:r>
  </w:p>
  <w:p w14:paraId="10F3C15A" w14:textId="63DA7741" w:rsidR="00635A10" w:rsidRPr="000E24A1" w:rsidRDefault="004221A9">
    <w:pPr>
      <w:pStyle w:val="Header"/>
      <w:rPr>
        <w:i/>
        <w:iCs/>
      </w:rPr>
    </w:pPr>
    <w:r w:rsidRPr="003E5AB2">
      <w:rPr>
        <w:i/>
        <w:iCs/>
      </w:rPr>
      <w:t>Country Tubular Goods from Argentina</w:t>
    </w:r>
    <w:r>
      <w:rPr>
        <w:i/>
        <w:iCs/>
      </w:rPr>
      <w:t xml:space="preserve"> </w:t>
    </w:r>
    <w:r>
      <w:t>(DS617)</w:t>
    </w:r>
    <w:r w:rsidR="00635A10" w:rsidRPr="000E24A1">
      <w:rPr>
        <w:i/>
        <w:iCs/>
      </w:rPr>
      <w:tab/>
    </w:r>
    <w:r w:rsidR="00635A10" w:rsidRPr="000E24A1">
      <w:rPr>
        <w:i/>
        <w:iCs/>
      </w:rPr>
      <w:tab/>
    </w:r>
    <w:r w:rsidR="00505764">
      <w:rPr>
        <w:i/>
        <w:iCs/>
      </w:rPr>
      <w:t>11 July 2024</w:t>
    </w:r>
  </w:p>
  <w:p w14:paraId="1C794CEF" w14:textId="52C9CB2B" w:rsidR="00635A10" w:rsidRPr="000E24A1" w:rsidRDefault="00635A10">
    <w:pPr>
      <w:pStyle w:val="Header"/>
      <w:rPr>
        <w:i/>
        <w:iCs/>
      </w:rPr>
    </w:pPr>
    <w:r w:rsidRPr="000E24A1">
      <w:rPr>
        <w:i/>
        <w:iCs/>
      </w:rPr>
      <w:t xml:space="preserve"> </w:t>
    </w:r>
    <w:r w:rsidRPr="000E24A1">
      <w:rPr>
        <w:i/>
        <w:iCs/>
      </w:rPr>
      <w:tab/>
    </w:r>
    <w:r w:rsidRPr="000E24A1">
      <w:rPr>
        <w:i/>
        <w:iCs/>
      </w:rPr>
      <w:tab/>
    </w:r>
  </w:p>
  <w:p w14:paraId="74891E33" w14:textId="77777777" w:rsidR="00635A10" w:rsidRPr="000E24A1" w:rsidRDefault="00635A10">
    <w:pPr>
      <w:pStyle w:val="Header"/>
      <w:rPr>
        <w:i/>
        <w:iCs/>
      </w:rPr>
    </w:pPr>
    <w:r w:rsidRPr="000E24A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398E65B8"/>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num w:numId="1" w16cid:durableId="2069500102">
    <w:abstractNumId w:val="1"/>
  </w:num>
  <w:num w:numId="2" w16cid:durableId="846401725">
    <w:abstractNumId w:val="0"/>
  </w:num>
  <w:num w:numId="3" w16cid:durableId="343284933">
    <w:abstractNumId w:val="0"/>
  </w:num>
  <w:num w:numId="4" w16cid:durableId="49571587">
    <w:abstractNumId w:val="0"/>
  </w:num>
  <w:num w:numId="5" w16cid:durableId="130627838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5D81"/>
    <w:rsid w:val="00012821"/>
    <w:rsid w:val="000321A1"/>
    <w:rsid w:val="0003352D"/>
    <w:rsid w:val="00051192"/>
    <w:rsid w:val="00052703"/>
    <w:rsid w:val="00065D57"/>
    <w:rsid w:val="000719D6"/>
    <w:rsid w:val="0007752A"/>
    <w:rsid w:val="000A220B"/>
    <w:rsid w:val="000A40FC"/>
    <w:rsid w:val="000A773A"/>
    <w:rsid w:val="000C37BC"/>
    <w:rsid w:val="000D454B"/>
    <w:rsid w:val="000E18DA"/>
    <w:rsid w:val="000E24A1"/>
    <w:rsid w:val="000F7CC2"/>
    <w:rsid w:val="00100E47"/>
    <w:rsid w:val="00105F32"/>
    <w:rsid w:val="0011225E"/>
    <w:rsid w:val="00132EEE"/>
    <w:rsid w:val="00160B67"/>
    <w:rsid w:val="001647E3"/>
    <w:rsid w:val="00165FC1"/>
    <w:rsid w:val="0017348C"/>
    <w:rsid w:val="00185110"/>
    <w:rsid w:val="00193D9B"/>
    <w:rsid w:val="001A3AF1"/>
    <w:rsid w:val="001A7BB3"/>
    <w:rsid w:val="001C109E"/>
    <w:rsid w:val="001C11B5"/>
    <w:rsid w:val="001C646D"/>
    <w:rsid w:val="001D3A5F"/>
    <w:rsid w:val="001D63E0"/>
    <w:rsid w:val="001E1E4D"/>
    <w:rsid w:val="001E6278"/>
    <w:rsid w:val="001E66F3"/>
    <w:rsid w:val="001E7173"/>
    <w:rsid w:val="001F1A1B"/>
    <w:rsid w:val="001F694F"/>
    <w:rsid w:val="00203B4F"/>
    <w:rsid w:val="00210C5C"/>
    <w:rsid w:val="002279EA"/>
    <w:rsid w:val="0024198F"/>
    <w:rsid w:val="002458E1"/>
    <w:rsid w:val="00251F2A"/>
    <w:rsid w:val="00257688"/>
    <w:rsid w:val="0026443A"/>
    <w:rsid w:val="00265B56"/>
    <w:rsid w:val="00267756"/>
    <w:rsid w:val="00272FB5"/>
    <w:rsid w:val="00275716"/>
    <w:rsid w:val="002763AD"/>
    <w:rsid w:val="00280A62"/>
    <w:rsid w:val="00281014"/>
    <w:rsid w:val="0028334B"/>
    <w:rsid w:val="00283EF1"/>
    <w:rsid w:val="00284B22"/>
    <w:rsid w:val="002852B7"/>
    <w:rsid w:val="0029387B"/>
    <w:rsid w:val="002A129C"/>
    <w:rsid w:val="002B569C"/>
    <w:rsid w:val="002C4159"/>
    <w:rsid w:val="002C53ED"/>
    <w:rsid w:val="002D2A77"/>
    <w:rsid w:val="002E4666"/>
    <w:rsid w:val="002E7A78"/>
    <w:rsid w:val="0030017C"/>
    <w:rsid w:val="00312D3D"/>
    <w:rsid w:val="003139CB"/>
    <w:rsid w:val="00327650"/>
    <w:rsid w:val="003303F6"/>
    <w:rsid w:val="0033341E"/>
    <w:rsid w:val="00345AF9"/>
    <w:rsid w:val="00351569"/>
    <w:rsid w:val="003548B3"/>
    <w:rsid w:val="0036302E"/>
    <w:rsid w:val="00365D6B"/>
    <w:rsid w:val="0036741E"/>
    <w:rsid w:val="0037031B"/>
    <w:rsid w:val="00376CC9"/>
    <w:rsid w:val="00382529"/>
    <w:rsid w:val="00382620"/>
    <w:rsid w:val="00384419"/>
    <w:rsid w:val="003974E5"/>
    <w:rsid w:val="003A1F0E"/>
    <w:rsid w:val="003A37FE"/>
    <w:rsid w:val="003C0655"/>
    <w:rsid w:val="003D5634"/>
    <w:rsid w:val="003E041F"/>
    <w:rsid w:val="003E1284"/>
    <w:rsid w:val="003E1A59"/>
    <w:rsid w:val="003E3D4C"/>
    <w:rsid w:val="003F290A"/>
    <w:rsid w:val="003F4630"/>
    <w:rsid w:val="003F464F"/>
    <w:rsid w:val="00403BA4"/>
    <w:rsid w:val="00413FE7"/>
    <w:rsid w:val="00417BAF"/>
    <w:rsid w:val="004221A9"/>
    <w:rsid w:val="00431120"/>
    <w:rsid w:val="004314F8"/>
    <w:rsid w:val="004413AD"/>
    <w:rsid w:val="00445E5E"/>
    <w:rsid w:val="00456B10"/>
    <w:rsid w:val="00471D17"/>
    <w:rsid w:val="00472B6B"/>
    <w:rsid w:val="0047351C"/>
    <w:rsid w:val="0048059B"/>
    <w:rsid w:val="0048209D"/>
    <w:rsid w:val="00486DB6"/>
    <w:rsid w:val="0048784A"/>
    <w:rsid w:val="0049597C"/>
    <w:rsid w:val="00496383"/>
    <w:rsid w:val="004A6DA6"/>
    <w:rsid w:val="004B23A7"/>
    <w:rsid w:val="004B56B8"/>
    <w:rsid w:val="004B72A3"/>
    <w:rsid w:val="004B752E"/>
    <w:rsid w:val="004C59EC"/>
    <w:rsid w:val="004C6924"/>
    <w:rsid w:val="004D302F"/>
    <w:rsid w:val="004F086B"/>
    <w:rsid w:val="004F2DB4"/>
    <w:rsid w:val="004F55C0"/>
    <w:rsid w:val="0050180A"/>
    <w:rsid w:val="0050564E"/>
    <w:rsid w:val="00505764"/>
    <w:rsid w:val="00505CF6"/>
    <w:rsid w:val="0050746A"/>
    <w:rsid w:val="005126FF"/>
    <w:rsid w:val="00512DB9"/>
    <w:rsid w:val="005155E1"/>
    <w:rsid w:val="00533A67"/>
    <w:rsid w:val="005347B5"/>
    <w:rsid w:val="00550FB2"/>
    <w:rsid w:val="0055116D"/>
    <w:rsid w:val="00557440"/>
    <w:rsid w:val="00557D4F"/>
    <w:rsid w:val="00562025"/>
    <w:rsid w:val="00562327"/>
    <w:rsid w:val="00573B41"/>
    <w:rsid w:val="0057426E"/>
    <w:rsid w:val="00575516"/>
    <w:rsid w:val="005755A1"/>
    <w:rsid w:val="00577DD9"/>
    <w:rsid w:val="005858EC"/>
    <w:rsid w:val="0059203F"/>
    <w:rsid w:val="00592993"/>
    <w:rsid w:val="005A0CCF"/>
    <w:rsid w:val="005B1B15"/>
    <w:rsid w:val="005B23AD"/>
    <w:rsid w:val="005B311E"/>
    <w:rsid w:val="005B424D"/>
    <w:rsid w:val="005B7666"/>
    <w:rsid w:val="005C3C2A"/>
    <w:rsid w:val="005C6211"/>
    <w:rsid w:val="005D0F49"/>
    <w:rsid w:val="005D5B3E"/>
    <w:rsid w:val="005E77F1"/>
    <w:rsid w:val="005F09CC"/>
    <w:rsid w:val="005F0FD7"/>
    <w:rsid w:val="005F410D"/>
    <w:rsid w:val="006014E1"/>
    <w:rsid w:val="00611D3A"/>
    <w:rsid w:val="00613F6A"/>
    <w:rsid w:val="006217F3"/>
    <w:rsid w:val="00624DC2"/>
    <w:rsid w:val="00632394"/>
    <w:rsid w:val="00632BFE"/>
    <w:rsid w:val="00635A10"/>
    <w:rsid w:val="00652692"/>
    <w:rsid w:val="00655B9B"/>
    <w:rsid w:val="00664F6B"/>
    <w:rsid w:val="00666FC7"/>
    <w:rsid w:val="00671821"/>
    <w:rsid w:val="006735CE"/>
    <w:rsid w:val="00677E9E"/>
    <w:rsid w:val="00681164"/>
    <w:rsid w:val="006A12F5"/>
    <w:rsid w:val="006A4BD2"/>
    <w:rsid w:val="006B71AC"/>
    <w:rsid w:val="006C1EFC"/>
    <w:rsid w:val="006C25F6"/>
    <w:rsid w:val="006C7840"/>
    <w:rsid w:val="006C7DF8"/>
    <w:rsid w:val="006F10D5"/>
    <w:rsid w:val="006F2EAE"/>
    <w:rsid w:val="007001C5"/>
    <w:rsid w:val="00711CF7"/>
    <w:rsid w:val="00714338"/>
    <w:rsid w:val="00723D29"/>
    <w:rsid w:val="00732246"/>
    <w:rsid w:val="00733DF6"/>
    <w:rsid w:val="00734DFF"/>
    <w:rsid w:val="0074242C"/>
    <w:rsid w:val="00743DBA"/>
    <w:rsid w:val="00747BE6"/>
    <w:rsid w:val="007548A6"/>
    <w:rsid w:val="007573B5"/>
    <w:rsid w:val="00762FB6"/>
    <w:rsid w:val="007668AA"/>
    <w:rsid w:val="007724F3"/>
    <w:rsid w:val="007774E4"/>
    <w:rsid w:val="007835F8"/>
    <w:rsid w:val="007A1D9E"/>
    <w:rsid w:val="007A24C5"/>
    <w:rsid w:val="007A37E2"/>
    <w:rsid w:val="007A5269"/>
    <w:rsid w:val="007A5C6E"/>
    <w:rsid w:val="007A699B"/>
    <w:rsid w:val="007A6C8F"/>
    <w:rsid w:val="007A6F74"/>
    <w:rsid w:val="007B077F"/>
    <w:rsid w:val="007C5A9C"/>
    <w:rsid w:val="007E5C6D"/>
    <w:rsid w:val="007E7080"/>
    <w:rsid w:val="007E7A23"/>
    <w:rsid w:val="007F0D9E"/>
    <w:rsid w:val="00806D1B"/>
    <w:rsid w:val="00814497"/>
    <w:rsid w:val="008161D4"/>
    <w:rsid w:val="00816BA6"/>
    <w:rsid w:val="00837872"/>
    <w:rsid w:val="00840A63"/>
    <w:rsid w:val="00840AB2"/>
    <w:rsid w:val="00843B3E"/>
    <w:rsid w:val="008473C3"/>
    <w:rsid w:val="008620AF"/>
    <w:rsid w:val="0086504D"/>
    <w:rsid w:val="00876DED"/>
    <w:rsid w:val="00881638"/>
    <w:rsid w:val="00885512"/>
    <w:rsid w:val="00890EBC"/>
    <w:rsid w:val="008922CB"/>
    <w:rsid w:val="00897AE5"/>
    <w:rsid w:val="008A2D4C"/>
    <w:rsid w:val="008A356C"/>
    <w:rsid w:val="008A517E"/>
    <w:rsid w:val="008A5B3E"/>
    <w:rsid w:val="008B2334"/>
    <w:rsid w:val="008B3B71"/>
    <w:rsid w:val="008D0A0D"/>
    <w:rsid w:val="008F3AA9"/>
    <w:rsid w:val="008F4715"/>
    <w:rsid w:val="008F49E0"/>
    <w:rsid w:val="008F7177"/>
    <w:rsid w:val="0090243C"/>
    <w:rsid w:val="009037BF"/>
    <w:rsid w:val="009053D0"/>
    <w:rsid w:val="00910073"/>
    <w:rsid w:val="00915F71"/>
    <w:rsid w:val="009320F0"/>
    <w:rsid w:val="00943152"/>
    <w:rsid w:val="00952ABA"/>
    <w:rsid w:val="00954085"/>
    <w:rsid w:val="0096762E"/>
    <w:rsid w:val="0097168F"/>
    <w:rsid w:val="00973E5C"/>
    <w:rsid w:val="00976549"/>
    <w:rsid w:val="00977E6F"/>
    <w:rsid w:val="00993342"/>
    <w:rsid w:val="00993DD6"/>
    <w:rsid w:val="00993E6D"/>
    <w:rsid w:val="00996852"/>
    <w:rsid w:val="009A211D"/>
    <w:rsid w:val="009A6491"/>
    <w:rsid w:val="009B3919"/>
    <w:rsid w:val="009C460A"/>
    <w:rsid w:val="009C5794"/>
    <w:rsid w:val="009C74E1"/>
    <w:rsid w:val="009E1CEB"/>
    <w:rsid w:val="009E40F1"/>
    <w:rsid w:val="009E49B5"/>
    <w:rsid w:val="009E5915"/>
    <w:rsid w:val="009F0C57"/>
    <w:rsid w:val="00A05C4A"/>
    <w:rsid w:val="00A134C5"/>
    <w:rsid w:val="00A145B7"/>
    <w:rsid w:val="00A1694F"/>
    <w:rsid w:val="00A20227"/>
    <w:rsid w:val="00A23A0D"/>
    <w:rsid w:val="00A244EB"/>
    <w:rsid w:val="00A24784"/>
    <w:rsid w:val="00A32F2D"/>
    <w:rsid w:val="00A34758"/>
    <w:rsid w:val="00A371B4"/>
    <w:rsid w:val="00A429AD"/>
    <w:rsid w:val="00A42F69"/>
    <w:rsid w:val="00A47CF9"/>
    <w:rsid w:val="00A54098"/>
    <w:rsid w:val="00A56710"/>
    <w:rsid w:val="00A57337"/>
    <w:rsid w:val="00A65808"/>
    <w:rsid w:val="00A6692A"/>
    <w:rsid w:val="00A71E9A"/>
    <w:rsid w:val="00A73C5B"/>
    <w:rsid w:val="00A77306"/>
    <w:rsid w:val="00A87BA5"/>
    <w:rsid w:val="00A90E41"/>
    <w:rsid w:val="00A95F3D"/>
    <w:rsid w:val="00A9785D"/>
    <w:rsid w:val="00AA468D"/>
    <w:rsid w:val="00AB1F8A"/>
    <w:rsid w:val="00AB2C34"/>
    <w:rsid w:val="00AC01CF"/>
    <w:rsid w:val="00AD37DA"/>
    <w:rsid w:val="00AE5E25"/>
    <w:rsid w:val="00AE6143"/>
    <w:rsid w:val="00AE7057"/>
    <w:rsid w:val="00AF1877"/>
    <w:rsid w:val="00AF3A4C"/>
    <w:rsid w:val="00B010E8"/>
    <w:rsid w:val="00B17DA4"/>
    <w:rsid w:val="00B2465A"/>
    <w:rsid w:val="00B3035C"/>
    <w:rsid w:val="00B3296F"/>
    <w:rsid w:val="00B4284B"/>
    <w:rsid w:val="00B46C00"/>
    <w:rsid w:val="00B645A1"/>
    <w:rsid w:val="00B70775"/>
    <w:rsid w:val="00B73DCD"/>
    <w:rsid w:val="00B74CB9"/>
    <w:rsid w:val="00B823EE"/>
    <w:rsid w:val="00B863CD"/>
    <w:rsid w:val="00B9696C"/>
    <w:rsid w:val="00B96B80"/>
    <w:rsid w:val="00BA0835"/>
    <w:rsid w:val="00BA0EA5"/>
    <w:rsid w:val="00BA236E"/>
    <w:rsid w:val="00BA488B"/>
    <w:rsid w:val="00BB0665"/>
    <w:rsid w:val="00BB516F"/>
    <w:rsid w:val="00BC034B"/>
    <w:rsid w:val="00BC1B53"/>
    <w:rsid w:val="00BC2F0D"/>
    <w:rsid w:val="00BC74F3"/>
    <w:rsid w:val="00BD2DC2"/>
    <w:rsid w:val="00BD64D4"/>
    <w:rsid w:val="00BE1FB9"/>
    <w:rsid w:val="00BE34E1"/>
    <w:rsid w:val="00BE3B57"/>
    <w:rsid w:val="00C05090"/>
    <w:rsid w:val="00C15C33"/>
    <w:rsid w:val="00C4084F"/>
    <w:rsid w:val="00C44B78"/>
    <w:rsid w:val="00C45FA2"/>
    <w:rsid w:val="00C601B8"/>
    <w:rsid w:val="00C610CD"/>
    <w:rsid w:val="00C63472"/>
    <w:rsid w:val="00C814EF"/>
    <w:rsid w:val="00C871DD"/>
    <w:rsid w:val="00C96E1B"/>
    <w:rsid w:val="00CB1F04"/>
    <w:rsid w:val="00CB2600"/>
    <w:rsid w:val="00CB797F"/>
    <w:rsid w:val="00CD1FCF"/>
    <w:rsid w:val="00CD22BE"/>
    <w:rsid w:val="00CE3099"/>
    <w:rsid w:val="00CF551B"/>
    <w:rsid w:val="00CF6406"/>
    <w:rsid w:val="00CF7B89"/>
    <w:rsid w:val="00D06B49"/>
    <w:rsid w:val="00D11BB6"/>
    <w:rsid w:val="00D17409"/>
    <w:rsid w:val="00D2673C"/>
    <w:rsid w:val="00D32925"/>
    <w:rsid w:val="00D3365F"/>
    <w:rsid w:val="00D33FC8"/>
    <w:rsid w:val="00D36460"/>
    <w:rsid w:val="00D41158"/>
    <w:rsid w:val="00D50DFB"/>
    <w:rsid w:val="00D5503C"/>
    <w:rsid w:val="00D55A26"/>
    <w:rsid w:val="00D6072E"/>
    <w:rsid w:val="00D61A4B"/>
    <w:rsid w:val="00D66EAD"/>
    <w:rsid w:val="00D712C0"/>
    <w:rsid w:val="00D7472A"/>
    <w:rsid w:val="00D76009"/>
    <w:rsid w:val="00D95055"/>
    <w:rsid w:val="00DB7AB6"/>
    <w:rsid w:val="00DC06F4"/>
    <w:rsid w:val="00DC1154"/>
    <w:rsid w:val="00DC39FE"/>
    <w:rsid w:val="00DC406E"/>
    <w:rsid w:val="00DC4BBE"/>
    <w:rsid w:val="00DC7A9A"/>
    <w:rsid w:val="00DE1FD5"/>
    <w:rsid w:val="00DE55AD"/>
    <w:rsid w:val="00E067DD"/>
    <w:rsid w:val="00E15BCE"/>
    <w:rsid w:val="00E17FCD"/>
    <w:rsid w:val="00E2215B"/>
    <w:rsid w:val="00E23658"/>
    <w:rsid w:val="00E25143"/>
    <w:rsid w:val="00E27F69"/>
    <w:rsid w:val="00E33CFC"/>
    <w:rsid w:val="00E36A49"/>
    <w:rsid w:val="00E56D3E"/>
    <w:rsid w:val="00E6660C"/>
    <w:rsid w:val="00E72F0B"/>
    <w:rsid w:val="00E76FAB"/>
    <w:rsid w:val="00E84FEC"/>
    <w:rsid w:val="00E90422"/>
    <w:rsid w:val="00E92104"/>
    <w:rsid w:val="00EA5D47"/>
    <w:rsid w:val="00EB4211"/>
    <w:rsid w:val="00EC5E11"/>
    <w:rsid w:val="00EC6A8A"/>
    <w:rsid w:val="00ED444B"/>
    <w:rsid w:val="00ED579B"/>
    <w:rsid w:val="00ED7DE5"/>
    <w:rsid w:val="00EE16EF"/>
    <w:rsid w:val="00EE2358"/>
    <w:rsid w:val="00EE48D2"/>
    <w:rsid w:val="00EF13ED"/>
    <w:rsid w:val="00EF3819"/>
    <w:rsid w:val="00EF5A20"/>
    <w:rsid w:val="00F02E0F"/>
    <w:rsid w:val="00F03F6E"/>
    <w:rsid w:val="00F174F4"/>
    <w:rsid w:val="00F17801"/>
    <w:rsid w:val="00F21968"/>
    <w:rsid w:val="00F336D8"/>
    <w:rsid w:val="00F3564A"/>
    <w:rsid w:val="00F46EFC"/>
    <w:rsid w:val="00F57174"/>
    <w:rsid w:val="00F60DED"/>
    <w:rsid w:val="00F64B8C"/>
    <w:rsid w:val="00F71EA3"/>
    <w:rsid w:val="00F7455F"/>
    <w:rsid w:val="00F86652"/>
    <w:rsid w:val="00F931B9"/>
    <w:rsid w:val="00F93792"/>
    <w:rsid w:val="00F969F3"/>
    <w:rsid w:val="00FA06B8"/>
    <w:rsid w:val="00FB342D"/>
    <w:rsid w:val="00FC2461"/>
    <w:rsid w:val="00FC5A03"/>
    <w:rsid w:val="00FD3C21"/>
    <w:rsid w:val="00FE1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WTODTWTODisputeTitle"/>
    <w:next w:val="Normal"/>
    <w:link w:val="Heading1Char"/>
    <w:uiPriority w:val="9"/>
    <w:qFormat/>
    <w:rsid w:val="009C74E1"/>
    <w:pPr>
      <w:outlineLvl w:val="0"/>
    </w:pPr>
    <w:rPr>
      <w:rFonts w:cs="Calibri"/>
    </w:rPr>
  </w:style>
  <w:style w:type="paragraph" w:styleId="Heading2">
    <w:name w:val="heading 2"/>
    <w:basedOn w:val="DTDocumentTitle"/>
    <w:next w:val="Normal"/>
    <w:link w:val="Heading2Char"/>
    <w:uiPriority w:val="9"/>
    <w:unhideWhenUsed/>
    <w:qFormat/>
    <w:rsid w:val="009053D0"/>
    <w:pPr>
      <w:outlineLvl w:val="1"/>
    </w:pPr>
    <w:rPr>
      <w:rFonts w:cs="Calibri"/>
    </w:rPr>
  </w:style>
  <w:style w:type="paragraph" w:styleId="Heading3">
    <w:name w:val="heading 3"/>
    <w:basedOn w:val="TOCHeading"/>
    <w:next w:val="Normal"/>
    <w:link w:val="Heading3Char"/>
    <w:uiPriority w:val="9"/>
    <w:unhideWhenUsed/>
    <w:qFormat/>
    <w:rsid w:val="009053D0"/>
    <w:pPr>
      <w:outlineLvl w:val="2"/>
    </w:pPr>
    <w:rPr>
      <w:rFonts w:cs="Calibri"/>
    </w:rPr>
  </w:style>
  <w:style w:type="paragraph" w:styleId="Heading4">
    <w:name w:val="heading 4"/>
    <w:basedOn w:val="Normal"/>
    <w:next w:val="Normal"/>
    <w:link w:val="Heading4Char"/>
    <w:uiPriority w:val="9"/>
    <w:semiHidden/>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pPr>
    <w:rPr>
      <w:b w:val="0"/>
      <w:caps/>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pPr>
    <w:rPr>
      <w:b w:val="0"/>
      <w:smallCaps w:val="0"/>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after="160"/>
    </w:pPr>
    <w:rPr>
      <w:b w:val="0"/>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rPr>
      <w:b w:val="0"/>
      <w:caps/>
      <w:sz w:val="24"/>
    </w:rPr>
  </w:style>
  <w:style w:type="character" w:customStyle="1" w:styleId="Heading1Char">
    <w:name w:val="Heading 1 Char"/>
    <w:basedOn w:val="DefaultParagraphFont"/>
    <w:link w:val="Heading1"/>
    <w:uiPriority w:val="9"/>
    <w:rsid w:val="009C74E1"/>
    <w:rPr>
      <w:rFonts w:ascii="Calibri" w:hAnsi="Calibri" w:cs="Calibri"/>
      <w:b/>
      <w:bCs/>
      <w:smallCaps/>
      <w:kern w:val="0"/>
      <w:sz w:val="40"/>
      <w:szCs w:val="40"/>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val="0"/>
      <w:bCs/>
      <w:caps/>
      <w:smallCaps/>
      <w:color w:val="2F5496" w:themeColor="accent1" w:themeShade="BF"/>
      <w:kern w:val="0"/>
      <w:sz w:val="24"/>
      <w:szCs w:val="32"/>
      <w14:ligatures w14:val="none"/>
    </w:rPr>
  </w:style>
  <w:style w:type="paragraph" w:styleId="TOC1">
    <w:name w:val="toc 1"/>
    <w:basedOn w:val="Normal"/>
    <w:next w:val="Normal"/>
    <w:autoRedefine/>
    <w:uiPriority w:val="39"/>
    <w:unhideWhenUsed/>
    <w:rsid w:val="00F71EA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9"/>
    <w:rsid w:val="009053D0"/>
    <w:rPr>
      <w:rFonts w:ascii="Calibri" w:hAnsi="Calibri" w:cs="Calibri"/>
      <w:b/>
      <w:bCs/>
      <w:smallCaps/>
      <w:kern w:val="0"/>
      <w:sz w:val="36"/>
      <w:szCs w:val="36"/>
      <w14:ligatures w14:val="none"/>
    </w:rPr>
  </w:style>
  <w:style w:type="character" w:customStyle="1" w:styleId="Heading3Char">
    <w:name w:val="Heading 3 Char"/>
    <w:basedOn w:val="DefaultParagraphFont"/>
    <w:link w:val="Heading3"/>
    <w:uiPriority w:val="9"/>
    <w:rsid w:val="009053D0"/>
    <w:rPr>
      <w:rFonts w:ascii="Calibri" w:hAnsi="Calibri" w:cs="Calibri"/>
      <w:b/>
      <w:caps/>
      <w:kern w:val="0"/>
      <w:sz w:val="24"/>
      <w:szCs w:val="24"/>
      <w:lang w:val="en-US"/>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character" w:customStyle="1" w:styleId="ui-provider">
    <w:name w:val="ui-provider"/>
    <w:basedOn w:val="DefaultParagraphFont"/>
    <w:rsid w:val="006A4BD2"/>
  </w:style>
  <w:style w:type="character" w:styleId="Strong">
    <w:name w:val="Strong"/>
    <w:basedOn w:val="DefaultParagraphFont"/>
    <w:uiPriority w:val="22"/>
    <w:qFormat/>
    <w:rsid w:val="006A4BD2"/>
    <w:rPr>
      <w:b/>
      <w:bCs/>
    </w:rPr>
  </w:style>
  <w:style w:type="paragraph" w:styleId="NoSpacing">
    <w:name w:val="No Spacing"/>
    <w:uiPriority w:val="1"/>
    <w:qFormat/>
    <w:rsid w:val="001E7173"/>
    <w:pPr>
      <w:spacing w:after="0" w:line="240" w:lineRule="auto"/>
      <w:jc w:val="both"/>
    </w:pPr>
    <w:rPr>
      <w:rFonts w:ascii="Calibri" w:hAnsi="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906">
      <w:bodyDiv w:val="1"/>
      <w:marLeft w:val="0"/>
      <w:marRight w:val="0"/>
      <w:marTop w:val="0"/>
      <w:marBottom w:val="0"/>
      <w:divBdr>
        <w:top w:val="none" w:sz="0" w:space="0" w:color="auto"/>
        <w:left w:val="none" w:sz="0" w:space="0" w:color="auto"/>
        <w:bottom w:val="none" w:sz="0" w:space="0" w:color="auto"/>
        <w:right w:val="none" w:sz="0" w:space="0" w:color="auto"/>
      </w:divBdr>
    </w:div>
    <w:div w:id="189951775">
      <w:bodyDiv w:val="1"/>
      <w:marLeft w:val="0"/>
      <w:marRight w:val="0"/>
      <w:marTop w:val="0"/>
      <w:marBottom w:val="0"/>
      <w:divBdr>
        <w:top w:val="none" w:sz="0" w:space="0" w:color="auto"/>
        <w:left w:val="none" w:sz="0" w:space="0" w:color="auto"/>
        <w:bottom w:val="none" w:sz="0" w:space="0" w:color="auto"/>
        <w:right w:val="none" w:sz="0" w:space="0" w:color="auto"/>
      </w:divBdr>
    </w:div>
    <w:div w:id="402992583">
      <w:bodyDiv w:val="1"/>
      <w:marLeft w:val="0"/>
      <w:marRight w:val="0"/>
      <w:marTop w:val="0"/>
      <w:marBottom w:val="0"/>
      <w:divBdr>
        <w:top w:val="none" w:sz="0" w:space="0" w:color="auto"/>
        <w:left w:val="none" w:sz="0" w:space="0" w:color="auto"/>
        <w:bottom w:val="none" w:sz="0" w:space="0" w:color="auto"/>
        <w:right w:val="none" w:sz="0" w:space="0" w:color="auto"/>
      </w:divBdr>
    </w:div>
    <w:div w:id="613632621">
      <w:bodyDiv w:val="1"/>
      <w:marLeft w:val="0"/>
      <w:marRight w:val="0"/>
      <w:marTop w:val="0"/>
      <w:marBottom w:val="0"/>
      <w:divBdr>
        <w:top w:val="none" w:sz="0" w:space="0" w:color="auto"/>
        <w:left w:val="none" w:sz="0" w:space="0" w:color="auto"/>
        <w:bottom w:val="none" w:sz="0" w:space="0" w:color="auto"/>
        <w:right w:val="none" w:sz="0" w:space="0" w:color="auto"/>
      </w:divBdr>
    </w:div>
    <w:div w:id="819536540">
      <w:bodyDiv w:val="1"/>
      <w:marLeft w:val="0"/>
      <w:marRight w:val="0"/>
      <w:marTop w:val="0"/>
      <w:marBottom w:val="0"/>
      <w:divBdr>
        <w:top w:val="none" w:sz="0" w:space="0" w:color="auto"/>
        <w:left w:val="none" w:sz="0" w:space="0" w:color="auto"/>
        <w:bottom w:val="none" w:sz="0" w:space="0" w:color="auto"/>
        <w:right w:val="none" w:sz="0" w:space="0" w:color="auto"/>
      </w:divBdr>
    </w:div>
    <w:div w:id="15572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E0AA-EC17-44B6-8C7D-B2609230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1815</Words>
  <Characters>10225</Characters>
  <Application>Microsoft Office Word</Application>
  <DocSecurity>0</DocSecurity>
  <Lines>222</Lines>
  <Paragraphs>84</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Third Party Oral Statement DS617</dc:title>
  <dc:subject/>
  <dc:creator/>
  <cp:keywords>[SEC=OFFICIAL:Sensitive]</cp:keywords>
  <dc:description/>
  <cp:lastModifiedBy/>
  <cp:revision>1</cp:revision>
  <dcterms:created xsi:type="dcterms:W3CDTF">2024-07-11T17:02:00Z</dcterms:created>
  <dcterms:modified xsi:type="dcterms:W3CDTF">2024-08-26T02:14:00Z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v=2022.1;a=SHA256;h=554CA49F1A9AF9BA218294AB88A6027690C66107080A2A628887E6C3CBF6F44F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Sensitive_x000d_
Legal privilege</vt:lpwstr>
  </property>
  <property fmtid="{D5CDD505-2E9C-101B-9397-08002B2CF9AE}" pid="9" name="PM_OriginationTimeStamp">
    <vt:lpwstr>2024-07-10T00:55:31Z</vt:lpwstr>
  </property>
  <property fmtid="{D5CDD505-2E9C-101B-9397-08002B2CF9AE}" pid="10" name="PM_Markers">
    <vt:lpwstr>Legal-Privilege</vt:lpwstr>
  </property>
  <property fmtid="{D5CDD505-2E9C-101B-9397-08002B2CF9AE}" pid="11" name="PM_InsertionValue">
    <vt:lpwstr>OFFICIAL: Sensitive</vt:lpwstr>
  </property>
  <property fmtid="{D5CDD505-2E9C-101B-9397-08002B2CF9AE}" pid="12" name="PM_Originator_Hash_SHA1">
    <vt:lpwstr>DE8B560DA0C0570C757C29C38C2A6C45C6C96462</vt:lpwstr>
  </property>
  <property fmtid="{D5CDD505-2E9C-101B-9397-08002B2CF9AE}" pid="13" name="PM_DisplayValueSecClassificationWithQualifier">
    <vt:lpwstr>OFFICIAL: Sensitive Legal privilege</vt:lpwstr>
  </property>
  <property fmtid="{D5CDD505-2E9C-101B-9397-08002B2CF9AE}" pid="14" name="PM_ProtectiveMarkingValue_Footer">
    <vt:lpwstr>Legal privilege_x000d_
OFFICIAL: Sensitive</vt:lpwstr>
  </property>
  <property fmtid="{D5CDD505-2E9C-101B-9397-08002B2CF9AE}" pid="15" name="PM_Originating_FileId">
    <vt:lpwstr>1A67FAB4E8FD40E784A04E453E2D5446</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 Legal privilege</vt:lpwstr>
  </property>
  <property fmtid="{D5CDD505-2E9C-101B-9397-08002B2CF9AE}" pid="19" name="PM_OriginatorUserAccountName_SHA256">
    <vt:lpwstr>35237EE2DD8BCF01034C12B41459FFBD7BCC1D329F4C49644C41030EE6F87C0A</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v=2022.2;d=gov.au;g=9838020E-D8A2-5FB0-ACAD-24AFC21961EB</vt:lpwstr>
  </property>
  <property fmtid="{D5CDD505-2E9C-101B-9397-08002B2CF9AE}" pid="22" name="PM_Hash_Version">
    <vt:lpwstr>2022.1</vt:lpwstr>
  </property>
  <property fmtid="{D5CDD505-2E9C-101B-9397-08002B2CF9AE}" pid="23" name="PM_Hash_Salt_Prev">
    <vt:lpwstr>7AFDC854DE21DE4FEFD34D85851B606C</vt:lpwstr>
  </property>
  <property fmtid="{D5CDD505-2E9C-101B-9397-08002B2CF9AE}" pid="24" name="PM_Hash_Salt">
    <vt:lpwstr>51B9C47739EF0EFFEC810B3D98B5AF19</vt:lpwstr>
  </property>
  <property fmtid="{D5CDD505-2E9C-101B-9397-08002B2CF9AE}" pid="25" name="PM_Hash_SHA1">
    <vt:lpwstr>3E8A578399545C60B3699BDC46871F140D0937C9</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