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423C" w14:textId="77777777"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71EA3" w:rsidRPr="00AE62EF" w14:paraId="602590C1" w14:textId="77777777" w:rsidTr="0012146F">
        <w:trPr>
          <w:trHeight w:val="4365"/>
        </w:trPr>
        <w:tc>
          <w:tcPr>
            <w:tcW w:w="9070" w:type="dxa"/>
          </w:tcPr>
          <w:p w14:paraId="2FC4ACB3" w14:textId="77777777" w:rsidR="00F71EA3" w:rsidRPr="00AE62EF" w:rsidRDefault="00F71EA3" w:rsidP="0012146F">
            <w:pPr>
              <w:pStyle w:val="BTBodyText"/>
              <w:spacing w:after="240"/>
              <w:jc w:val="center"/>
              <w:rPr>
                <w:rFonts w:cs="Calibri"/>
                <w:b/>
                <w:bCs/>
                <w:sz w:val="32"/>
                <w:szCs w:val="32"/>
              </w:rPr>
            </w:pPr>
            <w:bookmarkStart w:id="1" w:name="_Toc100253863"/>
            <w:bookmarkStart w:id="2" w:name="_Toc155884800"/>
            <w:r w:rsidRPr="00AE62EF">
              <w:rPr>
                <w:rFonts w:cs="Calibri"/>
              </w:rPr>
              <w:br w:type="page"/>
            </w:r>
            <w:r w:rsidRPr="00AE62EF">
              <w:rPr>
                <w:rFonts w:cs="Calibri"/>
                <w:b/>
                <w:bCs/>
                <w:sz w:val="32"/>
                <w:szCs w:val="32"/>
              </w:rPr>
              <w:t>Before the World Trade Organization</w:t>
            </w:r>
          </w:p>
          <w:p w14:paraId="27220BA5" w14:textId="77777777" w:rsidR="00F71EA3" w:rsidRPr="00AE62EF" w:rsidRDefault="00F71EA3" w:rsidP="0012146F">
            <w:pPr>
              <w:pStyle w:val="BTBodyText"/>
              <w:spacing w:after="240"/>
              <w:jc w:val="center"/>
              <w:rPr>
                <w:rFonts w:cs="Calibri"/>
                <w:b/>
                <w:bCs/>
                <w:sz w:val="32"/>
                <w:szCs w:val="32"/>
              </w:rPr>
            </w:pPr>
            <w:r w:rsidRPr="00AE62EF">
              <w:rPr>
                <w:rFonts w:cs="Calibri"/>
                <w:b/>
                <w:bCs/>
                <w:sz w:val="32"/>
                <w:szCs w:val="32"/>
              </w:rPr>
              <w:t>Panel Proceedings</w:t>
            </w:r>
          </w:p>
        </w:tc>
      </w:tr>
      <w:tr w:rsidR="00F71EA3" w:rsidRPr="00AE62EF" w14:paraId="1360E409" w14:textId="77777777" w:rsidTr="0012146F">
        <w:trPr>
          <w:trHeight w:val="737"/>
        </w:trPr>
        <w:tc>
          <w:tcPr>
            <w:tcW w:w="9070" w:type="dxa"/>
          </w:tcPr>
          <w:p w14:paraId="1C2F37D3" w14:textId="77777777" w:rsidR="00F71EA3" w:rsidRPr="00AE62EF" w:rsidRDefault="00F71EA3" w:rsidP="0012146F">
            <w:pPr>
              <w:pStyle w:val="WTODTWTODisputeTitle"/>
              <w:rPr>
                <w:rFonts w:cs="Calibri"/>
              </w:rPr>
            </w:pPr>
            <w:r w:rsidRPr="00AE62EF">
              <w:rPr>
                <w:rFonts w:cs="Calibri"/>
              </w:rPr>
              <w:t xml:space="preserve">European Union – Countervailing and Anti-Dumping </w:t>
            </w:r>
            <w:r w:rsidRPr="00AE62EF">
              <w:rPr>
                <w:rFonts w:cs="Calibri"/>
              </w:rPr>
              <w:tab/>
            </w:r>
          </w:p>
          <w:p w14:paraId="5A7D48DB" w14:textId="77777777" w:rsidR="00F71EA3" w:rsidRPr="00AE62EF" w:rsidRDefault="00F71EA3" w:rsidP="0012146F">
            <w:pPr>
              <w:pStyle w:val="WTODTWTODisputeTitle"/>
              <w:rPr>
                <w:rFonts w:cs="Calibri"/>
              </w:rPr>
            </w:pPr>
            <w:r w:rsidRPr="00AE62EF">
              <w:rPr>
                <w:rFonts w:cs="Calibri"/>
              </w:rPr>
              <w:t>Duties on Stainless Steel Cold-Rolled Flat Products</w:t>
            </w:r>
            <w:r w:rsidRPr="00AE62EF">
              <w:rPr>
                <w:rFonts w:cs="Calibri"/>
              </w:rPr>
              <w:tab/>
            </w:r>
            <w:r w:rsidRPr="00AE62EF">
              <w:rPr>
                <w:rFonts w:cs="Calibri"/>
              </w:rPr>
              <w:tab/>
              <w:t>from Indonesia</w:t>
            </w:r>
          </w:p>
        </w:tc>
      </w:tr>
      <w:tr w:rsidR="00F71EA3" w:rsidRPr="00AE62EF" w14:paraId="6116A9AF" w14:textId="77777777" w:rsidTr="0012146F">
        <w:trPr>
          <w:trHeight w:val="3175"/>
        </w:trPr>
        <w:tc>
          <w:tcPr>
            <w:tcW w:w="9070" w:type="dxa"/>
          </w:tcPr>
          <w:p w14:paraId="0718E505" w14:textId="77777777" w:rsidR="00F71EA3" w:rsidRPr="00AE62EF" w:rsidRDefault="00F71EA3" w:rsidP="0012146F">
            <w:pPr>
              <w:pStyle w:val="DSNDSNumber"/>
              <w:rPr>
                <w:rFonts w:cs="Calibri"/>
              </w:rPr>
            </w:pPr>
            <w:r w:rsidRPr="00AE62EF">
              <w:rPr>
                <w:rFonts w:cs="Calibri"/>
              </w:rPr>
              <w:t>(DS616)</w:t>
            </w:r>
          </w:p>
        </w:tc>
      </w:tr>
      <w:tr w:rsidR="00F71EA3" w:rsidRPr="00AE62EF" w14:paraId="56A9B2E3" w14:textId="77777777" w:rsidTr="0012146F">
        <w:trPr>
          <w:trHeight w:val="3798"/>
        </w:trPr>
        <w:tc>
          <w:tcPr>
            <w:tcW w:w="9070" w:type="dxa"/>
          </w:tcPr>
          <w:p w14:paraId="19E7F764" w14:textId="58D5099B" w:rsidR="00F71EA3" w:rsidRDefault="00F64C60" w:rsidP="0012146F">
            <w:pPr>
              <w:pStyle w:val="DTDocumentTitle"/>
              <w:rPr>
                <w:rFonts w:cs="Calibri"/>
              </w:rPr>
            </w:pPr>
            <w:r>
              <w:rPr>
                <w:rFonts w:cs="Calibri"/>
              </w:rPr>
              <w:t xml:space="preserve">Australia's </w:t>
            </w:r>
            <w:r w:rsidR="007119A0">
              <w:rPr>
                <w:rFonts w:cs="Calibri"/>
              </w:rPr>
              <w:t>Responses</w:t>
            </w:r>
            <w:r w:rsidR="00F71EA3" w:rsidRPr="00AE62EF">
              <w:rPr>
                <w:rFonts w:cs="Calibri"/>
              </w:rPr>
              <w:t xml:space="preserve"> </w:t>
            </w:r>
            <w:r>
              <w:rPr>
                <w:rFonts w:cs="Calibri"/>
              </w:rPr>
              <w:t>to Questions from the Panel following the Third Party Session</w:t>
            </w:r>
          </w:p>
          <w:p w14:paraId="3D78999B" w14:textId="366B220B" w:rsidR="00F02E0F" w:rsidRPr="00505CF6" w:rsidRDefault="00F02E0F" w:rsidP="00505CF6">
            <w:pPr>
              <w:pStyle w:val="DTDocumentTitle"/>
              <w:rPr>
                <w:rFonts w:cs="Calibri"/>
                <w:i/>
                <w:iCs/>
              </w:rPr>
            </w:pPr>
          </w:p>
        </w:tc>
      </w:tr>
      <w:tr w:rsidR="00F71EA3" w:rsidRPr="00AE62EF" w14:paraId="14072F80" w14:textId="77777777" w:rsidTr="0012146F">
        <w:trPr>
          <w:trHeight w:val="624"/>
        </w:trPr>
        <w:tc>
          <w:tcPr>
            <w:tcW w:w="9070" w:type="dxa"/>
          </w:tcPr>
          <w:p w14:paraId="474097AA" w14:textId="760419A7" w:rsidR="00F71EA3" w:rsidRPr="00AE62EF" w:rsidRDefault="00DA6839" w:rsidP="0012146F">
            <w:pPr>
              <w:pStyle w:val="DDDocumentDate"/>
              <w:rPr>
                <w:rFonts w:cs="Calibri"/>
              </w:rPr>
            </w:pPr>
            <w:r w:rsidRPr="00DA6839">
              <w:rPr>
                <w:rFonts w:cs="Calibri"/>
              </w:rPr>
              <w:t>13</w:t>
            </w:r>
            <w:r w:rsidR="005A3AE3" w:rsidRPr="00DA6839">
              <w:rPr>
                <w:rFonts w:cs="Calibri"/>
              </w:rPr>
              <w:t xml:space="preserve"> May</w:t>
            </w:r>
            <w:r w:rsidR="00F71EA3" w:rsidRPr="00DA6839">
              <w:rPr>
                <w:rFonts w:cs="Calibri"/>
              </w:rPr>
              <w:t xml:space="preserve"> 2024</w:t>
            </w:r>
          </w:p>
        </w:tc>
      </w:tr>
    </w:tbl>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p w14:paraId="12676F1A" w14:textId="77777777" w:rsidR="00F71EA3" w:rsidRPr="00AE62EF" w:rsidRDefault="00F71EA3" w:rsidP="00F71EA3">
      <w:pPr>
        <w:pStyle w:val="BTNSSBodyTextNoSpacingSmall"/>
        <w:rPr>
          <w:rFonts w:cs="Calibri"/>
        </w:rPr>
      </w:pPr>
    </w:p>
    <w:bookmarkStart w:id="3" w:name="_Toc100253860" w:displacedByCustomXml="next"/>
    <w:sdt>
      <w:sdtPr>
        <w:rPr>
          <w:rFonts w:cs="Calibri"/>
          <w:b w:val="0"/>
          <w:caps w:val="0"/>
          <w:lang w:val="en-AU"/>
        </w:rPr>
        <w:id w:val="794183329"/>
        <w:docPartObj>
          <w:docPartGallery w:val="Table of Contents"/>
          <w:docPartUnique/>
        </w:docPartObj>
      </w:sdtPr>
      <w:sdtEndPr>
        <w:rPr>
          <w:bCs/>
          <w:noProof/>
        </w:rPr>
      </w:sdtEndPr>
      <w:sdtContent>
        <w:p w14:paraId="064A016C" w14:textId="77777777" w:rsidR="00F71EA3" w:rsidRPr="00AE62EF" w:rsidRDefault="00F71EA3" w:rsidP="00F71EA3">
          <w:pPr>
            <w:pStyle w:val="TOCHeading"/>
            <w:rPr>
              <w:rFonts w:cs="Calibri"/>
            </w:rPr>
          </w:pPr>
          <w:r w:rsidRPr="00AE62EF">
            <w:rPr>
              <w:rFonts w:cs="Calibri"/>
            </w:rPr>
            <w:t>Contents</w:t>
          </w:r>
        </w:p>
        <w:p w14:paraId="7758FB0F" w14:textId="009342DE" w:rsidR="00BE467D" w:rsidRDefault="00F71EA3">
          <w:pPr>
            <w:pStyle w:val="TOC1"/>
            <w:rPr>
              <w:rFonts w:asciiTheme="minorHAnsi" w:eastAsiaTheme="minorEastAsia" w:hAnsiTheme="minorHAnsi"/>
              <w:b w:val="0"/>
              <w:caps w:val="0"/>
              <w:noProof/>
              <w:kern w:val="2"/>
              <w:sz w:val="22"/>
              <w:szCs w:val="22"/>
              <w:lang w:eastAsia="en-AU"/>
              <w14:ligatures w14:val="standardContextual"/>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66484801" w:history="1">
            <w:r w:rsidR="00BE467D" w:rsidRPr="0077207C">
              <w:rPr>
                <w:rStyle w:val="Hyperlink"/>
                <w:rFonts w:cs="Calibri"/>
                <w:noProof/>
              </w:rPr>
              <w:t>Table of Cases</w:t>
            </w:r>
            <w:r w:rsidR="00BE467D">
              <w:rPr>
                <w:noProof/>
                <w:webHidden/>
              </w:rPr>
              <w:tab/>
            </w:r>
            <w:r w:rsidR="00BE467D">
              <w:rPr>
                <w:noProof/>
                <w:webHidden/>
              </w:rPr>
              <w:fldChar w:fldCharType="begin"/>
            </w:r>
            <w:r w:rsidR="00BE467D">
              <w:rPr>
                <w:noProof/>
                <w:webHidden/>
              </w:rPr>
              <w:instrText xml:space="preserve"> PAGEREF _Toc166484801 \h </w:instrText>
            </w:r>
            <w:r w:rsidR="00BE467D">
              <w:rPr>
                <w:noProof/>
                <w:webHidden/>
              </w:rPr>
            </w:r>
            <w:r w:rsidR="00BE467D">
              <w:rPr>
                <w:noProof/>
                <w:webHidden/>
              </w:rPr>
              <w:fldChar w:fldCharType="separate"/>
            </w:r>
            <w:r w:rsidR="0075771D">
              <w:rPr>
                <w:noProof/>
                <w:webHidden/>
              </w:rPr>
              <w:t>3</w:t>
            </w:r>
            <w:r w:rsidR="00BE467D">
              <w:rPr>
                <w:noProof/>
                <w:webHidden/>
              </w:rPr>
              <w:fldChar w:fldCharType="end"/>
            </w:r>
          </w:hyperlink>
        </w:p>
        <w:p w14:paraId="2BA47698" w14:textId="0C2FDE36"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2" w:history="1">
            <w:r w:rsidR="00BE467D" w:rsidRPr="0077207C">
              <w:rPr>
                <w:rStyle w:val="Hyperlink"/>
                <w:rFonts w:cs="Calibri"/>
                <w:noProof/>
              </w:rPr>
              <w:t>List of Acronyms, Abbreviations and Short Forms</w:t>
            </w:r>
            <w:r w:rsidR="00BE467D">
              <w:rPr>
                <w:noProof/>
                <w:webHidden/>
              </w:rPr>
              <w:tab/>
            </w:r>
            <w:r w:rsidR="00BE467D">
              <w:rPr>
                <w:noProof/>
                <w:webHidden/>
              </w:rPr>
              <w:fldChar w:fldCharType="begin"/>
            </w:r>
            <w:r w:rsidR="00BE467D">
              <w:rPr>
                <w:noProof/>
                <w:webHidden/>
              </w:rPr>
              <w:instrText xml:space="preserve"> PAGEREF _Toc166484802 \h </w:instrText>
            </w:r>
            <w:r w:rsidR="00BE467D">
              <w:rPr>
                <w:noProof/>
                <w:webHidden/>
              </w:rPr>
            </w:r>
            <w:r w:rsidR="00BE467D">
              <w:rPr>
                <w:noProof/>
                <w:webHidden/>
              </w:rPr>
              <w:fldChar w:fldCharType="separate"/>
            </w:r>
            <w:r w:rsidR="0075771D">
              <w:rPr>
                <w:noProof/>
                <w:webHidden/>
              </w:rPr>
              <w:t>3</w:t>
            </w:r>
            <w:r w:rsidR="00BE467D">
              <w:rPr>
                <w:noProof/>
                <w:webHidden/>
              </w:rPr>
              <w:fldChar w:fldCharType="end"/>
            </w:r>
          </w:hyperlink>
        </w:p>
        <w:p w14:paraId="5F6680B4" w14:textId="14915C7E"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3" w:history="1">
            <w:r w:rsidR="00BE467D" w:rsidRPr="0077207C">
              <w:rPr>
                <w:rStyle w:val="Hyperlink"/>
                <w:rFonts w:cs="Calibri"/>
                <w:noProof/>
              </w:rPr>
              <w:t>Question 2</w:t>
            </w:r>
            <w:r w:rsidR="00BE467D">
              <w:rPr>
                <w:noProof/>
                <w:webHidden/>
              </w:rPr>
              <w:tab/>
            </w:r>
            <w:r w:rsidR="00BE467D">
              <w:rPr>
                <w:noProof/>
                <w:webHidden/>
              </w:rPr>
              <w:fldChar w:fldCharType="begin"/>
            </w:r>
            <w:r w:rsidR="00BE467D">
              <w:rPr>
                <w:noProof/>
                <w:webHidden/>
              </w:rPr>
              <w:instrText xml:space="preserve"> PAGEREF _Toc166484803 \h </w:instrText>
            </w:r>
            <w:r w:rsidR="00BE467D">
              <w:rPr>
                <w:noProof/>
                <w:webHidden/>
              </w:rPr>
            </w:r>
            <w:r w:rsidR="00BE467D">
              <w:rPr>
                <w:noProof/>
                <w:webHidden/>
              </w:rPr>
              <w:fldChar w:fldCharType="separate"/>
            </w:r>
            <w:r w:rsidR="0075771D">
              <w:rPr>
                <w:noProof/>
                <w:webHidden/>
              </w:rPr>
              <w:t>4</w:t>
            </w:r>
            <w:r w:rsidR="00BE467D">
              <w:rPr>
                <w:noProof/>
                <w:webHidden/>
              </w:rPr>
              <w:fldChar w:fldCharType="end"/>
            </w:r>
          </w:hyperlink>
        </w:p>
        <w:p w14:paraId="7A647146" w14:textId="446F5B3F"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4" w:history="1">
            <w:r w:rsidR="00BE467D" w:rsidRPr="0077207C">
              <w:rPr>
                <w:rStyle w:val="Hyperlink"/>
                <w:rFonts w:cs="Calibri"/>
                <w:noProof/>
              </w:rPr>
              <w:t>Question 4</w:t>
            </w:r>
            <w:r w:rsidR="00BE467D">
              <w:rPr>
                <w:noProof/>
                <w:webHidden/>
              </w:rPr>
              <w:tab/>
            </w:r>
            <w:r w:rsidR="00BE467D">
              <w:rPr>
                <w:noProof/>
                <w:webHidden/>
              </w:rPr>
              <w:fldChar w:fldCharType="begin"/>
            </w:r>
            <w:r w:rsidR="00BE467D">
              <w:rPr>
                <w:noProof/>
                <w:webHidden/>
              </w:rPr>
              <w:instrText xml:space="preserve"> PAGEREF _Toc166484804 \h </w:instrText>
            </w:r>
            <w:r w:rsidR="00BE467D">
              <w:rPr>
                <w:noProof/>
                <w:webHidden/>
              </w:rPr>
            </w:r>
            <w:r w:rsidR="00BE467D">
              <w:rPr>
                <w:noProof/>
                <w:webHidden/>
              </w:rPr>
              <w:fldChar w:fldCharType="separate"/>
            </w:r>
            <w:r w:rsidR="0075771D">
              <w:rPr>
                <w:noProof/>
                <w:webHidden/>
              </w:rPr>
              <w:t>5</w:t>
            </w:r>
            <w:r w:rsidR="00BE467D">
              <w:rPr>
                <w:noProof/>
                <w:webHidden/>
              </w:rPr>
              <w:fldChar w:fldCharType="end"/>
            </w:r>
          </w:hyperlink>
        </w:p>
        <w:p w14:paraId="7A5A7C3E" w14:textId="1534A4C4"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5" w:history="1">
            <w:r w:rsidR="00BE467D" w:rsidRPr="0077207C">
              <w:rPr>
                <w:rStyle w:val="Hyperlink"/>
                <w:rFonts w:cs="Calibri"/>
                <w:noProof/>
              </w:rPr>
              <w:t>Question 5</w:t>
            </w:r>
            <w:r w:rsidR="00BE467D">
              <w:rPr>
                <w:noProof/>
                <w:webHidden/>
              </w:rPr>
              <w:tab/>
            </w:r>
            <w:r w:rsidR="00BE467D">
              <w:rPr>
                <w:noProof/>
                <w:webHidden/>
              </w:rPr>
              <w:fldChar w:fldCharType="begin"/>
            </w:r>
            <w:r w:rsidR="00BE467D">
              <w:rPr>
                <w:noProof/>
                <w:webHidden/>
              </w:rPr>
              <w:instrText xml:space="preserve"> PAGEREF _Toc166484805 \h </w:instrText>
            </w:r>
            <w:r w:rsidR="00BE467D">
              <w:rPr>
                <w:noProof/>
                <w:webHidden/>
              </w:rPr>
            </w:r>
            <w:r w:rsidR="00BE467D">
              <w:rPr>
                <w:noProof/>
                <w:webHidden/>
              </w:rPr>
              <w:fldChar w:fldCharType="separate"/>
            </w:r>
            <w:r w:rsidR="0075771D">
              <w:rPr>
                <w:noProof/>
                <w:webHidden/>
              </w:rPr>
              <w:t>6</w:t>
            </w:r>
            <w:r w:rsidR="00BE467D">
              <w:rPr>
                <w:noProof/>
                <w:webHidden/>
              </w:rPr>
              <w:fldChar w:fldCharType="end"/>
            </w:r>
          </w:hyperlink>
        </w:p>
        <w:p w14:paraId="7C5D536D" w14:textId="197E1C20"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6" w:history="1">
            <w:r w:rsidR="00BE467D" w:rsidRPr="0077207C">
              <w:rPr>
                <w:rStyle w:val="Hyperlink"/>
                <w:rFonts w:cs="Calibri"/>
                <w:noProof/>
              </w:rPr>
              <w:t>Question 11</w:t>
            </w:r>
            <w:r w:rsidR="00BE467D">
              <w:rPr>
                <w:noProof/>
                <w:webHidden/>
              </w:rPr>
              <w:tab/>
            </w:r>
            <w:r w:rsidR="00BE467D">
              <w:rPr>
                <w:noProof/>
                <w:webHidden/>
              </w:rPr>
              <w:fldChar w:fldCharType="begin"/>
            </w:r>
            <w:r w:rsidR="00BE467D">
              <w:rPr>
                <w:noProof/>
                <w:webHidden/>
              </w:rPr>
              <w:instrText xml:space="preserve"> PAGEREF _Toc166484806 \h </w:instrText>
            </w:r>
            <w:r w:rsidR="00BE467D">
              <w:rPr>
                <w:noProof/>
                <w:webHidden/>
              </w:rPr>
            </w:r>
            <w:r w:rsidR="00BE467D">
              <w:rPr>
                <w:noProof/>
                <w:webHidden/>
              </w:rPr>
              <w:fldChar w:fldCharType="separate"/>
            </w:r>
            <w:r w:rsidR="0075771D">
              <w:rPr>
                <w:noProof/>
                <w:webHidden/>
              </w:rPr>
              <w:t>6</w:t>
            </w:r>
            <w:r w:rsidR="00BE467D">
              <w:rPr>
                <w:noProof/>
                <w:webHidden/>
              </w:rPr>
              <w:fldChar w:fldCharType="end"/>
            </w:r>
          </w:hyperlink>
        </w:p>
        <w:p w14:paraId="23567502" w14:textId="0C6E90B0"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7" w:history="1">
            <w:r w:rsidR="00BE467D" w:rsidRPr="0077207C">
              <w:rPr>
                <w:rStyle w:val="Hyperlink"/>
                <w:rFonts w:cs="Calibri"/>
                <w:noProof/>
              </w:rPr>
              <w:t>Question 13</w:t>
            </w:r>
            <w:r w:rsidR="00BE467D">
              <w:rPr>
                <w:noProof/>
                <w:webHidden/>
              </w:rPr>
              <w:tab/>
            </w:r>
            <w:r w:rsidR="00BE467D">
              <w:rPr>
                <w:noProof/>
                <w:webHidden/>
              </w:rPr>
              <w:fldChar w:fldCharType="begin"/>
            </w:r>
            <w:r w:rsidR="00BE467D">
              <w:rPr>
                <w:noProof/>
                <w:webHidden/>
              </w:rPr>
              <w:instrText xml:space="preserve"> PAGEREF _Toc166484807 \h </w:instrText>
            </w:r>
            <w:r w:rsidR="00BE467D">
              <w:rPr>
                <w:noProof/>
                <w:webHidden/>
              </w:rPr>
            </w:r>
            <w:r w:rsidR="00BE467D">
              <w:rPr>
                <w:noProof/>
                <w:webHidden/>
              </w:rPr>
              <w:fldChar w:fldCharType="separate"/>
            </w:r>
            <w:r w:rsidR="0075771D">
              <w:rPr>
                <w:noProof/>
                <w:webHidden/>
              </w:rPr>
              <w:t>7</w:t>
            </w:r>
            <w:r w:rsidR="00BE467D">
              <w:rPr>
                <w:noProof/>
                <w:webHidden/>
              </w:rPr>
              <w:fldChar w:fldCharType="end"/>
            </w:r>
          </w:hyperlink>
        </w:p>
        <w:p w14:paraId="46D3A3AB" w14:textId="1AFD0BA0" w:rsidR="00BE467D" w:rsidRDefault="00D64D37">
          <w:pPr>
            <w:pStyle w:val="TOC1"/>
            <w:rPr>
              <w:rFonts w:asciiTheme="minorHAnsi" w:eastAsiaTheme="minorEastAsia" w:hAnsiTheme="minorHAnsi"/>
              <w:b w:val="0"/>
              <w:caps w:val="0"/>
              <w:noProof/>
              <w:kern w:val="2"/>
              <w:sz w:val="22"/>
              <w:szCs w:val="22"/>
              <w:lang w:eastAsia="en-AU"/>
              <w14:ligatures w14:val="standardContextual"/>
            </w:rPr>
          </w:pPr>
          <w:hyperlink w:anchor="_Toc166484808" w:history="1">
            <w:r w:rsidR="00BE467D" w:rsidRPr="0077207C">
              <w:rPr>
                <w:rStyle w:val="Hyperlink"/>
                <w:noProof/>
              </w:rPr>
              <w:t>Question 28</w:t>
            </w:r>
            <w:r w:rsidR="00BE467D">
              <w:rPr>
                <w:noProof/>
                <w:webHidden/>
              </w:rPr>
              <w:tab/>
            </w:r>
            <w:r w:rsidR="00BE467D">
              <w:rPr>
                <w:noProof/>
                <w:webHidden/>
              </w:rPr>
              <w:fldChar w:fldCharType="begin"/>
            </w:r>
            <w:r w:rsidR="00BE467D">
              <w:rPr>
                <w:noProof/>
                <w:webHidden/>
              </w:rPr>
              <w:instrText xml:space="preserve"> PAGEREF _Toc166484808 \h </w:instrText>
            </w:r>
            <w:r w:rsidR="00BE467D">
              <w:rPr>
                <w:noProof/>
                <w:webHidden/>
              </w:rPr>
            </w:r>
            <w:r w:rsidR="00BE467D">
              <w:rPr>
                <w:noProof/>
                <w:webHidden/>
              </w:rPr>
              <w:fldChar w:fldCharType="separate"/>
            </w:r>
            <w:r w:rsidR="0075771D">
              <w:rPr>
                <w:noProof/>
                <w:webHidden/>
              </w:rPr>
              <w:t>8</w:t>
            </w:r>
            <w:r w:rsidR="00BE467D">
              <w:rPr>
                <w:noProof/>
                <w:webHidden/>
              </w:rPr>
              <w:fldChar w:fldCharType="end"/>
            </w:r>
          </w:hyperlink>
        </w:p>
        <w:p w14:paraId="10104404" w14:textId="403ABE13" w:rsidR="003C6356" w:rsidRDefault="00F71EA3" w:rsidP="00B34D5A">
          <w:pPr>
            <w:rPr>
              <w:rFonts w:cs="Calibri"/>
              <w:b/>
              <w:bCs/>
              <w:noProof/>
            </w:rPr>
          </w:pPr>
          <w:r w:rsidRPr="00AE62EF">
            <w:rPr>
              <w:rFonts w:cs="Calibri"/>
              <w:b/>
              <w:bCs/>
              <w:noProof/>
            </w:rPr>
            <w:fldChar w:fldCharType="end"/>
          </w:r>
        </w:p>
        <w:p w14:paraId="50A781BA" w14:textId="77777777" w:rsidR="003C6356" w:rsidRDefault="003C6356">
          <w:pPr>
            <w:spacing w:line="259" w:lineRule="auto"/>
            <w:jc w:val="left"/>
            <w:rPr>
              <w:rFonts w:cs="Calibri"/>
              <w:b/>
              <w:bCs/>
              <w:noProof/>
            </w:rPr>
          </w:pPr>
          <w:r>
            <w:rPr>
              <w:rFonts w:cs="Calibri"/>
              <w:b/>
              <w:bCs/>
              <w:noProof/>
            </w:rPr>
            <w:br w:type="page"/>
          </w:r>
        </w:p>
        <w:p w14:paraId="2C9F3A25" w14:textId="27C01C74" w:rsidR="00575516" w:rsidRPr="00F71EA3" w:rsidRDefault="00575516" w:rsidP="00575516">
          <w:pPr>
            <w:pStyle w:val="SHSectionHeading"/>
            <w:rPr>
              <w:rFonts w:cs="Calibri"/>
              <w:color w:val="auto"/>
            </w:rPr>
          </w:pPr>
          <w:bookmarkStart w:id="4" w:name="_Toc166484801"/>
          <w:r w:rsidRPr="00F71EA3">
            <w:rPr>
              <w:rFonts w:cs="Calibri"/>
              <w:color w:val="auto"/>
            </w:rPr>
            <w:lastRenderedPageBreak/>
            <w:t>Table of Cases</w:t>
          </w:r>
          <w:bookmarkEnd w:id="4"/>
        </w:p>
        <w:tbl>
          <w:tblPr>
            <w:tblStyle w:val="TableGrid"/>
            <w:tblW w:w="5000" w:type="pct"/>
            <w:tblLook w:val="04A0" w:firstRow="1" w:lastRow="0" w:firstColumn="1" w:lastColumn="0" w:noHBand="0" w:noVBand="1"/>
          </w:tblPr>
          <w:tblGrid>
            <w:gridCol w:w="2265"/>
            <w:gridCol w:w="6795"/>
          </w:tblGrid>
          <w:tr w:rsidR="00575516" w:rsidRPr="00AE62EF" w14:paraId="651EE5CC" w14:textId="77777777" w:rsidTr="00E3561C">
            <w:trPr>
              <w:cantSplit/>
              <w:trHeight w:val="397"/>
              <w:tblHeader/>
            </w:trPr>
            <w:tc>
              <w:tcPr>
                <w:tcW w:w="2265" w:type="dxa"/>
                <w:shd w:val="clear" w:color="auto" w:fill="D9D9D9" w:themeFill="background1" w:themeFillShade="D9"/>
              </w:tcPr>
              <w:p w14:paraId="73865DA7" w14:textId="77777777" w:rsidR="00575516" w:rsidRPr="00AE62EF" w:rsidRDefault="00575516" w:rsidP="00E3561C">
                <w:pPr>
                  <w:pStyle w:val="THTableHeading"/>
                  <w:jc w:val="center"/>
                  <w:rPr>
                    <w:rFonts w:cs="Calibri"/>
                  </w:rPr>
                </w:pPr>
                <w:r w:rsidRPr="00AE62EF">
                  <w:rPr>
                    <w:rFonts w:cs="Calibri"/>
                  </w:rPr>
                  <w:t>Short Title</w:t>
                </w:r>
              </w:p>
            </w:tc>
            <w:tc>
              <w:tcPr>
                <w:tcW w:w="6795" w:type="dxa"/>
                <w:shd w:val="clear" w:color="auto" w:fill="D9D9D9" w:themeFill="background1" w:themeFillShade="D9"/>
              </w:tcPr>
              <w:p w14:paraId="04C3C310" w14:textId="77777777" w:rsidR="00575516" w:rsidRPr="00AE62EF" w:rsidRDefault="00575516" w:rsidP="00E3561C">
                <w:pPr>
                  <w:pStyle w:val="THTableHeading"/>
                  <w:jc w:val="center"/>
                  <w:rPr>
                    <w:rFonts w:cs="Calibri"/>
                  </w:rPr>
                </w:pPr>
                <w:r w:rsidRPr="00AE62EF">
                  <w:rPr>
                    <w:rFonts w:cs="Calibri"/>
                  </w:rPr>
                  <w:t>Full Case Title and Citation</w:t>
                </w:r>
              </w:p>
            </w:tc>
          </w:tr>
          <w:tr w:rsidR="004D4831" w:rsidRPr="00AE62EF" w14:paraId="25F27EC5" w14:textId="77777777" w:rsidTr="00E3561C">
            <w:trPr>
              <w:cantSplit/>
              <w:trHeight w:val="397"/>
            </w:trPr>
            <w:tc>
              <w:tcPr>
                <w:tcW w:w="2265" w:type="dxa"/>
              </w:tcPr>
              <w:p w14:paraId="6768FA1A" w14:textId="24E7506F" w:rsidR="004D4831" w:rsidRPr="008F60C9" w:rsidRDefault="004D4831" w:rsidP="004D4831">
                <w:pPr>
                  <w:pStyle w:val="TTTableText"/>
                  <w:rPr>
                    <w:bCs/>
                    <w:i/>
                    <w:iCs/>
                    <w:lang w:val="en-GB"/>
                  </w:rPr>
                </w:pPr>
                <w:r w:rsidRPr="00930EC7">
                  <w:rPr>
                    <w:rFonts w:ascii="Calibri-Italic" w:hAnsi="Calibri-Italic" w:cs="Calibri-Italic"/>
                    <w:i/>
                    <w:iCs/>
                    <w14:ligatures w14:val="standardContextual"/>
                  </w:rPr>
                  <w:t>China – Broiler Products (Article 21.5 – US)</w:t>
                </w:r>
              </w:p>
            </w:tc>
            <w:tc>
              <w:tcPr>
                <w:tcW w:w="6795" w:type="dxa"/>
              </w:tcPr>
              <w:p w14:paraId="414F9ACD" w14:textId="4B615C68" w:rsidR="004D4831" w:rsidRPr="00AE62EF" w:rsidRDefault="00672D58" w:rsidP="004D4831">
                <w:pPr>
                  <w:pStyle w:val="TTTableText"/>
                  <w:rPr>
                    <w:rFonts w:cs="Calibri"/>
                  </w:rPr>
                </w:pPr>
                <w:r>
                  <w:rPr>
                    <w:rFonts w:cs="Calibri"/>
                    <w14:ligatures w14:val="standardContextual"/>
                  </w:rPr>
                  <w:t xml:space="preserve">Panel Report, </w:t>
                </w:r>
                <w:r>
                  <w:rPr>
                    <w:rFonts w:ascii="Calibri-Italic" w:hAnsi="Calibri-Italic" w:cs="Calibri-Italic"/>
                    <w:i/>
                    <w:iCs/>
                    <w14:ligatures w14:val="standardContextual"/>
                  </w:rPr>
                  <w:t>China – Anti-Dumping and Countervailing Duty Measures on Broiler Products from the United States – Recourse to Article 21.5 of the DSU by the United States</w:t>
                </w:r>
                <w:r>
                  <w:rPr>
                    <w:rFonts w:cs="Calibri"/>
                    <w14:ligatures w14:val="standardContextual"/>
                  </w:rPr>
                  <w:t>, WT/DS427/RW and Add.1, adopted 28 February 2018, DSR 2018:II, p. 839</w:t>
                </w:r>
              </w:p>
            </w:tc>
          </w:tr>
          <w:tr w:rsidR="002A675C" w:rsidRPr="00AE62EF" w14:paraId="1E4F1DD7" w14:textId="77777777" w:rsidTr="00E3561C">
            <w:trPr>
              <w:cantSplit/>
              <w:trHeight w:val="397"/>
            </w:trPr>
            <w:tc>
              <w:tcPr>
                <w:tcW w:w="2265" w:type="dxa"/>
              </w:tcPr>
              <w:p w14:paraId="6C36E9C5" w14:textId="5C38837E" w:rsidR="002A675C" w:rsidRPr="00930EC7" w:rsidRDefault="002A675C" w:rsidP="002A675C">
                <w:pPr>
                  <w:pStyle w:val="TTTableText"/>
                  <w:rPr>
                    <w:rFonts w:ascii="Calibri-Italic" w:hAnsi="Calibri-Italic" w:cs="Calibri-Italic"/>
                    <w:i/>
                    <w:iCs/>
                    <w14:ligatures w14:val="standardContextual"/>
                  </w:rPr>
                </w:pPr>
                <w:r w:rsidRPr="00DB54C3">
                  <w:rPr>
                    <w:rFonts w:asciiTheme="minorHAnsi" w:hAnsiTheme="minorHAnsi"/>
                    <w:i/>
                    <w:iCs/>
                  </w:rPr>
                  <w:t>EC and certain member States – Large Civil Aircraft</w:t>
                </w:r>
              </w:p>
            </w:tc>
            <w:tc>
              <w:tcPr>
                <w:tcW w:w="6795" w:type="dxa"/>
              </w:tcPr>
              <w:p w14:paraId="11B31591" w14:textId="35759F0B" w:rsidR="002A675C" w:rsidRDefault="002A675C" w:rsidP="002A675C">
                <w:pPr>
                  <w:pStyle w:val="TTTableText"/>
                  <w:rPr>
                    <w:rFonts w:cs="Calibri"/>
                    <w14:ligatures w14:val="standardContextual"/>
                  </w:rPr>
                </w:pPr>
                <w:r w:rsidRPr="00AE62EF">
                  <w:rPr>
                    <w:rFonts w:cs="Calibri"/>
                  </w:rPr>
                  <w:t xml:space="preserve">Appellate Body Report, </w:t>
                </w:r>
                <w:r w:rsidRPr="00AE62EF">
                  <w:rPr>
                    <w:rFonts w:cs="Calibri"/>
                    <w:i/>
                    <w:iCs/>
                  </w:rPr>
                  <w:t>European Communities and Certain Member States – Measures Affecting Trade in Large Civil Aircraft</w:t>
                </w:r>
                <w:r w:rsidRPr="00AE62EF">
                  <w:rPr>
                    <w:rFonts w:cs="Calibri"/>
                  </w:rPr>
                  <w:t>, WT/DS316/AB/R, adopted 1 June 2011, DSR 2011:I, p. 7</w:t>
                </w:r>
              </w:p>
            </w:tc>
          </w:tr>
          <w:tr w:rsidR="002A675C" w:rsidRPr="00AE62EF" w14:paraId="1FC043F2" w14:textId="77777777" w:rsidTr="00E3561C">
            <w:trPr>
              <w:cantSplit/>
              <w:trHeight w:val="397"/>
            </w:trPr>
            <w:tc>
              <w:tcPr>
                <w:tcW w:w="2265" w:type="dxa"/>
              </w:tcPr>
              <w:p w14:paraId="1F915967" w14:textId="7ACB5943" w:rsidR="002A675C" w:rsidRPr="00AE62EF" w:rsidRDefault="002A675C" w:rsidP="002A675C">
                <w:pPr>
                  <w:pStyle w:val="FootnoteText"/>
                  <w:jc w:val="left"/>
                  <w:rPr>
                    <w:rFonts w:cs="Calibri"/>
                    <w:i/>
                    <w:iCs/>
                    <w:sz w:val="24"/>
                    <w:szCs w:val="24"/>
                  </w:rPr>
                </w:pPr>
                <w:r w:rsidRPr="002C508B">
                  <w:rPr>
                    <w:rFonts w:cs="Calibri"/>
                    <w:bCs/>
                    <w:i/>
                    <w:iCs/>
                    <w:sz w:val="24"/>
                    <w:szCs w:val="24"/>
                  </w:rPr>
                  <w:t>US — Countervailing Measures (China)</w:t>
                </w:r>
              </w:p>
            </w:tc>
            <w:tc>
              <w:tcPr>
                <w:tcW w:w="6795" w:type="dxa"/>
              </w:tcPr>
              <w:p w14:paraId="261F7460" w14:textId="79FA5447" w:rsidR="002A675C" w:rsidRPr="00AE62EF" w:rsidRDefault="002A675C" w:rsidP="002A675C">
                <w:pPr>
                  <w:pStyle w:val="TTTableText"/>
                  <w:rPr>
                    <w:rFonts w:cs="Calibri"/>
                  </w:rPr>
                </w:pPr>
                <w:r w:rsidRPr="00B11786">
                  <w:rPr>
                    <w:rFonts w:cs="Calibri"/>
                  </w:rPr>
                  <w:t xml:space="preserve">Appellate Body Report, </w:t>
                </w:r>
                <w:r w:rsidRPr="00B11786">
                  <w:rPr>
                    <w:rFonts w:cs="Calibri"/>
                    <w:i/>
                  </w:rPr>
                  <w:t>United States – Countervailing Duty Measures on Certain Products from China</w:t>
                </w:r>
                <w:r w:rsidRPr="00B11786">
                  <w:rPr>
                    <w:rFonts w:cs="Calibri"/>
                  </w:rPr>
                  <w:t>, WT/DS437/AB/R, adopted 16 January 2015, DSR 2015:I, p. 7</w:t>
                </w:r>
              </w:p>
            </w:tc>
          </w:tr>
          <w:tr w:rsidR="002A675C" w:rsidRPr="00AE62EF" w14:paraId="3A6C38C7" w14:textId="77777777" w:rsidTr="00E3561C">
            <w:trPr>
              <w:cantSplit/>
              <w:trHeight w:val="397"/>
            </w:trPr>
            <w:tc>
              <w:tcPr>
                <w:tcW w:w="2265" w:type="dxa"/>
              </w:tcPr>
              <w:p w14:paraId="01918E0C" w14:textId="23742B84" w:rsidR="002A675C" w:rsidRPr="002C508B" w:rsidRDefault="002A675C" w:rsidP="002A675C">
                <w:pPr>
                  <w:pStyle w:val="TTTableText"/>
                  <w:rPr>
                    <w:rFonts w:cs="Calibri"/>
                    <w:bCs/>
                    <w:i/>
                    <w:iCs/>
                  </w:rPr>
                </w:pPr>
                <w:r w:rsidRPr="008F60C9">
                  <w:rPr>
                    <w:bCs/>
                    <w:i/>
                    <w:iCs/>
                    <w:lang w:val="en-GB"/>
                  </w:rPr>
                  <w:t>US – Countervailing Measures (China) (Article 21.5 – China)</w:t>
                </w:r>
              </w:p>
            </w:tc>
            <w:tc>
              <w:tcPr>
                <w:tcW w:w="6795" w:type="dxa"/>
              </w:tcPr>
              <w:p w14:paraId="48031C94" w14:textId="3AB63C39" w:rsidR="002A675C" w:rsidRPr="00AE62EF" w:rsidRDefault="002A675C" w:rsidP="002A675C">
                <w:pPr>
                  <w:pStyle w:val="TTTableText"/>
                  <w:rPr>
                    <w:rFonts w:cs="Calibri"/>
                  </w:rPr>
                </w:pPr>
                <w:r w:rsidRPr="003E2A1A">
                  <w:rPr>
                    <w:rFonts w:cs="Calibri"/>
                  </w:rPr>
                  <w:t xml:space="preserve">Appellate Body Report, </w:t>
                </w:r>
                <w:r w:rsidRPr="003E2A1A">
                  <w:rPr>
                    <w:rFonts w:cs="Calibri"/>
                    <w:i/>
                    <w:iCs/>
                  </w:rPr>
                  <w:t>United States – Countervailing Duty Measures on Certain Products from China – Recourse to Article 21.5 of the DSU by China,</w:t>
                </w:r>
                <w:r w:rsidRPr="003E2A1A">
                  <w:rPr>
                    <w:rFonts w:cs="Calibri"/>
                    <w:iCs/>
                  </w:rPr>
                  <w:t xml:space="preserve"> </w:t>
                </w:r>
                <w:r w:rsidRPr="003E2A1A">
                  <w:rPr>
                    <w:rFonts w:cs="Calibri"/>
                  </w:rPr>
                  <w:t>WT/DS437/AB/RW</w:t>
                </w:r>
                <w:r w:rsidRPr="003E2A1A">
                  <w:rPr>
                    <w:rFonts w:cs="Calibri"/>
                    <w:iCs/>
                  </w:rPr>
                  <w:t xml:space="preserve"> and Add.1, </w:t>
                </w:r>
                <w:r w:rsidRPr="003E2A1A">
                  <w:rPr>
                    <w:rFonts w:cs="Calibri"/>
                  </w:rPr>
                  <w:t>adopted 15 August 2019, DSR 2019:IX, p. 4737</w:t>
                </w:r>
              </w:p>
            </w:tc>
          </w:tr>
        </w:tbl>
        <w:p w14:paraId="65451EEB" w14:textId="77777777" w:rsidR="00B11786" w:rsidRDefault="00B11786" w:rsidP="00F7455F">
          <w:pPr>
            <w:pStyle w:val="SHSectionHeading"/>
            <w:rPr>
              <w:rFonts w:cs="Calibri"/>
              <w:color w:val="auto"/>
            </w:rPr>
          </w:pPr>
          <w:bookmarkStart w:id="5" w:name="_Toc163465779"/>
        </w:p>
        <w:p w14:paraId="304E317E" w14:textId="0B58B5DA" w:rsidR="00F7455F" w:rsidRPr="00F71EA3" w:rsidRDefault="00F7455F" w:rsidP="00F7455F">
          <w:pPr>
            <w:pStyle w:val="SHSectionHeading"/>
            <w:rPr>
              <w:rFonts w:cs="Calibri"/>
              <w:color w:val="auto"/>
            </w:rPr>
          </w:pPr>
          <w:bookmarkStart w:id="6" w:name="_Toc166484802"/>
          <w:r w:rsidRPr="00F71EA3">
            <w:rPr>
              <w:rFonts w:cs="Calibri"/>
              <w:color w:val="auto"/>
            </w:rPr>
            <w:t>List of Acronyms, Abbreviations and Short Forms</w:t>
          </w:r>
          <w:bookmarkEnd w:id="5"/>
          <w:bookmarkEnd w:id="6"/>
        </w:p>
        <w:tbl>
          <w:tblPr>
            <w:tblStyle w:val="TableGrid"/>
            <w:tblW w:w="5000" w:type="pct"/>
            <w:tblLook w:val="04A0" w:firstRow="1" w:lastRow="0" w:firstColumn="1" w:lastColumn="0" w:noHBand="0" w:noVBand="1"/>
          </w:tblPr>
          <w:tblGrid>
            <w:gridCol w:w="2251"/>
            <w:gridCol w:w="6809"/>
          </w:tblGrid>
          <w:tr w:rsidR="00F7455F" w:rsidRPr="00AE62EF" w14:paraId="7FDC6445" w14:textId="77777777" w:rsidTr="00E3561C">
            <w:trPr>
              <w:cantSplit/>
              <w:trHeight w:val="397"/>
              <w:tblHeader/>
            </w:trPr>
            <w:tc>
              <w:tcPr>
                <w:tcW w:w="2251" w:type="dxa"/>
                <w:shd w:val="clear" w:color="auto" w:fill="D9D9D9" w:themeFill="background1" w:themeFillShade="D9"/>
              </w:tcPr>
              <w:p w14:paraId="42CD71E9" w14:textId="77777777" w:rsidR="00F7455F" w:rsidRPr="00AE62EF" w:rsidRDefault="00F7455F" w:rsidP="00E3561C">
                <w:pPr>
                  <w:pStyle w:val="THTableHeading"/>
                  <w:jc w:val="center"/>
                  <w:rPr>
                    <w:rFonts w:cs="Calibri"/>
                  </w:rPr>
                </w:pPr>
                <w:r w:rsidRPr="00AE62EF">
                  <w:rPr>
                    <w:rFonts w:cs="Calibri"/>
                  </w:rPr>
                  <w:t>Abbreviation</w:t>
                </w:r>
              </w:p>
            </w:tc>
            <w:tc>
              <w:tcPr>
                <w:tcW w:w="6809" w:type="dxa"/>
                <w:shd w:val="clear" w:color="auto" w:fill="D9D9D9" w:themeFill="background1" w:themeFillShade="D9"/>
              </w:tcPr>
              <w:p w14:paraId="5E97C7E4" w14:textId="77777777" w:rsidR="00F7455F" w:rsidRPr="00AE62EF" w:rsidRDefault="00F7455F" w:rsidP="00E3561C">
                <w:pPr>
                  <w:pStyle w:val="THTableHeading"/>
                  <w:jc w:val="center"/>
                  <w:rPr>
                    <w:rFonts w:cs="Calibri"/>
                  </w:rPr>
                </w:pPr>
                <w:r w:rsidRPr="00AE62EF">
                  <w:rPr>
                    <w:rFonts w:cs="Calibri"/>
                  </w:rPr>
                  <w:t>Full Form or Description</w:t>
                </w:r>
              </w:p>
            </w:tc>
          </w:tr>
          <w:tr w:rsidR="00F7455F" w:rsidRPr="00AE62EF" w14:paraId="2CA66993" w14:textId="77777777" w:rsidTr="00E3561C">
            <w:trPr>
              <w:cantSplit/>
              <w:trHeight w:val="397"/>
            </w:trPr>
            <w:tc>
              <w:tcPr>
                <w:tcW w:w="2251" w:type="dxa"/>
              </w:tcPr>
              <w:p w14:paraId="44FFA13A" w14:textId="77777777" w:rsidR="00F7455F" w:rsidRPr="00AE62EF" w:rsidRDefault="00F7455F" w:rsidP="00E3561C">
                <w:pPr>
                  <w:pStyle w:val="TTTableText"/>
                  <w:rPr>
                    <w:rFonts w:cs="Calibri"/>
                  </w:rPr>
                </w:pPr>
                <w:r w:rsidRPr="00AE62EF">
                  <w:rPr>
                    <w:rFonts w:cs="Calibri"/>
                  </w:rPr>
                  <w:t>Commission</w:t>
                </w:r>
              </w:p>
            </w:tc>
            <w:tc>
              <w:tcPr>
                <w:tcW w:w="6809" w:type="dxa"/>
              </w:tcPr>
              <w:p w14:paraId="1DD91925" w14:textId="77777777" w:rsidR="00F7455F" w:rsidRPr="00AE62EF" w:rsidRDefault="00F7455F" w:rsidP="00E3561C">
                <w:pPr>
                  <w:pStyle w:val="TTTableText"/>
                  <w:rPr>
                    <w:rFonts w:cs="Calibri"/>
                  </w:rPr>
                </w:pPr>
                <w:r w:rsidRPr="00AE62EF">
                  <w:rPr>
                    <w:rFonts w:cs="Calibri"/>
                  </w:rPr>
                  <w:t>European Commission</w:t>
                </w:r>
              </w:p>
            </w:tc>
          </w:tr>
          <w:tr w:rsidR="00BE467D" w:rsidRPr="00AE62EF" w14:paraId="261A27BF" w14:textId="77777777" w:rsidTr="00E3561C">
            <w:trPr>
              <w:cantSplit/>
              <w:trHeight w:val="397"/>
            </w:trPr>
            <w:tc>
              <w:tcPr>
                <w:tcW w:w="2251" w:type="dxa"/>
              </w:tcPr>
              <w:p w14:paraId="4E98970D" w14:textId="72D4DDB9" w:rsidR="00BE467D" w:rsidRPr="00AE62EF" w:rsidRDefault="00BE467D" w:rsidP="00E3561C">
                <w:pPr>
                  <w:pStyle w:val="TTTableText"/>
                  <w:rPr>
                    <w:rFonts w:cs="Calibri"/>
                  </w:rPr>
                </w:pPr>
                <w:r>
                  <w:rPr>
                    <w:rFonts w:cs="Calibri"/>
                  </w:rPr>
                  <w:t>EU</w:t>
                </w:r>
              </w:p>
            </w:tc>
            <w:tc>
              <w:tcPr>
                <w:tcW w:w="6809" w:type="dxa"/>
              </w:tcPr>
              <w:p w14:paraId="4EE79A60" w14:textId="61257FAD" w:rsidR="00BE467D" w:rsidRPr="00AE62EF" w:rsidRDefault="00BE467D" w:rsidP="00E3561C">
                <w:pPr>
                  <w:pStyle w:val="TTTableText"/>
                  <w:rPr>
                    <w:rFonts w:cs="Calibri"/>
                  </w:rPr>
                </w:pPr>
                <w:r>
                  <w:rPr>
                    <w:rFonts w:cs="Calibri"/>
                  </w:rPr>
                  <w:t>European Union</w:t>
                </w:r>
              </w:p>
            </w:tc>
          </w:tr>
          <w:tr w:rsidR="00BE467D" w:rsidRPr="00AE62EF" w14:paraId="31A53E30" w14:textId="77777777" w:rsidTr="00E3561C">
            <w:trPr>
              <w:cantSplit/>
              <w:trHeight w:val="397"/>
            </w:trPr>
            <w:tc>
              <w:tcPr>
                <w:tcW w:w="2251" w:type="dxa"/>
              </w:tcPr>
              <w:p w14:paraId="320EE66D" w14:textId="0012C403" w:rsidR="00BE467D" w:rsidRDefault="00BE467D" w:rsidP="00E3561C">
                <w:pPr>
                  <w:pStyle w:val="TTTableText"/>
                  <w:rPr>
                    <w:rFonts w:cs="Calibri"/>
                  </w:rPr>
                </w:pPr>
                <w:r>
                  <w:rPr>
                    <w:rFonts w:cs="Calibri"/>
                  </w:rPr>
                  <w:t>GOC</w:t>
                </w:r>
              </w:p>
            </w:tc>
            <w:tc>
              <w:tcPr>
                <w:tcW w:w="6809" w:type="dxa"/>
              </w:tcPr>
              <w:p w14:paraId="00AAC070" w14:textId="64A395E4" w:rsidR="00BE467D" w:rsidRDefault="00BE467D" w:rsidP="00E3561C">
                <w:pPr>
                  <w:pStyle w:val="TTTableText"/>
                  <w:rPr>
                    <w:rFonts w:cs="Calibri"/>
                  </w:rPr>
                </w:pPr>
                <w:r>
                  <w:rPr>
                    <w:rFonts w:cs="Calibri"/>
                  </w:rPr>
                  <w:t>Government of China</w:t>
                </w:r>
              </w:p>
            </w:tc>
          </w:tr>
          <w:tr w:rsidR="001C663A" w:rsidRPr="00AE62EF" w14:paraId="2A526575" w14:textId="77777777" w:rsidTr="00E3561C">
            <w:trPr>
              <w:cantSplit/>
              <w:trHeight w:val="397"/>
            </w:trPr>
            <w:tc>
              <w:tcPr>
                <w:tcW w:w="2251" w:type="dxa"/>
              </w:tcPr>
              <w:p w14:paraId="7D48CD90" w14:textId="6C875282" w:rsidR="001C663A" w:rsidRPr="00AE62EF" w:rsidRDefault="001C663A" w:rsidP="00E3561C">
                <w:pPr>
                  <w:pStyle w:val="TTTableText"/>
                  <w:rPr>
                    <w:rFonts w:cs="Calibri"/>
                  </w:rPr>
                </w:pPr>
                <w:r>
                  <w:rPr>
                    <w:rFonts w:cs="Calibri"/>
                  </w:rPr>
                  <w:t>GOID</w:t>
                </w:r>
              </w:p>
            </w:tc>
            <w:tc>
              <w:tcPr>
                <w:tcW w:w="6809" w:type="dxa"/>
              </w:tcPr>
              <w:p w14:paraId="6D03153B" w14:textId="79CD88CF" w:rsidR="001C663A" w:rsidRPr="00AE62EF" w:rsidRDefault="001C663A" w:rsidP="00E3561C">
                <w:pPr>
                  <w:pStyle w:val="TTTableText"/>
                  <w:rPr>
                    <w:rFonts w:cs="Calibri"/>
                  </w:rPr>
                </w:pPr>
                <w:r>
                  <w:rPr>
                    <w:rFonts w:cs="Calibri"/>
                  </w:rPr>
                  <w:t>Government of Indonesia</w:t>
                </w:r>
              </w:p>
            </w:tc>
          </w:tr>
          <w:tr w:rsidR="00F7455F" w:rsidRPr="00AE62EF" w14:paraId="0ED401CB" w14:textId="77777777" w:rsidTr="00E3561C">
            <w:trPr>
              <w:cantSplit/>
              <w:trHeight w:val="397"/>
            </w:trPr>
            <w:tc>
              <w:tcPr>
                <w:tcW w:w="2251" w:type="dxa"/>
              </w:tcPr>
              <w:p w14:paraId="072CEAAC" w14:textId="77777777" w:rsidR="00F7455F" w:rsidRPr="00AE62EF" w:rsidRDefault="00F7455F" w:rsidP="00E3561C">
                <w:pPr>
                  <w:pStyle w:val="TTTableText"/>
                  <w:rPr>
                    <w:rFonts w:cs="Calibri"/>
                  </w:rPr>
                </w:pPr>
                <w:r w:rsidRPr="00AE62EF">
                  <w:rPr>
                    <w:rFonts w:cs="Calibri"/>
                  </w:rPr>
                  <w:t>Member</w:t>
                </w:r>
              </w:p>
            </w:tc>
            <w:tc>
              <w:tcPr>
                <w:tcW w:w="6809" w:type="dxa"/>
              </w:tcPr>
              <w:p w14:paraId="613379C9" w14:textId="77777777" w:rsidR="00F7455F" w:rsidRPr="00AE62EF" w:rsidRDefault="00F7455F" w:rsidP="00E3561C">
                <w:pPr>
                  <w:pStyle w:val="TTTableText"/>
                  <w:rPr>
                    <w:rFonts w:cs="Calibri"/>
                  </w:rPr>
                </w:pPr>
                <w:r w:rsidRPr="00AE62EF">
                  <w:rPr>
                    <w:rFonts w:cs="Calibri"/>
                  </w:rPr>
                  <w:t>Member of the World Trade Organization</w:t>
                </w:r>
              </w:p>
            </w:tc>
          </w:tr>
          <w:tr w:rsidR="00F7455F" w:rsidRPr="00AE62EF" w14:paraId="7BC416E8" w14:textId="77777777" w:rsidTr="00E3561C">
            <w:trPr>
              <w:cantSplit/>
              <w:trHeight w:val="397"/>
            </w:trPr>
            <w:tc>
              <w:tcPr>
                <w:tcW w:w="2251" w:type="dxa"/>
              </w:tcPr>
              <w:p w14:paraId="76558031" w14:textId="77777777" w:rsidR="00F7455F" w:rsidRPr="00AE62EF" w:rsidRDefault="00F7455F" w:rsidP="00E3561C">
                <w:pPr>
                  <w:pStyle w:val="TTTableText"/>
                  <w:rPr>
                    <w:rFonts w:cs="Calibri"/>
                  </w:rPr>
                </w:pPr>
                <w:r w:rsidRPr="00AE62EF">
                  <w:rPr>
                    <w:rFonts w:cs="Calibri"/>
                  </w:rPr>
                  <w:t>SCM Agreement</w:t>
                </w:r>
              </w:p>
            </w:tc>
            <w:tc>
              <w:tcPr>
                <w:tcW w:w="6809" w:type="dxa"/>
              </w:tcPr>
              <w:p w14:paraId="4923C186" w14:textId="77777777" w:rsidR="00F7455F" w:rsidRPr="00AE62EF" w:rsidRDefault="00F7455F" w:rsidP="00E3561C">
                <w:pPr>
                  <w:pStyle w:val="TTTableText"/>
                  <w:rPr>
                    <w:rFonts w:cs="Calibri"/>
                  </w:rPr>
                </w:pPr>
                <w:r w:rsidRPr="00AE62EF">
                  <w:rPr>
                    <w:rFonts w:cs="Calibri"/>
                  </w:rPr>
                  <w:t>Agreement on Subsidies and Countervailing Measures</w:t>
                </w:r>
              </w:p>
            </w:tc>
          </w:tr>
          <w:tr w:rsidR="00F7455F" w:rsidRPr="00AE62EF" w14:paraId="19F5BBC3" w14:textId="77777777" w:rsidTr="00E3561C">
            <w:trPr>
              <w:cantSplit/>
              <w:trHeight w:val="397"/>
            </w:trPr>
            <w:tc>
              <w:tcPr>
                <w:tcW w:w="2251" w:type="dxa"/>
              </w:tcPr>
              <w:p w14:paraId="2CAFAB55" w14:textId="77777777" w:rsidR="00F7455F" w:rsidRPr="00AE62EF" w:rsidRDefault="00F7455F" w:rsidP="00E3561C">
                <w:pPr>
                  <w:pStyle w:val="TTTableText"/>
                  <w:rPr>
                    <w:rFonts w:cs="Calibri"/>
                  </w:rPr>
                </w:pPr>
                <w:r w:rsidRPr="00AE62EF">
                  <w:rPr>
                    <w:rFonts w:cs="Calibri"/>
                  </w:rPr>
                  <w:t>WTO</w:t>
                </w:r>
              </w:p>
            </w:tc>
            <w:tc>
              <w:tcPr>
                <w:tcW w:w="6809" w:type="dxa"/>
              </w:tcPr>
              <w:p w14:paraId="6A4CA8D4" w14:textId="77777777" w:rsidR="00F7455F" w:rsidRPr="00AE62EF" w:rsidRDefault="00F7455F" w:rsidP="00E3561C">
                <w:pPr>
                  <w:pStyle w:val="TTTableText"/>
                  <w:rPr>
                    <w:rFonts w:cs="Calibri"/>
                  </w:rPr>
                </w:pPr>
                <w:r w:rsidRPr="00AE62EF">
                  <w:rPr>
                    <w:rFonts w:cs="Calibri"/>
                  </w:rPr>
                  <w:t>World Trade Organization</w:t>
                </w:r>
              </w:p>
            </w:tc>
          </w:tr>
        </w:tbl>
        <w:p w14:paraId="387A57F8" w14:textId="01760073" w:rsidR="00F71EA3" w:rsidRPr="00F7455F" w:rsidRDefault="00D64D37" w:rsidP="001C663A">
          <w:pPr>
            <w:rPr>
              <w:rFonts w:cs="Calibri"/>
              <w:bCs/>
              <w:noProof/>
            </w:rPr>
          </w:pPr>
        </w:p>
      </w:sdtContent>
    </w:sdt>
    <w:p w14:paraId="247D519B" w14:textId="77777777" w:rsidR="003C6356" w:rsidRDefault="003C6356">
      <w:pPr>
        <w:spacing w:line="259" w:lineRule="auto"/>
        <w:jc w:val="left"/>
        <w:rPr>
          <w:rFonts w:eastAsiaTheme="majorEastAsia" w:cs="Calibri"/>
          <w:b/>
          <w:caps/>
          <w:sz w:val="28"/>
          <w:szCs w:val="32"/>
        </w:rPr>
      </w:pPr>
      <w:bookmarkStart w:id="7" w:name="_Toc157084383"/>
      <w:bookmarkEnd w:id="1"/>
      <w:bookmarkEnd w:id="2"/>
      <w:bookmarkEnd w:id="7"/>
      <w:bookmarkEnd w:id="3"/>
      <w:r>
        <w:rPr>
          <w:rFonts w:cs="Calibri"/>
        </w:rPr>
        <w:br w:type="page"/>
      </w:r>
    </w:p>
    <w:p w14:paraId="4537BEAC" w14:textId="1721EA50" w:rsidR="00985DCB" w:rsidRPr="00BE467D" w:rsidRDefault="00985DCB" w:rsidP="00BE467D">
      <w:pPr>
        <w:pStyle w:val="P1-N1Paragraph1-Number1"/>
        <w:numPr>
          <w:ilvl w:val="0"/>
          <w:numId w:val="0"/>
        </w:numPr>
        <w:rPr>
          <w:rFonts w:cs="Calibri"/>
          <w:bCs/>
          <w:lang w:val="en-GB"/>
          <w14:ligatures w14:val="standardContextual"/>
        </w:rPr>
      </w:pPr>
      <w:r w:rsidRPr="00BE467D">
        <w:rPr>
          <w:rFonts w:cs="Calibri"/>
          <w:bCs/>
          <w:lang w:val="en-GB"/>
          <w14:ligatures w14:val="standardContextual"/>
        </w:rPr>
        <w:lastRenderedPageBreak/>
        <w:t xml:space="preserve">Australia </w:t>
      </w:r>
      <w:r w:rsidR="003F55BE" w:rsidRPr="00BE467D">
        <w:rPr>
          <w:rFonts w:cs="Calibri"/>
          <w:bCs/>
          <w:lang w:val="en-GB"/>
          <w14:ligatures w14:val="standardContextual"/>
        </w:rPr>
        <w:t xml:space="preserve">would like to </w:t>
      </w:r>
      <w:r w:rsidRPr="00BE467D">
        <w:rPr>
          <w:rFonts w:cs="Calibri"/>
          <w:bCs/>
          <w:lang w:val="en-GB"/>
          <w14:ligatures w14:val="standardContextual"/>
        </w:rPr>
        <w:t xml:space="preserve">thank the Panel for the opportunity </w:t>
      </w:r>
      <w:r w:rsidR="003F55BE" w:rsidRPr="00BE467D">
        <w:rPr>
          <w:rFonts w:cs="Calibri"/>
          <w:bCs/>
          <w:lang w:val="en-GB"/>
          <w14:ligatures w14:val="standardContextual"/>
        </w:rPr>
        <w:t xml:space="preserve">to provide responses to the questions from the Panel following the third party session in this dispute held on 18 April 2024.  To facilitate the work of the Panel, Australia provides the following </w:t>
      </w:r>
      <w:r w:rsidR="00A04043">
        <w:rPr>
          <w:rFonts w:cs="Calibri"/>
          <w:bCs/>
          <w:lang w:val="en-GB"/>
          <w14:ligatures w14:val="standardContextual"/>
        </w:rPr>
        <w:t>responses</w:t>
      </w:r>
      <w:r w:rsidR="003F55BE" w:rsidRPr="00BE467D">
        <w:rPr>
          <w:rFonts w:cs="Calibri"/>
          <w:bCs/>
          <w:lang w:val="en-GB"/>
          <w14:ligatures w14:val="standardContextual"/>
        </w:rPr>
        <w:t xml:space="preserve"> to </w:t>
      </w:r>
      <w:r w:rsidR="00037C09" w:rsidRPr="00BE467D">
        <w:rPr>
          <w:rFonts w:cs="Calibri"/>
          <w:bCs/>
          <w:lang w:val="en-GB"/>
          <w14:ligatures w14:val="standardContextual"/>
        </w:rPr>
        <w:t xml:space="preserve">certain </w:t>
      </w:r>
      <w:r w:rsidR="003F55BE" w:rsidRPr="00BE467D">
        <w:rPr>
          <w:rFonts w:cs="Calibri"/>
          <w:bCs/>
          <w:lang w:val="en-GB"/>
          <w14:ligatures w14:val="standardContextual"/>
        </w:rPr>
        <w:t xml:space="preserve">questions posed by the Panel. </w:t>
      </w:r>
    </w:p>
    <w:p w14:paraId="27CE0D6D" w14:textId="5A1DD315" w:rsidR="00F71EA3" w:rsidRPr="00AE62EF" w:rsidRDefault="00285182" w:rsidP="003F55BE">
      <w:pPr>
        <w:pStyle w:val="HL1HeadingLevel1"/>
        <w:numPr>
          <w:ilvl w:val="0"/>
          <w:numId w:val="0"/>
        </w:numPr>
        <w:rPr>
          <w:rFonts w:cs="Calibri"/>
        </w:rPr>
      </w:pPr>
      <w:bookmarkStart w:id="8" w:name="_Toc166484803"/>
      <w:r>
        <w:rPr>
          <w:rFonts w:cs="Calibri"/>
        </w:rPr>
        <w:t>Question</w:t>
      </w:r>
      <w:r w:rsidR="001E0708">
        <w:rPr>
          <w:rFonts w:cs="Calibri"/>
        </w:rPr>
        <w:t xml:space="preserve"> </w:t>
      </w:r>
      <w:r w:rsidR="000E3A98">
        <w:rPr>
          <w:rFonts w:cs="Calibri"/>
        </w:rPr>
        <w:t>2</w:t>
      </w:r>
      <w:bookmarkEnd w:id="8"/>
    </w:p>
    <w:p w14:paraId="6960A05C" w14:textId="77777777" w:rsidR="000E3A98" w:rsidRPr="000E3A98" w:rsidRDefault="000E3A98" w:rsidP="00D90B80">
      <w:pPr>
        <w:pStyle w:val="P1-N1Paragraph1-Number1"/>
        <w:numPr>
          <w:ilvl w:val="0"/>
          <w:numId w:val="0"/>
        </w:numPr>
        <w:rPr>
          <w:rFonts w:cs="Calibri"/>
          <w:bCs/>
          <w:lang w:val="en-GB"/>
          <w14:ligatures w14:val="standardContextual"/>
        </w:rPr>
      </w:pPr>
      <w:r w:rsidRPr="000E3A98">
        <w:rPr>
          <w:rFonts w:cs="Calibri"/>
          <w:bCs/>
          <w:lang w:val="en-GB"/>
          <w14:ligatures w14:val="standardContextual"/>
        </w:rPr>
        <w:t xml:space="preserve">The </w:t>
      </w:r>
      <w:r w:rsidRPr="000E3A98">
        <w:rPr>
          <w:rFonts w:cs="Calibri"/>
          <w:lang w:val="en-GB"/>
          <w14:ligatures w14:val="standardContextual"/>
        </w:rPr>
        <w:t>European</w:t>
      </w:r>
      <w:r w:rsidRPr="000E3A98">
        <w:rPr>
          <w:rFonts w:cs="Calibri"/>
          <w:bCs/>
          <w:lang w:val="en-GB"/>
          <w14:ligatures w14:val="standardContextual"/>
        </w:rPr>
        <w:t xml:space="preserve"> Union asserts at paragraph 79 of its first written submission that:</w:t>
      </w:r>
    </w:p>
    <w:p w14:paraId="3AF4DE29" w14:textId="77777777" w:rsidR="000E3A98" w:rsidRPr="000E3A98" w:rsidRDefault="000E3A98" w:rsidP="00951016">
      <w:pPr>
        <w:pStyle w:val="P1-N1Paragraph1-Number1"/>
        <w:numPr>
          <w:ilvl w:val="0"/>
          <w:numId w:val="0"/>
        </w:numPr>
        <w:spacing w:line="276" w:lineRule="auto"/>
        <w:ind w:left="720"/>
        <w:rPr>
          <w:rFonts w:cs="Calibri"/>
          <w:sz w:val="22"/>
          <w:szCs w:val="22"/>
          <w:lang w:val="en-GB"/>
          <w14:ligatures w14:val="standardContextual"/>
        </w:rPr>
      </w:pPr>
      <w:r w:rsidRPr="000E3A98">
        <w:rPr>
          <w:rFonts w:cs="Calibri"/>
          <w:sz w:val="22"/>
          <w:szCs w:val="22"/>
          <w:lang w:val="en-GB"/>
          <w14:ligatures w14:val="standardContextual"/>
        </w:rPr>
        <w:t>If the financial support can be attributed to the government of the country of export, and when there is a benefit conferred thereby, the resulting subsidy becomes a subsidy of the exporting country for the purpose of Article 18. Moreover, such a government can agree to eliminate or limit the subsidy or take other measures concerning its effect.</w:t>
      </w:r>
    </w:p>
    <w:p w14:paraId="56B2BFD1" w14:textId="051C8A5C" w:rsidR="000E3A98" w:rsidRPr="006C0913" w:rsidRDefault="000E3A98" w:rsidP="00D90B80">
      <w:pPr>
        <w:pStyle w:val="P1-N1Paragraph1-Number1"/>
        <w:numPr>
          <w:ilvl w:val="0"/>
          <w:numId w:val="0"/>
        </w:numPr>
        <w:rPr>
          <w:rFonts w:cs="Calibri"/>
          <w:lang w:val="en-GB"/>
          <w14:ligatures w14:val="standardContextual"/>
        </w:rPr>
      </w:pPr>
      <w:r w:rsidRPr="000E3A98">
        <w:rPr>
          <w:rFonts w:cs="Calibri"/>
          <w:lang w:val="en-GB"/>
          <w14:ligatures w14:val="standardContextual"/>
        </w:rPr>
        <w:t>Please comment on the European Union's view that the exporting Member "can agree to eliminate or limit the subsidy or take other measures concerning its effect".</w:t>
      </w:r>
    </w:p>
    <w:p w14:paraId="761191D2" w14:textId="60C2A5B0" w:rsidR="00B4284B" w:rsidRPr="001E0708" w:rsidRDefault="00285182" w:rsidP="00AF30FB">
      <w:pPr>
        <w:pStyle w:val="P1-N1Paragraph1-Number1"/>
        <w:keepNext/>
        <w:numPr>
          <w:ilvl w:val="0"/>
          <w:numId w:val="0"/>
        </w:numPr>
        <w:rPr>
          <w:rFonts w:cs="Calibri"/>
          <w:b/>
          <w:bCs/>
          <w:sz w:val="28"/>
          <w:szCs w:val="28"/>
        </w:rPr>
      </w:pPr>
      <w:r w:rsidRPr="001E0708">
        <w:rPr>
          <w:rFonts w:cs="Calibri"/>
          <w:b/>
          <w:bCs/>
          <w:sz w:val="28"/>
          <w:szCs w:val="28"/>
        </w:rPr>
        <w:t>Response</w:t>
      </w:r>
    </w:p>
    <w:p w14:paraId="7EEE23EF" w14:textId="5A5DA5D5" w:rsidR="0012540F" w:rsidRDefault="0012540F" w:rsidP="00AF30FB">
      <w:pPr>
        <w:pStyle w:val="P1-N1Paragraph1-Number1"/>
        <w:keepNext/>
      </w:pPr>
      <w:r>
        <w:t xml:space="preserve">Australia understands that the EU's view is that, in cases where a </w:t>
      </w:r>
      <w:r w:rsidR="006B0776">
        <w:t xml:space="preserve">financial contribution </w:t>
      </w:r>
      <w:r>
        <w:t xml:space="preserve">is attributable to the exporting WTO Member, </w:t>
      </w:r>
      <w:r w:rsidR="00464272">
        <w:t xml:space="preserve">and a </w:t>
      </w:r>
      <w:r w:rsidR="00FE47A3">
        <w:t xml:space="preserve">benefit </w:t>
      </w:r>
      <w:r w:rsidR="00CC4C03">
        <w:t xml:space="preserve">is </w:t>
      </w:r>
      <w:r w:rsidR="00FE47A3">
        <w:t>conferred</w:t>
      </w:r>
      <w:r w:rsidR="00814159">
        <w:t>,</w:t>
      </w:r>
      <w:r w:rsidR="00FE47A3">
        <w:t xml:space="preserve"> </w:t>
      </w:r>
      <w:r w:rsidR="00814159">
        <w:t>t</w:t>
      </w:r>
      <w:r>
        <w:t>hat Member is capable of agreeing to eliminate or limit the subsidy (even if the relevant financial contribution comes from a different WTO Member).</w:t>
      </w:r>
      <w:r>
        <w:rPr>
          <w:rStyle w:val="FootnoteReference"/>
        </w:rPr>
        <w:footnoteReference w:id="1"/>
      </w:r>
      <w:r>
        <w:t xml:space="preserve"> In contrast, Indonesia argues that 'in a situation where a financial contribution is provided by another WTO Member, and that other WTO Member would therefore be the only one capable to eliminate or limit the financial contribution, the possibility to offer an undertaking by eliminating or limiting the subsidy… would become meaningless or inutile'.</w:t>
      </w:r>
      <w:r>
        <w:rPr>
          <w:rStyle w:val="FootnoteReference"/>
        </w:rPr>
        <w:footnoteReference w:id="2"/>
      </w:r>
      <w:r>
        <w:t xml:space="preserve"> </w:t>
      </w:r>
    </w:p>
    <w:p w14:paraId="506C889E" w14:textId="411EF4D1" w:rsidR="0012540F" w:rsidRDefault="0012540F" w:rsidP="00F73925">
      <w:pPr>
        <w:pStyle w:val="P1-N1Paragraph1-Number1"/>
      </w:pPr>
      <w:r>
        <w:t xml:space="preserve">Australia agrees with the conclusion of the EU. If the financial contribution provided by another Member is properly attributable to the exporting Member (as the EU argues in this </w:t>
      </w:r>
      <w:r w:rsidR="00680B13">
        <w:t>dispute</w:t>
      </w:r>
      <w:r>
        <w:t>), it is logical to conclude that the exporting Member would be capable of deciding to no longer receive the relevant financial contribution, or limit the amount received. This means, by extension, that it would be capable of eliminating or limiting the subsidy</w:t>
      </w:r>
      <w:r w:rsidR="00ED4A0F">
        <w:t xml:space="preserve"> or taking </w:t>
      </w:r>
      <w:r w:rsidR="005B3554">
        <w:t>other measures in relation to the subsidy</w:t>
      </w:r>
      <w:r>
        <w:t xml:space="preserve">. </w:t>
      </w:r>
    </w:p>
    <w:p w14:paraId="5941DAD6" w14:textId="14883510" w:rsidR="0012540F" w:rsidRDefault="0012540F" w:rsidP="00F73925">
      <w:pPr>
        <w:pStyle w:val="P1-N1Paragraph1-Number1"/>
      </w:pPr>
      <w:r>
        <w:lastRenderedPageBreak/>
        <w:t>Whether a subsidy is attributable will necessarily be a fact-specific inquiry. However, if there is</w:t>
      </w:r>
      <w:r w:rsidR="00F73925">
        <w:t xml:space="preserve"> </w:t>
      </w:r>
      <w:r>
        <w:t xml:space="preserve">evidence that a WTO Member has actively sought out and implemented a particular cooperation arrangement, to such a degree that attribution is justified, it is difficult to see how that Member would </w:t>
      </w:r>
      <w:r w:rsidR="000B23D8">
        <w:t xml:space="preserve">subsequently </w:t>
      </w:r>
      <w:r>
        <w:t>be</w:t>
      </w:r>
      <w:r w:rsidR="000B23D8">
        <w:t>come</w:t>
      </w:r>
      <w:r>
        <w:t xml:space="preserve"> incapable of eliminating or limiting the subsidy which exists pursuant to that arrangement.</w:t>
      </w:r>
    </w:p>
    <w:p w14:paraId="78DE61A5" w14:textId="4A566FED" w:rsidR="005675F6" w:rsidRPr="005675F6" w:rsidRDefault="005675F6" w:rsidP="005675F6">
      <w:pPr>
        <w:pStyle w:val="HL1HeadingLevel1"/>
        <w:numPr>
          <w:ilvl w:val="0"/>
          <w:numId w:val="0"/>
        </w:numPr>
        <w:ind w:left="851" w:hanging="851"/>
        <w:rPr>
          <w:rFonts w:cs="Calibri"/>
        </w:rPr>
      </w:pPr>
      <w:bookmarkStart w:id="9" w:name="_Toc166484804"/>
      <w:r>
        <w:rPr>
          <w:rFonts w:cs="Calibri"/>
        </w:rPr>
        <w:t>Question 4</w:t>
      </w:r>
      <w:bookmarkEnd w:id="9"/>
    </w:p>
    <w:p w14:paraId="008F1B83" w14:textId="77777777" w:rsidR="00B978AB" w:rsidRDefault="00B978AB" w:rsidP="00B978AB">
      <w:pPr>
        <w:pStyle w:val="P1-N1Paragraph1-Number1"/>
        <w:numPr>
          <w:ilvl w:val="0"/>
          <w:numId w:val="0"/>
        </w:numPr>
      </w:pPr>
      <w:r>
        <w:t>At paragraph 106 of its first written submission, the European Union asserts that:</w:t>
      </w:r>
    </w:p>
    <w:p w14:paraId="0D1F14C9" w14:textId="77777777" w:rsidR="00B978AB" w:rsidRPr="00B978AB" w:rsidRDefault="00B978AB" w:rsidP="00B978AB">
      <w:pPr>
        <w:pStyle w:val="P1-N1Paragraph1-Number1"/>
        <w:numPr>
          <w:ilvl w:val="0"/>
          <w:numId w:val="0"/>
        </w:numPr>
        <w:spacing w:line="276" w:lineRule="auto"/>
        <w:ind w:left="720"/>
        <w:rPr>
          <w:rFonts w:cs="Calibri"/>
          <w:sz w:val="22"/>
          <w:szCs w:val="22"/>
          <w:lang w:val="en-GB"/>
          <w14:ligatures w14:val="standardContextual"/>
        </w:rPr>
      </w:pPr>
      <w:r w:rsidRPr="00B978AB">
        <w:rPr>
          <w:rFonts w:cs="Calibri"/>
          <w:sz w:val="22"/>
          <w:szCs w:val="22"/>
          <w:lang w:val="en-GB"/>
          <w14:ligatures w14:val="standardContextual"/>
        </w:rPr>
        <w:t>Article 11 of the ILC Articles corresponds to a general principle of law or customary international law as regards the attribution of actions by one State to another.</w:t>
      </w:r>
    </w:p>
    <w:p w14:paraId="7C6D0C3A" w14:textId="77777777" w:rsidR="00B978AB" w:rsidRDefault="00B978AB" w:rsidP="00B978AB">
      <w:pPr>
        <w:pStyle w:val="P1-N1Paragraph1-Number1"/>
        <w:numPr>
          <w:ilvl w:val="0"/>
          <w:numId w:val="0"/>
        </w:numPr>
      </w:pPr>
      <w:r>
        <w:t>Please provide your reasoned views on whether Article 11 constitutes a customary rule of international law or a general principle of law.</w:t>
      </w:r>
    </w:p>
    <w:p w14:paraId="1735436E" w14:textId="5A52E8C2" w:rsidR="005675F6" w:rsidRPr="00731DF8" w:rsidRDefault="00731DF8" w:rsidP="00AF30FB">
      <w:pPr>
        <w:pStyle w:val="P1-N1Paragraph1-Number1"/>
        <w:keepNext/>
        <w:numPr>
          <w:ilvl w:val="0"/>
          <w:numId w:val="0"/>
        </w:numPr>
        <w:rPr>
          <w:rFonts w:cs="Calibri"/>
          <w:b/>
          <w:bCs/>
          <w:sz w:val="28"/>
          <w:szCs w:val="28"/>
        </w:rPr>
      </w:pPr>
      <w:r>
        <w:rPr>
          <w:rFonts w:cs="Calibri"/>
          <w:b/>
          <w:bCs/>
          <w:sz w:val="28"/>
          <w:szCs w:val="28"/>
        </w:rPr>
        <w:t>Response</w:t>
      </w:r>
    </w:p>
    <w:p w14:paraId="19A9AB6F" w14:textId="77777777" w:rsidR="00A04043" w:rsidRPr="00A04043" w:rsidRDefault="0007545D" w:rsidP="00A04043">
      <w:pPr>
        <w:pStyle w:val="P1-N1Paragraph1-Number1"/>
        <w:keepLines/>
      </w:pPr>
      <w:r w:rsidRPr="00B91918">
        <w:rPr>
          <w:rFonts w:cs="Calibri"/>
          <w:lang w:val="en-GB"/>
          <w14:ligatures w14:val="standardContextual"/>
        </w:rPr>
        <w:t xml:space="preserve">Australia </w:t>
      </w:r>
      <w:r w:rsidRPr="00B91918">
        <w:t>refers</w:t>
      </w:r>
      <w:r w:rsidRPr="00B91918">
        <w:rPr>
          <w:rFonts w:cs="Calibri"/>
          <w:lang w:val="en-GB"/>
          <w14:ligatures w14:val="standardContextual"/>
        </w:rPr>
        <w:t xml:space="preserve"> the Panel to its previous submissions in relation to this issue.</w:t>
      </w:r>
      <w:r w:rsidRPr="00B91918">
        <w:rPr>
          <w:rStyle w:val="FootnoteReference"/>
          <w:rFonts w:cs="Calibri"/>
          <w:lang w:val="en-GB"/>
          <w14:ligatures w14:val="standardContextual"/>
        </w:rPr>
        <w:footnoteReference w:id="3"/>
      </w:r>
      <w:r w:rsidR="00E03BF5">
        <w:rPr>
          <w:rFonts w:cs="Calibri"/>
          <w:lang w:val="en-GB"/>
          <w14:ligatures w14:val="standardContextual"/>
        </w:rPr>
        <w:t xml:space="preserve"> We will not repeat all of those submissions here. However, in summary</w:t>
      </w:r>
      <w:r w:rsidR="00B352BE">
        <w:rPr>
          <w:rFonts w:cs="Calibri"/>
          <w:lang w:val="en-GB"/>
          <w14:ligatures w14:val="standardContextual"/>
        </w:rPr>
        <w:t xml:space="preserve">, Australia considers that </w:t>
      </w:r>
      <w:r w:rsidR="00690C03">
        <w:rPr>
          <w:rFonts w:cs="Calibri"/>
          <w:lang w:val="en-GB"/>
          <w14:ligatures w14:val="standardContextual"/>
        </w:rPr>
        <w:t>while</w:t>
      </w:r>
      <w:r w:rsidR="00690C03">
        <w:t xml:space="preserve"> the </w:t>
      </w:r>
      <w:r w:rsidR="00690C03" w:rsidRPr="00690C03">
        <w:rPr>
          <w:rFonts w:cs="Calibri"/>
        </w:rPr>
        <w:t>ILC Articles</w:t>
      </w:r>
      <w:r w:rsidR="00690C03">
        <w:rPr>
          <w:rFonts w:cs="Calibri"/>
        </w:rPr>
        <w:t xml:space="preserve"> (including Article 11)</w:t>
      </w:r>
      <w:r w:rsidR="00690C03" w:rsidRPr="00690C03">
        <w:rPr>
          <w:rFonts w:cs="Calibri"/>
        </w:rPr>
        <w:t xml:space="preserve"> are not themselves binding, the principles they embody largely reflect customary international law. </w:t>
      </w:r>
      <w:r w:rsidR="00690C03">
        <w:rPr>
          <w:rFonts w:cs="Calibri"/>
        </w:rPr>
        <w:t>Australia observes that</w:t>
      </w:r>
      <w:r w:rsidR="00690C03" w:rsidRPr="00690C03">
        <w:rPr>
          <w:rFonts w:cs="Calibri"/>
        </w:rPr>
        <w:t xml:space="preserve"> WTO panels and the Appellate Body have long cited and relied on the ILC Articles in their interpretation of WTO law. The Appellate Body in </w:t>
      </w:r>
      <w:r w:rsidR="00690C03" w:rsidRPr="00690C03">
        <w:rPr>
          <w:rFonts w:cs="Calibri"/>
          <w:i/>
          <w:iCs/>
        </w:rPr>
        <w:t>US – Anti-Dumping and Countervailing Duties (China)</w:t>
      </w:r>
      <w:r w:rsidR="00690C03" w:rsidRPr="00690C03">
        <w:rPr>
          <w:rFonts w:cs="Calibri"/>
        </w:rPr>
        <w:t xml:space="preserve"> confirmed that 'if…certain ILC Articles have been "cited as containing similar provisions to those in certain areas of the WTO Agreement" or "cited by way of contrast with the provisions of the WTO Agreement", this evinces that these ILC Articles have been "taken into account" in the sense of Article 31(3)(c) by panels and the Appellate Body in these cases'.</w:t>
      </w:r>
      <w:r w:rsidR="00690C03" w:rsidRPr="00AE62EF">
        <w:rPr>
          <w:rStyle w:val="FootnoteReference"/>
          <w:rFonts w:cs="Calibri"/>
        </w:rPr>
        <w:footnoteReference w:id="4"/>
      </w:r>
      <w:r w:rsidR="00690C03" w:rsidRPr="00690C03">
        <w:rPr>
          <w:rFonts w:cs="Calibri"/>
        </w:rPr>
        <w:t xml:space="preserve"> </w:t>
      </w:r>
      <w:bookmarkStart w:id="10" w:name="_Toc166484805"/>
    </w:p>
    <w:p w14:paraId="208F1C91" w14:textId="5BE274DA" w:rsidR="005675F6" w:rsidRPr="00A04043" w:rsidRDefault="00AD0189" w:rsidP="00A04043">
      <w:pPr>
        <w:pStyle w:val="HL1HeadingLevel1"/>
        <w:keepLines w:val="0"/>
        <w:numPr>
          <w:ilvl w:val="0"/>
          <w:numId w:val="0"/>
        </w:numPr>
        <w:ind w:left="851" w:hanging="851"/>
        <w:rPr>
          <w:rFonts w:cs="Calibri"/>
        </w:rPr>
      </w:pPr>
      <w:r w:rsidRPr="00A04043">
        <w:rPr>
          <w:rFonts w:cs="Calibri"/>
        </w:rPr>
        <w:lastRenderedPageBreak/>
        <w:t xml:space="preserve">Question </w:t>
      </w:r>
      <w:r w:rsidR="00B20889" w:rsidRPr="00A04043">
        <w:rPr>
          <w:rFonts w:cs="Calibri"/>
        </w:rPr>
        <w:t>5</w:t>
      </w:r>
      <w:bookmarkEnd w:id="10"/>
    </w:p>
    <w:p w14:paraId="7E20261A" w14:textId="295DCAFC" w:rsidR="005675F6" w:rsidRDefault="00AF50A2" w:rsidP="00A04043">
      <w:pPr>
        <w:pStyle w:val="P1-N1Paragraph1-Number1"/>
        <w:keepNext/>
        <w:numPr>
          <w:ilvl w:val="0"/>
          <w:numId w:val="0"/>
        </w:numPr>
      </w:pPr>
      <w:r w:rsidRPr="00091CD5">
        <w:rPr>
          <w:bCs/>
        </w:rPr>
        <w:t>Please explain whether Article 11 of the ILC Articles is a "relevant" rule of international law applicable in the relations between the parties within the meaning of Article 31.3(c) of the Vienna Convention on the Law of Treaties</w:t>
      </w:r>
      <w:r>
        <w:rPr>
          <w:bCs/>
        </w:rPr>
        <w:t xml:space="preserve"> (Vienna Convention)</w:t>
      </w:r>
      <w:r w:rsidRPr="00091CD5">
        <w:rPr>
          <w:bCs/>
        </w:rPr>
        <w:t>.</w:t>
      </w:r>
    </w:p>
    <w:p w14:paraId="784B1BE1" w14:textId="5342A8AA" w:rsidR="005675F6" w:rsidRPr="00DA495B" w:rsidRDefault="00DA495B" w:rsidP="00AF30FB">
      <w:pPr>
        <w:pStyle w:val="P1-N1Paragraph1-Number1"/>
        <w:keepNext/>
        <w:numPr>
          <w:ilvl w:val="0"/>
          <w:numId w:val="0"/>
        </w:numPr>
        <w:rPr>
          <w:rFonts w:cs="Calibri"/>
          <w:b/>
          <w:bCs/>
          <w:sz w:val="28"/>
          <w:szCs w:val="28"/>
        </w:rPr>
      </w:pPr>
      <w:r>
        <w:rPr>
          <w:rFonts w:cs="Calibri"/>
          <w:b/>
          <w:bCs/>
          <w:sz w:val="28"/>
          <w:szCs w:val="28"/>
        </w:rPr>
        <w:t>Response</w:t>
      </w:r>
    </w:p>
    <w:p w14:paraId="5319178C" w14:textId="03CED629" w:rsidR="005675F6" w:rsidRPr="000C27E1" w:rsidRDefault="00FA11BB" w:rsidP="00AF30FB">
      <w:pPr>
        <w:pStyle w:val="P1-N1Paragraph1-Number1"/>
        <w:keepNext/>
      </w:pPr>
      <w:r w:rsidRPr="00B91918">
        <w:rPr>
          <w:rFonts w:cs="Calibri"/>
          <w:lang w:val="en-GB"/>
          <w14:ligatures w14:val="standardContextual"/>
        </w:rPr>
        <w:t xml:space="preserve">Australia </w:t>
      </w:r>
      <w:r w:rsidRPr="00B91918">
        <w:t>refers</w:t>
      </w:r>
      <w:r w:rsidRPr="00B91918">
        <w:rPr>
          <w:rFonts w:cs="Calibri"/>
          <w:lang w:val="en-GB"/>
          <w14:ligatures w14:val="standardContextual"/>
        </w:rPr>
        <w:t xml:space="preserve"> the Panel to its previous submissions in relation to this issue.</w:t>
      </w:r>
      <w:r w:rsidRPr="00B91918">
        <w:rPr>
          <w:rStyle w:val="FootnoteReference"/>
          <w:rFonts w:cs="Calibri"/>
          <w:lang w:val="en-GB"/>
          <w14:ligatures w14:val="standardContextual"/>
        </w:rPr>
        <w:footnoteReference w:id="5"/>
      </w:r>
      <w:r w:rsidRPr="00B91918">
        <w:rPr>
          <w:rFonts w:cs="Calibri"/>
          <w:lang w:val="en-GB"/>
          <w14:ligatures w14:val="standardContextual"/>
        </w:rPr>
        <w:t xml:space="preserve"> </w:t>
      </w:r>
      <w:r w:rsidR="000C27E1" w:rsidRPr="00AE62EF">
        <w:t>Australia</w:t>
      </w:r>
      <w:r w:rsidR="000C27E1">
        <w:t xml:space="preserve"> </w:t>
      </w:r>
      <w:r w:rsidR="000D601A">
        <w:t>recalls</w:t>
      </w:r>
      <w:r w:rsidR="000C27E1" w:rsidRPr="00AE62EF">
        <w:t xml:space="preserve"> that</w:t>
      </w:r>
      <w:r w:rsidR="001970B9">
        <w:t xml:space="preserve"> the</w:t>
      </w:r>
      <w:r w:rsidR="000C27E1" w:rsidRPr="00AE62EF">
        <w:t xml:space="preserve"> </w:t>
      </w:r>
      <w:r w:rsidR="00B07041">
        <w:t xml:space="preserve">Appellate Body found </w:t>
      </w:r>
      <w:r w:rsidR="000C27E1" w:rsidRPr="00AE62EF">
        <w:t>the requirement that a rule be 'relevant' to concern the 'subject matter of the provision at issue'.</w:t>
      </w:r>
      <w:r w:rsidR="000C27E1" w:rsidRPr="00AE62EF">
        <w:rPr>
          <w:rStyle w:val="FootnoteReference"/>
          <w:rFonts w:cs="Calibri"/>
        </w:rPr>
        <w:footnoteReference w:id="6"/>
      </w:r>
      <w:r w:rsidR="000C27E1" w:rsidRPr="00AE62EF">
        <w:t xml:space="preserve"> Where there is no conflict or inconsistency, or </w:t>
      </w:r>
      <w:r w:rsidR="000C27E1">
        <w:t xml:space="preserve">where </w:t>
      </w:r>
      <w:r w:rsidR="000C27E1" w:rsidRPr="00AE62EF">
        <w:t xml:space="preserve">the SCM Agreement </w:t>
      </w:r>
      <w:r w:rsidR="000C27E1">
        <w:t xml:space="preserve">does not </w:t>
      </w:r>
      <w:r w:rsidR="000C27E1" w:rsidRPr="00AE62EF">
        <w:t xml:space="preserve">otherwise seek to preclude the application of customary rules of international law, Article 11 of the ILC Articles could be considered to be a </w:t>
      </w:r>
      <w:r w:rsidR="00D57F37">
        <w:t>'</w:t>
      </w:r>
      <w:r w:rsidR="000C27E1" w:rsidRPr="00AE62EF">
        <w:t>relevant</w:t>
      </w:r>
      <w:r w:rsidR="00D57F37">
        <w:t>'</w:t>
      </w:r>
      <w:r w:rsidR="000C27E1" w:rsidRPr="00AE62EF">
        <w:t xml:space="preserve"> rule for the purposes of Article 31.3(c) of the Vienna Convention which can be taken into account, together with the context, in the interpretation of the </w:t>
      </w:r>
      <w:r w:rsidR="007536D4">
        <w:t>text of the SCM Agreement</w:t>
      </w:r>
      <w:r w:rsidR="000C27E1" w:rsidRPr="00AE62EF">
        <w:t>. Australia reiterates, however, the task of the Panel also remains to interpret the treaty terms in good faith in accordance with the ordinary meaning to be given to the terms of the treaty, in their context and in light of its object and purpose.</w:t>
      </w:r>
      <w:r w:rsidR="000C27E1" w:rsidRPr="00AE62EF">
        <w:rPr>
          <w:rStyle w:val="FootnoteReference"/>
          <w:rFonts w:cs="Calibri"/>
        </w:rPr>
        <w:footnoteReference w:id="7"/>
      </w:r>
    </w:p>
    <w:p w14:paraId="5039DE30" w14:textId="51F0C8D7" w:rsidR="00E17FCD" w:rsidRDefault="00002C20" w:rsidP="00002C20">
      <w:pPr>
        <w:pStyle w:val="HL1HeadingLevel1"/>
        <w:numPr>
          <w:ilvl w:val="0"/>
          <w:numId w:val="0"/>
        </w:numPr>
        <w:ind w:left="851" w:hanging="851"/>
        <w:rPr>
          <w:rFonts w:cs="Calibri"/>
        </w:rPr>
      </w:pPr>
      <w:bookmarkStart w:id="11" w:name="_Toc166484806"/>
      <w:bookmarkEnd w:id="0"/>
      <w:r>
        <w:rPr>
          <w:rFonts w:cs="Calibri"/>
        </w:rPr>
        <w:t>Question 11</w:t>
      </w:r>
      <w:bookmarkEnd w:id="11"/>
    </w:p>
    <w:p w14:paraId="11F842D1" w14:textId="77777777" w:rsidR="00072F70" w:rsidRDefault="00072F70" w:rsidP="00D90B80">
      <w:pPr>
        <w:rPr>
          <w:b/>
          <w:bCs/>
        </w:rPr>
      </w:pPr>
      <w:r w:rsidRPr="002510AC">
        <w:rPr>
          <w:bCs/>
        </w:rPr>
        <w:t>At paragraph 135 of its first written submission, the European Union asserts that:</w:t>
      </w:r>
    </w:p>
    <w:p w14:paraId="7C27FFC6" w14:textId="77777777" w:rsidR="00072F70" w:rsidRPr="00951016" w:rsidRDefault="00072F70" w:rsidP="00951016">
      <w:pPr>
        <w:pStyle w:val="P1-N1Paragraph1-Number1"/>
        <w:numPr>
          <w:ilvl w:val="0"/>
          <w:numId w:val="0"/>
        </w:numPr>
        <w:spacing w:line="276" w:lineRule="auto"/>
        <w:ind w:left="720"/>
        <w:rPr>
          <w:rFonts w:cs="Calibri"/>
          <w:sz w:val="22"/>
          <w:szCs w:val="22"/>
          <w:lang w:val="en-GB"/>
          <w14:ligatures w14:val="standardContextual"/>
        </w:rPr>
      </w:pPr>
      <w:r w:rsidRPr="00951016">
        <w:rPr>
          <w:rFonts w:cs="Calibri"/>
          <w:sz w:val="22"/>
          <w:szCs w:val="22"/>
          <w:lang w:val="en-GB"/>
          <w14:ligatures w14:val="standardContextual"/>
        </w:rPr>
        <w:t>Indonesia faults the EU for not having carried out the attribution analysis at the level of each financial contribution in question (i.e., loans, credit lines, equity injections, provisions of capital in-kind and shareholder loans), noting that the provisions of capital in-kind and inter-company loans which were provided by the IRNC's group shareholders (as opposed to the GOC). The EU does not see any error in proceeding on the basis of a global analysis in this case. All the transactions had the same features and context. (</w:t>
      </w:r>
      <w:proofErr w:type="spellStart"/>
      <w:proofErr w:type="gramStart"/>
      <w:r w:rsidRPr="00951016">
        <w:rPr>
          <w:rFonts w:cs="Calibri"/>
          <w:sz w:val="22"/>
          <w:szCs w:val="22"/>
          <w:lang w:val="en-GB"/>
          <w14:ligatures w14:val="standardContextual"/>
        </w:rPr>
        <w:t>fn</w:t>
      </w:r>
      <w:proofErr w:type="spellEnd"/>
      <w:proofErr w:type="gramEnd"/>
      <w:r w:rsidRPr="00951016">
        <w:rPr>
          <w:rFonts w:cs="Calibri"/>
          <w:sz w:val="22"/>
          <w:szCs w:val="22"/>
          <w:lang w:val="en-GB"/>
          <w14:ligatures w14:val="standardContextual"/>
        </w:rPr>
        <w:t xml:space="preserve"> omitted)</w:t>
      </w:r>
    </w:p>
    <w:p w14:paraId="258C4372" w14:textId="77777777" w:rsidR="00072F70" w:rsidRDefault="00072F70" w:rsidP="00072F70">
      <w:pPr>
        <w:rPr>
          <w:bCs/>
        </w:rPr>
      </w:pPr>
      <w:r>
        <w:rPr>
          <w:bCs/>
        </w:rPr>
        <w:t>Please comment on whether</w:t>
      </w:r>
      <w:r w:rsidRPr="002510AC">
        <w:rPr>
          <w:bCs/>
        </w:rPr>
        <w:t xml:space="preserve"> the Commission </w:t>
      </w:r>
      <w:r>
        <w:rPr>
          <w:bCs/>
        </w:rPr>
        <w:t xml:space="preserve">was </w:t>
      </w:r>
      <w:r w:rsidRPr="002510AC">
        <w:rPr>
          <w:bCs/>
        </w:rPr>
        <w:t xml:space="preserve">required to have carried out the attribution analysis </w:t>
      </w:r>
      <w:r>
        <w:rPr>
          <w:bCs/>
        </w:rPr>
        <w:t>at issue</w:t>
      </w:r>
      <w:r w:rsidRPr="002510AC">
        <w:rPr>
          <w:bCs/>
        </w:rPr>
        <w:t xml:space="preserve"> at the level of each financial contribution in question (i.e. loans, credit lines, equity injections, provisions of capital in-kind and shareholder loans), bearing in mind that the </w:t>
      </w:r>
      <w:r w:rsidRPr="002510AC">
        <w:rPr>
          <w:bCs/>
        </w:rPr>
        <w:lastRenderedPageBreak/>
        <w:t>provision of capital in-kind and inter</w:t>
      </w:r>
      <w:r>
        <w:rPr>
          <w:bCs/>
        </w:rPr>
        <w:noBreakHyphen/>
      </w:r>
      <w:r w:rsidRPr="002510AC">
        <w:rPr>
          <w:bCs/>
        </w:rPr>
        <w:t>company loans were provided by the IRNC's group shareholders (as opposed to the GOC)</w:t>
      </w:r>
      <w:r>
        <w:rPr>
          <w:bCs/>
        </w:rPr>
        <w:t>.</w:t>
      </w:r>
    </w:p>
    <w:p w14:paraId="7F2F8F09" w14:textId="13F09D79" w:rsidR="00002C20" w:rsidRPr="00951016" w:rsidRDefault="00951016" w:rsidP="00AF30FB">
      <w:pPr>
        <w:pStyle w:val="P1-N1Paragraph1-Number1"/>
        <w:keepNext/>
        <w:numPr>
          <w:ilvl w:val="0"/>
          <w:numId w:val="0"/>
        </w:numPr>
        <w:rPr>
          <w:rFonts w:cs="Calibri"/>
          <w:b/>
          <w:bCs/>
          <w:sz w:val="28"/>
          <w:szCs w:val="28"/>
        </w:rPr>
      </w:pPr>
      <w:r w:rsidRPr="00951016">
        <w:rPr>
          <w:rFonts w:cs="Calibri"/>
          <w:b/>
          <w:bCs/>
          <w:sz w:val="28"/>
          <w:szCs w:val="28"/>
        </w:rPr>
        <w:t>Response</w:t>
      </w:r>
    </w:p>
    <w:p w14:paraId="416D7846" w14:textId="676B764D" w:rsidR="008F60C9" w:rsidRPr="008F60C9" w:rsidRDefault="008F60C9" w:rsidP="00AF30FB">
      <w:pPr>
        <w:pStyle w:val="P1-N1Paragraph1-Number1"/>
        <w:keepNext/>
        <w:rPr>
          <w:bCs/>
          <w:lang w:val="en-GB"/>
        </w:rPr>
      </w:pPr>
      <w:r w:rsidRPr="008F60C9">
        <w:rPr>
          <w:bCs/>
          <w:lang w:val="en-GB"/>
        </w:rPr>
        <w:t xml:space="preserve">Australia does not take a position on whether the European Commission correctly carried out its attribution analysis in this case. However, Australia considers that previous guidance from the Appellate Body in </w:t>
      </w:r>
      <w:r w:rsidRPr="008F60C9">
        <w:rPr>
          <w:bCs/>
          <w:i/>
          <w:iCs/>
          <w:lang w:val="en-GB"/>
        </w:rPr>
        <w:t>US – Countervailing Measures (China) (Article 21.5 – China)</w:t>
      </w:r>
      <w:r w:rsidRPr="008F60C9">
        <w:rPr>
          <w:bCs/>
          <w:lang w:val="en-GB"/>
        </w:rPr>
        <w:t xml:space="preserve">, in relation to attribution in the 'public body' context, may be instructive. In that case, the Appellate Body </w:t>
      </w:r>
      <w:r w:rsidR="00A26527">
        <w:rPr>
          <w:bCs/>
          <w:lang w:val="en-GB"/>
        </w:rPr>
        <w:t>found</w:t>
      </w:r>
      <w:r w:rsidRPr="008F60C9">
        <w:rPr>
          <w:bCs/>
          <w:lang w:val="en-GB"/>
        </w:rPr>
        <w:t xml:space="preserve"> that the central focus of a </w:t>
      </w:r>
      <w:r w:rsidR="00216D93">
        <w:rPr>
          <w:bCs/>
          <w:lang w:val="en-GB"/>
        </w:rPr>
        <w:t>'</w:t>
      </w:r>
      <w:r w:rsidRPr="008F60C9">
        <w:rPr>
          <w:bCs/>
          <w:lang w:val="en-GB"/>
        </w:rPr>
        <w:t>public body</w:t>
      </w:r>
      <w:r w:rsidR="00216D93">
        <w:rPr>
          <w:bCs/>
          <w:lang w:val="en-GB"/>
        </w:rPr>
        <w:t>' attribution</w:t>
      </w:r>
      <w:r w:rsidRPr="008F60C9">
        <w:rPr>
          <w:bCs/>
          <w:lang w:val="en-GB"/>
        </w:rPr>
        <w:t xml:space="preserve"> analysis is the entity in question, rather than on the particular financial contribution. Most relevantly, the Appellate Body explained:</w:t>
      </w:r>
      <w:r w:rsidR="00713B48">
        <w:rPr>
          <w:rStyle w:val="FootnoteReference"/>
          <w:bCs/>
          <w:lang w:val="en-GB"/>
        </w:rPr>
        <w:footnoteReference w:id="8"/>
      </w:r>
    </w:p>
    <w:p w14:paraId="1FABE0A9" w14:textId="01AE42CC" w:rsidR="008F60C9" w:rsidRPr="008F60C9" w:rsidRDefault="008F60C9" w:rsidP="008F60C9">
      <w:pPr>
        <w:pStyle w:val="P1-N1Paragraph1-Number1"/>
        <w:numPr>
          <w:ilvl w:val="0"/>
          <w:numId w:val="0"/>
        </w:numPr>
        <w:spacing w:line="276" w:lineRule="auto"/>
        <w:ind w:left="720"/>
        <w:rPr>
          <w:rFonts w:cs="Calibri"/>
          <w:sz w:val="22"/>
          <w:szCs w:val="22"/>
          <w:lang w:val="en-GB"/>
          <w14:ligatures w14:val="standardContextual"/>
        </w:rPr>
      </w:pPr>
      <w:r w:rsidRPr="008F60C9">
        <w:rPr>
          <w:rFonts w:cs="Calibri"/>
          <w:sz w:val="22"/>
          <w:szCs w:val="22"/>
          <w:lang w:val="en-GB"/>
          <w14:ligatures w14:val="standardContextual"/>
        </w:rPr>
        <w:t xml:space="preserve">Just as any "act or omission" by a government in the narrow sense can be deemed to constitute a measure attributable to a Member, </w:t>
      </w:r>
      <w:r w:rsidRPr="008F60C9">
        <w:rPr>
          <w:rFonts w:cs="Calibri"/>
          <w:sz w:val="22"/>
          <w:szCs w:val="22"/>
          <w:u w:val="single"/>
          <w:lang w:val="en-GB"/>
          <w14:ligatures w14:val="standardContextual"/>
        </w:rPr>
        <w:t>so any act or omission by a public body is directly attributable to a Member irrespective of the nature of the act or omission itself</w:t>
      </w:r>
      <w:r w:rsidRPr="008F60C9">
        <w:rPr>
          <w:rFonts w:cs="Calibri"/>
          <w:sz w:val="22"/>
          <w:szCs w:val="22"/>
          <w:lang w:val="en-GB"/>
          <w14:ligatures w14:val="standardContextual"/>
        </w:rPr>
        <w:t>. Indeed, once it has been established that an entity is a public body, then "all conduct" of that entity shall be attributable to the Member concerned for purposes of Article 1.1(a)(1). When that entity's conduct "falls within subparagraphs (</w:t>
      </w:r>
      <w:proofErr w:type="spellStart"/>
      <w:r w:rsidRPr="008F60C9">
        <w:rPr>
          <w:rFonts w:cs="Calibri"/>
          <w:sz w:val="22"/>
          <w:szCs w:val="22"/>
          <w:lang w:val="en-GB"/>
          <w14:ligatures w14:val="standardContextual"/>
        </w:rPr>
        <w:t>i</w:t>
      </w:r>
      <w:proofErr w:type="spellEnd"/>
      <w:r w:rsidRPr="008F60C9">
        <w:rPr>
          <w:rFonts w:cs="Calibri"/>
          <w:sz w:val="22"/>
          <w:szCs w:val="22"/>
          <w:lang w:val="en-GB"/>
          <w14:ligatures w14:val="standardContextual"/>
        </w:rPr>
        <w:t>)-(iii) and the first clause of subparagraph (iv)", then it will be deemed to give rise to a financial contribution for purposes of Article 1.1(a)(1)</w:t>
      </w:r>
      <w:r>
        <w:rPr>
          <w:rFonts w:cs="Calibri"/>
          <w:sz w:val="22"/>
          <w:szCs w:val="22"/>
          <w:lang w:val="en-GB"/>
          <w14:ligatures w14:val="standardContextual"/>
        </w:rPr>
        <w:t>. (</w:t>
      </w:r>
      <w:proofErr w:type="gramStart"/>
      <w:r>
        <w:rPr>
          <w:rFonts w:cs="Calibri"/>
          <w:sz w:val="22"/>
          <w:szCs w:val="22"/>
          <w:lang w:val="en-GB"/>
          <w14:ligatures w14:val="standardContextual"/>
        </w:rPr>
        <w:t>our</w:t>
      </w:r>
      <w:proofErr w:type="gramEnd"/>
      <w:r>
        <w:rPr>
          <w:rFonts w:cs="Calibri"/>
          <w:sz w:val="22"/>
          <w:szCs w:val="22"/>
          <w:lang w:val="en-GB"/>
          <w14:ligatures w14:val="standardContextual"/>
        </w:rPr>
        <w:t xml:space="preserve"> emphasis)</w:t>
      </w:r>
    </w:p>
    <w:p w14:paraId="0151B260" w14:textId="2A71A66B" w:rsidR="008F60C9" w:rsidRPr="008F60C9" w:rsidRDefault="008F60C9" w:rsidP="00BC2A4D">
      <w:pPr>
        <w:pStyle w:val="P1-N1Paragraph1-Number1"/>
        <w:rPr>
          <w:bCs/>
          <w:lang w:val="en-GB"/>
        </w:rPr>
      </w:pPr>
      <w:r w:rsidRPr="008F60C9">
        <w:rPr>
          <w:bCs/>
          <w:lang w:val="en-GB"/>
        </w:rPr>
        <w:t>While these findings were made in a different attribution context, Australia considers that they support a conclusion that</w:t>
      </w:r>
      <w:r w:rsidR="00D97476">
        <w:rPr>
          <w:bCs/>
          <w:lang w:val="en-GB"/>
        </w:rPr>
        <w:t>, for the purposes of Article 1.1(a)(1) of the SCM Agreement,</w:t>
      </w:r>
      <w:r w:rsidRPr="008F60C9">
        <w:rPr>
          <w:bCs/>
          <w:lang w:val="en-GB"/>
        </w:rPr>
        <w:t xml:space="preserve"> it is not always necessary to conduct an attribution analysis at the level of each financial contribution in question. That is, there are circumstances where an investigation authority can properly conduct its attribution analysis at a 'global' level. </w:t>
      </w:r>
    </w:p>
    <w:p w14:paraId="7741BFD0" w14:textId="3DEF66EA" w:rsidR="00951016" w:rsidRPr="005D7D97" w:rsidRDefault="005D7D97" w:rsidP="005D7D97">
      <w:pPr>
        <w:pStyle w:val="HL1HeadingLevel1"/>
        <w:numPr>
          <w:ilvl w:val="0"/>
          <w:numId w:val="0"/>
        </w:numPr>
        <w:ind w:left="851" w:hanging="851"/>
        <w:rPr>
          <w:rFonts w:cs="Calibri"/>
        </w:rPr>
      </w:pPr>
      <w:bookmarkStart w:id="12" w:name="_Toc166484807"/>
      <w:r>
        <w:rPr>
          <w:rFonts w:cs="Calibri"/>
        </w:rPr>
        <w:t>Question 13</w:t>
      </w:r>
      <w:bookmarkEnd w:id="12"/>
    </w:p>
    <w:p w14:paraId="7D65ECE8" w14:textId="0F974067" w:rsidR="00320ABB" w:rsidRDefault="00D90B80" w:rsidP="00D90B80">
      <w:pPr>
        <w:pStyle w:val="P1-N1Paragraph1-Number1"/>
        <w:numPr>
          <w:ilvl w:val="0"/>
          <w:numId w:val="0"/>
        </w:numPr>
      </w:pPr>
      <w:r w:rsidRPr="00D90B80">
        <w:t>Please respond to the European Union's assertion, at paragraph 147 of its first written submission, that "[f]or the specificity analysis, it does not matter that the financial contribution is provided and administered by the GOC, since those financial contributions were made in the context of the specific project between the GOC and the GOID in the Indonesian Morowali Park".</w:t>
      </w:r>
    </w:p>
    <w:p w14:paraId="3D4A685C" w14:textId="2AECAF63" w:rsidR="009959B6" w:rsidRPr="00FE1E0C" w:rsidRDefault="00320ABB" w:rsidP="00AF30FB">
      <w:pPr>
        <w:pStyle w:val="P1-N1Paragraph1-Number1"/>
        <w:keepNext/>
        <w:numPr>
          <w:ilvl w:val="0"/>
          <w:numId w:val="0"/>
        </w:numPr>
        <w:rPr>
          <w:rFonts w:cs="Calibri"/>
          <w:b/>
          <w:bCs/>
          <w:sz w:val="28"/>
          <w:szCs w:val="28"/>
        </w:rPr>
      </w:pPr>
      <w:r w:rsidRPr="00FE1E0C">
        <w:rPr>
          <w:rFonts w:cs="Calibri"/>
          <w:b/>
          <w:bCs/>
          <w:sz w:val="28"/>
          <w:szCs w:val="28"/>
        </w:rPr>
        <w:lastRenderedPageBreak/>
        <w:t>Response</w:t>
      </w:r>
    </w:p>
    <w:p w14:paraId="6C2F44E7" w14:textId="17A8AEA1" w:rsidR="00320ABB" w:rsidRDefault="00320ABB" w:rsidP="00AF30FB">
      <w:pPr>
        <w:pStyle w:val="P1-N1Paragraph1-Number1"/>
        <w:keepNext/>
      </w:pPr>
      <w:r>
        <w:t>Australia recalls that the</w:t>
      </w:r>
      <w:r w:rsidRPr="0074168B">
        <w:t xml:space="preserve"> WTO Appellate Body </w:t>
      </w:r>
      <w:r>
        <w:t>in</w:t>
      </w:r>
      <w:r w:rsidR="00400A7E">
        <w:t xml:space="preserve"> </w:t>
      </w:r>
      <w:r w:rsidR="00400A7E" w:rsidRPr="008C656C">
        <w:rPr>
          <w:bCs/>
          <w:i/>
          <w:iCs/>
        </w:rPr>
        <w:t>US — Countervailing Measures (China)</w:t>
      </w:r>
      <w:r>
        <w:t xml:space="preserve"> </w:t>
      </w:r>
      <w:r w:rsidRPr="0074168B">
        <w:t xml:space="preserve">confirmed that an investigating authority's determination under Article 1.1 as to the existence of a subsidy </w:t>
      </w:r>
      <w:r>
        <w:t>'</w:t>
      </w:r>
      <w:r w:rsidR="003A4411">
        <w:t xml:space="preserve">will </w:t>
      </w:r>
      <w:r w:rsidRPr="0074168B">
        <w:t>inform</w:t>
      </w:r>
      <w:r>
        <w:t>'</w:t>
      </w:r>
      <w:r w:rsidRPr="0074168B">
        <w:t xml:space="preserve"> the assessment of whether such subsidy is specific to certain enterprises within the jurisdiction of the granting authority.</w:t>
      </w:r>
      <w:r w:rsidR="006E4B19">
        <w:rPr>
          <w:rStyle w:val="FootnoteReference"/>
        </w:rPr>
        <w:footnoteReference w:id="9"/>
      </w:r>
      <w:r>
        <w:t xml:space="preserve"> </w:t>
      </w:r>
      <w:r w:rsidR="00C33BD1">
        <w:t>The Appellate Body referred to the 'explicit linking' of Article 1.1 and the chapeau of Article 2.1, and went on to explain</w:t>
      </w:r>
      <w:r>
        <w:t>:</w:t>
      </w:r>
      <w:r w:rsidR="007F1F2A">
        <w:rPr>
          <w:rStyle w:val="FootnoteReference"/>
        </w:rPr>
        <w:footnoteReference w:id="10"/>
      </w:r>
    </w:p>
    <w:p w14:paraId="1BC3E7CF" w14:textId="2040C986" w:rsidR="00320ABB" w:rsidRPr="00320ABB" w:rsidRDefault="00320ABB" w:rsidP="00320ABB">
      <w:pPr>
        <w:pStyle w:val="P1-N1Paragraph1-Number1"/>
        <w:numPr>
          <w:ilvl w:val="0"/>
          <w:numId w:val="0"/>
        </w:numPr>
        <w:spacing w:line="276" w:lineRule="auto"/>
        <w:ind w:left="720"/>
        <w:rPr>
          <w:rFonts w:cs="Calibri"/>
          <w:sz w:val="22"/>
          <w:szCs w:val="22"/>
          <w:lang w:val="en-GB"/>
          <w14:ligatures w14:val="standardContextual"/>
        </w:rPr>
      </w:pPr>
      <w:r w:rsidRPr="00320ABB">
        <w:rPr>
          <w:rFonts w:cs="Calibri"/>
          <w:sz w:val="22"/>
          <w:szCs w:val="22"/>
          <w:lang w:val="en-GB"/>
          <w14:ligatures w14:val="standardContextual"/>
        </w:rPr>
        <w:t xml:space="preserve">Indeed, in determining whether a financial contribution exists, investigating authorities must inquire into the nature of the financial contribution at issue and determine whether such contribution was provided by the "government", by "any public body within the territory of a Member", or by a "private body" entrusted or directed by the government. </w:t>
      </w:r>
      <w:r w:rsidRPr="00320ABB">
        <w:rPr>
          <w:rFonts w:cs="Calibri"/>
          <w:sz w:val="22"/>
          <w:szCs w:val="22"/>
          <w:u w:val="single"/>
          <w:lang w:val="en-GB"/>
          <w14:ligatures w14:val="standardContextual"/>
        </w:rPr>
        <w:t>Such assessment, in our view, will inform the identification of the jurisdiction of the granting authority</w:t>
      </w:r>
      <w:r w:rsidRPr="00320ABB">
        <w:rPr>
          <w:rFonts w:cs="Calibri"/>
          <w:sz w:val="22"/>
          <w:szCs w:val="22"/>
          <w:lang w:val="en-GB"/>
          <w14:ligatures w14:val="standardContextual"/>
        </w:rPr>
        <w:t>.</w:t>
      </w:r>
      <w:r>
        <w:rPr>
          <w:rFonts w:cs="Calibri"/>
          <w:sz w:val="22"/>
          <w:szCs w:val="22"/>
          <w:lang w:val="en-GB"/>
          <w14:ligatures w14:val="standardContextual"/>
        </w:rPr>
        <w:t xml:space="preserve"> (</w:t>
      </w:r>
      <w:proofErr w:type="gramStart"/>
      <w:r>
        <w:rPr>
          <w:rFonts w:cs="Calibri"/>
          <w:sz w:val="22"/>
          <w:szCs w:val="22"/>
          <w:lang w:val="en-GB"/>
          <w14:ligatures w14:val="standardContextual"/>
        </w:rPr>
        <w:t>our</w:t>
      </w:r>
      <w:proofErr w:type="gramEnd"/>
      <w:r>
        <w:rPr>
          <w:rFonts w:cs="Calibri"/>
          <w:sz w:val="22"/>
          <w:szCs w:val="22"/>
          <w:lang w:val="en-GB"/>
          <w14:ligatures w14:val="standardContextual"/>
        </w:rPr>
        <w:t xml:space="preserve"> emphasis)</w:t>
      </w:r>
    </w:p>
    <w:p w14:paraId="7098A369" w14:textId="14E98536" w:rsidR="00320ABB" w:rsidRDefault="00302921" w:rsidP="00BC2A4D">
      <w:pPr>
        <w:pStyle w:val="P1-N1Paragraph1-Number1"/>
      </w:pPr>
      <w:r>
        <w:t xml:space="preserve">In this dispute, the Commission's inquiries resulted in a determination that the relevant financial contributions were provided by a </w:t>
      </w:r>
      <w:r w:rsidR="00C94ED6">
        <w:t>'</w:t>
      </w:r>
      <w:r>
        <w:t>government</w:t>
      </w:r>
      <w:r w:rsidR="00C94ED6">
        <w:t>'</w:t>
      </w:r>
      <w:r>
        <w:t xml:space="preserve"> – specifically, the GOID. </w:t>
      </w:r>
      <w:r w:rsidR="00320ABB">
        <w:t xml:space="preserve">Australia considers it is reasonable that the Commission's assessment that the GOID was the 'government' providing financial contributions for the purposes of Article 1.1 informed its identification of the 'jurisdiction of the granting authority' for the purposes of the specificity analysis. </w:t>
      </w:r>
    </w:p>
    <w:p w14:paraId="45A0B2F6" w14:textId="2F5775CE" w:rsidR="00320ABB" w:rsidRPr="00A8508D" w:rsidRDefault="00320ABB" w:rsidP="00BC2A4D">
      <w:pPr>
        <w:pStyle w:val="P1-N1Paragraph1-Number1"/>
      </w:pPr>
      <w:r>
        <w:t>In Australia's view, any other approach would lead to an illogical result. If an investigating authority has determined the existence of a subsidy to producers in the territory of the subsidising Member for the purposes of Article 1</w:t>
      </w:r>
      <w:r w:rsidR="00F32D00">
        <w:t>.1</w:t>
      </w:r>
      <w:r>
        <w:t xml:space="preserve">, it would be illogical for the territory of a different Member to be the focus of its specificity analysis under Article 2.  </w:t>
      </w:r>
    </w:p>
    <w:p w14:paraId="6607F1BF" w14:textId="270F9AC4" w:rsidR="007F5450" w:rsidRPr="00985D49" w:rsidRDefault="00917E1A" w:rsidP="00985D49">
      <w:pPr>
        <w:pStyle w:val="HL1HeadingLevel1"/>
        <w:numPr>
          <w:ilvl w:val="0"/>
          <w:numId w:val="0"/>
        </w:numPr>
        <w:ind w:left="851" w:hanging="851"/>
      </w:pPr>
      <w:bookmarkStart w:id="13" w:name="_Toc166484808"/>
      <w:r>
        <w:t>Question 28</w:t>
      </w:r>
      <w:bookmarkEnd w:id="13"/>
    </w:p>
    <w:p w14:paraId="32642694" w14:textId="1426FED8" w:rsidR="00B06139" w:rsidRPr="0043031F" w:rsidRDefault="00B06139" w:rsidP="00B06139">
      <w:pPr>
        <w:pStyle w:val="P1-N1Paragraph1-Number1"/>
        <w:numPr>
          <w:ilvl w:val="0"/>
          <w:numId w:val="0"/>
        </w:numPr>
        <w:rPr>
          <w:bCs/>
          <w:lang w:val="en-GB"/>
        </w:rPr>
      </w:pPr>
      <w:r w:rsidRPr="0043031F">
        <w:rPr>
          <w:bCs/>
          <w:lang w:val="en-GB"/>
        </w:rPr>
        <w:t xml:space="preserve">The European Union asserts, at paragraph 601 of its first written submission, that Article 12.1 neither defines the "means of communication" by which an investigating authority must transmit a questionnaire to an interested party, nor precludes an investigating </w:t>
      </w:r>
      <w:r w:rsidR="00010AF2" w:rsidRPr="0043031F">
        <w:rPr>
          <w:bCs/>
          <w:lang w:val="en-GB"/>
        </w:rPr>
        <w:t>authority from</w:t>
      </w:r>
      <w:r w:rsidRPr="0043031F">
        <w:rPr>
          <w:bCs/>
          <w:lang w:val="en-GB"/>
        </w:rPr>
        <w:t xml:space="preserve"> "using more effective ways than direct delivery of the questionnaires to interested parties and </w:t>
      </w:r>
      <w:r w:rsidRPr="0043031F">
        <w:rPr>
          <w:bCs/>
          <w:lang w:val="en-GB"/>
        </w:rPr>
        <w:lastRenderedPageBreak/>
        <w:t>other parties with specific knowledge of the matter". Please respond to the European Union's assertion.</w:t>
      </w:r>
    </w:p>
    <w:p w14:paraId="72042E4A" w14:textId="506DE7B8" w:rsidR="007F5450" w:rsidRDefault="003D1C69" w:rsidP="00AF30FB">
      <w:pPr>
        <w:pStyle w:val="P1-N1Paragraph1-Number1"/>
        <w:keepNext/>
        <w:numPr>
          <w:ilvl w:val="0"/>
          <w:numId w:val="0"/>
        </w:numPr>
        <w:rPr>
          <w:rFonts w:cs="Calibri"/>
          <w:sz w:val="22"/>
          <w:szCs w:val="22"/>
          <w:lang w:val="en-GB"/>
          <w14:ligatures w14:val="standardContextual"/>
        </w:rPr>
      </w:pPr>
      <w:r w:rsidRPr="003D1C69">
        <w:rPr>
          <w:rFonts w:cs="Calibri"/>
          <w:b/>
          <w:bCs/>
          <w:sz w:val="28"/>
          <w:szCs w:val="28"/>
        </w:rPr>
        <w:t>Response</w:t>
      </w:r>
    </w:p>
    <w:p w14:paraId="31B3A65C" w14:textId="102C150F" w:rsidR="007F5450" w:rsidRPr="003A2EF0" w:rsidRDefault="00A601F0" w:rsidP="00AF30FB">
      <w:pPr>
        <w:pStyle w:val="P1-N1Paragraph1-Number1"/>
        <w:keepNext/>
        <w:rPr>
          <w:rFonts w:cs="Calibri"/>
          <w:lang w:val="en-GB"/>
          <w14:ligatures w14:val="standardContextual"/>
        </w:rPr>
      </w:pPr>
      <w:r w:rsidRPr="00B91918">
        <w:rPr>
          <w:rFonts w:cs="Calibri"/>
          <w:lang w:val="en-GB"/>
          <w14:ligatures w14:val="standardContextual"/>
        </w:rPr>
        <w:t>Australia</w:t>
      </w:r>
      <w:r w:rsidR="00153E86" w:rsidRPr="00B91918">
        <w:rPr>
          <w:rFonts w:cs="Calibri"/>
          <w:lang w:val="en-GB"/>
          <w14:ligatures w14:val="standardContextual"/>
        </w:rPr>
        <w:t xml:space="preserve"> </w:t>
      </w:r>
      <w:r w:rsidR="00153E86" w:rsidRPr="00B91918">
        <w:t>refers</w:t>
      </w:r>
      <w:r w:rsidR="00153E86" w:rsidRPr="00B91918">
        <w:rPr>
          <w:rFonts w:cs="Calibri"/>
          <w:lang w:val="en-GB"/>
          <w14:ligatures w14:val="standardContextual"/>
        </w:rPr>
        <w:t xml:space="preserve"> the Panel to its previous submissions in relation to this issue.</w:t>
      </w:r>
      <w:r w:rsidR="00153E86" w:rsidRPr="00B91918">
        <w:rPr>
          <w:rStyle w:val="FootnoteReference"/>
          <w:rFonts w:cs="Calibri"/>
          <w:lang w:val="en-GB"/>
          <w14:ligatures w14:val="standardContextual"/>
        </w:rPr>
        <w:footnoteReference w:id="11"/>
      </w:r>
      <w:r w:rsidRPr="00B91918">
        <w:rPr>
          <w:rFonts w:cs="Calibri"/>
          <w:lang w:val="en-GB"/>
          <w14:ligatures w14:val="standardContextual"/>
        </w:rPr>
        <w:t xml:space="preserve"> </w:t>
      </w:r>
      <w:r w:rsidR="003D1C69" w:rsidRPr="00B91918">
        <w:rPr>
          <w:rFonts w:cs="Calibri"/>
          <w:lang w:val="en-GB"/>
          <w14:ligatures w14:val="standardContextual"/>
        </w:rPr>
        <w:t xml:space="preserve">We will not repeat those submissions here. However, in summary, Australia agrees with the EU that Article 12.1 of the SCM Agreement does not define the </w:t>
      </w:r>
      <w:r w:rsidR="00C03A06">
        <w:rPr>
          <w:rFonts w:cs="Calibri"/>
          <w:lang w:val="en-GB"/>
          <w14:ligatures w14:val="standardContextual"/>
        </w:rPr>
        <w:t>'</w:t>
      </w:r>
      <w:r w:rsidR="003D1C69" w:rsidRPr="00B91918">
        <w:rPr>
          <w:rFonts w:cs="Calibri"/>
          <w:lang w:val="en-GB"/>
          <w14:ligatures w14:val="standardContextual"/>
        </w:rPr>
        <w:t>means of communication</w:t>
      </w:r>
      <w:r w:rsidR="00C03A06">
        <w:rPr>
          <w:rFonts w:cs="Calibri"/>
          <w:lang w:val="en-GB"/>
          <w14:ligatures w14:val="standardContextual"/>
        </w:rPr>
        <w:t>'</w:t>
      </w:r>
      <w:r w:rsidR="003D1C69" w:rsidRPr="00B91918">
        <w:rPr>
          <w:rFonts w:cs="Calibri"/>
          <w:lang w:val="en-GB"/>
          <w14:ligatures w14:val="standardContextual"/>
        </w:rPr>
        <w:t xml:space="preserve"> which must be used by an investigating authority, and nor does it preclude the investigating authority from choosing a manner of delivery that imposes less of an administrative burden than direct delivery.</w:t>
      </w:r>
      <w:r w:rsidR="00972BF8">
        <w:rPr>
          <w:rStyle w:val="FootnoteReference"/>
          <w:rFonts w:cs="Calibri"/>
          <w:lang w:val="en-GB"/>
          <w14:ligatures w14:val="standardContextual"/>
        </w:rPr>
        <w:footnoteReference w:id="12"/>
      </w:r>
    </w:p>
    <w:sectPr w:rsidR="007F5450" w:rsidRPr="003A2EF0" w:rsidSect="008F5B1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F4D7" w14:textId="77777777" w:rsidR="00054F87" w:rsidRDefault="00054F87" w:rsidP="00F71EA3">
      <w:pPr>
        <w:spacing w:after="0" w:line="240" w:lineRule="auto"/>
      </w:pPr>
      <w:r>
        <w:separator/>
      </w:r>
    </w:p>
  </w:endnote>
  <w:endnote w:type="continuationSeparator" w:id="0">
    <w:p w14:paraId="06C7AC0F" w14:textId="77777777" w:rsidR="00054F87" w:rsidRDefault="00054F87"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3626" w14:textId="77777777" w:rsidR="00F8755B" w:rsidRDefault="00F87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2AC1" w14:textId="77777777" w:rsidR="00F8755B" w:rsidRDefault="00F8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4EBF" w14:textId="77777777" w:rsidR="00054F87" w:rsidRDefault="00054F87" w:rsidP="00F71EA3">
      <w:pPr>
        <w:spacing w:after="0" w:line="240" w:lineRule="auto"/>
      </w:pPr>
      <w:r>
        <w:separator/>
      </w:r>
    </w:p>
  </w:footnote>
  <w:footnote w:type="continuationSeparator" w:id="0">
    <w:p w14:paraId="61FB3634" w14:textId="77777777" w:rsidR="00054F87" w:rsidRDefault="00054F87" w:rsidP="00F71EA3">
      <w:pPr>
        <w:spacing w:after="0" w:line="240" w:lineRule="auto"/>
      </w:pPr>
      <w:r>
        <w:continuationSeparator/>
      </w:r>
    </w:p>
  </w:footnote>
  <w:footnote w:id="1">
    <w:p w14:paraId="7DD0590C" w14:textId="65FB0382" w:rsidR="0012540F" w:rsidRPr="00210413" w:rsidRDefault="0012540F" w:rsidP="0012540F">
      <w:pPr>
        <w:pStyle w:val="FootnoteText"/>
      </w:pPr>
      <w:r>
        <w:rPr>
          <w:rStyle w:val="FootnoteReference"/>
        </w:rPr>
        <w:footnoteRef/>
      </w:r>
      <w:r>
        <w:t xml:space="preserve"> E</w:t>
      </w:r>
      <w:r w:rsidR="00713B48">
        <w:t>uropean Union's first written submission, para. 79</w:t>
      </w:r>
      <w:r>
        <w:t>.</w:t>
      </w:r>
    </w:p>
  </w:footnote>
  <w:footnote w:id="2">
    <w:p w14:paraId="3CF50A69" w14:textId="5E913FA5" w:rsidR="0012540F" w:rsidRPr="00A8464B" w:rsidRDefault="0012540F" w:rsidP="0012540F">
      <w:pPr>
        <w:pStyle w:val="FootnoteText"/>
      </w:pPr>
      <w:r>
        <w:rPr>
          <w:rStyle w:val="FootnoteReference"/>
        </w:rPr>
        <w:footnoteRef/>
      </w:r>
      <w:r>
        <w:t xml:space="preserve"> </w:t>
      </w:r>
      <w:r w:rsidR="00713B48">
        <w:t>Indonesia's first written submission, para. 114</w:t>
      </w:r>
      <w:r>
        <w:t>.</w:t>
      </w:r>
    </w:p>
  </w:footnote>
  <w:footnote w:id="3">
    <w:p w14:paraId="70759F49" w14:textId="38D006AB" w:rsidR="0007545D" w:rsidRDefault="0007545D" w:rsidP="0007545D">
      <w:pPr>
        <w:pStyle w:val="FootnoteText"/>
      </w:pPr>
      <w:r>
        <w:rPr>
          <w:rStyle w:val="FootnoteReference"/>
        </w:rPr>
        <w:footnoteRef/>
      </w:r>
      <w:r>
        <w:t xml:space="preserve"> See Australia's written submissions, paras. </w:t>
      </w:r>
      <w:r w:rsidR="002E6DFB">
        <w:t>22 and 23</w:t>
      </w:r>
      <w:r>
        <w:t>.</w:t>
      </w:r>
    </w:p>
  </w:footnote>
  <w:footnote w:id="4">
    <w:p w14:paraId="26C7955B" w14:textId="77777777" w:rsidR="00690C03" w:rsidRPr="00AF1ED5" w:rsidRDefault="00690C03" w:rsidP="00690C03">
      <w:pPr>
        <w:pStyle w:val="FootnoteText"/>
        <w:rPr>
          <w:rFonts w:asciiTheme="minorHAnsi" w:hAnsiTheme="minorHAnsi"/>
          <w:highlight w:val="yellow"/>
        </w:rPr>
      </w:pPr>
      <w:r w:rsidRPr="00B473E0">
        <w:rPr>
          <w:rStyle w:val="FootnoteReference"/>
          <w:rFonts w:asciiTheme="minorHAnsi" w:hAnsiTheme="minorHAnsi"/>
        </w:rPr>
        <w:footnoteRef/>
      </w:r>
      <w:r w:rsidRPr="00B473E0">
        <w:rPr>
          <w:rFonts w:asciiTheme="minorHAnsi" w:hAnsiTheme="minorHAnsi"/>
        </w:rPr>
        <w:t xml:space="preserve"> </w:t>
      </w:r>
      <w:r w:rsidRPr="00FE4F2F">
        <w:rPr>
          <w:rFonts w:asciiTheme="minorHAnsi" w:hAnsiTheme="minorHAnsi"/>
        </w:rPr>
        <w:t xml:space="preserve">Appellate Body Report, </w:t>
      </w:r>
      <w:r w:rsidRPr="00B473E0">
        <w:rPr>
          <w:rFonts w:asciiTheme="minorHAnsi" w:hAnsiTheme="minorHAnsi"/>
          <w:i/>
          <w:iCs/>
        </w:rPr>
        <w:t>US – Anti-Dumping and Countervailing Duties (China)</w:t>
      </w:r>
      <w:r w:rsidRPr="00FE4F2F">
        <w:rPr>
          <w:rFonts w:asciiTheme="minorHAnsi" w:hAnsiTheme="minorHAnsi"/>
        </w:rPr>
        <w:t>, para.</w:t>
      </w:r>
      <w:r w:rsidRPr="00B473E0">
        <w:rPr>
          <w:rFonts w:asciiTheme="minorHAnsi" w:hAnsiTheme="minorHAnsi"/>
        </w:rPr>
        <w:t xml:space="preserve"> 313.</w:t>
      </w:r>
    </w:p>
  </w:footnote>
  <w:footnote w:id="5">
    <w:p w14:paraId="4BE659C7" w14:textId="78BE28C0" w:rsidR="00FA11BB" w:rsidRDefault="00FA11BB" w:rsidP="00FA11BB">
      <w:pPr>
        <w:pStyle w:val="FootnoteText"/>
      </w:pPr>
      <w:r>
        <w:rPr>
          <w:rStyle w:val="FootnoteReference"/>
        </w:rPr>
        <w:footnoteRef/>
      </w:r>
      <w:r>
        <w:t xml:space="preserve"> See Australia's written submissions, para. </w:t>
      </w:r>
      <w:r w:rsidR="006F7E15">
        <w:t>26</w:t>
      </w:r>
      <w:r>
        <w:t>.</w:t>
      </w:r>
    </w:p>
  </w:footnote>
  <w:footnote w:id="6">
    <w:p w14:paraId="7CA722BF" w14:textId="77777777" w:rsidR="000C27E1" w:rsidRDefault="000C27E1" w:rsidP="000C27E1">
      <w:pPr>
        <w:pStyle w:val="FootnoteText"/>
      </w:pPr>
      <w:r w:rsidRPr="48B1F3A6">
        <w:rPr>
          <w:rStyle w:val="FootnoteReference"/>
          <w:rFonts w:asciiTheme="minorHAnsi" w:hAnsiTheme="minorHAnsi"/>
        </w:rPr>
        <w:footnoteRef/>
      </w:r>
      <w:r w:rsidRPr="48B1F3A6">
        <w:rPr>
          <w:rFonts w:asciiTheme="minorHAnsi" w:hAnsiTheme="minorHAnsi"/>
        </w:rPr>
        <w:t xml:space="preserve"> </w:t>
      </w:r>
      <w:r>
        <w:rPr>
          <w:rFonts w:asciiTheme="minorHAnsi" w:hAnsiTheme="minorHAnsi"/>
        </w:rPr>
        <w:t xml:space="preserve">Appellate Body Report, </w:t>
      </w:r>
      <w:r w:rsidRPr="00DB54C3">
        <w:rPr>
          <w:rFonts w:asciiTheme="minorHAnsi" w:hAnsiTheme="minorHAnsi"/>
          <w:i/>
          <w:iCs/>
        </w:rPr>
        <w:t>EC and certain member States – Large Civil Aircraft</w:t>
      </w:r>
      <w:r>
        <w:rPr>
          <w:rFonts w:asciiTheme="minorHAnsi" w:hAnsiTheme="minorHAnsi"/>
        </w:rPr>
        <w:t>, para. 846.</w:t>
      </w:r>
    </w:p>
  </w:footnote>
  <w:footnote w:id="7">
    <w:p w14:paraId="32ECFE16" w14:textId="77777777" w:rsidR="000C27E1" w:rsidRDefault="000C27E1" w:rsidP="000C27E1">
      <w:pPr>
        <w:pStyle w:val="FootnoteText"/>
      </w:pPr>
      <w:r>
        <w:rPr>
          <w:rStyle w:val="FootnoteReference"/>
        </w:rPr>
        <w:footnoteRef/>
      </w:r>
      <w:r>
        <w:t xml:space="preserve"> Vienna Convention, Article 31(1). </w:t>
      </w:r>
    </w:p>
  </w:footnote>
  <w:footnote w:id="8">
    <w:p w14:paraId="36D962FF" w14:textId="61E85303" w:rsidR="00713B48" w:rsidRPr="00713B48" w:rsidRDefault="00713B48">
      <w:pPr>
        <w:pStyle w:val="FootnoteText"/>
      </w:pPr>
      <w:r>
        <w:rPr>
          <w:rStyle w:val="FootnoteReference"/>
        </w:rPr>
        <w:footnoteRef/>
      </w:r>
      <w:r>
        <w:t xml:space="preserve"> </w:t>
      </w:r>
      <w:r w:rsidR="007F1F2A">
        <w:t xml:space="preserve">Appellate Body </w:t>
      </w:r>
      <w:r w:rsidR="00E04563">
        <w:t>R</w:t>
      </w:r>
      <w:r w:rsidR="007F1F2A">
        <w:t xml:space="preserve">eport, </w:t>
      </w:r>
      <w:r w:rsidRPr="008F60C9">
        <w:rPr>
          <w:bCs/>
          <w:i/>
          <w:iCs/>
          <w:lang w:val="en-GB"/>
        </w:rPr>
        <w:t>US – Countervailing Measures (China) (Article 21.5 – China)</w:t>
      </w:r>
      <w:r>
        <w:rPr>
          <w:bCs/>
          <w:lang w:val="en-GB"/>
        </w:rPr>
        <w:t xml:space="preserve">, para. </w:t>
      </w:r>
      <w:r w:rsidR="00D21D72">
        <w:rPr>
          <w:bCs/>
          <w:lang w:val="en-GB"/>
        </w:rPr>
        <w:t>5.100.</w:t>
      </w:r>
    </w:p>
  </w:footnote>
  <w:footnote w:id="9">
    <w:p w14:paraId="4FC1AD41" w14:textId="0D058C04" w:rsidR="006E4B19" w:rsidRDefault="006E4B19" w:rsidP="006E4B19">
      <w:pPr>
        <w:pStyle w:val="FootnoteText"/>
      </w:pPr>
      <w:r>
        <w:rPr>
          <w:rStyle w:val="FootnoteReference"/>
        </w:rPr>
        <w:footnoteRef/>
      </w:r>
      <w:r>
        <w:t xml:space="preserve"> Appellate Body </w:t>
      </w:r>
      <w:r w:rsidR="00E04563">
        <w:t>R</w:t>
      </w:r>
      <w:r>
        <w:t xml:space="preserve">eport, </w:t>
      </w:r>
      <w:r w:rsidRPr="008C656C">
        <w:rPr>
          <w:bCs/>
          <w:i/>
          <w:iCs/>
        </w:rPr>
        <w:t>US — Countervailing Measures (China)</w:t>
      </w:r>
      <w:r>
        <w:rPr>
          <w:bCs/>
        </w:rPr>
        <w:t>,</w:t>
      </w:r>
      <w:r>
        <w:rPr>
          <w:bCs/>
          <w:i/>
          <w:iCs/>
        </w:rPr>
        <w:t xml:space="preserve"> </w:t>
      </w:r>
      <w:r>
        <w:t xml:space="preserve">4.167. </w:t>
      </w:r>
    </w:p>
  </w:footnote>
  <w:footnote w:id="10">
    <w:p w14:paraId="6B28EFE6" w14:textId="2F7F7310" w:rsidR="007F1F2A" w:rsidRDefault="007F1F2A">
      <w:pPr>
        <w:pStyle w:val="FootnoteText"/>
      </w:pPr>
      <w:r>
        <w:rPr>
          <w:rStyle w:val="FootnoteReference"/>
        </w:rPr>
        <w:footnoteRef/>
      </w:r>
      <w:r>
        <w:t xml:space="preserve"> Appellate Body </w:t>
      </w:r>
      <w:r w:rsidR="00E04563">
        <w:t>R</w:t>
      </w:r>
      <w:r>
        <w:t>eport,</w:t>
      </w:r>
      <w:r w:rsidR="006E4B19">
        <w:t xml:space="preserve"> </w:t>
      </w:r>
      <w:r w:rsidR="006E4B19" w:rsidRPr="008C656C">
        <w:rPr>
          <w:bCs/>
          <w:i/>
          <w:iCs/>
        </w:rPr>
        <w:t>US — Countervailing Measures (China)</w:t>
      </w:r>
      <w:r w:rsidR="006E4B19">
        <w:rPr>
          <w:bCs/>
        </w:rPr>
        <w:t>,</w:t>
      </w:r>
      <w:r w:rsidR="006E4B19">
        <w:rPr>
          <w:bCs/>
          <w:i/>
          <w:iCs/>
        </w:rPr>
        <w:t xml:space="preserve"> </w:t>
      </w:r>
      <w:r w:rsidR="006E4B19">
        <w:t xml:space="preserve">4.167. </w:t>
      </w:r>
    </w:p>
  </w:footnote>
  <w:footnote w:id="11">
    <w:p w14:paraId="6C316F03" w14:textId="638D5BC5" w:rsidR="00153E86" w:rsidRDefault="00153E86">
      <w:pPr>
        <w:pStyle w:val="FootnoteText"/>
      </w:pPr>
      <w:r>
        <w:rPr>
          <w:rStyle w:val="FootnoteReference"/>
        </w:rPr>
        <w:footnoteRef/>
      </w:r>
      <w:r>
        <w:t xml:space="preserve"> See Australia's written submissions, paras. 30 to 33.</w:t>
      </w:r>
    </w:p>
  </w:footnote>
  <w:footnote w:id="12">
    <w:p w14:paraId="0630932E" w14:textId="37867319" w:rsidR="00972BF8" w:rsidRDefault="00972BF8">
      <w:pPr>
        <w:pStyle w:val="FootnoteText"/>
      </w:pPr>
      <w:r>
        <w:rPr>
          <w:rStyle w:val="FootnoteReference"/>
        </w:rPr>
        <w:footnoteRef/>
      </w:r>
      <w:r>
        <w:t xml:space="preserve"> See Australia's written submissions, paras. 30 to 33; Panel </w:t>
      </w:r>
      <w:r w:rsidR="00E04563">
        <w:t>R</w:t>
      </w:r>
      <w:r>
        <w:t>eport</w:t>
      </w:r>
      <w:r w:rsidR="006E3A9E">
        <w:t xml:space="preserve">, </w:t>
      </w:r>
      <w:r w:rsidR="006E3A9E" w:rsidRPr="006E3A9E">
        <w:rPr>
          <w:i/>
          <w:iCs/>
        </w:rPr>
        <w:t>China – Broiler Products (Article 21.5 – US)</w:t>
      </w:r>
      <w:r w:rsidR="006E3A9E" w:rsidRPr="006E3A9E">
        <w:t>, para. 7.231.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FFAB" w14:textId="77777777" w:rsidR="00F8755B" w:rsidRDefault="00F87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40DE0ECF" w:rsidR="00635A10" w:rsidRPr="00DA6839" w:rsidRDefault="00635A10">
    <w:pPr>
      <w:pStyle w:val="Header"/>
      <w:rPr>
        <w:i/>
        <w:iCs/>
      </w:rPr>
    </w:pPr>
    <w:r w:rsidRPr="00DA6839">
      <w:rPr>
        <w:i/>
        <w:iCs/>
      </w:rPr>
      <w:t xml:space="preserve">European Union – Countervailing and Anti-Dumping </w:t>
    </w:r>
    <w:r w:rsidRPr="00DA6839">
      <w:rPr>
        <w:i/>
        <w:iCs/>
      </w:rPr>
      <w:tab/>
    </w:r>
    <w:r w:rsidR="005A3AE3" w:rsidRPr="00DA6839">
      <w:rPr>
        <w:i/>
        <w:iCs/>
      </w:rPr>
      <w:t>Australia's Responses to Questions from the</w:t>
    </w:r>
  </w:p>
  <w:p w14:paraId="10F3C15A" w14:textId="4F343012" w:rsidR="00635A10" w:rsidRPr="00DA6839" w:rsidRDefault="00635A10">
    <w:pPr>
      <w:pStyle w:val="Header"/>
      <w:rPr>
        <w:i/>
        <w:iCs/>
      </w:rPr>
    </w:pPr>
    <w:r w:rsidRPr="00DA6839">
      <w:rPr>
        <w:i/>
        <w:iCs/>
      </w:rPr>
      <w:t>Duties on Stainless Steel Cold-Rolled Flat Products</w:t>
    </w:r>
    <w:r w:rsidRPr="00DA6839">
      <w:rPr>
        <w:i/>
        <w:iCs/>
      </w:rPr>
      <w:tab/>
    </w:r>
    <w:r w:rsidRPr="00DA6839">
      <w:rPr>
        <w:i/>
        <w:iCs/>
      </w:rPr>
      <w:tab/>
    </w:r>
    <w:r w:rsidR="005A3AE3" w:rsidRPr="00DA6839">
      <w:rPr>
        <w:i/>
        <w:iCs/>
      </w:rPr>
      <w:t>Panel following the Third Party Session</w:t>
    </w:r>
  </w:p>
  <w:p w14:paraId="724D59C2" w14:textId="46E5A37C" w:rsidR="00635A10" w:rsidRPr="000E24A1" w:rsidRDefault="00635A10">
    <w:pPr>
      <w:pStyle w:val="Header"/>
      <w:rPr>
        <w:i/>
        <w:iCs/>
      </w:rPr>
    </w:pPr>
    <w:r w:rsidRPr="00DA6839">
      <w:rPr>
        <w:i/>
        <w:iCs/>
      </w:rPr>
      <w:t xml:space="preserve">from Indonesia (DS616) </w:t>
    </w:r>
    <w:r w:rsidRPr="00DA6839">
      <w:rPr>
        <w:i/>
        <w:iCs/>
      </w:rPr>
      <w:tab/>
    </w:r>
    <w:r w:rsidRPr="00DA6839">
      <w:rPr>
        <w:i/>
        <w:iCs/>
      </w:rPr>
      <w:tab/>
    </w:r>
    <w:r w:rsidR="00DA6839" w:rsidRPr="00DA6839">
      <w:rPr>
        <w:i/>
        <w:iCs/>
      </w:rPr>
      <w:t>13</w:t>
    </w:r>
    <w:r w:rsidR="005A3AE3" w:rsidRPr="00DA6839">
      <w:rPr>
        <w:i/>
        <w:iCs/>
      </w:rPr>
      <w:t xml:space="preserve"> May</w:t>
    </w:r>
    <w:r w:rsidR="007A24C5" w:rsidRPr="00DA6839">
      <w:rPr>
        <w:i/>
        <w:iCs/>
      </w:rPr>
      <w:t xml:space="preserve"> 2024</w:t>
    </w:r>
  </w:p>
  <w:p w14:paraId="1C794CEF" w14:textId="77777777" w:rsidR="00635A10" w:rsidRPr="000E24A1" w:rsidRDefault="00635A10">
    <w:pPr>
      <w:pStyle w:val="Header"/>
      <w:rPr>
        <w:i/>
        <w:iCs/>
      </w:rPr>
    </w:pPr>
    <w:r w:rsidRPr="000E24A1">
      <w:rPr>
        <w:i/>
        <w:iCs/>
      </w:rPr>
      <w:tab/>
    </w:r>
    <w:r w:rsidRPr="000E24A1">
      <w:rPr>
        <w:i/>
        <w:iCs/>
      </w:rPr>
      <w:tab/>
    </w:r>
  </w:p>
  <w:p w14:paraId="74891E33" w14:textId="77777777" w:rsidR="00635A10" w:rsidRPr="000E24A1" w:rsidRDefault="00635A10">
    <w:pPr>
      <w:pStyle w:val="Header"/>
      <w:rPr>
        <w:i/>
        <w:iCs/>
      </w:rPr>
    </w:pPr>
    <w:r w:rsidRPr="000E24A1">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4809" w14:textId="77777777" w:rsidR="00F8755B" w:rsidRDefault="00F87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150E7C6B"/>
    <w:multiLevelType w:val="hybridMultilevel"/>
    <w:tmpl w:val="4CD859C8"/>
    <w:lvl w:ilvl="0" w:tplc="FFFFFFFF">
      <w:start w:val="1"/>
      <w:numFmt w:val="decimal"/>
      <w:lvlText w:val="%1."/>
      <w:lvlJc w:val="left"/>
      <w:pPr>
        <w:tabs>
          <w:tab w:val="num" w:pos="851"/>
        </w:tabs>
        <w:ind w:left="0" w:firstLine="0"/>
      </w:pPr>
      <w:rPr>
        <w:rFonts w:hint="default"/>
        <w:b w:val="0"/>
        <w:bCs w:val="0"/>
        <w:i w:val="0"/>
        <w:iCs w:val="0"/>
        <w:color w:val="auto"/>
        <w:vertAlign w:val="baseline"/>
      </w:rPr>
    </w:lvl>
    <w:lvl w:ilvl="1" w:tplc="FFFFFFFF">
      <w:start w:val="1"/>
      <w:numFmt w:val="lowerLetter"/>
      <w:lvlText w:val="%2."/>
      <w:lvlJc w:val="left"/>
      <w:pPr>
        <w:ind w:left="1211" w:hanging="360"/>
      </w:pPr>
    </w:lvl>
    <w:lvl w:ilvl="2" w:tplc="FFFFFFFF">
      <w:start w:val="1"/>
      <w:numFmt w:val="bullet"/>
      <w:lvlText w:val="–"/>
      <w:lvlJc w:val="left"/>
      <w:pPr>
        <w:tabs>
          <w:tab w:val="num" w:pos="2552"/>
        </w:tabs>
        <w:ind w:left="2552" w:hanging="851"/>
      </w:pPr>
      <w:rPr>
        <w:rFonts w:ascii="Calibri" w:eastAsiaTheme="minorHAnsi" w:hAnsi="Calibri" w:cs="Calibri" w:hint="default"/>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2" w15:restartNumberingAfterBreak="0">
    <w:nsid w:val="28243105"/>
    <w:multiLevelType w:val="hybridMultilevel"/>
    <w:tmpl w:val="89C26182"/>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4F4D07C6"/>
    <w:multiLevelType w:val="hybridMultilevel"/>
    <w:tmpl w:val="F77A9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7454AB1"/>
    <w:multiLevelType w:val="multilevel"/>
    <w:tmpl w:val="3924631C"/>
    <w:name w:val="Panel questions"/>
    <w:lvl w:ilvl="0">
      <w:start w:val="1"/>
      <w:numFmt w:val="decimal"/>
      <w:lvlRestart w:val="0"/>
      <w:isLgl/>
      <w:suff w:val="space"/>
      <w:lvlText w:val="%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Restart w:val="0"/>
      <w:lvlText w:val="%3."/>
      <w:lvlJc w:val="left"/>
      <w:pPr>
        <w:ind w:left="0" w:firstLine="0"/>
      </w:pPr>
      <w:rPr>
        <w:rFonts w:hint="default"/>
      </w:rPr>
    </w:lvl>
    <w:lvl w:ilvl="3">
      <w:start w:val="1"/>
      <w:numFmt w:val="lowerLetter"/>
      <w:suff w:val="space"/>
      <w:lvlText w:val="%4.  "/>
      <w:lvlJc w:val="left"/>
      <w:pPr>
        <w:ind w:left="0" w:firstLine="340"/>
      </w:pPr>
      <w:rPr>
        <w:rFonts w:hint="default"/>
      </w:rPr>
    </w:lvl>
    <w:lvl w:ilvl="4">
      <w:start w:val="1"/>
      <w:numFmt w:val="decimal"/>
      <w:lvlRestart w:val="1"/>
      <w:isLgl/>
      <w:lvlText w:val="%1.%5"/>
      <w:lvlJc w:val="left"/>
      <w:pPr>
        <w:ind w:left="0" w:firstLine="0"/>
      </w:pPr>
      <w:rPr>
        <w:rFonts w:hint="default"/>
      </w:rPr>
    </w:lvl>
    <w:lvl w:ilvl="5">
      <w:start w:val="1"/>
      <w:numFmt w:val="decimal"/>
      <w:lvlRestart w:val="2"/>
      <w:isLgl/>
      <w:lvlText w:val="%1.%2.%6"/>
      <w:lvlJc w:val="left"/>
      <w:pPr>
        <w:ind w:left="0" w:firstLine="0"/>
      </w:pPr>
      <w:rPr>
        <w:rFonts w:hint="default"/>
      </w:rPr>
    </w:lvl>
    <w:lvl w:ilvl="6">
      <w:start w:val="1"/>
      <w:numFmt w:val="decimal"/>
      <w:lvlRestart w:val="3"/>
      <w:isLgl/>
      <w:lvlText w:val="%1.%2.%6.%7"/>
      <w:lvlJc w:val="left"/>
      <w:pPr>
        <w:ind w:left="0" w:firstLine="0"/>
      </w:pPr>
      <w:rPr>
        <w:rFonts w:hint="default"/>
      </w:rPr>
    </w:lvl>
    <w:lvl w:ilvl="7">
      <w:start w:val="1"/>
      <w:numFmt w:val="lowerLetter"/>
      <w:lvlText w:val="%8."/>
      <w:lvlJc w:val="left"/>
      <w:pPr>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5"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num w:numId="1" w16cid:durableId="2069500102">
    <w:abstractNumId w:val="2"/>
  </w:num>
  <w:num w:numId="2" w16cid:durableId="846401725">
    <w:abstractNumId w:val="0"/>
  </w:num>
  <w:num w:numId="3" w16cid:durableId="343284933">
    <w:abstractNumId w:val="0"/>
  </w:num>
  <w:num w:numId="4" w16cid:durableId="49571587">
    <w:abstractNumId w:val="0"/>
  </w:num>
  <w:num w:numId="5" w16cid:durableId="1982684989">
    <w:abstractNumId w:val="0"/>
  </w:num>
  <w:num w:numId="6" w16cid:durableId="430126705">
    <w:abstractNumId w:val="2"/>
  </w:num>
  <w:num w:numId="7" w16cid:durableId="1752853467">
    <w:abstractNumId w:val="2"/>
  </w:num>
  <w:num w:numId="8" w16cid:durableId="1664234756">
    <w:abstractNumId w:val="5"/>
  </w:num>
  <w:num w:numId="9" w16cid:durableId="1694988614">
    <w:abstractNumId w:val="2"/>
  </w:num>
  <w:num w:numId="10" w16cid:durableId="1798058958">
    <w:abstractNumId w:val="2"/>
  </w:num>
  <w:num w:numId="11" w16cid:durableId="1534803441">
    <w:abstractNumId w:val="2"/>
  </w:num>
  <w:num w:numId="12" w16cid:durableId="1315452290">
    <w:abstractNumId w:val="0"/>
  </w:num>
  <w:num w:numId="13" w16cid:durableId="1323191717">
    <w:abstractNumId w:val="4"/>
  </w:num>
  <w:num w:numId="14" w16cid:durableId="1616791030">
    <w:abstractNumId w:val="2"/>
  </w:num>
  <w:num w:numId="15" w16cid:durableId="572206636">
    <w:abstractNumId w:val="2"/>
  </w:num>
  <w:num w:numId="16" w16cid:durableId="1616522585">
    <w:abstractNumId w:val="2"/>
  </w:num>
  <w:num w:numId="17" w16cid:durableId="1818909448">
    <w:abstractNumId w:val="2"/>
  </w:num>
  <w:num w:numId="18" w16cid:durableId="1609006422">
    <w:abstractNumId w:val="2"/>
  </w:num>
  <w:num w:numId="19" w16cid:durableId="1442265958">
    <w:abstractNumId w:val="2"/>
  </w:num>
  <w:num w:numId="20" w16cid:durableId="1446193952">
    <w:abstractNumId w:val="0"/>
  </w:num>
  <w:num w:numId="21" w16cid:durableId="1857309783">
    <w:abstractNumId w:val="0"/>
  </w:num>
  <w:num w:numId="22" w16cid:durableId="262493761">
    <w:abstractNumId w:val="2"/>
  </w:num>
  <w:num w:numId="23" w16cid:durableId="1876186799">
    <w:abstractNumId w:val="0"/>
  </w:num>
  <w:num w:numId="24" w16cid:durableId="362438493">
    <w:abstractNumId w:val="2"/>
  </w:num>
  <w:num w:numId="25" w16cid:durableId="901915872">
    <w:abstractNumId w:val="2"/>
  </w:num>
  <w:num w:numId="26" w16cid:durableId="51539178">
    <w:abstractNumId w:val="0"/>
  </w:num>
  <w:num w:numId="27" w16cid:durableId="850681967">
    <w:abstractNumId w:val="2"/>
  </w:num>
  <w:num w:numId="28" w16cid:durableId="1356464785">
    <w:abstractNumId w:val="0"/>
  </w:num>
  <w:num w:numId="29" w16cid:durableId="167524722">
    <w:abstractNumId w:val="2"/>
  </w:num>
  <w:num w:numId="30" w16cid:durableId="1001128806">
    <w:abstractNumId w:val="2"/>
  </w:num>
  <w:num w:numId="31" w16cid:durableId="1681348502">
    <w:abstractNumId w:val="2"/>
  </w:num>
  <w:num w:numId="32" w16cid:durableId="258030458">
    <w:abstractNumId w:val="2"/>
  </w:num>
  <w:num w:numId="33" w16cid:durableId="1292513694">
    <w:abstractNumId w:val="0"/>
  </w:num>
  <w:num w:numId="34" w16cid:durableId="1277560467">
    <w:abstractNumId w:val="2"/>
  </w:num>
  <w:num w:numId="35" w16cid:durableId="1375618909">
    <w:abstractNumId w:val="2"/>
  </w:num>
  <w:num w:numId="36" w16cid:durableId="944533674">
    <w:abstractNumId w:val="2"/>
  </w:num>
  <w:num w:numId="37" w16cid:durableId="1869178747">
    <w:abstractNumId w:val="2"/>
  </w:num>
  <w:num w:numId="38" w16cid:durableId="832379222">
    <w:abstractNumId w:val="2"/>
  </w:num>
  <w:num w:numId="39" w16cid:durableId="865558178">
    <w:abstractNumId w:val="2"/>
  </w:num>
  <w:num w:numId="40" w16cid:durableId="799038177">
    <w:abstractNumId w:val="0"/>
  </w:num>
  <w:num w:numId="41" w16cid:durableId="1548878443">
    <w:abstractNumId w:val="0"/>
  </w:num>
  <w:num w:numId="42" w16cid:durableId="1806309538">
    <w:abstractNumId w:val="2"/>
  </w:num>
  <w:num w:numId="43" w16cid:durableId="1292402084">
    <w:abstractNumId w:val="2"/>
  </w:num>
  <w:num w:numId="44" w16cid:durableId="840004304">
    <w:abstractNumId w:val="2"/>
  </w:num>
  <w:num w:numId="45" w16cid:durableId="1447577048">
    <w:abstractNumId w:val="1"/>
  </w:num>
  <w:num w:numId="46" w16cid:durableId="485097961">
    <w:abstractNumId w:val="2"/>
  </w:num>
  <w:num w:numId="47" w16cid:durableId="852260665">
    <w:abstractNumId w:val="3"/>
  </w:num>
  <w:num w:numId="48" w16cid:durableId="208340756">
    <w:abstractNumId w:val="2"/>
  </w:num>
  <w:num w:numId="49" w16cid:durableId="157720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2C20"/>
    <w:rsid w:val="00005D81"/>
    <w:rsid w:val="00010AF2"/>
    <w:rsid w:val="000321A1"/>
    <w:rsid w:val="0003352D"/>
    <w:rsid w:val="00037C09"/>
    <w:rsid w:val="00051192"/>
    <w:rsid w:val="00054F87"/>
    <w:rsid w:val="00065D57"/>
    <w:rsid w:val="00071DE1"/>
    <w:rsid w:val="00072F70"/>
    <w:rsid w:val="0007545D"/>
    <w:rsid w:val="0007767F"/>
    <w:rsid w:val="000918FB"/>
    <w:rsid w:val="000A40FC"/>
    <w:rsid w:val="000A6CF7"/>
    <w:rsid w:val="000A773A"/>
    <w:rsid w:val="000B23D8"/>
    <w:rsid w:val="000C27E1"/>
    <w:rsid w:val="000C37BC"/>
    <w:rsid w:val="000D454B"/>
    <w:rsid w:val="000D601A"/>
    <w:rsid w:val="000E0007"/>
    <w:rsid w:val="000E17C4"/>
    <w:rsid w:val="000E18DA"/>
    <w:rsid w:val="000E24A1"/>
    <w:rsid w:val="000E2AFD"/>
    <w:rsid w:val="000E3A98"/>
    <w:rsid w:val="00100E47"/>
    <w:rsid w:val="00102FC3"/>
    <w:rsid w:val="001101F9"/>
    <w:rsid w:val="0012540F"/>
    <w:rsid w:val="00153E86"/>
    <w:rsid w:val="00160B67"/>
    <w:rsid w:val="0017760F"/>
    <w:rsid w:val="001846F7"/>
    <w:rsid w:val="00185110"/>
    <w:rsid w:val="00193D9B"/>
    <w:rsid w:val="001970B9"/>
    <w:rsid w:val="001A0206"/>
    <w:rsid w:val="001A30FD"/>
    <w:rsid w:val="001A3AF1"/>
    <w:rsid w:val="001C11B5"/>
    <w:rsid w:val="001C663A"/>
    <w:rsid w:val="001C7086"/>
    <w:rsid w:val="001D3A5F"/>
    <w:rsid w:val="001D63E0"/>
    <w:rsid w:val="001E0708"/>
    <w:rsid w:val="001E6278"/>
    <w:rsid w:val="001E66F3"/>
    <w:rsid w:val="001F1A1B"/>
    <w:rsid w:val="001F3108"/>
    <w:rsid w:val="00210D77"/>
    <w:rsid w:val="00216D93"/>
    <w:rsid w:val="00223D6F"/>
    <w:rsid w:val="002279EA"/>
    <w:rsid w:val="00233F47"/>
    <w:rsid w:val="0024198F"/>
    <w:rsid w:val="00251F2A"/>
    <w:rsid w:val="0025656C"/>
    <w:rsid w:val="0026729C"/>
    <w:rsid w:val="00267756"/>
    <w:rsid w:val="002720BF"/>
    <w:rsid w:val="00272FB5"/>
    <w:rsid w:val="002749F2"/>
    <w:rsid w:val="002779D1"/>
    <w:rsid w:val="00280A62"/>
    <w:rsid w:val="00283EF1"/>
    <w:rsid w:val="00284B22"/>
    <w:rsid w:val="00285182"/>
    <w:rsid w:val="002852B7"/>
    <w:rsid w:val="002A129C"/>
    <w:rsid w:val="002A599E"/>
    <w:rsid w:val="002A675C"/>
    <w:rsid w:val="002B569C"/>
    <w:rsid w:val="002B7529"/>
    <w:rsid w:val="002C0FA5"/>
    <w:rsid w:val="002C4159"/>
    <w:rsid w:val="002C508B"/>
    <w:rsid w:val="002D2A77"/>
    <w:rsid w:val="002D56DD"/>
    <w:rsid w:val="002E165B"/>
    <w:rsid w:val="002E6DFB"/>
    <w:rsid w:val="0030017C"/>
    <w:rsid w:val="00302921"/>
    <w:rsid w:val="00305CFA"/>
    <w:rsid w:val="00312D3D"/>
    <w:rsid w:val="00320ABB"/>
    <w:rsid w:val="00321269"/>
    <w:rsid w:val="00327650"/>
    <w:rsid w:val="0033341E"/>
    <w:rsid w:val="00345AF9"/>
    <w:rsid w:val="00350596"/>
    <w:rsid w:val="003548B3"/>
    <w:rsid w:val="0036302E"/>
    <w:rsid w:val="0036741E"/>
    <w:rsid w:val="00376CC9"/>
    <w:rsid w:val="00381722"/>
    <w:rsid w:val="00382529"/>
    <w:rsid w:val="00382620"/>
    <w:rsid w:val="00384419"/>
    <w:rsid w:val="00384DE1"/>
    <w:rsid w:val="003974E5"/>
    <w:rsid w:val="003A1F0E"/>
    <w:rsid w:val="003A2EF0"/>
    <w:rsid w:val="003A4411"/>
    <w:rsid w:val="003C6356"/>
    <w:rsid w:val="003D0D71"/>
    <w:rsid w:val="003D1C69"/>
    <w:rsid w:val="003D5634"/>
    <w:rsid w:val="003E1284"/>
    <w:rsid w:val="003E2A1A"/>
    <w:rsid w:val="003F55BE"/>
    <w:rsid w:val="00400A7E"/>
    <w:rsid w:val="00402773"/>
    <w:rsid w:val="00403BA4"/>
    <w:rsid w:val="00404DA8"/>
    <w:rsid w:val="00413FE7"/>
    <w:rsid w:val="0043031F"/>
    <w:rsid w:val="00431120"/>
    <w:rsid w:val="004314F8"/>
    <w:rsid w:val="004413AD"/>
    <w:rsid w:val="00451169"/>
    <w:rsid w:val="00456095"/>
    <w:rsid w:val="00464272"/>
    <w:rsid w:val="00471D17"/>
    <w:rsid w:val="00472B6B"/>
    <w:rsid w:val="0047351C"/>
    <w:rsid w:val="00473E1F"/>
    <w:rsid w:val="0048059B"/>
    <w:rsid w:val="0048784A"/>
    <w:rsid w:val="004A6DA6"/>
    <w:rsid w:val="004B72A3"/>
    <w:rsid w:val="004B752E"/>
    <w:rsid w:val="004C40D8"/>
    <w:rsid w:val="004C59EC"/>
    <w:rsid w:val="004D302F"/>
    <w:rsid w:val="004D33E4"/>
    <w:rsid w:val="004D4831"/>
    <w:rsid w:val="004E2ADC"/>
    <w:rsid w:val="004F086B"/>
    <w:rsid w:val="004F122B"/>
    <w:rsid w:val="004F55C0"/>
    <w:rsid w:val="0050564E"/>
    <w:rsid w:val="00505CF6"/>
    <w:rsid w:val="005126FF"/>
    <w:rsid w:val="00512DB9"/>
    <w:rsid w:val="0053073A"/>
    <w:rsid w:val="00532B8E"/>
    <w:rsid w:val="00533A67"/>
    <w:rsid w:val="00534A57"/>
    <w:rsid w:val="00550FB2"/>
    <w:rsid w:val="0055116D"/>
    <w:rsid w:val="00553E1F"/>
    <w:rsid w:val="005563BD"/>
    <w:rsid w:val="00557440"/>
    <w:rsid w:val="00557D4F"/>
    <w:rsid w:val="00562025"/>
    <w:rsid w:val="005675F6"/>
    <w:rsid w:val="00572450"/>
    <w:rsid w:val="0057426E"/>
    <w:rsid w:val="0057510B"/>
    <w:rsid w:val="00575516"/>
    <w:rsid w:val="005755A1"/>
    <w:rsid w:val="00577DD9"/>
    <w:rsid w:val="005842A0"/>
    <w:rsid w:val="0059203F"/>
    <w:rsid w:val="00592993"/>
    <w:rsid w:val="005A3AE3"/>
    <w:rsid w:val="005B23AD"/>
    <w:rsid w:val="005B311E"/>
    <w:rsid w:val="005B3554"/>
    <w:rsid w:val="005B7666"/>
    <w:rsid w:val="005C19EC"/>
    <w:rsid w:val="005D0850"/>
    <w:rsid w:val="005D7D97"/>
    <w:rsid w:val="005E77F1"/>
    <w:rsid w:val="005F09CC"/>
    <w:rsid w:val="006014E1"/>
    <w:rsid w:val="00610657"/>
    <w:rsid w:val="00611D3A"/>
    <w:rsid w:val="00624DC2"/>
    <w:rsid w:val="00635A10"/>
    <w:rsid w:val="00652692"/>
    <w:rsid w:val="00664F6B"/>
    <w:rsid w:val="0066681B"/>
    <w:rsid w:val="00671821"/>
    <w:rsid w:val="00672B22"/>
    <w:rsid w:val="00672D58"/>
    <w:rsid w:val="006735CE"/>
    <w:rsid w:val="00677E9E"/>
    <w:rsid w:val="00680B13"/>
    <w:rsid w:val="00681164"/>
    <w:rsid w:val="00690C03"/>
    <w:rsid w:val="006953D5"/>
    <w:rsid w:val="006A01CE"/>
    <w:rsid w:val="006A12F5"/>
    <w:rsid w:val="006B0776"/>
    <w:rsid w:val="006B12DD"/>
    <w:rsid w:val="006C0913"/>
    <w:rsid w:val="006C1EFC"/>
    <w:rsid w:val="006C7840"/>
    <w:rsid w:val="006C7DF8"/>
    <w:rsid w:val="006E3A9E"/>
    <w:rsid w:val="006E4B19"/>
    <w:rsid w:val="006F7E15"/>
    <w:rsid w:val="007001C5"/>
    <w:rsid w:val="007047F7"/>
    <w:rsid w:val="007119A0"/>
    <w:rsid w:val="00711CF7"/>
    <w:rsid w:val="00713B48"/>
    <w:rsid w:val="00714176"/>
    <w:rsid w:val="0071719E"/>
    <w:rsid w:val="00723D29"/>
    <w:rsid w:val="00731DF8"/>
    <w:rsid w:val="00740F91"/>
    <w:rsid w:val="00743DBA"/>
    <w:rsid w:val="007536D4"/>
    <w:rsid w:val="00756CEA"/>
    <w:rsid w:val="007573B5"/>
    <w:rsid w:val="0075771D"/>
    <w:rsid w:val="0076575E"/>
    <w:rsid w:val="007750F1"/>
    <w:rsid w:val="007774E4"/>
    <w:rsid w:val="007A24C5"/>
    <w:rsid w:val="007A5269"/>
    <w:rsid w:val="007A699B"/>
    <w:rsid w:val="007A6F74"/>
    <w:rsid w:val="007B077F"/>
    <w:rsid w:val="007C5A9C"/>
    <w:rsid w:val="007D04D5"/>
    <w:rsid w:val="007E5C6D"/>
    <w:rsid w:val="007E5D16"/>
    <w:rsid w:val="007E7A23"/>
    <w:rsid w:val="007F03F8"/>
    <w:rsid w:val="007F1F2A"/>
    <w:rsid w:val="007F5450"/>
    <w:rsid w:val="00806D1B"/>
    <w:rsid w:val="00812225"/>
    <w:rsid w:val="00814159"/>
    <w:rsid w:val="00814497"/>
    <w:rsid w:val="00816BA6"/>
    <w:rsid w:val="00840A63"/>
    <w:rsid w:val="00843B3E"/>
    <w:rsid w:val="008473C3"/>
    <w:rsid w:val="00847F29"/>
    <w:rsid w:val="008620AF"/>
    <w:rsid w:val="00885512"/>
    <w:rsid w:val="00886B83"/>
    <w:rsid w:val="008922CB"/>
    <w:rsid w:val="008A2D4C"/>
    <w:rsid w:val="008A517E"/>
    <w:rsid w:val="008A63B9"/>
    <w:rsid w:val="008B2334"/>
    <w:rsid w:val="008C453A"/>
    <w:rsid w:val="008D0A0D"/>
    <w:rsid w:val="008F3AA9"/>
    <w:rsid w:val="008F4715"/>
    <w:rsid w:val="008F49E0"/>
    <w:rsid w:val="008F60C9"/>
    <w:rsid w:val="008F7177"/>
    <w:rsid w:val="008F7B2B"/>
    <w:rsid w:val="0090243C"/>
    <w:rsid w:val="00904275"/>
    <w:rsid w:val="00906928"/>
    <w:rsid w:val="009167F4"/>
    <w:rsid w:val="00917E1A"/>
    <w:rsid w:val="0092071B"/>
    <w:rsid w:val="009225A4"/>
    <w:rsid w:val="009320F0"/>
    <w:rsid w:val="00943152"/>
    <w:rsid w:val="00951016"/>
    <w:rsid w:val="00952ABA"/>
    <w:rsid w:val="00955E94"/>
    <w:rsid w:val="009654F9"/>
    <w:rsid w:val="009722CA"/>
    <w:rsid w:val="00972BF8"/>
    <w:rsid w:val="00973E5C"/>
    <w:rsid w:val="00985D49"/>
    <w:rsid w:val="00985DCB"/>
    <w:rsid w:val="00990348"/>
    <w:rsid w:val="00990CD9"/>
    <w:rsid w:val="00992A8D"/>
    <w:rsid w:val="00993E6D"/>
    <w:rsid w:val="00994D63"/>
    <w:rsid w:val="009959B6"/>
    <w:rsid w:val="009A3D63"/>
    <w:rsid w:val="009A6491"/>
    <w:rsid w:val="009B3919"/>
    <w:rsid w:val="009C11E2"/>
    <w:rsid w:val="009E40F1"/>
    <w:rsid w:val="009E49B5"/>
    <w:rsid w:val="009E5915"/>
    <w:rsid w:val="009F0C57"/>
    <w:rsid w:val="009F5018"/>
    <w:rsid w:val="00A04043"/>
    <w:rsid w:val="00A134C5"/>
    <w:rsid w:val="00A145B7"/>
    <w:rsid w:val="00A1694F"/>
    <w:rsid w:val="00A20227"/>
    <w:rsid w:val="00A244EB"/>
    <w:rsid w:val="00A26527"/>
    <w:rsid w:val="00A362E9"/>
    <w:rsid w:val="00A371B4"/>
    <w:rsid w:val="00A429AD"/>
    <w:rsid w:val="00A42F69"/>
    <w:rsid w:val="00A46F60"/>
    <w:rsid w:val="00A47CF9"/>
    <w:rsid w:val="00A56710"/>
    <w:rsid w:val="00A57337"/>
    <w:rsid w:val="00A601F0"/>
    <w:rsid w:val="00A65808"/>
    <w:rsid w:val="00A6692A"/>
    <w:rsid w:val="00A87BA5"/>
    <w:rsid w:val="00A90E41"/>
    <w:rsid w:val="00A95F3D"/>
    <w:rsid w:val="00A9785D"/>
    <w:rsid w:val="00AA1A55"/>
    <w:rsid w:val="00AA468D"/>
    <w:rsid w:val="00AB1F8A"/>
    <w:rsid w:val="00AB2C34"/>
    <w:rsid w:val="00AD0189"/>
    <w:rsid w:val="00AD37DA"/>
    <w:rsid w:val="00AD3E21"/>
    <w:rsid w:val="00AE5E25"/>
    <w:rsid w:val="00AE6143"/>
    <w:rsid w:val="00AF1877"/>
    <w:rsid w:val="00AF23E5"/>
    <w:rsid w:val="00AF30FB"/>
    <w:rsid w:val="00AF3A4C"/>
    <w:rsid w:val="00AF50A2"/>
    <w:rsid w:val="00AF7528"/>
    <w:rsid w:val="00B06139"/>
    <w:rsid w:val="00B07041"/>
    <w:rsid w:val="00B11786"/>
    <w:rsid w:val="00B11A29"/>
    <w:rsid w:val="00B134D8"/>
    <w:rsid w:val="00B17DA4"/>
    <w:rsid w:val="00B20889"/>
    <w:rsid w:val="00B2465A"/>
    <w:rsid w:val="00B34D5A"/>
    <w:rsid w:val="00B352BE"/>
    <w:rsid w:val="00B4284B"/>
    <w:rsid w:val="00B43FED"/>
    <w:rsid w:val="00B46C00"/>
    <w:rsid w:val="00B645A1"/>
    <w:rsid w:val="00B70775"/>
    <w:rsid w:val="00B73DCD"/>
    <w:rsid w:val="00B74CB9"/>
    <w:rsid w:val="00B81580"/>
    <w:rsid w:val="00B863CD"/>
    <w:rsid w:val="00B91918"/>
    <w:rsid w:val="00B9696C"/>
    <w:rsid w:val="00B96B80"/>
    <w:rsid w:val="00B978AB"/>
    <w:rsid w:val="00BA0835"/>
    <w:rsid w:val="00BA0EA5"/>
    <w:rsid w:val="00BA236E"/>
    <w:rsid w:val="00BA488B"/>
    <w:rsid w:val="00BB0665"/>
    <w:rsid w:val="00BB53A6"/>
    <w:rsid w:val="00BC034B"/>
    <w:rsid w:val="00BC1B53"/>
    <w:rsid w:val="00BC2A4D"/>
    <w:rsid w:val="00BC487C"/>
    <w:rsid w:val="00BC74F3"/>
    <w:rsid w:val="00BD2DC2"/>
    <w:rsid w:val="00BD4E67"/>
    <w:rsid w:val="00BD64D4"/>
    <w:rsid w:val="00BE34E1"/>
    <w:rsid w:val="00BE3B57"/>
    <w:rsid w:val="00BE467D"/>
    <w:rsid w:val="00BE51C6"/>
    <w:rsid w:val="00C03A06"/>
    <w:rsid w:val="00C05090"/>
    <w:rsid w:val="00C15C33"/>
    <w:rsid w:val="00C33BD1"/>
    <w:rsid w:val="00C44B78"/>
    <w:rsid w:val="00C45777"/>
    <w:rsid w:val="00C610CD"/>
    <w:rsid w:val="00C63472"/>
    <w:rsid w:val="00C814EF"/>
    <w:rsid w:val="00C871DD"/>
    <w:rsid w:val="00C873D0"/>
    <w:rsid w:val="00C94ED6"/>
    <w:rsid w:val="00C96E1B"/>
    <w:rsid w:val="00CB2600"/>
    <w:rsid w:val="00CC4C03"/>
    <w:rsid w:val="00CC5C9C"/>
    <w:rsid w:val="00CD1FCF"/>
    <w:rsid w:val="00CD22BE"/>
    <w:rsid w:val="00CE295D"/>
    <w:rsid w:val="00CE3099"/>
    <w:rsid w:val="00CF7B89"/>
    <w:rsid w:val="00D06B49"/>
    <w:rsid w:val="00D17409"/>
    <w:rsid w:val="00D21D72"/>
    <w:rsid w:val="00D2673C"/>
    <w:rsid w:val="00D32925"/>
    <w:rsid w:val="00D3365F"/>
    <w:rsid w:val="00D41158"/>
    <w:rsid w:val="00D50DFB"/>
    <w:rsid w:val="00D5503C"/>
    <w:rsid w:val="00D55A26"/>
    <w:rsid w:val="00D57F37"/>
    <w:rsid w:val="00D6072E"/>
    <w:rsid w:val="00D61A4B"/>
    <w:rsid w:val="00D7472A"/>
    <w:rsid w:val="00D76009"/>
    <w:rsid w:val="00D90B80"/>
    <w:rsid w:val="00D93A2D"/>
    <w:rsid w:val="00D95055"/>
    <w:rsid w:val="00D97476"/>
    <w:rsid w:val="00DA23CB"/>
    <w:rsid w:val="00DA495B"/>
    <w:rsid w:val="00DA6839"/>
    <w:rsid w:val="00DB409D"/>
    <w:rsid w:val="00DC06F4"/>
    <w:rsid w:val="00DC39FE"/>
    <w:rsid w:val="00DC4BBE"/>
    <w:rsid w:val="00DE1FD5"/>
    <w:rsid w:val="00DE55AD"/>
    <w:rsid w:val="00DF1461"/>
    <w:rsid w:val="00DF6281"/>
    <w:rsid w:val="00E03BF5"/>
    <w:rsid w:val="00E04563"/>
    <w:rsid w:val="00E17FCD"/>
    <w:rsid w:val="00E2215B"/>
    <w:rsid w:val="00E23658"/>
    <w:rsid w:val="00E25143"/>
    <w:rsid w:val="00E27F69"/>
    <w:rsid w:val="00E33CFC"/>
    <w:rsid w:val="00E36A49"/>
    <w:rsid w:val="00E37735"/>
    <w:rsid w:val="00E41F57"/>
    <w:rsid w:val="00E56D3E"/>
    <w:rsid w:val="00E750B4"/>
    <w:rsid w:val="00E76FAB"/>
    <w:rsid w:val="00E84FEC"/>
    <w:rsid w:val="00E96DDC"/>
    <w:rsid w:val="00E9798B"/>
    <w:rsid w:val="00EA5D47"/>
    <w:rsid w:val="00EB183E"/>
    <w:rsid w:val="00EC5E11"/>
    <w:rsid w:val="00ED3502"/>
    <w:rsid w:val="00ED4A0F"/>
    <w:rsid w:val="00ED7DE5"/>
    <w:rsid w:val="00EE48D2"/>
    <w:rsid w:val="00EF13ED"/>
    <w:rsid w:val="00EF3819"/>
    <w:rsid w:val="00EF4331"/>
    <w:rsid w:val="00EF7E14"/>
    <w:rsid w:val="00F02E0F"/>
    <w:rsid w:val="00F03F6E"/>
    <w:rsid w:val="00F174F4"/>
    <w:rsid w:val="00F2707B"/>
    <w:rsid w:val="00F32D00"/>
    <w:rsid w:val="00F336D8"/>
    <w:rsid w:val="00F4141A"/>
    <w:rsid w:val="00F50B2B"/>
    <w:rsid w:val="00F64C60"/>
    <w:rsid w:val="00F64CE7"/>
    <w:rsid w:val="00F71EA3"/>
    <w:rsid w:val="00F73925"/>
    <w:rsid w:val="00F7455F"/>
    <w:rsid w:val="00F813CF"/>
    <w:rsid w:val="00F86652"/>
    <w:rsid w:val="00F8755B"/>
    <w:rsid w:val="00F9067F"/>
    <w:rsid w:val="00F93792"/>
    <w:rsid w:val="00FA06B8"/>
    <w:rsid w:val="00FA11BB"/>
    <w:rsid w:val="00FB342D"/>
    <w:rsid w:val="00FC2461"/>
    <w:rsid w:val="00FC435D"/>
    <w:rsid w:val="00FC5A03"/>
    <w:rsid w:val="00FD3C21"/>
    <w:rsid w:val="00FE1292"/>
    <w:rsid w:val="00FE1E0C"/>
    <w:rsid w:val="00FE47A3"/>
    <w:rsid w:val="00FE5D62"/>
    <w:rsid w:val="00FF4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Normal"/>
    <w:next w:val="Normal"/>
    <w:link w:val="Heading1Char"/>
    <w:uiPriority w:val="2"/>
    <w:qFormat/>
    <w:rsid w:val="00F71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2"/>
    <w:unhideWhenUsed/>
    <w:qFormat/>
    <w:rsid w:val="00F71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2"/>
    <w:unhideWhenUsed/>
    <w:qFormat/>
    <w:rsid w:val="00F71EA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2"/>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spacing w:before="0" w:after="160"/>
    </w:pPr>
    <w:rPr>
      <w:rFonts w:ascii="Calibri" w:hAnsi="Calibri"/>
      <w:b/>
      <w:caps/>
      <w:color w:val="auto"/>
      <w:sz w:val="28"/>
    </w:rPr>
  </w:style>
  <w:style w:type="paragraph" w:customStyle="1" w:styleId="HL2HeadingLevel2">
    <w:name w:val="[HL2] Heading Level 2"/>
    <w:basedOn w:val="Heading2"/>
    <w:next w:val="P1-N1Paragraph1-Number1"/>
    <w:link w:val="HL2HeadingLevel2Char"/>
    <w:uiPriority w:val="4"/>
    <w:qFormat/>
    <w:rsid w:val="00F71EA3"/>
    <w:pPr>
      <w:numPr>
        <w:ilvl w:val="1"/>
        <w:numId w:val="2"/>
      </w:numPr>
      <w:spacing w:before="0" w:after="160"/>
    </w:pPr>
    <w:rPr>
      <w:rFonts w:ascii="Calibri" w:hAnsi="Calibri"/>
      <w:b/>
      <w:smallCaps/>
      <w:color w:val="auto"/>
      <w:sz w:val="28"/>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spacing w:before="0" w:after="160"/>
    </w:pPr>
    <w:rPr>
      <w:rFonts w:ascii="Calibri" w:hAnsi="Calibri"/>
      <w:b/>
      <w:color w:val="auto"/>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pPr>
      <w:jc w:val="center"/>
    </w:pPr>
    <w:rPr>
      <w:rFonts w:ascii="Calibri" w:hAnsi="Calibri"/>
      <w:b/>
      <w:caps/>
      <w:sz w:val="24"/>
    </w:rPr>
  </w:style>
  <w:style w:type="character" w:customStyle="1" w:styleId="Heading1Char">
    <w:name w:val="Heading 1 Char"/>
    <w:basedOn w:val="DefaultParagraphFont"/>
    <w:link w:val="Heading1"/>
    <w:uiPriority w:val="9"/>
    <w:rsid w:val="00F71EA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caps/>
      <w:color w:val="2F5496" w:themeColor="accent1" w:themeShade="BF"/>
      <w:kern w:val="0"/>
      <w:sz w:val="24"/>
      <w:szCs w:val="32"/>
      <w14:ligatures w14:val="none"/>
    </w:rPr>
  </w:style>
  <w:style w:type="paragraph" w:styleId="TOC1">
    <w:name w:val="toc 1"/>
    <w:basedOn w:val="Normal"/>
    <w:next w:val="Normal"/>
    <w:autoRedefine/>
    <w:uiPriority w:val="39"/>
    <w:unhideWhenUsed/>
    <w:rsid w:val="00AF7528"/>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9"/>
    <w:semiHidden/>
    <w:rsid w:val="00F71EA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numbering" w:customStyle="1" w:styleId="LegalHeadings">
    <w:name w:val="LegalHeadings"/>
    <w:uiPriority w:val="99"/>
    <w:rsid w:val="0012540F"/>
    <w:pPr>
      <w:numPr>
        <w:numId w:val="8"/>
      </w:numPr>
    </w:pPr>
  </w:style>
  <w:style w:type="paragraph" w:styleId="BodyText">
    <w:name w:val="Body Text"/>
    <w:basedOn w:val="Normal"/>
    <w:link w:val="BodyTextChar"/>
    <w:uiPriority w:val="1"/>
    <w:qFormat/>
    <w:rsid w:val="00072F70"/>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072F70"/>
    <w:rPr>
      <w:rFonts w:ascii="Verdana" w:eastAsia="Calibri" w:hAnsi="Verdana" w:cs="Times New Roman"/>
      <w:kern w:val="0"/>
      <w:sz w:val="18"/>
      <w:lang w:val="en-GB"/>
      <w14:ligatures w14:val="none"/>
    </w:rPr>
  </w:style>
  <w:style w:type="paragraph" w:customStyle="1" w:styleId="Quotation">
    <w:name w:val="Quotation"/>
    <w:basedOn w:val="Normal"/>
    <w:uiPriority w:val="5"/>
    <w:qFormat/>
    <w:rsid w:val="00072F70"/>
    <w:pPr>
      <w:spacing w:after="240" w:line="240" w:lineRule="auto"/>
      <w:ind w:left="567" w:right="567"/>
    </w:pPr>
    <w:rPr>
      <w:rFonts w:ascii="Verdana" w:eastAsia="Calibri" w:hAnsi="Verdana" w:cs="Times New Roman"/>
      <w:sz w:val="18"/>
      <w:szCs w:val="18"/>
      <w:lang w:val="en-GB" w:eastAsia="en-GB"/>
    </w:rPr>
  </w:style>
  <w:style w:type="paragraph" w:customStyle="1" w:styleId="Panelquestion">
    <w:name w:val="Panel question"/>
    <w:basedOn w:val="Normal"/>
    <w:next w:val="Panelquestion2"/>
    <w:link w:val="PanelquestionChar"/>
    <w:qFormat/>
    <w:rsid w:val="00072F70"/>
    <w:pPr>
      <w:tabs>
        <w:tab w:val="left" w:pos="426"/>
      </w:tabs>
      <w:spacing w:before="240" w:after="240" w:line="240" w:lineRule="auto"/>
      <w:outlineLvl w:val="2"/>
    </w:pPr>
    <w:rPr>
      <w:rFonts w:ascii="Verdana" w:hAnsi="Verdana"/>
      <w:b/>
      <w:sz w:val="18"/>
      <w:szCs w:val="22"/>
      <w:lang w:val="en-GB"/>
    </w:rPr>
  </w:style>
  <w:style w:type="character" w:customStyle="1" w:styleId="PanelquestionChar">
    <w:name w:val="Panel question Char"/>
    <w:basedOn w:val="DefaultParagraphFont"/>
    <w:link w:val="Panelquestion"/>
    <w:rsid w:val="00072F70"/>
    <w:rPr>
      <w:rFonts w:ascii="Verdana" w:hAnsi="Verdana"/>
      <w:b/>
      <w:kern w:val="0"/>
      <w:sz w:val="18"/>
      <w:lang w:val="en-GB"/>
      <w14:ligatures w14:val="none"/>
    </w:rPr>
  </w:style>
  <w:style w:type="paragraph" w:customStyle="1" w:styleId="Panelquestion2">
    <w:name w:val="Panel question2"/>
    <w:basedOn w:val="BodyText2"/>
    <w:link w:val="Panelquestion2Char"/>
    <w:qFormat/>
    <w:rsid w:val="00072F70"/>
    <w:pPr>
      <w:tabs>
        <w:tab w:val="num" w:pos="360"/>
      </w:tabs>
      <w:spacing w:after="240" w:line="240" w:lineRule="auto"/>
      <w:outlineLvl w:val="3"/>
    </w:pPr>
    <w:rPr>
      <w:rFonts w:ascii="Verdana" w:eastAsia="Calibri" w:hAnsi="Verdana" w:cs="Times New Roman"/>
      <w:b/>
      <w:sz w:val="18"/>
      <w:szCs w:val="22"/>
      <w:lang w:val="en-GB"/>
    </w:rPr>
  </w:style>
  <w:style w:type="paragraph" w:styleId="BodyText2">
    <w:name w:val="Body Text 2"/>
    <w:basedOn w:val="Normal"/>
    <w:link w:val="BodyText2Char"/>
    <w:uiPriority w:val="99"/>
    <w:semiHidden/>
    <w:unhideWhenUsed/>
    <w:rsid w:val="00072F70"/>
    <w:pPr>
      <w:spacing w:after="120" w:line="480" w:lineRule="auto"/>
    </w:pPr>
  </w:style>
  <w:style w:type="character" w:customStyle="1" w:styleId="BodyText2Char">
    <w:name w:val="Body Text 2 Char"/>
    <w:basedOn w:val="DefaultParagraphFont"/>
    <w:link w:val="BodyText2"/>
    <w:uiPriority w:val="99"/>
    <w:semiHidden/>
    <w:rsid w:val="00072F70"/>
    <w:rPr>
      <w:rFonts w:ascii="Calibri" w:hAnsi="Calibri"/>
      <w:kern w:val="0"/>
      <w:sz w:val="24"/>
      <w:szCs w:val="24"/>
      <w14:ligatures w14:val="none"/>
    </w:rPr>
  </w:style>
  <w:style w:type="character" w:customStyle="1" w:styleId="Panelquestion2Char">
    <w:name w:val="Panel question2 Char"/>
    <w:basedOn w:val="BodyText2Char"/>
    <w:link w:val="Panelquestion2"/>
    <w:rsid w:val="00384DE1"/>
    <w:rPr>
      <w:rFonts w:ascii="Verdana" w:eastAsia="Calibri" w:hAnsi="Verdana" w:cs="Times New Roman"/>
      <w:b/>
      <w:kern w:val="0"/>
      <w:sz w:val="18"/>
      <w:szCs w:val="24"/>
      <w:lang w:val="en-GB"/>
      <w14:ligatures w14:val="none"/>
    </w:rPr>
  </w:style>
  <w:style w:type="paragraph" w:customStyle="1" w:styleId="Default">
    <w:name w:val="Default"/>
    <w:rsid w:val="00F64CE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3E2A1A"/>
    <w:rPr>
      <w:color w:val="605E5C"/>
      <w:shd w:val="clear" w:color="auto" w:fill="E1DFDD"/>
    </w:rPr>
  </w:style>
  <w:style w:type="paragraph" w:styleId="ListParagraph">
    <w:name w:val="List Paragraph"/>
    <w:basedOn w:val="Normal"/>
    <w:uiPriority w:val="34"/>
    <w:qFormat/>
    <w:rsid w:val="00985DCB"/>
    <w:pPr>
      <w:spacing w:after="0" w:line="240" w:lineRule="auto"/>
      <w:ind w:left="720"/>
      <w:jc w:val="left"/>
    </w:pPr>
    <w:rPr>
      <w:rFonts w:cs="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2E2C-76F2-4073-80BA-2C823E6B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1979</Words>
  <Characters>10683</Characters>
  <Application>Microsoft Office Word</Application>
  <DocSecurity>0</DocSecurity>
  <Lines>214</Lines>
  <Paragraphs>82</Paragraphs>
  <ScaleCrop>false</ScaleCrop>
  <HeadingPairs>
    <vt:vector size="2" baseType="variant">
      <vt:variant>
        <vt:lpstr>Title</vt:lpstr>
      </vt:variant>
      <vt:variant>
        <vt:i4>1</vt:i4>
      </vt:variant>
    </vt:vector>
  </HeadingPairs>
  <TitlesOfParts>
    <vt:vector size="1" baseType="lpstr">
      <vt:lpstr>EUROPEAN UNION – COUNTERVAILING AND ANTI-DUMPING</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 COUNTERVAILING AND ANTI-DUMPING FROM INDONESIA</dc:title>
  <dc:subject/>
  <dc:creator/>
  <cp:keywords>[SEC=OFFICIAL]</cp:keywords>
  <dc:description/>
  <cp:lastModifiedBy/>
  <cp:revision>1</cp:revision>
  <dcterms:created xsi:type="dcterms:W3CDTF">2024-05-13T08:24:00Z</dcterms:created>
  <dcterms:modified xsi:type="dcterms:W3CDTF">2024-05-28T05:42:00Z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v=2022.1;a=SHA256;h=6A049D5E4B65510EBF4FA792DC2F5B18B49D963C4C8556E573397FAE235EAE39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2024-02-14T09:46:38Z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A2D7AD070E374839968AD2718A981DEA</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DF3A4BB3F5434D03BDD393AD7B9980F5</vt:lpwstr>
  </property>
  <property fmtid="{D5CDD505-2E9C-101B-9397-08002B2CF9AE}" pid="24" name="PM_Hash_Salt">
    <vt:lpwstr>9BAF832A6093D9BDB4C23C9F3EE0D9A4</vt:lpwstr>
  </property>
  <property fmtid="{D5CDD505-2E9C-101B-9397-08002B2CF9AE}" pid="25" name="PM_Hash_SHA1">
    <vt:lpwstr>05284D9F8A3013745B956BFC6A0B8E348E5DE7C9</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