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2B9D7" w14:textId="24535B83" w:rsidR="00354A06" w:rsidRPr="0007327B" w:rsidRDefault="00602BE6" w:rsidP="005714C3">
      <w:pPr>
        <w:pStyle w:val="BTNSSBodyTextNoSpacingSmall"/>
        <w:rPr>
          <w:sz w:val="2"/>
          <w:szCs w:val="2"/>
        </w:rPr>
      </w:pPr>
      <w:r>
        <w:rPr>
          <w:sz w:val="2"/>
          <w:szCs w:val="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54C57884" w14:textId="77777777" w:rsidTr="008A4C51">
        <w:trPr>
          <w:trHeight w:val="4365"/>
        </w:trPr>
        <w:tc>
          <w:tcPr>
            <w:tcW w:w="9060" w:type="dxa"/>
          </w:tcPr>
          <w:p w14:paraId="7BD072ED"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06D5D7D3"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30D6782B" w14:textId="77777777" w:rsidTr="00BE0B1C">
        <w:trPr>
          <w:trHeight w:val="737"/>
        </w:trPr>
        <w:tc>
          <w:tcPr>
            <w:tcW w:w="9060" w:type="dxa"/>
          </w:tcPr>
          <w:p w14:paraId="36AD4901" w14:textId="26E06C39" w:rsidR="005714C3" w:rsidRPr="0007327B" w:rsidRDefault="00236926" w:rsidP="00DA5381">
            <w:pPr>
              <w:pStyle w:val="WTODTWTODisputeTitle"/>
            </w:pPr>
            <w:r>
              <w:t>China – Anti-dumping measures on stainless steel products from Japan</w:t>
            </w:r>
          </w:p>
        </w:tc>
      </w:tr>
      <w:tr w:rsidR="005714C3" w:rsidRPr="0007327B" w14:paraId="008A8DBB" w14:textId="77777777" w:rsidTr="008A4C51">
        <w:trPr>
          <w:trHeight w:val="3175"/>
        </w:trPr>
        <w:tc>
          <w:tcPr>
            <w:tcW w:w="9060" w:type="dxa"/>
          </w:tcPr>
          <w:p w14:paraId="2ECCC411" w14:textId="0FFD7F30" w:rsidR="005714C3" w:rsidRPr="0007327B" w:rsidRDefault="005714C3" w:rsidP="00DA5381">
            <w:pPr>
              <w:pStyle w:val="DSNDSNumber"/>
            </w:pPr>
            <w:r w:rsidRPr="0007327B">
              <w:t>(DS</w:t>
            </w:r>
            <w:r w:rsidR="00236926">
              <w:t>601</w:t>
            </w:r>
            <w:r w:rsidRPr="0007327B">
              <w:t>)</w:t>
            </w:r>
          </w:p>
        </w:tc>
      </w:tr>
      <w:tr w:rsidR="005714C3" w:rsidRPr="0007327B" w14:paraId="6E3C97F2" w14:textId="77777777" w:rsidTr="00DD4BA0">
        <w:trPr>
          <w:trHeight w:val="3798"/>
        </w:trPr>
        <w:tc>
          <w:tcPr>
            <w:tcW w:w="9060" w:type="dxa"/>
          </w:tcPr>
          <w:p w14:paraId="5E6BF255" w14:textId="119111F0" w:rsidR="005714C3" w:rsidRPr="0007327B" w:rsidRDefault="009313F3" w:rsidP="00DA5381">
            <w:pPr>
              <w:pStyle w:val="DTDocumentTitle"/>
            </w:pPr>
            <w:r>
              <w:t>Third Party Written Submission of Australia</w:t>
            </w:r>
          </w:p>
        </w:tc>
      </w:tr>
      <w:tr w:rsidR="005714C3" w:rsidRPr="0007327B" w14:paraId="3AA17BBD" w14:textId="77777777" w:rsidTr="00BE0B1C">
        <w:trPr>
          <w:trHeight w:val="624"/>
        </w:trPr>
        <w:tc>
          <w:tcPr>
            <w:tcW w:w="9060" w:type="dxa"/>
          </w:tcPr>
          <w:p w14:paraId="259E07E4" w14:textId="5F5F6EA6" w:rsidR="005714C3" w:rsidRPr="0007327B" w:rsidRDefault="009619B6" w:rsidP="00DA5381">
            <w:pPr>
              <w:pStyle w:val="DDDocumentDate"/>
            </w:pPr>
            <w:r>
              <w:t>9</w:t>
            </w:r>
            <w:r w:rsidR="00236926">
              <w:t xml:space="preserve"> May 2022</w:t>
            </w:r>
          </w:p>
        </w:tc>
      </w:tr>
    </w:tbl>
    <w:p w14:paraId="6014C731" w14:textId="77777777" w:rsidR="005714C3" w:rsidRPr="0007327B" w:rsidRDefault="005714C3" w:rsidP="00BE0B1C">
      <w:pPr>
        <w:pStyle w:val="BTNSSBodyTextNoSpacingSmall"/>
      </w:pPr>
    </w:p>
    <w:p w14:paraId="182A9239" w14:textId="77777777" w:rsidR="00006269" w:rsidRPr="0007327B" w:rsidRDefault="00006269" w:rsidP="00BE0B1C">
      <w:pPr>
        <w:pStyle w:val="BTNSSBodyTextNoSpacingSmall"/>
      </w:pPr>
      <w:r w:rsidRPr="0007327B">
        <w:br w:type="page"/>
      </w:r>
    </w:p>
    <w:p w14:paraId="66A6A851" w14:textId="55555AD6" w:rsidR="004D7079" w:rsidRPr="0007327B" w:rsidRDefault="004D7079" w:rsidP="004D7079">
      <w:pPr>
        <w:pStyle w:val="BTNSSBodyTextNoSpacingSmall"/>
      </w:pPr>
    </w:p>
    <w:p w14:paraId="46F89DF5" w14:textId="218D0B2C" w:rsidR="009C107C" w:rsidRDefault="009C107C" w:rsidP="00C73188">
      <w:pPr>
        <w:pStyle w:val="SHSectionHeading"/>
      </w:pPr>
      <w:bookmarkStart w:id="0" w:name="_Toc100253860"/>
    </w:p>
    <w:sdt>
      <w:sdtPr>
        <w:rPr>
          <w:b w:val="0"/>
          <w:caps w:val="0"/>
          <w:lang w:val="en-AU"/>
        </w:rPr>
        <w:id w:val="794183329"/>
        <w:docPartObj>
          <w:docPartGallery w:val="Table of Contents"/>
          <w:docPartUnique/>
        </w:docPartObj>
      </w:sdtPr>
      <w:sdtEndPr>
        <w:rPr>
          <w:bCs/>
          <w:noProof/>
        </w:rPr>
      </w:sdtEndPr>
      <w:sdtContent>
        <w:p w14:paraId="5D916382" w14:textId="4F82F569" w:rsidR="009E7A1F" w:rsidRDefault="009E7A1F">
          <w:pPr>
            <w:pStyle w:val="TOCHeading"/>
          </w:pPr>
          <w:r>
            <w:t>Contents</w:t>
          </w:r>
        </w:p>
        <w:p w14:paraId="60C26FD7" w14:textId="626C9396" w:rsidR="00337B1A" w:rsidRDefault="009E7A1F">
          <w:pPr>
            <w:pStyle w:val="TOC1"/>
            <w:rPr>
              <w:rFonts w:asciiTheme="minorHAnsi" w:eastAsiaTheme="minorEastAsia" w:hAnsiTheme="minorHAnsi"/>
              <w:b w:val="0"/>
              <w:caps w:val="0"/>
              <w:noProof/>
              <w:sz w:val="22"/>
              <w:szCs w:val="22"/>
              <w:lang w:eastAsia="en-AU"/>
            </w:rPr>
          </w:pPr>
          <w:r>
            <w:fldChar w:fldCharType="begin"/>
          </w:r>
          <w:r>
            <w:instrText xml:space="preserve"> TOC \o "1-3" \h \z \u </w:instrText>
          </w:r>
          <w:r>
            <w:fldChar w:fldCharType="separate"/>
          </w:r>
          <w:hyperlink w:anchor="_Toc102905624" w:history="1">
            <w:r w:rsidR="00337B1A" w:rsidRPr="00AE685E">
              <w:rPr>
                <w:rStyle w:val="Hyperlink"/>
                <w:noProof/>
              </w:rPr>
              <w:t>Table of Cases</w:t>
            </w:r>
            <w:r w:rsidR="00337B1A">
              <w:rPr>
                <w:noProof/>
                <w:webHidden/>
              </w:rPr>
              <w:tab/>
            </w:r>
            <w:r w:rsidR="00337B1A">
              <w:rPr>
                <w:noProof/>
                <w:webHidden/>
              </w:rPr>
              <w:fldChar w:fldCharType="begin"/>
            </w:r>
            <w:r w:rsidR="00337B1A">
              <w:rPr>
                <w:noProof/>
                <w:webHidden/>
              </w:rPr>
              <w:instrText xml:space="preserve"> PAGEREF _Toc102905624 \h </w:instrText>
            </w:r>
            <w:r w:rsidR="00337B1A">
              <w:rPr>
                <w:noProof/>
                <w:webHidden/>
              </w:rPr>
            </w:r>
            <w:r w:rsidR="00337B1A">
              <w:rPr>
                <w:noProof/>
                <w:webHidden/>
              </w:rPr>
              <w:fldChar w:fldCharType="separate"/>
            </w:r>
            <w:r w:rsidR="0052511D">
              <w:rPr>
                <w:noProof/>
                <w:webHidden/>
              </w:rPr>
              <w:t>3</w:t>
            </w:r>
            <w:r w:rsidR="00337B1A">
              <w:rPr>
                <w:noProof/>
                <w:webHidden/>
              </w:rPr>
              <w:fldChar w:fldCharType="end"/>
            </w:r>
          </w:hyperlink>
        </w:p>
        <w:p w14:paraId="1E4987CA" w14:textId="03D74C8C" w:rsidR="00337B1A" w:rsidRDefault="00AB4324">
          <w:pPr>
            <w:pStyle w:val="TOC1"/>
            <w:rPr>
              <w:rFonts w:asciiTheme="minorHAnsi" w:eastAsiaTheme="minorEastAsia" w:hAnsiTheme="minorHAnsi"/>
              <w:b w:val="0"/>
              <w:caps w:val="0"/>
              <w:noProof/>
              <w:sz w:val="22"/>
              <w:szCs w:val="22"/>
              <w:lang w:eastAsia="en-AU"/>
            </w:rPr>
          </w:pPr>
          <w:hyperlink w:anchor="_Toc102905625" w:history="1">
            <w:r w:rsidR="00337B1A" w:rsidRPr="00AE685E">
              <w:rPr>
                <w:rStyle w:val="Hyperlink"/>
                <w:noProof/>
              </w:rPr>
              <w:t>List of Acronyms, Abbreviations and Short Forms</w:t>
            </w:r>
            <w:r w:rsidR="00337B1A">
              <w:rPr>
                <w:noProof/>
                <w:webHidden/>
              </w:rPr>
              <w:tab/>
            </w:r>
            <w:r w:rsidR="00337B1A">
              <w:rPr>
                <w:noProof/>
                <w:webHidden/>
              </w:rPr>
              <w:fldChar w:fldCharType="begin"/>
            </w:r>
            <w:r w:rsidR="00337B1A">
              <w:rPr>
                <w:noProof/>
                <w:webHidden/>
              </w:rPr>
              <w:instrText xml:space="preserve"> PAGEREF _Toc102905625 \h </w:instrText>
            </w:r>
            <w:r w:rsidR="00337B1A">
              <w:rPr>
                <w:noProof/>
                <w:webHidden/>
              </w:rPr>
            </w:r>
            <w:r w:rsidR="00337B1A">
              <w:rPr>
                <w:noProof/>
                <w:webHidden/>
              </w:rPr>
              <w:fldChar w:fldCharType="separate"/>
            </w:r>
            <w:r w:rsidR="0052511D">
              <w:rPr>
                <w:noProof/>
                <w:webHidden/>
              </w:rPr>
              <w:t>6</w:t>
            </w:r>
            <w:r w:rsidR="00337B1A">
              <w:rPr>
                <w:noProof/>
                <w:webHidden/>
              </w:rPr>
              <w:fldChar w:fldCharType="end"/>
            </w:r>
          </w:hyperlink>
        </w:p>
        <w:p w14:paraId="05EB0D74" w14:textId="1FB86948" w:rsidR="00337B1A" w:rsidRDefault="00AB4324">
          <w:pPr>
            <w:pStyle w:val="TOC1"/>
            <w:rPr>
              <w:rFonts w:asciiTheme="minorHAnsi" w:eastAsiaTheme="minorEastAsia" w:hAnsiTheme="minorHAnsi"/>
              <w:b w:val="0"/>
              <w:caps w:val="0"/>
              <w:noProof/>
              <w:sz w:val="22"/>
              <w:szCs w:val="22"/>
              <w:lang w:eastAsia="en-AU"/>
            </w:rPr>
          </w:pPr>
          <w:hyperlink w:anchor="_Toc102905626" w:history="1">
            <w:r w:rsidR="00337B1A" w:rsidRPr="00AE685E">
              <w:rPr>
                <w:rStyle w:val="Hyperlink"/>
                <w:noProof/>
              </w:rPr>
              <w:t>I.</w:t>
            </w:r>
            <w:r w:rsidR="00337B1A">
              <w:rPr>
                <w:rFonts w:asciiTheme="minorHAnsi" w:eastAsiaTheme="minorEastAsia" w:hAnsiTheme="minorHAnsi"/>
                <w:b w:val="0"/>
                <w:caps w:val="0"/>
                <w:noProof/>
                <w:sz w:val="22"/>
                <w:szCs w:val="22"/>
                <w:lang w:eastAsia="en-AU"/>
              </w:rPr>
              <w:tab/>
            </w:r>
            <w:r w:rsidR="00337B1A" w:rsidRPr="00AE685E">
              <w:rPr>
                <w:rStyle w:val="Hyperlink"/>
                <w:noProof/>
              </w:rPr>
              <w:t>Introduction</w:t>
            </w:r>
            <w:r w:rsidR="00337B1A">
              <w:rPr>
                <w:noProof/>
                <w:webHidden/>
              </w:rPr>
              <w:tab/>
            </w:r>
            <w:r w:rsidR="00337B1A">
              <w:rPr>
                <w:noProof/>
                <w:webHidden/>
              </w:rPr>
              <w:fldChar w:fldCharType="begin"/>
            </w:r>
            <w:r w:rsidR="00337B1A">
              <w:rPr>
                <w:noProof/>
                <w:webHidden/>
              </w:rPr>
              <w:instrText xml:space="preserve"> PAGEREF _Toc102905626 \h </w:instrText>
            </w:r>
            <w:r w:rsidR="00337B1A">
              <w:rPr>
                <w:noProof/>
                <w:webHidden/>
              </w:rPr>
            </w:r>
            <w:r w:rsidR="00337B1A">
              <w:rPr>
                <w:noProof/>
                <w:webHidden/>
              </w:rPr>
              <w:fldChar w:fldCharType="separate"/>
            </w:r>
            <w:r w:rsidR="0052511D">
              <w:rPr>
                <w:noProof/>
                <w:webHidden/>
              </w:rPr>
              <w:t>7</w:t>
            </w:r>
            <w:r w:rsidR="00337B1A">
              <w:rPr>
                <w:noProof/>
                <w:webHidden/>
              </w:rPr>
              <w:fldChar w:fldCharType="end"/>
            </w:r>
          </w:hyperlink>
        </w:p>
        <w:p w14:paraId="256FD00B" w14:textId="54EF627C" w:rsidR="00337B1A" w:rsidRDefault="00AB4324">
          <w:pPr>
            <w:pStyle w:val="TOC1"/>
            <w:rPr>
              <w:rFonts w:asciiTheme="minorHAnsi" w:eastAsiaTheme="minorEastAsia" w:hAnsiTheme="minorHAnsi"/>
              <w:b w:val="0"/>
              <w:caps w:val="0"/>
              <w:noProof/>
              <w:sz w:val="22"/>
              <w:szCs w:val="22"/>
              <w:lang w:eastAsia="en-AU"/>
            </w:rPr>
          </w:pPr>
          <w:hyperlink w:anchor="_Toc102905627" w:history="1">
            <w:r w:rsidR="00337B1A" w:rsidRPr="00AE685E">
              <w:rPr>
                <w:rStyle w:val="Hyperlink"/>
                <w:noProof/>
              </w:rPr>
              <w:t>II.</w:t>
            </w:r>
            <w:r w:rsidR="00337B1A">
              <w:rPr>
                <w:rFonts w:asciiTheme="minorHAnsi" w:eastAsiaTheme="minorEastAsia" w:hAnsiTheme="minorHAnsi"/>
                <w:b w:val="0"/>
                <w:caps w:val="0"/>
                <w:noProof/>
                <w:sz w:val="22"/>
                <w:szCs w:val="22"/>
                <w:lang w:eastAsia="en-AU"/>
              </w:rPr>
              <w:tab/>
            </w:r>
            <w:r w:rsidR="00337B1A" w:rsidRPr="00AE685E">
              <w:rPr>
                <w:rStyle w:val="Hyperlink"/>
                <w:noProof/>
              </w:rPr>
              <w:t>domestic industry</w:t>
            </w:r>
            <w:r w:rsidR="00337B1A">
              <w:rPr>
                <w:noProof/>
                <w:webHidden/>
              </w:rPr>
              <w:tab/>
            </w:r>
            <w:r w:rsidR="00337B1A">
              <w:rPr>
                <w:noProof/>
                <w:webHidden/>
              </w:rPr>
              <w:fldChar w:fldCharType="begin"/>
            </w:r>
            <w:r w:rsidR="00337B1A">
              <w:rPr>
                <w:noProof/>
                <w:webHidden/>
              </w:rPr>
              <w:instrText xml:space="preserve"> PAGEREF _Toc102905627 \h </w:instrText>
            </w:r>
            <w:r w:rsidR="00337B1A">
              <w:rPr>
                <w:noProof/>
                <w:webHidden/>
              </w:rPr>
            </w:r>
            <w:r w:rsidR="00337B1A">
              <w:rPr>
                <w:noProof/>
                <w:webHidden/>
              </w:rPr>
              <w:fldChar w:fldCharType="separate"/>
            </w:r>
            <w:r w:rsidR="0052511D">
              <w:rPr>
                <w:noProof/>
                <w:webHidden/>
              </w:rPr>
              <w:t>8</w:t>
            </w:r>
            <w:r w:rsidR="00337B1A">
              <w:rPr>
                <w:noProof/>
                <w:webHidden/>
              </w:rPr>
              <w:fldChar w:fldCharType="end"/>
            </w:r>
          </w:hyperlink>
        </w:p>
        <w:p w14:paraId="4D8CF29D" w14:textId="2D12DD5F" w:rsidR="00337B1A" w:rsidRDefault="00AB4324">
          <w:pPr>
            <w:pStyle w:val="TOC1"/>
            <w:rPr>
              <w:rFonts w:asciiTheme="minorHAnsi" w:eastAsiaTheme="minorEastAsia" w:hAnsiTheme="minorHAnsi"/>
              <w:b w:val="0"/>
              <w:caps w:val="0"/>
              <w:noProof/>
              <w:sz w:val="22"/>
              <w:szCs w:val="22"/>
              <w:lang w:eastAsia="en-AU"/>
            </w:rPr>
          </w:pPr>
          <w:hyperlink w:anchor="_Toc102905628" w:history="1">
            <w:r w:rsidR="00337B1A" w:rsidRPr="00AE685E">
              <w:rPr>
                <w:rStyle w:val="Hyperlink"/>
                <w:noProof/>
              </w:rPr>
              <w:t>III.</w:t>
            </w:r>
            <w:r w:rsidR="00337B1A">
              <w:rPr>
                <w:rFonts w:asciiTheme="minorHAnsi" w:eastAsiaTheme="minorEastAsia" w:hAnsiTheme="minorHAnsi"/>
                <w:b w:val="0"/>
                <w:caps w:val="0"/>
                <w:noProof/>
                <w:sz w:val="22"/>
                <w:szCs w:val="22"/>
                <w:lang w:eastAsia="en-AU"/>
              </w:rPr>
              <w:tab/>
            </w:r>
            <w:r w:rsidR="00337B1A" w:rsidRPr="00AE685E">
              <w:rPr>
                <w:rStyle w:val="Hyperlink"/>
                <w:noProof/>
              </w:rPr>
              <w:t>injury</w:t>
            </w:r>
            <w:r w:rsidR="00337B1A">
              <w:rPr>
                <w:noProof/>
                <w:webHidden/>
              </w:rPr>
              <w:tab/>
            </w:r>
            <w:r w:rsidR="00337B1A">
              <w:rPr>
                <w:noProof/>
                <w:webHidden/>
              </w:rPr>
              <w:fldChar w:fldCharType="begin"/>
            </w:r>
            <w:r w:rsidR="00337B1A">
              <w:rPr>
                <w:noProof/>
                <w:webHidden/>
              </w:rPr>
              <w:instrText xml:space="preserve"> PAGEREF _Toc102905628 \h </w:instrText>
            </w:r>
            <w:r w:rsidR="00337B1A">
              <w:rPr>
                <w:noProof/>
                <w:webHidden/>
              </w:rPr>
            </w:r>
            <w:r w:rsidR="00337B1A">
              <w:rPr>
                <w:noProof/>
                <w:webHidden/>
              </w:rPr>
              <w:fldChar w:fldCharType="separate"/>
            </w:r>
            <w:r w:rsidR="0052511D">
              <w:rPr>
                <w:noProof/>
                <w:webHidden/>
              </w:rPr>
              <w:t>10</w:t>
            </w:r>
            <w:r w:rsidR="00337B1A">
              <w:rPr>
                <w:noProof/>
                <w:webHidden/>
              </w:rPr>
              <w:fldChar w:fldCharType="end"/>
            </w:r>
          </w:hyperlink>
        </w:p>
        <w:p w14:paraId="334448DA" w14:textId="2D6D0E86" w:rsidR="00337B1A" w:rsidRDefault="00AB4324">
          <w:pPr>
            <w:pStyle w:val="TOC2"/>
            <w:rPr>
              <w:rFonts w:asciiTheme="minorHAnsi" w:eastAsiaTheme="minorEastAsia" w:hAnsiTheme="minorHAnsi"/>
              <w:b w:val="0"/>
              <w:smallCaps w:val="0"/>
              <w:noProof/>
              <w:sz w:val="22"/>
              <w:szCs w:val="22"/>
              <w:lang w:eastAsia="en-AU"/>
            </w:rPr>
          </w:pPr>
          <w:hyperlink w:anchor="_Toc102905629" w:history="1">
            <w:r w:rsidR="00337B1A" w:rsidRPr="00AE685E">
              <w:rPr>
                <w:rStyle w:val="Hyperlink"/>
                <w:noProof/>
              </w:rPr>
              <w:t>A.</w:t>
            </w:r>
            <w:r w:rsidR="00337B1A">
              <w:rPr>
                <w:rFonts w:asciiTheme="minorHAnsi" w:eastAsiaTheme="minorEastAsia" w:hAnsiTheme="minorHAnsi"/>
                <w:b w:val="0"/>
                <w:smallCaps w:val="0"/>
                <w:noProof/>
                <w:sz w:val="22"/>
                <w:szCs w:val="22"/>
                <w:lang w:eastAsia="en-AU"/>
              </w:rPr>
              <w:tab/>
            </w:r>
            <w:r w:rsidR="00337B1A" w:rsidRPr="00AE685E">
              <w:rPr>
                <w:rStyle w:val="Hyperlink"/>
                <w:noProof/>
              </w:rPr>
              <w:t>price comparability</w:t>
            </w:r>
            <w:r w:rsidR="00337B1A">
              <w:rPr>
                <w:noProof/>
                <w:webHidden/>
              </w:rPr>
              <w:tab/>
            </w:r>
            <w:r w:rsidR="00337B1A">
              <w:rPr>
                <w:noProof/>
                <w:webHidden/>
              </w:rPr>
              <w:fldChar w:fldCharType="begin"/>
            </w:r>
            <w:r w:rsidR="00337B1A">
              <w:rPr>
                <w:noProof/>
                <w:webHidden/>
              </w:rPr>
              <w:instrText xml:space="preserve"> PAGEREF _Toc102905629 \h </w:instrText>
            </w:r>
            <w:r w:rsidR="00337B1A">
              <w:rPr>
                <w:noProof/>
                <w:webHidden/>
              </w:rPr>
            </w:r>
            <w:r w:rsidR="00337B1A">
              <w:rPr>
                <w:noProof/>
                <w:webHidden/>
              </w:rPr>
              <w:fldChar w:fldCharType="separate"/>
            </w:r>
            <w:r w:rsidR="0052511D">
              <w:rPr>
                <w:noProof/>
                <w:webHidden/>
              </w:rPr>
              <w:t>11</w:t>
            </w:r>
            <w:r w:rsidR="00337B1A">
              <w:rPr>
                <w:noProof/>
                <w:webHidden/>
              </w:rPr>
              <w:fldChar w:fldCharType="end"/>
            </w:r>
          </w:hyperlink>
        </w:p>
        <w:p w14:paraId="5DABA88A" w14:textId="77394CD1" w:rsidR="00337B1A" w:rsidRDefault="00AB4324">
          <w:pPr>
            <w:pStyle w:val="TOC2"/>
            <w:rPr>
              <w:rFonts w:asciiTheme="minorHAnsi" w:eastAsiaTheme="minorEastAsia" w:hAnsiTheme="minorHAnsi"/>
              <w:b w:val="0"/>
              <w:smallCaps w:val="0"/>
              <w:noProof/>
              <w:sz w:val="22"/>
              <w:szCs w:val="22"/>
              <w:lang w:eastAsia="en-AU"/>
            </w:rPr>
          </w:pPr>
          <w:hyperlink w:anchor="_Toc102905630" w:history="1">
            <w:r w:rsidR="00337B1A" w:rsidRPr="00AE685E">
              <w:rPr>
                <w:rStyle w:val="Hyperlink"/>
                <w:noProof/>
              </w:rPr>
              <w:t>B.</w:t>
            </w:r>
            <w:r w:rsidR="00337B1A">
              <w:rPr>
                <w:rFonts w:asciiTheme="minorHAnsi" w:eastAsiaTheme="minorEastAsia" w:hAnsiTheme="minorHAnsi"/>
                <w:b w:val="0"/>
                <w:smallCaps w:val="0"/>
                <w:noProof/>
                <w:sz w:val="22"/>
                <w:szCs w:val="22"/>
                <w:lang w:eastAsia="en-AU"/>
              </w:rPr>
              <w:tab/>
            </w:r>
            <w:r w:rsidR="00337B1A" w:rsidRPr="00AE685E">
              <w:rPr>
                <w:rStyle w:val="Hyperlink"/>
                <w:noProof/>
              </w:rPr>
              <w:t>impact analysis</w:t>
            </w:r>
            <w:r w:rsidR="00337B1A">
              <w:rPr>
                <w:noProof/>
                <w:webHidden/>
              </w:rPr>
              <w:tab/>
            </w:r>
            <w:r w:rsidR="00337B1A">
              <w:rPr>
                <w:noProof/>
                <w:webHidden/>
              </w:rPr>
              <w:fldChar w:fldCharType="begin"/>
            </w:r>
            <w:r w:rsidR="00337B1A">
              <w:rPr>
                <w:noProof/>
                <w:webHidden/>
              </w:rPr>
              <w:instrText xml:space="preserve"> PAGEREF _Toc102905630 \h </w:instrText>
            </w:r>
            <w:r w:rsidR="00337B1A">
              <w:rPr>
                <w:noProof/>
                <w:webHidden/>
              </w:rPr>
            </w:r>
            <w:r w:rsidR="00337B1A">
              <w:rPr>
                <w:noProof/>
                <w:webHidden/>
              </w:rPr>
              <w:fldChar w:fldCharType="separate"/>
            </w:r>
            <w:r w:rsidR="0052511D">
              <w:rPr>
                <w:noProof/>
                <w:webHidden/>
              </w:rPr>
              <w:t>13</w:t>
            </w:r>
            <w:r w:rsidR="00337B1A">
              <w:rPr>
                <w:noProof/>
                <w:webHidden/>
              </w:rPr>
              <w:fldChar w:fldCharType="end"/>
            </w:r>
          </w:hyperlink>
        </w:p>
        <w:p w14:paraId="1D6D8BB4" w14:textId="29371358" w:rsidR="00337B1A" w:rsidRDefault="00AB4324">
          <w:pPr>
            <w:pStyle w:val="TOC2"/>
            <w:rPr>
              <w:rFonts w:asciiTheme="minorHAnsi" w:eastAsiaTheme="minorEastAsia" w:hAnsiTheme="minorHAnsi"/>
              <w:b w:val="0"/>
              <w:smallCaps w:val="0"/>
              <w:noProof/>
              <w:sz w:val="22"/>
              <w:szCs w:val="22"/>
              <w:lang w:eastAsia="en-AU"/>
            </w:rPr>
          </w:pPr>
          <w:hyperlink w:anchor="_Toc102905631" w:history="1">
            <w:r w:rsidR="00337B1A" w:rsidRPr="00AE685E">
              <w:rPr>
                <w:rStyle w:val="Hyperlink"/>
                <w:noProof/>
              </w:rPr>
              <w:t>C.</w:t>
            </w:r>
            <w:r w:rsidR="00337B1A">
              <w:rPr>
                <w:rFonts w:asciiTheme="minorHAnsi" w:eastAsiaTheme="minorEastAsia" w:hAnsiTheme="minorHAnsi"/>
                <w:b w:val="0"/>
                <w:smallCaps w:val="0"/>
                <w:noProof/>
                <w:sz w:val="22"/>
                <w:szCs w:val="22"/>
                <w:lang w:eastAsia="en-AU"/>
              </w:rPr>
              <w:tab/>
            </w:r>
            <w:r w:rsidR="00337B1A" w:rsidRPr="00AE685E">
              <w:rPr>
                <w:rStyle w:val="Hyperlink"/>
                <w:noProof/>
              </w:rPr>
              <w:t>non-attribution</w:t>
            </w:r>
            <w:r w:rsidR="00337B1A">
              <w:rPr>
                <w:noProof/>
                <w:webHidden/>
              </w:rPr>
              <w:tab/>
            </w:r>
            <w:r w:rsidR="00337B1A">
              <w:rPr>
                <w:noProof/>
                <w:webHidden/>
              </w:rPr>
              <w:fldChar w:fldCharType="begin"/>
            </w:r>
            <w:r w:rsidR="00337B1A">
              <w:rPr>
                <w:noProof/>
                <w:webHidden/>
              </w:rPr>
              <w:instrText xml:space="preserve"> PAGEREF _Toc102905631 \h </w:instrText>
            </w:r>
            <w:r w:rsidR="00337B1A">
              <w:rPr>
                <w:noProof/>
                <w:webHidden/>
              </w:rPr>
            </w:r>
            <w:r w:rsidR="00337B1A">
              <w:rPr>
                <w:noProof/>
                <w:webHidden/>
              </w:rPr>
              <w:fldChar w:fldCharType="separate"/>
            </w:r>
            <w:r w:rsidR="0052511D">
              <w:rPr>
                <w:noProof/>
                <w:webHidden/>
              </w:rPr>
              <w:t>15</w:t>
            </w:r>
            <w:r w:rsidR="00337B1A">
              <w:rPr>
                <w:noProof/>
                <w:webHidden/>
              </w:rPr>
              <w:fldChar w:fldCharType="end"/>
            </w:r>
          </w:hyperlink>
        </w:p>
        <w:p w14:paraId="0E953C81" w14:textId="0005EBDD" w:rsidR="00337B1A" w:rsidRDefault="00AB4324">
          <w:pPr>
            <w:pStyle w:val="TOC1"/>
            <w:rPr>
              <w:rFonts w:asciiTheme="minorHAnsi" w:eastAsiaTheme="minorEastAsia" w:hAnsiTheme="minorHAnsi"/>
              <w:b w:val="0"/>
              <w:caps w:val="0"/>
              <w:noProof/>
              <w:sz w:val="22"/>
              <w:szCs w:val="22"/>
              <w:lang w:eastAsia="en-AU"/>
            </w:rPr>
          </w:pPr>
          <w:hyperlink w:anchor="_Toc102905632" w:history="1">
            <w:r w:rsidR="00337B1A" w:rsidRPr="00AE685E">
              <w:rPr>
                <w:rStyle w:val="Hyperlink"/>
                <w:noProof/>
              </w:rPr>
              <w:t>IV.</w:t>
            </w:r>
            <w:r w:rsidR="00337B1A">
              <w:rPr>
                <w:rFonts w:asciiTheme="minorHAnsi" w:eastAsiaTheme="minorEastAsia" w:hAnsiTheme="minorHAnsi"/>
                <w:b w:val="0"/>
                <w:caps w:val="0"/>
                <w:noProof/>
                <w:sz w:val="22"/>
                <w:szCs w:val="22"/>
                <w:lang w:eastAsia="en-AU"/>
              </w:rPr>
              <w:tab/>
            </w:r>
            <w:r w:rsidR="00337B1A" w:rsidRPr="00AE685E">
              <w:rPr>
                <w:rStyle w:val="Hyperlink"/>
                <w:noProof/>
              </w:rPr>
              <w:t>due process</w:t>
            </w:r>
            <w:r w:rsidR="00337B1A">
              <w:rPr>
                <w:noProof/>
                <w:webHidden/>
              </w:rPr>
              <w:tab/>
            </w:r>
            <w:r w:rsidR="00337B1A">
              <w:rPr>
                <w:noProof/>
                <w:webHidden/>
              </w:rPr>
              <w:fldChar w:fldCharType="begin"/>
            </w:r>
            <w:r w:rsidR="00337B1A">
              <w:rPr>
                <w:noProof/>
                <w:webHidden/>
              </w:rPr>
              <w:instrText xml:space="preserve"> PAGEREF _Toc102905632 \h </w:instrText>
            </w:r>
            <w:r w:rsidR="00337B1A">
              <w:rPr>
                <w:noProof/>
                <w:webHidden/>
              </w:rPr>
            </w:r>
            <w:r w:rsidR="00337B1A">
              <w:rPr>
                <w:noProof/>
                <w:webHidden/>
              </w:rPr>
              <w:fldChar w:fldCharType="separate"/>
            </w:r>
            <w:r w:rsidR="0052511D">
              <w:rPr>
                <w:noProof/>
                <w:webHidden/>
              </w:rPr>
              <w:t>17</w:t>
            </w:r>
            <w:r w:rsidR="00337B1A">
              <w:rPr>
                <w:noProof/>
                <w:webHidden/>
              </w:rPr>
              <w:fldChar w:fldCharType="end"/>
            </w:r>
          </w:hyperlink>
        </w:p>
        <w:p w14:paraId="0E3ED89D" w14:textId="7E500DA6" w:rsidR="00337B1A" w:rsidRDefault="00AB4324">
          <w:pPr>
            <w:pStyle w:val="TOC2"/>
            <w:rPr>
              <w:rFonts w:asciiTheme="minorHAnsi" w:eastAsiaTheme="minorEastAsia" w:hAnsiTheme="minorHAnsi"/>
              <w:b w:val="0"/>
              <w:smallCaps w:val="0"/>
              <w:noProof/>
              <w:sz w:val="22"/>
              <w:szCs w:val="22"/>
              <w:lang w:eastAsia="en-AU"/>
            </w:rPr>
          </w:pPr>
          <w:hyperlink w:anchor="_Toc102905633" w:history="1">
            <w:r w:rsidR="00337B1A" w:rsidRPr="00AE685E">
              <w:rPr>
                <w:rStyle w:val="Hyperlink"/>
                <w:noProof/>
              </w:rPr>
              <w:t>A.</w:t>
            </w:r>
            <w:r w:rsidR="00337B1A">
              <w:rPr>
                <w:rFonts w:asciiTheme="minorHAnsi" w:eastAsiaTheme="minorEastAsia" w:hAnsiTheme="minorHAnsi"/>
                <w:b w:val="0"/>
                <w:smallCaps w:val="0"/>
                <w:noProof/>
                <w:sz w:val="22"/>
                <w:szCs w:val="22"/>
                <w:lang w:eastAsia="en-AU"/>
              </w:rPr>
              <w:tab/>
            </w:r>
            <w:r w:rsidR="00337B1A" w:rsidRPr="00AE685E">
              <w:rPr>
                <w:rStyle w:val="Hyperlink"/>
                <w:noProof/>
              </w:rPr>
              <w:t>Treatment of confidential information</w:t>
            </w:r>
            <w:r w:rsidR="00337B1A">
              <w:rPr>
                <w:noProof/>
                <w:webHidden/>
              </w:rPr>
              <w:tab/>
            </w:r>
            <w:r w:rsidR="00337B1A">
              <w:rPr>
                <w:noProof/>
                <w:webHidden/>
              </w:rPr>
              <w:fldChar w:fldCharType="begin"/>
            </w:r>
            <w:r w:rsidR="00337B1A">
              <w:rPr>
                <w:noProof/>
                <w:webHidden/>
              </w:rPr>
              <w:instrText xml:space="preserve"> PAGEREF _Toc102905633 \h </w:instrText>
            </w:r>
            <w:r w:rsidR="00337B1A">
              <w:rPr>
                <w:noProof/>
                <w:webHidden/>
              </w:rPr>
            </w:r>
            <w:r w:rsidR="00337B1A">
              <w:rPr>
                <w:noProof/>
                <w:webHidden/>
              </w:rPr>
              <w:fldChar w:fldCharType="separate"/>
            </w:r>
            <w:r w:rsidR="0052511D">
              <w:rPr>
                <w:noProof/>
                <w:webHidden/>
              </w:rPr>
              <w:t>18</w:t>
            </w:r>
            <w:r w:rsidR="00337B1A">
              <w:rPr>
                <w:noProof/>
                <w:webHidden/>
              </w:rPr>
              <w:fldChar w:fldCharType="end"/>
            </w:r>
          </w:hyperlink>
        </w:p>
        <w:p w14:paraId="1C08B7E9" w14:textId="1205D16C" w:rsidR="00337B1A" w:rsidRDefault="00AB4324">
          <w:pPr>
            <w:pStyle w:val="TOC2"/>
            <w:rPr>
              <w:rFonts w:asciiTheme="minorHAnsi" w:eastAsiaTheme="minorEastAsia" w:hAnsiTheme="minorHAnsi"/>
              <w:b w:val="0"/>
              <w:smallCaps w:val="0"/>
              <w:noProof/>
              <w:sz w:val="22"/>
              <w:szCs w:val="22"/>
              <w:lang w:eastAsia="en-AU"/>
            </w:rPr>
          </w:pPr>
          <w:hyperlink w:anchor="_Toc102905634" w:history="1">
            <w:r w:rsidR="00337B1A" w:rsidRPr="00AE685E">
              <w:rPr>
                <w:rStyle w:val="Hyperlink"/>
                <w:noProof/>
              </w:rPr>
              <w:t>B.</w:t>
            </w:r>
            <w:r w:rsidR="00337B1A">
              <w:rPr>
                <w:rFonts w:asciiTheme="minorHAnsi" w:eastAsiaTheme="minorEastAsia" w:hAnsiTheme="minorHAnsi"/>
                <w:b w:val="0"/>
                <w:smallCaps w:val="0"/>
                <w:noProof/>
                <w:sz w:val="22"/>
                <w:szCs w:val="22"/>
                <w:lang w:eastAsia="en-AU"/>
              </w:rPr>
              <w:tab/>
            </w:r>
            <w:r w:rsidR="00337B1A" w:rsidRPr="00AE685E">
              <w:rPr>
                <w:rStyle w:val="Hyperlink"/>
                <w:noProof/>
              </w:rPr>
              <w:t>Disclosure of essential facts</w:t>
            </w:r>
            <w:r w:rsidR="00337B1A">
              <w:rPr>
                <w:noProof/>
                <w:webHidden/>
              </w:rPr>
              <w:tab/>
            </w:r>
            <w:r w:rsidR="00337B1A">
              <w:rPr>
                <w:noProof/>
                <w:webHidden/>
              </w:rPr>
              <w:fldChar w:fldCharType="begin"/>
            </w:r>
            <w:r w:rsidR="00337B1A">
              <w:rPr>
                <w:noProof/>
                <w:webHidden/>
              </w:rPr>
              <w:instrText xml:space="preserve"> PAGEREF _Toc102905634 \h </w:instrText>
            </w:r>
            <w:r w:rsidR="00337B1A">
              <w:rPr>
                <w:noProof/>
                <w:webHidden/>
              </w:rPr>
            </w:r>
            <w:r w:rsidR="00337B1A">
              <w:rPr>
                <w:noProof/>
                <w:webHidden/>
              </w:rPr>
              <w:fldChar w:fldCharType="separate"/>
            </w:r>
            <w:r w:rsidR="0052511D">
              <w:rPr>
                <w:noProof/>
                <w:webHidden/>
              </w:rPr>
              <w:t>20</w:t>
            </w:r>
            <w:r w:rsidR="00337B1A">
              <w:rPr>
                <w:noProof/>
                <w:webHidden/>
              </w:rPr>
              <w:fldChar w:fldCharType="end"/>
            </w:r>
          </w:hyperlink>
        </w:p>
        <w:p w14:paraId="158413F4" w14:textId="217A4EFC" w:rsidR="00337B1A" w:rsidRDefault="00AB4324">
          <w:pPr>
            <w:pStyle w:val="TOC2"/>
            <w:rPr>
              <w:rFonts w:asciiTheme="minorHAnsi" w:eastAsiaTheme="minorEastAsia" w:hAnsiTheme="minorHAnsi"/>
              <w:b w:val="0"/>
              <w:smallCaps w:val="0"/>
              <w:noProof/>
              <w:sz w:val="22"/>
              <w:szCs w:val="22"/>
              <w:lang w:eastAsia="en-AU"/>
            </w:rPr>
          </w:pPr>
          <w:hyperlink w:anchor="_Toc102905635" w:history="1">
            <w:r w:rsidR="00337B1A" w:rsidRPr="00AE685E">
              <w:rPr>
                <w:rStyle w:val="Hyperlink"/>
                <w:noProof/>
              </w:rPr>
              <w:t>C.</w:t>
            </w:r>
            <w:r w:rsidR="00337B1A">
              <w:rPr>
                <w:rFonts w:asciiTheme="minorHAnsi" w:eastAsiaTheme="minorEastAsia" w:hAnsiTheme="minorHAnsi"/>
                <w:b w:val="0"/>
                <w:smallCaps w:val="0"/>
                <w:noProof/>
                <w:sz w:val="22"/>
                <w:szCs w:val="22"/>
                <w:lang w:eastAsia="en-AU"/>
              </w:rPr>
              <w:tab/>
            </w:r>
            <w:r w:rsidR="00337B1A" w:rsidRPr="00AE685E">
              <w:rPr>
                <w:rStyle w:val="Hyperlink"/>
                <w:noProof/>
              </w:rPr>
              <w:t>Public notice</w:t>
            </w:r>
            <w:r w:rsidR="00337B1A">
              <w:rPr>
                <w:noProof/>
                <w:webHidden/>
              </w:rPr>
              <w:tab/>
            </w:r>
            <w:r w:rsidR="00337B1A">
              <w:rPr>
                <w:noProof/>
                <w:webHidden/>
              </w:rPr>
              <w:fldChar w:fldCharType="begin"/>
            </w:r>
            <w:r w:rsidR="00337B1A">
              <w:rPr>
                <w:noProof/>
                <w:webHidden/>
              </w:rPr>
              <w:instrText xml:space="preserve"> PAGEREF _Toc102905635 \h </w:instrText>
            </w:r>
            <w:r w:rsidR="00337B1A">
              <w:rPr>
                <w:noProof/>
                <w:webHidden/>
              </w:rPr>
            </w:r>
            <w:r w:rsidR="00337B1A">
              <w:rPr>
                <w:noProof/>
                <w:webHidden/>
              </w:rPr>
              <w:fldChar w:fldCharType="separate"/>
            </w:r>
            <w:r w:rsidR="0052511D">
              <w:rPr>
                <w:noProof/>
                <w:webHidden/>
              </w:rPr>
              <w:t>22</w:t>
            </w:r>
            <w:r w:rsidR="00337B1A">
              <w:rPr>
                <w:noProof/>
                <w:webHidden/>
              </w:rPr>
              <w:fldChar w:fldCharType="end"/>
            </w:r>
          </w:hyperlink>
        </w:p>
        <w:p w14:paraId="06FE34DC" w14:textId="45CBD5C0" w:rsidR="00337B1A" w:rsidRDefault="00AB4324">
          <w:pPr>
            <w:pStyle w:val="TOC1"/>
            <w:rPr>
              <w:rFonts w:asciiTheme="minorHAnsi" w:eastAsiaTheme="minorEastAsia" w:hAnsiTheme="minorHAnsi"/>
              <w:b w:val="0"/>
              <w:caps w:val="0"/>
              <w:noProof/>
              <w:sz w:val="22"/>
              <w:szCs w:val="22"/>
              <w:lang w:eastAsia="en-AU"/>
            </w:rPr>
          </w:pPr>
          <w:hyperlink w:anchor="_Toc102905636" w:history="1">
            <w:r w:rsidR="00337B1A" w:rsidRPr="00AE685E">
              <w:rPr>
                <w:rStyle w:val="Hyperlink"/>
                <w:noProof/>
              </w:rPr>
              <w:t>V.</w:t>
            </w:r>
            <w:r w:rsidR="00337B1A">
              <w:rPr>
                <w:rFonts w:asciiTheme="minorHAnsi" w:eastAsiaTheme="minorEastAsia" w:hAnsiTheme="minorHAnsi"/>
                <w:b w:val="0"/>
                <w:caps w:val="0"/>
                <w:noProof/>
                <w:sz w:val="22"/>
                <w:szCs w:val="22"/>
                <w:lang w:eastAsia="en-AU"/>
              </w:rPr>
              <w:tab/>
            </w:r>
            <w:r w:rsidR="00337B1A" w:rsidRPr="00AE685E">
              <w:rPr>
                <w:rStyle w:val="Hyperlink"/>
                <w:noProof/>
              </w:rPr>
              <w:t>conclusion</w:t>
            </w:r>
            <w:r w:rsidR="00337B1A">
              <w:rPr>
                <w:noProof/>
                <w:webHidden/>
              </w:rPr>
              <w:tab/>
            </w:r>
            <w:r w:rsidR="00337B1A">
              <w:rPr>
                <w:noProof/>
                <w:webHidden/>
              </w:rPr>
              <w:fldChar w:fldCharType="begin"/>
            </w:r>
            <w:r w:rsidR="00337B1A">
              <w:rPr>
                <w:noProof/>
                <w:webHidden/>
              </w:rPr>
              <w:instrText xml:space="preserve"> PAGEREF _Toc102905636 \h </w:instrText>
            </w:r>
            <w:r w:rsidR="00337B1A">
              <w:rPr>
                <w:noProof/>
                <w:webHidden/>
              </w:rPr>
            </w:r>
            <w:r w:rsidR="00337B1A">
              <w:rPr>
                <w:noProof/>
                <w:webHidden/>
              </w:rPr>
              <w:fldChar w:fldCharType="separate"/>
            </w:r>
            <w:r w:rsidR="0052511D">
              <w:rPr>
                <w:noProof/>
                <w:webHidden/>
              </w:rPr>
              <w:t>23</w:t>
            </w:r>
            <w:r w:rsidR="00337B1A">
              <w:rPr>
                <w:noProof/>
                <w:webHidden/>
              </w:rPr>
              <w:fldChar w:fldCharType="end"/>
            </w:r>
          </w:hyperlink>
        </w:p>
        <w:p w14:paraId="2DA349F8" w14:textId="21E9383B" w:rsidR="009E7A1F" w:rsidRDefault="009E7A1F">
          <w:r>
            <w:rPr>
              <w:b/>
              <w:bCs/>
              <w:noProof/>
            </w:rPr>
            <w:fldChar w:fldCharType="end"/>
          </w:r>
        </w:p>
      </w:sdtContent>
    </w:sdt>
    <w:p w14:paraId="3AF26523" w14:textId="0BBC7762" w:rsidR="009E7A1F" w:rsidRDefault="009E7A1F">
      <w:r>
        <w:br w:type="page"/>
      </w:r>
    </w:p>
    <w:p w14:paraId="2FA0B6E5" w14:textId="5EBAFFEA" w:rsidR="00F945DB" w:rsidRPr="0007327B" w:rsidRDefault="00F945DB" w:rsidP="00C73188">
      <w:pPr>
        <w:pStyle w:val="SHSectionHeading"/>
      </w:pPr>
      <w:bookmarkStart w:id="1" w:name="_Toc102905624"/>
      <w:r w:rsidRPr="0007327B">
        <w:lastRenderedPageBreak/>
        <w:t>Table of Cases</w:t>
      </w:r>
      <w:bookmarkEnd w:id="0"/>
      <w:bookmarkEnd w:id="1"/>
    </w:p>
    <w:tbl>
      <w:tblPr>
        <w:tblStyle w:val="TableGrid"/>
        <w:tblW w:w="5000" w:type="pct"/>
        <w:tblLook w:val="04A0" w:firstRow="1" w:lastRow="0" w:firstColumn="1" w:lastColumn="0" w:noHBand="0" w:noVBand="1"/>
      </w:tblPr>
      <w:tblGrid>
        <w:gridCol w:w="2265"/>
        <w:gridCol w:w="6795"/>
      </w:tblGrid>
      <w:tr w:rsidR="008A1191" w:rsidRPr="0007327B" w14:paraId="02E13E31" w14:textId="77777777" w:rsidTr="008A4C51">
        <w:trPr>
          <w:cantSplit/>
          <w:trHeight w:val="397"/>
          <w:tblHeader/>
        </w:trPr>
        <w:tc>
          <w:tcPr>
            <w:tcW w:w="2265" w:type="dxa"/>
            <w:shd w:val="clear" w:color="auto" w:fill="D9D9D9" w:themeFill="background1" w:themeFillShade="D9"/>
          </w:tcPr>
          <w:p w14:paraId="43954A61" w14:textId="77777777" w:rsidR="008A1191" w:rsidRPr="0007327B" w:rsidRDefault="008A1191" w:rsidP="008A4C51">
            <w:pPr>
              <w:pStyle w:val="THTableHeading"/>
              <w:jc w:val="center"/>
            </w:pPr>
            <w:r w:rsidRPr="0007327B">
              <w:t>Short Title</w:t>
            </w:r>
          </w:p>
        </w:tc>
        <w:tc>
          <w:tcPr>
            <w:tcW w:w="6795" w:type="dxa"/>
            <w:shd w:val="clear" w:color="auto" w:fill="D9D9D9" w:themeFill="background1" w:themeFillShade="D9"/>
          </w:tcPr>
          <w:p w14:paraId="51534740" w14:textId="77777777" w:rsidR="008A1191" w:rsidRPr="0007327B" w:rsidRDefault="008A1191" w:rsidP="008A4C51">
            <w:pPr>
              <w:pStyle w:val="THTableHeading"/>
              <w:jc w:val="center"/>
            </w:pPr>
            <w:r w:rsidRPr="0007327B">
              <w:t>Full Case Title and Citation</w:t>
            </w:r>
          </w:p>
        </w:tc>
      </w:tr>
      <w:tr w:rsidR="00631723" w:rsidRPr="0007327B" w14:paraId="2E723026" w14:textId="77777777" w:rsidTr="008A4C51">
        <w:trPr>
          <w:cantSplit/>
          <w:trHeight w:val="397"/>
        </w:trPr>
        <w:tc>
          <w:tcPr>
            <w:tcW w:w="2265" w:type="dxa"/>
          </w:tcPr>
          <w:p w14:paraId="09E9A5F4" w14:textId="6AE81E11" w:rsidR="00631723" w:rsidRPr="002B53F9" w:rsidRDefault="00631723" w:rsidP="008A4C51">
            <w:pPr>
              <w:pStyle w:val="TTTableText"/>
              <w:rPr>
                <w:i/>
                <w:iCs/>
              </w:rPr>
            </w:pPr>
            <w:r w:rsidRPr="00775162">
              <w:rPr>
                <w:i/>
                <w:iCs/>
              </w:rPr>
              <w:t>China – Autos (US)</w:t>
            </w:r>
          </w:p>
        </w:tc>
        <w:tc>
          <w:tcPr>
            <w:tcW w:w="6795" w:type="dxa"/>
          </w:tcPr>
          <w:p w14:paraId="257C7812" w14:textId="77764399" w:rsidR="009C3148" w:rsidRPr="009C3148" w:rsidRDefault="009C3148" w:rsidP="009C3148">
            <w:pPr>
              <w:pStyle w:val="TTTableText"/>
            </w:pPr>
            <w:r w:rsidRPr="009C3148">
              <w:t xml:space="preserve">Panel Report, </w:t>
            </w:r>
            <w:r w:rsidRPr="009C3148">
              <w:rPr>
                <w:i/>
                <w:iCs/>
              </w:rPr>
              <w:t>China – Anti-Dumping and Countervailing Duties on Certain Automobiles from the United States</w:t>
            </w:r>
            <w:r w:rsidRPr="009C3148">
              <w:t xml:space="preserve">, </w:t>
            </w:r>
            <w:hyperlink r:id="rId8" w:history="1">
              <w:r w:rsidRPr="009C3148">
                <w:rPr>
                  <w:rStyle w:val="Hyperlink"/>
                </w:rPr>
                <w:t>WT/DS440/R</w:t>
              </w:r>
            </w:hyperlink>
            <w:r w:rsidRPr="009C3148">
              <w:t xml:space="preserve"> </w:t>
            </w:r>
          </w:p>
          <w:p w14:paraId="639035F0" w14:textId="1E7E86D4" w:rsidR="00631723" w:rsidRPr="0007327B" w:rsidRDefault="009C3148" w:rsidP="009C3148">
            <w:pPr>
              <w:pStyle w:val="TTTableText"/>
            </w:pPr>
            <w:r w:rsidRPr="009C3148">
              <w:t xml:space="preserve">and Add.1, adopted 18 June 2014, DSR </w:t>
            </w:r>
            <w:proofErr w:type="gramStart"/>
            <w:r w:rsidRPr="009C3148">
              <w:t>2014:VII</w:t>
            </w:r>
            <w:proofErr w:type="gramEnd"/>
            <w:r w:rsidRPr="009C3148">
              <w:t>, p. 2655</w:t>
            </w:r>
          </w:p>
        </w:tc>
      </w:tr>
      <w:tr w:rsidR="00BF3CE0" w:rsidRPr="0007327B" w14:paraId="06D853B2" w14:textId="77777777" w:rsidTr="008A4C51">
        <w:trPr>
          <w:cantSplit/>
          <w:trHeight w:val="397"/>
        </w:trPr>
        <w:tc>
          <w:tcPr>
            <w:tcW w:w="2265" w:type="dxa"/>
          </w:tcPr>
          <w:p w14:paraId="074AD77E" w14:textId="63F1BC7A" w:rsidR="00BF3CE0" w:rsidRPr="00775162" w:rsidRDefault="00BF3CE0" w:rsidP="008A4C51">
            <w:pPr>
              <w:pStyle w:val="TTTableText"/>
              <w:rPr>
                <w:i/>
                <w:iCs/>
              </w:rPr>
            </w:pPr>
            <w:r>
              <w:rPr>
                <w:i/>
                <w:iCs/>
              </w:rPr>
              <w:t>China – Broiler Products</w:t>
            </w:r>
          </w:p>
        </w:tc>
        <w:tc>
          <w:tcPr>
            <w:tcW w:w="6795" w:type="dxa"/>
          </w:tcPr>
          <w:p w14:paraId="5D39A0BD" w14:textId="17A95B6B" w:rsidR="00BF3CE0" w:rsidRPr="0007327B" w:rsidRDefault="005F028B" w:rsidP="008A4C51">
            <w:pPr>
              <w:pStyle w:val="TTTableText"/>
            </w:pPr>
            <w:r w:rsidRPr="005F028B">
              <w:t xml:space="preserve">Panel Report, </w:t>
            </w:r>
            <w:r w:rsidRPr="005F028B">
              <w:rPr>
                <w:i/>
              </w:rPr>
              <w:t xml:space="preserve">China </w:t>
            </w:r>
            <w:r w:rsidRPr="005F028B">
              <w:rPr>
                <w:rFonts w:ascii="Symbol" w:eastAsia="Symbol" w:hAnsi="Symbol" w:cs="Symbol"/>
                <w:i/>
              </w:rPr>
              <w:t>-</w:t>
            </w:r>
            <w:r w:rsidRPr="005F028B">
              <w:rPr>
                <w:i/>
              </w:rPr>
              <w:t xml:space="preserve"> Anti-Dumping and Countervailing Duty Measures on Broiler Products from the United States</w:t>
            </w:r>
            <w:r w:rsidRPr="005F028B">
              <w:t xml:space="preserve">, </w:t>
            </w:r>
            <w:hyperlink r:id="rId9" w:history="1">
              <w:r w:rsidRPr="005F028B">
                <w:rPr>
                  <w:rStyle w:val="Hyperlink"/>
                </w:rPr>
                <w:t>WT/DS427/R</w:t>
              </w:r>
            </w:hyperlink>
            <w:r w:rsidRPr="005F028B">
              <w:t xml:space="preserve"> and Add.1, adopted 25 September 2013, DSR 2013:IV, p. 1041</w:t>
            </w:r>
          </w:p>
        </w:tc>
      </w:tr>
      <w:tr w:rsidR="00631723" w:rsidRPr="0007327B" w14:paraId="51FFB74B" w14:textId="77777777" w:rsidTr="008A4C51">
        <w:trPr>
          <w:cantSplit/>
          <w:trHeight w:val="397"/>
        </w:trPr>
        <w:tc>
          <w:tcPr>
            <w:tcW w:w="2265" w:type="dxa"/>
          </w:tcPr>
          <w:p w14:paraId="0A0A36BF" w14:textId="5F31F020" w:rsidR="00631723" w:rsidRPr="00B349B3" w:rsidRDefault="00631723" w:rsidP="008A4C51">
            <w:pPr>
              <w:pStyle w:val="TTTableText"/>
              <w:rPr>
                <w:i/>
                <w:iCs/>
              </w:rPr>
            </w:pPr>
            <w:r>
              <w:rPr>
                <w:i/>
                <w:iCs/>
              </w:rPr>
              <w:t>China – HP-SSST (EU)/China – HP-SSST (Japan)</w:t>
            </w:r>
          </w:p>
        </w:tc>
        <w:tc>
          <w:tcPr>
            <w:tcW w:w="6795" w:type="dxa"/>
          </w:tcPr>
          <w:p w14:paraId="44E2F5E2" w14:textId="4087D093" w:rsidR="00631723" w:rsidRPr="0007327B" w:rsidRDefault="005A5312" w:rsidP="008A4C51">
            <w:pPr>
              <w:pStyle w:val="TTTableText"/>
            </w:pPr>
            <w:r w:rsidRPr="005A5312">
              <w:t xml:space="preserve">Appellate Body Reports, </w:t>
            </w:r>
            <w:r w:rsidRPr="005A5312">
              <w:rPr>
                <w:i/>
              </w:rPr>
              <w:t>China – Measures Imposing Anti-Dumping Duties on High-Performance Stainless Steel Seamless Tubes (</w:t>
            </w:r>
            <w:r w:rsidR="007A51F0">
              <w:rPr>
                <w:i/>
              </w:rPr>
              <w:t>"</w:t>
            </w:r>
            <w:r w:rsidRPr="005A5312">
              <w:rPr>
                <w:i/>
              </w:rPr>
              <w:t>HP</w:t>
            </w:r>
            <w:r w:rsidRPr="005A5312">
              <w:rPr>
                <w:i/>
              </w:rPr>
              <w:noBreakHyphen/>
              <w:t>SSST</w:t>
            </w:r>
            <w:r w:rsidR="007A51F0">
              <w:rPr>
                <w:i/>
              </w:rPr>
              <w:t>"</w:t>
            </w:r>
            <w:r w:rsidRPr="005A5312">
              <w:rPr>
                <w:i/>
              </w:rPr>
              <w:t>) from Japan / China – Measures Imposing Anti-Dumping Duties on High-Performance Stainless Steel Seamless Tubes (</w:t>
            </w:r>
            <w:r w:rsidR="007A51F0">
              <w:rPr>
                <w:i/>
              </w:rPr>
              <w:t>"</w:t>
            </w:r>
            <w:r w:rsidRPr="005A5312">
              <w:rPr>
                <w:i/>
              </w:rPr>
              <w:t>HP</w:t>
            </w:r>
            <w:r w:rsidRPr="005A5312">
              <w:rPr>
                <w:i/>
              </w:rPr>
              <w:noBreakHyphen/>
              <w:t>SSST</w:t>
            </w:r>
            <w:r w:rsidR="007A51F0">
              <w:rPr>
                <w:i/>
              </w:rPr>
              <w:t>"</w:t>
            </w:r>
            <w:r w:rsidRPr="005A5312">
              <w:rPr>
                <w:i/>
              </w:rPr>
              <w:t>) from the European Union</w:t>
            </w:r>
            <w:r w:rsidRPr="005A5312">
              <w:t xml:space="preserve">, </w:t>
            </w:r>
            <w:hyperlink r:id="rId10" w:history="1">
              <w:r w:rsidRPr="005A5312">
                <w:rPr>
                  <w:rStyle w:val="Hyperlink"/>
                </w:rPr>
                <w:t>WT/DS454/AB/R</w:t>
              </w:r>
            </w:hyperlink>
            <w:r w:rsidRPr="005A5312">
              <w:t xml:space="preserve"> and Add.1 / </w:t>
            </w:r>
            <w:hyperlink r:id="rId11" w:history="1">
              <w:r w:rsidRPr="005A5312">
                <w:rPr>
                  <w:rStyle w:val="Hyperlink"/>
                </w:rPr>
                <w:t>WT/DS460/AB/R</w:t>
              </w:r>
            </w:hyperlink>
            <w:r w:rsidRPr="005A5312">
              <w:t xml:space="preserve"> and Add.1, adopted 28 October 2015, DSR 2015:IX, p. 4573</w:t>
            </w:r>
          </w:p>
        </w:tc>
      </w:tr>
      <w:tr w:rsidR="00631723" w:rsidRPr="0007327B" w14:paraId="6B6CDCBC" w14:textId="77777777" w:rsidTr="008A4C51">
        <w:trPr>
          <w:cantSplit/>
          <w:trHeight w:val="397"/>
        </w:trPr>
        <w:tc>
          <w:tcPr>
            <w:tcW w:w="2265" w:type="dxa"/>
          </w:tcPr>
          <w:p w14:paraId="6573D637" w14:textId="498358F9" w:rsidR="00631723" w:rsidRDefault="00631723" w:rsidP="008A4C51">
            <w:pPr>
              <w:pStyle w:val="TTTableText"/>
              <w:rPr>
                <w:i/>
                <w:iCs/>
              </w:rPr>
            </w:pPr>
            <w:r>
              <w:rPr>
                <w:i/>
                <w:iCs/>
              </w:rPr>
              <w:t>China – GOES</w:t>
            </w:r>
          </w:p>
        </w:tc>
        <w:tc>
          <w:tcPr>
            <w:tcW w:w="6795" w:type="dxa"/>
          </w:tcPr>
          <w:p w14:paraId="27EDDE10" w14:textId="0B6EC42A" w:rsidR="00631723" w:rsidRPr="0007327B" w:rsidRDefault="00BF0B70" w:rsidP="008A4C51">
            <w:pPr>
              <w:pStyle w:val="TTTableText"/>
            </w:pPr>
            <w:r w:rsidRPr="00BF0B70">
              <w:t xml:space="preserve">Appellate Body Report, </w:t>
            </w:r>
            <w:r w:rsidRPr="00BF0B70">
              <w:rPr>
                <w:i/>
              </w:rPr>
              <w:t>China – Countervailing and Anti-Dumping Duties on Grain Oriented Flat-Rolled Electrical Steel from the United States</w:t>
            </w:r>
            <w:r w:rsidRPr="00BF0B70">
              <w:t xml:space="preserve">, </w:t>
            </w:r>
            <w:hyperlink r:id="rId12" w:history="1">
              <w:r w:rsidRPr="00BF0B70">
                <w:rPr>
                  <w:rStyle w:val="Hyperlink"/>
                </w:rPr>
                <w:t>WT/DS414/AB/R</w:t>
              </w:r>
            </w:hyperlink>
            <w:r w:rsidRPr="00BF0B70">
              <w:t>, adopted 16 November 2012, DSR 2012:XII, p. 6251</w:t>
            </w:r>
          </w:p>
        </w:tc>
      </w:tr>
      <w:tr w:rsidR="009E133E" w:rsidRPr="0007327B" w14:paraId="1BC86495" w14:textId="77777777" w:rsidTr="008A4C51">
        <w:trPr>
          <w:cantSplit/>
          <w:trHeight w:val="397"/>
        </w:trPr>
        <w:tc>
          <w:tcPr>
            <w:tcW w:w="2265" w:type="dxa"/>
          </w:tcPr>
          <w:p w14:paraId="07FE1BD4" w14:textId="69CF6E51" w:rsidR="009E133E" w:rsidRDefault="009E133E" w:rsidP="008A4C51">
            <w:pPr>
              <w:pStyle w:val="TTTableText"/>
              <w:rPr>
                <w:i/>
                <w:iCs/>
              </w:rPr>
            </w:pPr>
            <w:r>
              <w:rPr>
                <w:i/>
                <w:iCs/>
              </w:rPr>
              <w:t>China – GOES</w:t>
            </w:r>
          </w:p>
        </w:tc>
        <w:tc>
          <w:tcPr>
            <w:tcW w:w="6795" w:type="dxa"/>
          </w:tcPr>
          <w:p w14:paraId="3A7E567A" w14:textId="01C6121B" w:rsidR="009E133E" w:rsidRPr="00BF0B70" w:rsidRDefault="00C82681" w:rsidP="008A4C51">
            <w:pPr>
              <w:pStyle w:val="TTTableText"/>
            </w:pPr>
            <w:r w:rsidRPr="00C82681">
              <w:t xml:space="preserve">Panel Report, </w:t>
            </w:r>
            <w:r w:rsidRPr="00C82681">
              <w:rPr>
                <w:i/>
              </w:rPr>
              <w:t>China – Countervailing and Anti-Dumping Duties on Grain Oriented Flat-Rolled Electrical Steel from the United States</w:t>
            </w:r>
            <w:r w:rsidRPr="00C82681">
              <w:t xml:space="preserve">, </w:t>
            </w:r>
            <w:hyperlink r:id="rId13" w:history="1">
              <w:r w:rsidRPr="00C82681">
                <w:rPr>
                  <w:rStyle w:val="Hyperlink"/>
                </w:rPr>
                <w:t>WT/DS414/R</w:t>
              </w:r>
            </w:hyperlink>
            <w:r w:rsidRPr="00C82681">
              <w:t xml:space="preserve"> and Add.1, adopted 16 November 2012, upheld by Appellate Body Report WT/DS414/AB/R, DSR 2012:XII, p. 6369</w:t>
            </w:r>
          </w:p>
        </w:tc>
      </w:tr>
      <w:tr w:rsidR="00631723" w:rsidRPr="0007327B" w14:paraId="497B9125" w14:textId="77777777" w:rsidTr="008A4C51">
        <w:trPr>
          <w:cantSplit/>
          <w:trHeight w:val="397"/>
        </w:trPr>
        <w:tc>
          <w:tcPr>
            <w:tcW w:w="2265" w:type="dxa"/>
          </w:tcPr>
          <w:p w14:paraId="0AB4DFE5" w14:textId="572F5038" w:rsidR="00631723" w:rsidRDefault="00631723" w:rsidP="008A4C51">
            <w:pPr>
              <w:pStyle w:val="TTTableText"/>
              <w:rPr>
                <w:i/>
                <w:iCs/>
              </w:rPr>
            </w:pPr>
            <w:r>
              <w:rPr>
                <w:i/>
                <w:iCs/>
              </w:rPr>
              <w:t>China – X-Ray Equipment</w:t>
            </w:r>
          </w:p>
        </w:tc>
        <w:tc>
          <w:tcPr>
            <w:tcW w:w="6795" w:type="dxa"/>
          </w:tcPr>
          <w:p w14:paraId="57FE1514" w14:textId="367E9C31" w:rsidR="00631723" w:rsidRPr="0007327B" w:rsidRDefault="006D20F9" w:rsidP="008A4C51">
            <w:pPr>
              <w:pStyle w:val="TTTableText"/>
            </w:pPr>
            <w:r w:rsidRPr="006D20F9">
              <w:t>Panel Report,</w:t>
            </w:r>
            <w:r w:rsidRPr="006D20F9">
              <w:rPr>
                <w:i/>
              </w:rPr>
              <w:t xml:space="preserve"> China – Definitive Anti-Dumping Duties on X-Ray Security Inspection Equipment from the European Union</w:t>
            </w:r>
            <w:r w:rsidRPr="006D20F9">
              <w:t xml:space="preserve">, </w:t>
            </w:r>
            <w:hyperlink r:id="rId14" w:history="1">
              <w:r w:rsidRPr="006D20F9">
                <w:rPr>
                  <w:rStyle w:val="Hyperlink"/>
                </w:rPr>
                <w:t>WT/DS425/R</w:t>
              </w:r>
            </w:hyperlink>
            <w:r w:rsidRPr="006D20F9">
              <w:t xml:space="preserve"> and Add.1, adopted 24 April 2013, DSR 2013:III, p. 659</w:t>
            </w:r>
          </w:p>
        </w:tc>
      </w:tr>
      <w:tr w:rsidR="00A7381A" w:rsidRPr="0007327B" w14:paraId="39007E09" w14:textId="77777777" w:rsidTr="008A4C51">
        <w:trPr>
          <w:cantSplit/>
          <w:trHeight w:val="397"/>
        </w:trPr>
        <w:tc>
          <w:tcPr>
            <w:tcW w:w="2265" w:type="dxa"/>
          </w:tcPr>
          <w:p w14:paraId="0915DB90" w14:textId="1C7BCB70" w:rsidR="00A7381A" w:rsidRDefault="00A7381A" w:rsidP="008A4C51">
            <w:pPr>
              <w:pStyle w:val="TTTableText"/>
              <w:rPr>
                <w:i/>
                <w:iCs/>
              </w:rPr>
            </w:pPr>
            <w:r>
              <w:rPr>
                <w:i/>
                <w:iCs/>
              </w:rPr>
              <w:t>EC – Fasteners (China)</w:t>
            </w:r>
          </w:p>
        </w:tc>
        <w:tc>
          <w:tcPr>
            <w:tcW w:w="6795" w:type="dxa"/>
          </w:tcPr>
          <w:p w14:paraId="2694E421" w14:textId="5B2F4F72" w:rsidR="00A7381A" w:rsidRPr="00747435" w:rsidRDefault="001001BF" w:rsidP="008A4C51">
            <w:pPr>
              <w:pStyle w:val="TTTableText"/>
            </w:pPr>
            <w:r w:rsidRPr="001001BF">
              <w:t xml:space="preserve">Appellate Body Report, </w:t>
            </w:r>
            <w:r w:rsidRPr="001001BF">
              <w:rPr>
                <w:i/>
                <w:iCs/>
              </w:rPr>
              <w:t>European Communities – Definitive Anti-Dumping Measures on Certain Iron or Steel Fasteners from China</w:t>
            </w:r>
            <w:r w:rsidRPr="001001BF">
              <w:t xml:space="preserve">, </w:t>
            </w:r>
            <w:hyperlink r:id="rId15" w:history="1">
              <w:r w:rsidRPr="001001BF">
                <w:rPr>
                  <w:rStyle w:val="Hyperlink"/>
                </w:rPr>
                <w:t>WT/DS397/AB/R</w:t>
              </w:r>
            </w:hyperlink>
            <w:r w:rsidRPr="001001BF">
              <w:t>, adopted 28 July 2011, DSR 2011:VII, p. 3995</w:t>
            </w:r>
          </w:p>
        </w:tc>
      </w:tr>
      <w:tr w:rsidR="00631723" w:rsidRPr="0007327B" w14:paraId="505B76F1" w14:textId="77777777" w:rsidTr="008A4C51">
        <w:trPr>
          <w:cantSplit/>
          <w:trHeight w:val="397"/>
        </w:trPr>
        <w:tc>
          <w:tcPr>
            <w:tcW w:w="2265" w:type="dxa"/>
          </w:tcPr>
          <w:p w14:paraId="3470CD5D" w14:textId="1123F37F" w:rsidR="00631723" w:rsidRPr="002B53F9" w:rsidRDefault="00631723" w:rsidP="008A4C51">
            <w:pPr>
              <w:pStyle w:val="TTTableText"/>
              <w:rPr>
                <w:i/>
                <w:iCs/>
              </w:rPr>
            </w:pPr>
            <w:r w:rsidRPr="00B349B3">
              <w:rPr>
                <w:i/>
                <w:iCs/>
              </w:rPr>
              <w:t>EC – Salmon (Norway)</w:t>
            </w:r>
          </w:p>
        </w:tc>
        <w:tc>
          <w:tcPr>
            <w:tcW w:w="6795" w:type="dxa"/>
          </w:tcPr>
          <w:p w14:paraId="66832626" w14:textId="5730481D" w:rsidR="00631723" w:rsidRPr="0007327B" w:rsidRDefault="008E0409" w:rsidP="008A4C51">
            <w:pPr>
              <w:pStyle w:val="TTTableText"/>
            </w:pPr>
            <w:r w:rsidRPr="008E0409">
              <w:t xml:space="preserve">Panel Report, </w:t>
            </w:r>
            <w:r w:rsidRPr="008E0409">
              <w:rPr>
                <w:i/>
              </w:rPr>
              <w:t>European Communities – Anti-Dumping Measure on Farmed Salmon from Norway</w:t>
            </w:r>
            <w:r w:rsidRPr="008E0409">
              <w:t xml:space="preserve">, </w:t>
            </w:r>
            <w:hyperlink r:id="rId16" w:history="1">
              <w:r w:rsidRPr="008E0409">
                <w:rPr>
                  <w:rStyle w:val="Hyperlink"/>
                </w:rPr>
                <w:t>WT/DS337/R</w:t>
              </w:r>
            </w:hyperlink>
            <w:r w:rsidRPr="008E0409">
              <w:t>, adopted 15 January 2008, and Corr.1, DSR 2008:I, p. 3</w:t>
            </w:r>
          </w:p>
        </w:tc>
      </w:tr>
      <w:tr w:rsidR="008A1191" w:rsidRPr="0007327B" w14:paraId="52D33CBB" w14:textId="77777777" w:rsidTr="008A4C51">
        <w:trPr>
          <w:cantSplit/>
          <w:trHeight w:val="397"/>
        </w:trPr>
        <w:tc>
          <w:tcPr>
            <w:tcW w:w="2265" w:type="dxa"/>
          </w:tcPr>
          <w:p w14:paraId="161B8C69" w14:textId="7042750B" w:rsidR="008A1191" w:rsidRPr="0007327B" w:rsidRDefault="00631723" w:rsidP="008A4C51">
            <w:pPr>
              <w:pStyle w:val="TTTableText"/>
            </w:pPr>
            <w:r w:rsidRPr="002B53F9">
              <w:rPr>
                <w:i/>
                <w:iCs/>
              </w:rPr>
              <w:t>EC – Tube or Pipe Fittings</w:t>
            </w:r>
          </w:p>
        </w:tc>
        <w:tc>
          <w:tcPr>
            <w:tcW w:w="6795" w:type="dxa"/>
          </w:tcPr>
          <w:p w14:paraId="39E64AE0" w14:textId="6633A03D" w:rsidR="008A1191" w:rsidRPr="0007327B" w:rsidRDefault="007F09B6" w:rsidP="008A4C51">
            <w:pPr>
              <w:pStyle w:val="TTTableText"/>
            </w:pPr>
            <w:r w:rsidRPr="007F09B6">
              <w:t xml:space="preserve">Appellate Body Report, </w:t>
            </w:r>
            <w:r w:rsidRPr="007F09B6">
              <w:rPr>
                <w:i/>
              </w:rPr>
              <w:t>European Communities – Anti-Dumping Duties on Malleable Cast Iron Tube or Pipe Fittings from Brazil</w:t>
            </w:r>
            <w:r w:rsidRPr="007F09B6">
              <w:t xml:space="preserve">, </w:t>
            </w:r>
            <w:hyperlink r:id="rId17" w:history="1">
              <w:r w:rsidRPr="007F09B6">
                <w:rPr>
                  <w:rStyle w:val="Hyperlink"/>
                </w:rPr>
                <w:t>WT/DS219/AB/R</w:t>
              </w:r>
            </w:hyperlink>
            <w:r w:rsidRPr="007F09B6">
              <w:t>, adopted 18 August 2003, DSR 2003:VI, p. 2613</w:t>
            </w:r>
          </w:p>
        </w:tc>
      </w:tr>
      <w:tr w:rsidR="007F19F3" w:rsidRPr="0007327B" w14:paraId="79A9B80C" w14:textId="77777777" w:rsidTr="008A4C51">
        <w:trPr>
          <w:cantSplit/>
          <w:trHeight w:val="397"/>
        </w:trPr>
        <w:tc>
          <w:tcPr>
            <w:tcW w:w="2265" w:type="dxa"/>
          </w:tcPr>
          <w:p w14:paraId="37688137" w14:textId="7C615EC7" w:rsidR="007F19F3" w:rsidRPr="002B53F9" w:rsidRDefault="007F19F3" w:rsidP="008A4C51">
            <w:pPr>
              <w:pStyle w:val="TTTableText"/>
              <w:rPr>
                <w:i/>
                <w:iCs/>
              </w:rPr>
            </w:pPr>
            <w:r w:rsidRPr="002B53F9">
              <w:rPr>
                <w:i/>
                <w:iCs/>
              </w:rPr>
              <w:t>EC – Tube or Pipe Fittings</w:t>
            </w:r>
          </w:p>
        </w:tc>
        <w:tc>
          <w:tcPr>
            <w:tcW w:w="6795" w:type="dxa"/>
          </w:tcPr>
          <w:p w14:paraId="3F31EEFA" w14:textId="1EB1DDE2" w:rsidR="007F19F3" w:rsidRPr="0007327B" w:rsidRDefault="003D0C1F" w:rsidP="008A4C51">
            <w:pPr>
              <w:pStyle w:val="TTTableText"/>
            </w:pPr>
            <w:r w:rsidRPr="003D0C1F">
              <w:t xml:space="preserve">Panel Report, </w:t>
            </w:r>
            <w:r w:rsidRPr="003D0C1F">
              <w:rPr>
                <w:i/>
              </w:rPr>
              <w:t>European Communities – Anti-Dumping Duties on Malleable Cast Iron Tube or Pipe Fittings from Brazil</w:t>
            </w:r>
            <w:r w:rsidRPr="003D0C1F">
              <w:t xml:space="preserve">, </w:t>
            </w:r>
            <w:hyperlink r:id="rId18" w:history="1">
              <w:r w:rsidRPr="003D0C1F">
                <w:rPr>
                  <w:rStyle w:val="Hyperlink"/>
                </w:rPr>
                <w:t>WT/DS219/R</w:t>
              </w:r>
            </w:hyperlink>
            <w:r w:rsidRPr="003D0C1F">
              <w:t>, adopted 18 August 2003, as modified by Appellate Body Report WT/DS219/AB/R, DSR 2003:VII, p. 2701</w:t>
            </w:r>
          </w:p>
        </w:tc>
      </w:tr>
      <w:tr w:rsidR="001001BF" w:rsidRPr="0007327B" w14:paraId="5B696A11" w14:textId="77777777" w:rsidTr="008A4C51">
        <w:trPr>
          <w:cantSplit/>
          <w:trHeight w:val="397"/>
        </w:trPr>
        <w:tc>
          <w:tcPr>
            <w:tcW w:w="2265" w:type="dxa"/>
          </w:tcPr>
          <w:p w14:paraId="3714CB58" w14:textId="062E6719" w:rsidR="001001BF" w:rsidRDefault="001001BF" w:rsidP="008A4C51">
            <w:pPr>
              <w:pStyle w:val="TTTableText"/>
              <w:rPr>
                <w:i/>
                <w:iCs/>
              </w:rPr>
            </w:pPr>
            <w:r>
              <w:rPr>
                <w:i/>
                <w:iCs/>
              </w:rPr>
              <w:lastRenderedPageBreak/>
              <w:t>EU – Footwear (China)</w:t>
            </w:r>
          </w:p>
        </w:tc>
        <w:tc>
          <w:tcPr>
            <w:tcW w:w="6795" w:type="dxa"/>
          </w:tcPr>
          <w:p w14:paraId="33C9AFC8" w14:textId="3758686A" w:rsidR="001001BF" w:rsidRPr="00AD46CC" w:rsidRDefault="00220E99" w:rsidP="008A4C51">
            <w:pPr>
              <w:pStyle w:val="TTTableText"/>
            </w:pPr>
            <w:r w:rsidRPr="00220E99">
              <w:t xml:space="preserve">Panel Report, </w:t>
            </w:r>
            <w:r w:rsidRPr="00220E99">
              <w:rPr>
                <w:i/>
              </w:rPr>
              <w:t>European Union – Anti-Dumping Measures on Certain Footwear from China</w:t>
            </w:r>
            <w:r w:rsidRPr="00220E99">
              <w:t xml:space="preserve">, </w:t>
            </w:r>
            <w:hyperlink r:id="rId19" w:history="1">
              <w:r w:rsidRPr="00220E99">
                <w:rPr>
                  <w:rStyle w:val="Hyperlink"/>
                </w:rPr>
                <w:t>WT/DS405/R</w:t>
              </w:r>
            </w:hyperlink>
            <w:r w:rsidRPr="00220E99">
              <w:t>, adopted 22 February 2012, DSR 2012:IX, p. 4585</w:t>
            </w:r>
          </w:p>
        </w:tc>
      </w:tr>
      <w:tr w:rsidR="00220E99" w:rsidRPr="0007327B" w14:paraId="6AB04B48" w14:textId="77777777" w:rsidTr="008A4C51">
        <w:trPr>
          <w:cantSplit/>
          <w:trHeight w:val="397"/>
        </w:trPr>
        <w:tc>
          <w:tcPr>
            <w:tcW w:w="2265" w:type="dxa"/>
          </w:tcPr>
          <w:p w14:paraId="022CC031" w14:textId="38E0A0C6" w:rsidR="00220E99" w:rsidRDefault="00220E99" w:rsidP="008A4C51">
            <w:pPr>
              <w:pStyle w:val="TTTableText"/>
              <w:rPr>
                <w:i/>
                <w:iCs/>
              </w:rPr>
            </w:pPr>
            <w:r>
              <w:rPr>
                <w:i/>
                <w:iCs/>
              </w:rPr>
              <w:t>EU – PET (Pakistan)</w:t>
            </w:r>
          </w:p>
        </w:tc>
        <w:tc>
          <w:tcPr>
            <w:tcW w:w="6795" w:type="dxa"/>
          </w:tcPr>
          <w:p w14:paraId="09D5D09A" w14:textId="1F39AD36" w:rsidR="00220E99" w:rsidRPr="00220E99" w:rsidRDefault="00575D9E" w:rsidP="008A4C51">
            <w:pPr>
              <w:pStyle w:val="TTTableText"/>
            </w:pPr>
            <w:r w:rsidRPr="00575D9E">
              <w:t xml:space="preserve">Appellate Body Report, </w:t>
            </w:r>
            <w:r w:rsidRPr="00575D9E">
              <w:rPr>
                <w:i/>
                <w:iCs/>
              </w:rPr>
              <w:t xml:space="preserve">European Union – Countervailing Measures on </w:t>
            </w:r>
            <w:r w:rsidRPr="00575D9E">
              <w:rPr>
                <w:i/>
                <w:iCs/>
                <w:lang w:val="en-US"/>
              </w:rPr>
              <w:t>Certain Polyethylene Terephthalate</w:t>
            </w:r>
            <w:r w:rsidRPr="00575D9E">
              <w:rPr>
                <w:i/>
                <w:iCs/>
              </w:rPr>
              <w:t xml:space="preserve"> from Pakistan</w:t>
            </w:r>
            <w:r w:rsidRPr="00575D9E">
              <w:rPr>
                <w:iCs/>
              </w:rPr>
              <w:t xml:space="preserve">, </w:t>
            </w:r>
            <w:hyperlink r:id="rId20" w:history="1">
              <w:r w:rsidRPr="00575D9E">
                <w:rPr>
                  <w:rStyle w:val="Hyperlink"/>
                  <w:iCs/>
                </w:rPr>
                <w:t>WT/DS486/AB/R</w:t>
              </w:r>
            </w:hyperlink>
            <w:r w:rsidRPr="00575D9E">
              <w:rPr>
                <w:iCs/>
              </w:rPr>
              <w:t xml:space="preserve"> and Add.1, </w:t>
            </w:r>
            <w:r w:rsidRPr="00575D9E">
              <w:t>adopted 28 May 2018, DSR 2018:IV, p. 1615</w:t>
            </w:r>
          </w:p>
        </w:tc>
      </w:tr>
      <w:tr w:rsidR="00BF3CE0" w:rsidRPr="0007327B" w14:paraId="6F5051AD" w14:textId="77777777" w:rsidTr="008A4C51">
        <w:trPr>
          <w:cantSplit/>
          <w:trHeight w:val="397"/>
        </w:trPr>
        <w:tc>
          <w:tcPr>
            <w:tcW w:w="2265" w:type="dxa"/>
          </w:tcPr>
          <w:p w14:paraId="1A4B4A08" w14:textId="38ED3479" w:rsidR="00BF3CE0" w:rsidRDefault="00BF3CE0" w:rsidP="008A4C51">
            <w:pPr>
              <w:pStyle w:val="TTTableText"/>
              <w:rPr>
                <w:i/>
                <w:iCs/>
              </w:rPr>
            </w:pPr>
            <w:r>
              <w:rPr>
                <w:i/>
                <w:iCs/>
              </w:rPr>
              <w:t>Korea – Certain Paper</w:t>
            </w:r>
          </w:p>
        </w:tc>
        <w:tc>
          <w:tcPr>
            <w:tcW w:w="6795" w:type="dxa"/>
          </w:tcPr>
          <w:p w14:paraId="5563C383" w14:textId="6BDDD2CF" w:rsidR="00BF3CE0" w:rsidRPr="0007327B" w:rsidRDefault="00AD46CC" w:rsidP="008A4C51">
            <w:pPr>
              <w:pStyle w:val="TTTableText"/>
            </w:pPr>
            <w:r w:rsidRPr="00AD46CC">
              <w:t xml:space="preserve">Panel Report, </w:t>
            </w:r>
            <w:r w:rsidRPr="00AD46CC">
              <w:rPr>
                <w:i/>
              </w:rPr>
              <w:t>Korea – Anti-Dumping Duties on Imports of Certain Paper from Indonesia</w:t>
            </w:r>
            <w:r w:rsidRPr="00AD46CC">
              <w:t xml:space="preserve">, </w:t>
            </w:r>
            <w:hyperlink r:id="rId21" w:history="1">
              <w:r w:rsidRPr="00AD46CC">
                <w:rPr>
                  <w:rStyle w:val="Hyperlink"/>
                </w:rPr>
                <w:t>WT/DS312/R</w:t>
              </w:r>
            </w:hyperlink>
            <w:r w:rsidRPr="00AD46CC">
              <w:t>, adopted 28 November 2005, DSR 2005:XXII, p. 10637</w:t>
            </w:r>
          </w:p>
        </w:tc>
      </w:tr>
      <w:tr w:rsidR="00631723" w:rsidRPr="0007327B" w14:paraId="78EE984C" w14:textId="77777777" w:rsidTr="008A4C51">
        <w:trPr>
          <w:cantSplit/>
          <w:trHeight w:val="397"/>
        </w:trPr>
        <w:tc>
          <w:tcPr>
            <w:tcW w:w="2265" w:type="dxa"/>
          </w:tcPr>
          <w:p w14:paraId="41DB53B6" w14:textId="1CD06D7D" w:rsidR="00631723" w:rsidRPr="002B53F9" w:rsidRDefault="00631723" w:rsidP="008A4C51">
            <w:pPr>
              <w:pStyle w:val="TTTableText"/>
              <w:rPr>
                <w:i/>
                <w:iCs/>
              </w:rPr>
            </w:pPr>
            <w:r>
              <w:rPr>
                <w:i/>
                <w:iCs/>
              </w:rPr>
              <w:t>Korea – Pneumatic Valves (Japan)</w:t>
            </w:r>
          </w:p>
        </w:tc>
        <w:tc>
          <w:tcPr>
            <w:tcW w:w="6795" w:type="dxa"/>
          </w:tcPr>
          <w:p w14:paraId="1627337A" w14:textId="47B990A4" w:rsidR="00631723" w:rsidRPr="0007327B" w:rsidRDefault="00CF3AF7" w:rsidP="008A4C51">
            <w:pPr>
              <w:pStyle w:val="TTTableText"/>
            </w:pPr>
            <w:r w:rsidRPr="00CF3AF7">
              <w:t xml:space="preserve">Panel Report, </w:t>
            </w:r>
            <w:r w:rsidRPr="00CF3AF7">
              <w:rPr>
                <w:i/>
              </w:rPr>
              <w:t>Korea – Anti-Dumping Duties on Pneumatic Valves from Japan</w:t>
            </w:r>
            <w:r w:rsidRPr="00CF3AF7">
              <w:t xml:space="preserve">, </w:t>
            </w:r>
            <w:hyperlink r:id="rId22" w:history="1">
              <w:r w:rsidRPr="00CF3AF7">
                <w:rPr>
                  <w:rStyle w:val="Hyperlink"/>
                </w:rPr>
                <w:t>WT/DS504/R</w:t>
              </w:r>
            </w:hyperlink>
            <w:r w:rsidRPr="00CF3AF7">
              <w:t xml:space="preserve"> and Add.1, adopted 30 September 2019, as modified by Appellate Body Report WT/DS504/AB/R, DSR 2019:XI, p. 5935</w:t>
            </w:r>
          </w:p>
        </w:tc>
      </w:tr>
      <w:tr w:rsidR="00BF3CE0" w:rsidRPr="0007327B" w14:paraId="161C2AC8" w14:textId="77777777" w:rsidTr="008A4C51">
        <w:trPr>
          <w:cantSplit/>
          <w:trHeight w:val="397"/>
        </w:trPr>
        <w:tc>
          <w:tcPr>
            <w:tcW w:w="2265" w:type="dxa"/>
          </w:tcPr>
          <w:p w14:paraId="6F26D4CE" w14:textId="36FAB62D" w:rsidR="00BF3CE0" w:rsidRDefault="00BF3CE0" w:rsidP="008A4C51">
            <w:pPr>
              <w:pStyle w:val="TTTableText"/>
              <w:rPr>
                <w:i/>
                <w:iCs/>
              </w:rPr>
            </w:pPr>
            <w:r>
              <w:rPr>
                <w:i/>
                <w:iCs/>
              </w:rPr>
              <w:t>Mexico – Corn Syrup</w:t>
            </w:r>
          </w:p>
        </w:tc>
        <w:tc>
          <w:tcPr>
            <w:tcW w:w="6795" w:type="dxa"/>
          </w:tcPr>
          <w:p w14:paraId="3FBECF1C" w14:textId="30902ABF" w:rsidR="00BF3CE0" w:rsidRPr="0007327B" w:rsidRDefault="00460797" w:rsidP="008A4C51">
            <w:pPr>
              <w:pStyle w:val="TTTableText"/>
            </w:pPr>
            <w:r w:rsidRPr="00460797">
              <w:t xml:space="preserve">Panel Report, </w:t>
            </w:r>
            <w:r w:rsidRPr="00460797">
              <w:rPr>
                <w:i/>
              </w:rPr>
              <w:t>Mexico – Anti-Dumping Investigation of High Fructose Corn Syrup (HFCS) from the United States</w:t>
            </w:r>
            <w:r w:rsidRPr="00460797">
              <w:t xml:space="preserve">, </w:t>
            </w:r>
            <w:hyperlink r:id="rId23" w:history="1">
              <w:r w:rsidRPr="00460797">
                <w:rPr>
                  <w:rStyle w:val="Hyperlink"/>
                </w:rPr>
                <w:t>WT/DS132/R</w:t>
              </w:r>
            </w:hyperlink>
            <w:r w:rsidRPr="00460797">
              <w:t>, adopted 24 February 2000, and Corr.1, DSR 2000:III, p. 1345</w:t>
            </w:r>
          </w:p>
        </w:tc>
      </w:tr>
      <w:tr w:rsidR="00BF3CE0" w:rsidRPr="0007327B" w14:paraId="6CE50725" w14:textId="77777777" w:rsidTr="008A4C51">
        <w:trPr>
          <w:cantSplit/>
          <w:trHeight w:val="397"/>
        </w:trPr>
        <w:tc>
          <w:tcPr>
            <w:tcW w:w="2265" w:type="dxa"/>
          </w:tcPr>
          <w:p w14:paraId="3A57C7DF" w14:textId="6B3CB5FA" w:rsidR="00BF3CE0" w:rsidRDefault="00BF3CE0" w:rsidP="008A4C51">
            <w:pPr>
              <w:pStyle w:val="TTTableText"/>
              <w:rPr>
                <w:i/>
                <w:iCs/>
              </w:rPr>
            </w:pPr>
            <w:r w:rsidRPr="000673C5">
              <w:rPr>
                <w:rFonts w:ascii="Calibri-Italic" w:hAnsi="Calibri-Italic" w:cs="Calibri-Italic"/>
                <w:i/>
                <w:iCs/>
                <w:szCs w:val="18"/>
              </w:rPr>
              <w:t>Mexico – Steel Pipes and Tubes</w:t>
            </w:r>
          </w:p>
        </w:tc>
        <w:tc>
          <w:tcPr>
            <w:tcW w:w="6795" w:type="dxa"/>
          </w:tcPr>
          <w:p w14:paraId="549B825D" w14:textId="65AFB4EA" w:rsidR="00BF3CE0" w:rsidRPr="0007327B" w:rsidRDefault="00912108" w:rsidP="008A4C51">
            <w:pPr>
              <w:pStyle w:val="TTTableText"/>
            </w:pPr>
            <w:r w:rsidRPr="00912108">
              <w:t xml:space="preserve">Panel Report, </w:t>
            </w:r>
            <w:r w:rsidRPr="00912108">
              <w:rPr>
                <w:i/>
              </w:rPr>
              <w:t>Mexico – Anti-Dumping Duties on Steel Pipes and Tubes from Guatemala</w:t>
            </w:r>
            <w:r w:rsidRPr="00912108">
              <w:t xml:space="preserve">, </w:t>
            </w:r>
            <w:hyperlink r:id="rId24" w:history="1">
              <w:r w:rsidRPr="00912108">
                <w:rPr>
                  <w:rStyle w:val="Hyperlink"/>
                </w:rPr>
                <w:t>WT/DS331/R</w:t>
              </w:r>
            </w:hyperlink>
            <w:r w:rsidRPr="00912108">
              <w:t>, adopted 24 July 2007, DSR 2007:IV, p. 1207</w:t>
            </w:r>
          </w:p>
        </w:tc>
      </w:tr>
      <w:tr w:rsidR="00BF3CE0" w:rsidRPr="0007327B" w14:paraId="628FE8AE" w14:textId="77777777" w:rsidTr="008A4C51">
        <w:trPr>
          <w:cantSplit/>
          <w:trHeight w:val="397"/>
        </w:trPr>
        <w:tc>
          <w:tcPr>
            <w:tcW w:w="2265" w:type="dxa"/>
          </w:tcPr>
          <w:p w14:paraId="6761B82A" w14:textId="4BBF1E93" w:rsidR="00BF3CE0" w:rsidRDefault="00BF3CE0" w:rsidP="008A4C51">
            <w:pPr>
              <w:pStyle w:val="TTTableText"/>
              <w:rPr>
                <w:i/>
                <w:iCs/>
              </w:rPr>
            </w:pPr>
            <w:r>
              <w:rPr>
                <w:i/>
                <w:iCs/>
              </w:rPr>
              <w:t>Pakistan – BOPP Film (UAE)</w:t>
            </w:r>
          </w:p>
        </w:tc>
        <w:tc>
          <w:tcPr>
            <w:tcW w:w="6795" w:type="dxa"/>
          </w:tcPr>
          <w:p w14:paraId="2AE306FD" w14:textId="02843032" w:rsidR="00BF3CE0" w:rsidRPr="0007327B" w:rsidRDefault="0091377F" w:rsidP="008A4C51">
            <w:pPr>
              <w:pStyle w:val="TTTableText"/>
            </w:pPr>
            <w:r w:rsidRPr="0091377F">
              <w:t xml:space="preserve">Panel Report, </w:t>
            </w:r>
            <w:r w:rsidRPr="0091377F">
              <w:rPr>
                <w:i/>
                <w:iCs/>
              </w:rPr>
              <w:t>Pakistan – Anti-Dumping Measures on Biaxially Oriented Polypropylene Film from the United Arab Emirates</w:t>
            </w:r>
            <w:r w:rsidRPr="0091377F">
              <w:t xml:space="preserve">, </w:t>
            </w:r>
            <w:hyperlink r:id="rId25" w:history="1">
              <w:r w:rsidRPr="0091377F">
                <w:rPr>
                  <w:rStyle w:val="Hyperlink"/>
                </w:rPr>
                <w:t>WT/DS538/R</w:t>
              </w:r>
            </w:hyperlink>
            <w:r w:rsidRPr="0091377F">
              <w:t xml:space="preserve"> and Add.1, circulated to WTO Members 18 January 2021 [appealed; adoption pending]</w:t>
            </w:r>
          </w:p>
        </w:tc>
      </w:tr>
      <w:tr w:rsidR="00BF3CE0" w:rsidRPr="0007327B" w14:paraId="62A7DD96" w14:textId="77777777" w:rsidTr="008A4C51">
        <w:trPr>
          <w:cantSplit/>
          <w:trHeight w:val="397"/>
        </w:trPr>
        <w:tc>
          <w:tcPr>
            <w:tcW w:w="2265" w:type="dxa"/>
          </w:tcPr>
          <w:p w14:paraId="4927F29F" w14:textId="13B5E784" w:rsidR="00BF3CE0" w:rsidRDefault="00BF3CE0" w:rsidP="008A4C51">
            <w:pPr>
              <w:pStyle w:val="TTTableText"/>
              <w:rPr>
                <w:i/>
                <w:iCs/>
              </w:rPr>
            </w:pPr>
            <w:r>
              <w:rPr>
                <w:i/>
                <w:iCs/>
              </w:rPr>
              <w:t>Russia – Commercial Vehicles</w:t>
            </w:r>
          </w:p>
        </w:tc>
        <w:tc>
          <w:tcPr>
            <w:tcW w:w="6795" w:type="dxa"/>
          </w:tcPr>
          <w:p w14:paraId="1C9386D2" w14:textId="168DA7E3" w:rsidR="00BF3CE0" w:rsidRPr="0007327B" w:rsidRDefault="007A1C2A" w:rsidP="008A4C51">
            <w:pPr>
              <w:pStyle w:val="TTTableText"/>
            </w:pPr>
            <w:r w:rsidRPr="007A1C2A">
              <w:t>Appellate Body Report,</w:t>
            </w:r>
            <w:r w:rsidRPr="007A1C2A">
              <w:rPr>
                <w:i/>
              </w:rPr>
              <w:t xml:space="preserve"> Russia – Anti-Dumping Duties on Light Commercial Vehicles from Germany and Italy</w:t>
            </w:r>
            <w:r w:rsidRPr="007A1C2A">
              <w:t xml:space="preserve">, </w:t>
            </w:r>
            <w:hyperlink r:id="rId26" w:history="1">
              <w:r w:rsidRPr="007A1C2A">
                <w:rPr>
                  <w:rStyle w:val="Hyperlink"/>
                </w:rPr>
                <w:t>WT/DS479/AB/R</w:t>
              </w:r>
            </w:hyperlink>
            <w:r w:rsidRPr="007A1C2A">
              <w:t xml:space="preserve"> and Add.1, adopted 9 April 2018, DSR 2018:III, p. 1167</w:t>
            </w:r>
          </w:p>
        </w:tc>
      </w:tr>
      <w:tr w:rsidR="00631723" w:rsidRPr="0007327B" w14:paraId="50945898" w14:textId="77777777" w:rsidTr="008A4C51">
        <w:trPr>
          <w:cantSplit/>
          <w:trHeight w:val="397"/>
        </w:trPr>
        <w:tc>
          <w:tcPr>
            <w:tcW w:w="2265" w:type="dxa"/>
          </w:tcPr>
          <w:p w14:paraId="2C411EEB" w14:textId="06BD7C38" w:rsidR="00631723" w:rsidRPr="002B53F9" w:rsidRDefault="00631723" w:rsidP="008A4C51">
            <w:pPr>
              <w:pStyle w:val="TTTableText"/>
              <w:rPr>
                <w:i/>
                <w:iCs/>
              </w:rPr>
            </w:pPr>
            <w:r>
              <w:rPr>
                <w:i/>
                <w:iCs/>
              </w:rPr>
              <w:t>Thailand – H-Beams</w:t>
            </w:r>
          </w:p>
        </w:tc>
        <w:tc>
          <w:tcPr>
            <w:tcW w:w="6795" w:type="dxa"/>
          </w:tcPr>
          <w:p w14:paraId="594BEB72" w14:textId="55D459AA" w:rsidR="00631723" w:rsidRPr="0007327B" w:rsidRDefault="00303800" w:rsidP="008A4C51">
            <w:pPr>
              <w:pStyle w:val="TTTableText"/>
            </w:pPr>
            <w:r w:rsidRPr="00303800">
              <w:t xml:space="preserve">Appellate Body Report, </w:t>
            </w:r>
            <w:r w:rsidRPr="00303800">
              <w:rPr>
                <w:i/>
              </w:rPr>
              <w:t>Thailand – Anti-Dumping Duties on Angles, Shapes and Sections of Iron or Non-Alloy Steel and H-Beams from Poland</w:t>
            </w:r>
            <w:r w:rsidRPr="00303800">
              <w:t xml:space="preserve">, </w:t>
            </w:r>
            <w:hyperlink r:id="rId27" w:history="1">
              <w:r w:rsidRPr="00303800">
                <w:rPr>
                  <w:rStyle w:val="Hyperlink"/>
                </w:rPr>
                <w:t>WT/DS122/AB/R</w:t>
              </w:r>
            </w:hyperlink>
            <w:r w:rsidRPr="00303800">
              <w:t>, adopted 5 April 2001, DSR 2001:VII, p. 2701</w:t>
            </w:r>
          </w:p>
        </w:tc>
      </w:tr>
      <w:tr w:rsidR="00303800" w:rsidRPr="0007327B" w14:paraId="13043D16" w14:textId="77777777" w:rsidTr="008A4C51">
        <w:trPr>
          <w:cantSplit/>
          <w:trHeight w:val="397"/>
        </w:trPr>
        <w:tc>
          <w:tcPr>
            <w:tcW w:w="2265" w:type="dxa"/>
          </w:tcPr>
          <w:p w14:paraId="64CDDD78" w14:textId="746F2810" w:rsidR="00303800" w:rsidRDefault="00FE5815" w:rsidP="008A4C51">
            <w:pPr>
              <w:pStyle w:val="TTTableText"/>
              <w:rPr>
                <w:i/>
                <w:iCs/>
              </w:rPr>
            </w:pPr>
            <w:r>
              <w:rPr>
                <w:i/>
                <w:iCs/>
              </w:rPr>
              <w:t>Thailand – H-Beams</w:t>
            </w:r>
          </w:p>
        </w:tc>
        <w:tc>
          <w:tcPr>
            <w:tcW w:w="6795" w:type="dxa"/>
          </w:tcPr>
          <w:p w14:paraId="48B641B9" w14:textId="08D6A176" w:rsidR="00303800" w:rsidRPr="00303800" w:rsidRDefault="00FE5815" w:rsidP="008A4C51">
            <w:pPr>
              <w:pStyle w:val="TTTableText"/>
            </w:pPr>
            <w:r w:rsidRPr="00FE5815">
              <w:t xml:space="preserve">Panel Report, </w:t>
            </w:r>
            <w:r w:rsidRPr="00FE5815">
              <w:rPr>
                <w:i/>
              </w:rPr>
              <w:t>Thailand – Anti-Dumping Duties on Angles, Shapes and Sections of Iron or Non-Alloy Steel and H-Beams from Poland</w:t>
            </w:r>
            <w:r w:rsidRPr="00FE5815">
              <w:t xml:space="preserve">, </w:t>
            </w:r>
            <w:hyperlink r:id="rId28" w:history="1">
              <w:r w:rsidRPr="00FE5815">
                <w:rPr>
                  <w:rStyle w:val="Hyperlink"/>
                </w:rPr>
                <w:t>WT/DS122/R</w:t>
              </w:r>
            </w:hyperlink>
            <w:r w:rsidRPr="00FE5815">
              <w:t>, adopted 5 April 2001, as modified by Appellate Body Report WT/DS122/AB/R, DSR 2001:VII, p. 2741</w:t>
            </w:r>
          </w:p>
        </w:tc>
      </w:tr>
      <w:tr w:rsidR="00BF3CE0" w:rsidRPr="0007327B" w14:paraId="0B4E232F" w14:textId="77777777" w:rsidTr="008A4C51">
        <w:trPr>
          <w:cantSplit/>
          <w:trHeight w:val="397"/>
        </w:trPr>
        <w:tc>
          <w:tcPr>
            <w:tcW w:w="2265" w:type="dxa"/>
          </w:tcPr>
          <w:p w14:paraId="406466DB" w14:textId="20F4CB1E" w:rsidR="00BF3CE0" w:rsidRDefault="00BF3CE0" w:rsidP="008A4C51">
            <w:pPr>
              <w:pStyle w:val="TTTableText"/>
              <w:rPr>
                <w:i/>
                <w:iCs/>
              </w:rPr>
            </w:pPr>
            <w:r w:rsidRPr="009545CB">
              <w:rPr>
                <w:i/>
                <w:iCs/>
              </w:rPr>
              <w:t>Ukraine – Ammonium Nitrate</w:t>
            </w:r>
          </w:p>
        </w:tc>
        <w:tc>
          <w:tcPr>
            <w:tcW w:w="6795" w:type="dxa"/>
          </w:tcPr>
          <w:p w14:paraId="66CAC0AA" w14:textId="1AB80CC8" w:rsidR="00BF3CE0" w:rsidRPr="0007327B" w:rsidRDefault="00375706" w:rsidP="008A4C51">
            <w:pPr>
              <w:pStyle w:val="TTTableText"/>
            </w:pPr>
            <w:r w:rsidRPr="00375706">
              <w:t xml:space="preserve">Panel Report, </w:t>
            </w:r>
            <w:r w:rsidRPr="00375706">
              <w:rPr>
                <w:i/>
              </w:rPr>
              <w:t>Ukraine – Anti-Dumping Measures on Ammonium Nitrate</w:t>
            </w:r>
            <w:r w:rsidRPr="00375706">
              <w:t xml:space="preserve">, </w:t>
            </w:r>
            <w:hyperlink r:id="rId29" w:history="1">
              <w:r w:rsidRPr="00375706">
                <w:rPr>
                  <w:rStyle w:val="Hyperlink"/>
                </w:rPr>
                <w:t>WT/DS493/R</w:t>
              </w:r>
            </w:hyperlink>
            <w:r w:rsidRPr="00375706">
              <w:t>, Add.1 and Corr.1, adopted 30 September 2019, as upheld by Appellate Body Report WT/DS493/AB/R, DSR 2019:X, p. 5339</w:t>
            </w:r>
          </w:p>
        </w:tc>
      </w:tr>
      <w:tr w:rsidR="00631723" w:rsidRPr="0007327B" w14:paraId="40FDAD32" w14:textId="77777777" w:rsidTr="008A4C51">
        <w:trPr>
          <w:cantSplit/>
          <w:trHeight w:val="397"/>
        </w:trPr>
        <w:tc>
          <w:tcPr>
            <w:tcW w:w="2265" w:type="dxa"/>
          </w:tcPr>
          <w:p w14:paraId="046528B0" w14:textId="66C235F4" w:rsidR="00631723" w:rsidRPr="002B53F9" w:rsidRDefault="00631723" w:rsidP="008A4C51">
            <w:pPr>
              <w:pStyle w:val="TTTableText"/>
              <w:rPr>
                <w:i/>
                <w:iCs/>
              </w:rPr>
            </w:pPr>
            <w:r>
              <w:rPr>
                <w:i/>
                <w:iCs/>
              </w:rPr>
              <w:lastRenderedPageBreak/>
              <w:t>US – Hot-Rolled Steel</w:t>
            </w:r>
          </w:p>
        </w:tc>
        <w:tc>
          <w:tcPr>
            <w:tcW w:w="6795" w:type="dxa"/>
          </w:tcPr>
          <w:p w14:paraId="37D6A827" w14:textId="10E511B7" w:rsidR="00631723" w:rsidRPr="0007327B" w:rsidRDefault="00056CD5" w:rsidP="008A4C51">
            <w:pPr>
              <w:pStyle w:val="TTTableText"/>
            </w:pPr>
            <w:r w:rsidRPr="00056CD5">
              <w:t xml:space="preserve">Appellate Body Report, </w:t>
            </w:r>
            <w:r w:rsidRPr="00056CD5">
              <w:rPr>
                <w:i/>
              </w:rPr>
              <w:t>United States – Anti-Dumping Measures on Certain Hot-Rolled Steel Products from Japan</w:t>
            </w:r>
            <w:r w:rsidRPr="00056CD5">
              <w:t xml:space="preserve">, </w:t>
            </w:r>
            <w:hyperlink r:id="rId30" w:history="1">
              <w:r w:rsidRPr="00056CD5">
                <w:rPr>
                  <w:rStyle w:val="Hyperlink"/>
                </w:rPr>
                <w:t>WT/DS184/AB/R</w:t>
              </w:r>
            </w:hyperlink>
            <w:r w:rsidRPr="00056CD5">
              <w:t>, adopted 23 August 2001, DSR 2001:X, p. 4697</w:t>
            </w:r>
          </w:p>
        </w:tc>
      </w:tr>
      <w:tr w:rsidR="00631723" w:rsidRPr="0007327B" w14:paraId="39212B97" w14:textId="77777777" w:rsidTr="008A4C51">
        <w:trPr>
          <w:cantSplit/>
          <w:trHeight w:val="397"/>
        </w:trPr>
        <w:tc>
          <w:tcPr>
            <w:tcW w:w="2265" w:type="dxa"/>
          </w:tcPr>
          <w:p w14:paraId="0B00B641" w14:textId="568D5B6F" w:rsidR="00631723" w:rsidRDefault="00BF3CE0" w:rsidP="008A4C51">
            <w:pPr>
              <w:pStyle w:val="TTTableText"/>
              <w:rPr>
                <w:i/>
                <w:iCs/>
              </w:rPr>
            </w:pPr>
            <w:r w:rsidRPr="00D6006C">
              <w:rPr>
                <w:rFonts w:ascii="Calibri-Italic" w:hAnsi="Calibri-Italic" w:cs="Calibri-Italic"/>
                <w:i/>
                <w:iCs/>
                <w:szCs w:val="18"/>
              </w:rPr>
              <w:t>US – Oil Country Tubular Goods Sunset Reviews (Article 21.5 – Argentina)</w:t>
            </w:r>
          </w:p>
        </w:tc>
        <w:tc>
          <w:tcPr>
            <w:tcW w:w="6795" w:type="dxa"/>
          </w:tcPr>
          <w:p w14:paraId="355C832D" w14:textId="48FA3D34" w:rsidR="00631723" w:rsidRPr="0007327B" w:rsidRDefault="00E563F7" w:rsidP="008A4C51">
            <w:pPr>
              <w:pStyle w:val="TTTableText"/>
            </w:pPr>
            <w:r w:rsidRPr="00E563F7">
              <w:t xml:space="preserve">Panel Report, </w:t>
            </w:r>
            <w:r w:rsidRPr="00E563F7">
              <w:rPr>
                <w:i/>
              </w:rPr>
              <w:t>United States – Sunset Reviews of Anti-Dumping Measures on Oil Country Tubular Goods from Argentina – Recourse to Article 21.5 of the DSU by Argentina</w:t>
            </w:r>
            <w:r w:rsidRPr="00E563F7">
              <w:t xml:space="preserve">, </w:t>
            </w:r>
            <w:hyperlink r:id="rId31" w:history="1">
              <w:r w:rsidRPr="00E563F7">
                <w:rPr>
                  <w:rStyle w:val="Hyperlink"/>
                </w:rPr>
                <w:t>WT/DS268/RW</w:t>
              </w:r>
            </w:hyperlink>
            <w:r w:rsidRPr="00E563F7">
              <w:t>, adopted 11 May 2007, as modified by Appellate Body Report WT/DS268/AB/RW, DSR 2007:IX, p. 3609</w:t>
            </w:r>
          </w:p>
        </w:tc>
      </w:tr>
      <w:tr w:rsidR="0044037D" w:rsidRPr="0007327B" w14:paraId="19BBCD25" w14:textId="77777777" w:rsidTr="008A4C51">
        <w:trPr>
          <w:cantSplit/>
          <w:trHeight w:val="397"/>
        </w:trPr>
        <w:tc>
          <w:tcPr>
            <w:tcW w:w="2265" w:type="dxa"/>
          </w:tcPr>
          <w:p w14:paraId="685744A3" w14:textId="5F47F645" w:rsidR="0044037D" w:rsidRPr="00D6006C" w:rsidRDefault="005D20D6" w:rsidP="008A4C51">
            <w:pPr>
              <w:pStyle w:val="TTTableText"/>
              <w:rPr>
                <w:rFonts w:ascii="Calibri-Italic" w:hAnsi="Calibri-Italic" w:cs="Calibri-Italic"/>
                <w:i/>
                <w:iCs/>
                <w:szCs w:val="18"/>
              </w:rPr>
            </w:pPr>
            <w:r>
              <w:rPr>
                <w:rFonts w:ascii="Calibri-Italic" w:hAnsi="Calibri-Italic" w:cs="Calibri-Italic"/>
                <w:i/>
                <w:iCs/>
                <w:szCs w:val="18"/>
              </w:rPr>
              <w:t>US – Wheat Gluten</w:t>
            </w:r>
          </w:p>
        </w:tc>
        <w:tc>
          <w:tcPr>
            <w:tcW w:w="6795" w:type="dxa"/>
          </w:tcPr>
          <w:p w14:paraId="76F114E7" w14:textId="4CE399AF" w:rsidR="0044037D" w:rsidRPr="00E563F7" w:rsidRDefault="007A51F0" w:rsidP="008A4C51">
            <w:pPr>
              <w:pStyle w:val="TTTableText"/>
            </w:pPr>
            <w:r>
              <w:t xml:space="preserve">Panel Report, </w:t>
            </w:r>
            <w:r w:rsidRPr="00FA2DF2">
              <w:rPr>
                <w:i/>
                <w:iCs/>
              </w:rPr>
              <w:t>United States – Definitive Safeguard Measures on Imports of Wheat Gluten from the European Communities</w:t>
            </w:r>
            <w:r>
              <w:t xml:space="preserve">, </w:t>
            </w:r>
            <w:hyperlink r:id="rId32" w:history="1">
              <w:r w:rsidRPr="005D20D6">
                <w:rPr>
                  <w:rStyle w:val="Hyperlink"/>
                </w:rPr>
                <w:t>WT/DS166/R</w:t>
              </w:r>
            </w:hyperlink>
            <w:r>
              <w:t>, adopted 19 January 2001, as modified by Appellate Body Report WT/DS166/AB/R, DSR 2001:III, p. 779</w:t>
            </w:r>
          </w:p>
        </w:tc>
      </w:tr>
    </w:tbl>
    <w:p w14:paraId="0CCDA51C" w14:textId="77777777" w:rsidR="004D7079" w:rsidRPr="0007327B" w:rsidRDefault="004D7079" w:rsidP="004D7079">
      <w:pPr>
        <w:pStyle w:val="BTNSSBodyTextNoSpacingSmall"/>
      </w:pPr>
    </w:p>
    <w:p w14:paraId="5DD040F1" w14:textId="77777777" w:rsidR="009E7A1F" w:rsidRDefault="009E7A1F">
      <w:pPr>
        <w:rPr>
          <w:rFonts w:eastAsiaTheme="majorEastAsia" w:cstheme="majorBidi"/>
          <w:b/>
          <w:caps/>
          <w:szCs w:val="32"/>
        </w:rPr>
      </w:pPr>
      <w:bookmarkStart w:id="2" w:name="_Toc100253861"/>
      <w:r>
        <w:br w:type="page"/>
      </w:r>
    </w:p>
    <w:p w14:paraId="4843C81D" w14:textId="7A710B6D" w:rsidR="008A1191" w:rsidRPr="0007327B" w:rsidRDefault="004524CE" w:rsidP="004524CE">
      <w:pPr>
        <w:pStyle w:val="SHSectionHeading"/>
      </w:pPr>
      <w:bookmarkStart w:id="3" w:name="_Toc102905625"/>
      <w:r w:rsidRPr="0007327B">
        <w:lastRenderedPageBreak/>
        <w:t>List of Acronyms, Abbreviations and Short Forms</w:t>
      </w:r>
      <w:bookmarkEnd w:id="2"/>
      <w:bookmarkEnd w:id="3"/>
    </w:p>
    <w:tbl>
      <w:tblPr>
        <w:tblStyle w:val="TableGrid"/>
        <w:tblW w:w="5000" w:type="pct"/>
        <w:tblLook w:val="04A0" w:firstRow="1" w:lastRow="0" w:firstColumn="1" w:lastColumn="0" w:noHBand="0" w:noVBand="1"/>
      </w:tblPr>
      <w:tblGrid>
        <w:gridCol w:w="1696"/>
        <w:gridCol w:w="7364"/>
      </w:tblGrid>
      <w:tr w:rsidR="008A1191" w:rsidRPr="0007327B" w14:paraId="722F5594" w14:textId="77777777" w:rsidTr="008A1191">
        <w:trPr>
          <w:cantSplit/>
          <w:trHeight w:val="397"/>
          <w:tblHeader/>
        </w:trPr>
        <w:tc>
          <w:tcPr>
            <w:tcW w:w="1696" w:type="dxa"/>
            <w:shd w:val="clear" w:color="auto" w:fill="D9D9D9" w:themeFill="background1" w:themeFillShade="D9"/>
          </w:tcPr>
          <w:p w14:paraId="6B60C910"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7B0E646B" w14:textId="77777777" w:rsidR="008A1191" w:rsidRPr="0007327B" w:rsidRDefault="008A1191" w:rsidP="008A4C51">
            <w:pPr>
              <w:pStyle w:val="THTableHeading"/>
              <w:jc w:val="center"/>
            </w:pPr>
            <w:r w:rsidRPr="0007327B">
              <w:t>Full Form or Description</w:t>
            </w:r>
          </w:p>
        </w:tc>
      </w:tr>
      <w:tr w:rsidR="008A1191" w:rsidRPr="0007327B" w14:paraId="50F3DA75" w14:textId="77777777" w:rsidTr="008A1191">
        <w:trPr>
          <w:cantSplit/>
          <w:trHeight w:val="397"/>
        </w:trPr>
        <w:tc>
          <w:tcPr>
            <w:tcW w:w="1696" w:type="dxa"/>
          </w:tcPr>
          <w:p w14:paraId="1CF30096" w14:textId="6D03F73E" w:rsidR="008A1191" w:rsidRPr="0007327B" w:rsidRDefault="00671253" w:rsidP="008A4C51">
            <w:pPr>
              <w:pStyle w:val="TTTableText"/>
            </w:pPr>
            <w:r>
              <w:t>Anti-Dumping Agreement</w:t>
            </w:r>
          </w:p>
        </w:tc>
        <w:tc>
          <w:tcPr>
            <w:tcW w:w="7364" w:type="dxa"/>
          </w:tcPr>
          <w:p w14:paraId="316A2AAC" w14:textId="4C30FF6E" w:rsidR="008A1191" w:rsidRPr="0007327B" w:rsidRDefault="00671253" w:rsidP="008A4C51">
            <w:pPr>
              <w:pStyle w:val="TTTableText"/>
            </w:pPr>
            <w:r>
              <w:t>Agreement on Implementation of Article VI of the General Agreement on Tariffs and Trade 1994</w:t>
            </w:r>
          </w:p>
        </w:tc>
      </w:tr>
      <w:tr w:rsidR="00064E6F" w:rsidRPr="0007327B" w14:paraId="49F16693" w14:textId="77777777" w:rsidTr="008A1191">
        <w:trPr>
          <w:cantSplit/>
          <w:trHeight w:val="397"/>
        </w:trPr>
        <w:tc>
          <w:tcPr>
            <w:tcW w:w="1696" w:type="dxa"/>
          </w:tcPr>
          <w:p w14:paraId="3EAB64E3" w14:textId="7B4CEAC8" w:rsidR="00064E6F" w:rsidRPr="0007327B" w:rsidDel="00671253" w:rsidRDefault="00064E6F" w:rsidP="00064E6F">
            <w:pPr>
              <w:pStyle w:val="TTTableText"/>
            </w:pPr>
            <w:r w:rsidRPr="00265AE6">
              <w:t xml:space="preserve">DSU </w:t>
            </w:r>
          </w:p>
        </w:tc>
        <w:tc>
          <w:tcPr>
            <w:tcW w:w="7364" w:type="dxa"/>
          </w:tcPr>
          <w:p w14:paraId="504A3573" w14:textId="193E2471" w:rsidR="00064E6F" w:rsidRDefault="00064E6F" w:rsidP="00064E6F">
            <w:pPr>
              <w:pStyle w:val="TTTableText"/>
            </w:pPr>
            <w:r w:rsidRPr="00265AE6">
              <w:t>Understanding on Rules and Procedures Governing the Settlement of Disputes</w:t>
            </w:r>
          </w:p>
        </w:tc>
      </w:tr>
      <w:tr w:rsidR="00615537" w:rsidRPr="0007327B" w14:paraId="4E250C58" w14:textId="77777777" w:rsidTr="008A1191">
        <w:trPr>
          <w:cantSplit/>
          <w:trHeight w:val="397"/>
        </w:trPr>
        <w:tc>
          <w:tcPr>
            <w:tcW w:w="1696" w:type="dxa"/>
          </w:tcPr>
          <w:p w14:paraId="3BBEC458" w14:textId="3436D472" w:rsidR="00615537" w:rsidRPr="00265AE6" w:rsidRDefault="00615537" w:rsidP="00064E6F">
            <w:pPr>
              <w:pStyle w:val="TTTableText"/>
            </w:pPr>
            <w:r>
              <w:t>Final Determination</w:t>
            </w:r>
          </w:p>
        </w:tc>
        <w:tc>
          <w:tcPr>
            <w:tcW w:w="7364" w:type="dxa"/>
          </w:tcPr>
          <w:p w14:paraId="207F4920" w14:textId="4511F569" w:rsidR="00615537" w:rsidRPr="00265AE6" w:rsidRDefault="00615537" w:rsidP="00064E6F">
            <w:pPr>
              <w:pStyle w:val="TTTableText"/>
            </w:pPr>
            <w:r w:rsidRPr="00615537">
              <w:t xml:space="preserve">A document titled </w:t>
            </w:r>
            <w:r w:rsidR="007A51F0">
              <w:t>"</w:t>
            </w:r>
            <w:r w:rsidRPr="00615537">
              <w:t xml:space="preserve">Final Determination of the Ministry of Commerce of the People's Republic of China on Anti-Dumping Investigation on Imported Stainless Steel Billets and Hot-Rolled </w:t>
            </w:r>
            <w:proofErr w:type="gramStart"/>
            <w:r w:rsidRPr="00615537">
              <w:t>Stainless Steel</w:t>
            </w:r>
            <w:proofErr w:type="gramEnd"/>
            <w:r w:rsidRPr="00615537">
              <w:t xml:space="preserve"> Plates/Coils Originating in the European Union, Japan, Korea and Indonesia</w:t>
            </w:r>
            <w:r w:rsidR="007A51F0">
              <w:t>"</w:t>
            </w:r>
          </w:p>
        </w:tc>
      </w:tr>
      <w:tr w:rsidR="008C719A" w:rsidRPr="0007327B" w14:paraId="174B31FD" w14:textId="77777777" w:rsidTr="008A1191">
        <w:trPr>
          <w:cantSplit/>
          <w:trHeight w:val="397"/>
        </w:trPr>
        <w:tc>
          <w:tcPr>
            <w:tcW w:w="1696" w:type="dxa"/>
          </w:tcPr>
          <w:p w14:paraId="3F042610" w14:textId="288B23D7" w:rsidR="008C719A" w:rsidRPr="00265AE6" w:rsidRDefault="008C719A" w:rsidP="00064E6F">
            <w:pPr>
              <w:pStyle w:val="TTTableText"/>
            </w:pPr>
            <w:r>
              <w:t>MOFCOM</w:t>
            </w:r>
          </w:p>
        </w:tc>
        <w:tc>
          <w:tcPr>
            <w:tcW w:w="7364" w:type="dxa"/>
          </w:tcPr>
          <w:p w14:paraId="1D350D48" w14:textId="52410A63" w:rsidR="008C719A" w:rsidRPr="00265AE6" w:rsidRDefault="008C719A" w:rsidP="00064E6F">
            <w:pPr>
              <w:pStyle w:val="TTTableText"/>
            </w:pPr>
            <w:r>
              <w:t>Ministry of Commerce</w:t>
            </w:r>
            <w:r w:rsidR="00536641">
              <w:t xml:space="preserve"> of China</w:t>
            </w:r>
          </w:p>
        </w:tc>
      </w:tr>
      <w:tr w:rsidR="0067255E" w:rsidRPr="0007327B" w14:paraId="2805E4B6" w14:textId="77777777" w:rsidTr="008A1191">
        <w:trPr>
          <w:cantSplit/>
          <w:trHeight w:val="397"/>
        </w:trPr>
        <w:tc>
          <w:tcPr>
            <w:tcW w:w="1696" w:type="dxa"/>
          </w:tcPr>
          <w:p w14:paraId="50DDE35F" w14:textId="345EB488" w:rsidR="0067255E" w:rsidRDefault="0067255E" w:rsidP="00064E6F">
            <w:pPr>
              <w:pStyle w:val="TTTableText"/>
            </w:pPr>
            <w:r>
              <w:t>SCM Agreement</w:t>
            </w:r>
          </w:p>
        </w:tc>
        <w:tc>
          <w:tcPr>
            <w:tcW w:w="7364" w:type="dxa"/>
          </w:tcPr>
          <w:p w14:paraId="6B68A16E" w14:textId="26C5A2B8" w:rsidR="0067255E" w:rsidRDefault="00D5021C" w:rsidP="00064E6F">
            <w:pPr>
              <w:pStyle w:val="TTTableText"/>
            </w:pPr>
            <w:r w:rsidRPr="003831F8">
              <w:t>Agreement on Subsidies and Countervailing Measures</w:t>
            </w:r>
          </w:p>
        </w:tc>
      </w:tr>
      <w:tr w:rsidR="00536641" w:rsidRPr="0007327B" w14:paraId="0F4BAC24" w14:textId="77777777" w:rsidTr="008A1191">
        <w:trPr>
          <w:cantSplit/>
          <w:trHeight w:val="397"/>
        </w:trPr>
        <w:tc>
          <w:tcPr>
            <w:tcW w:w="1696" w:type="dxa"/>
          </w:tcPr>
          <w:p w14:paraId="54511821" w14:textId="4981C257" w:rsidR="00536641" w:rsidRDefault="00536641" w:rsidP="00064E6F">
            <w:pPr>
              <w:pStyle w:val="TTTableText"/>
            </w:pPr>
            <w:r>
              <w:t>Subject Imports</w:t>
            </w:r>
          </w:p>
        </w:tc>
        <w:tc>
          <w:tcPr>
            <w:tcW w:w="7364" w:type="dxa"/>
          </w:tcPr>
          <w:p w14:paraId="461784BA" w14:textId="212771DD" w:rsidR="00536641" w:rsidRDefault="00536641" w:rsidP="00064E6F">
            <w:pPr>
              <w:pStyle w:val="TTTableText"/>
            </w:pPr>
            <w:r>
              <w:t xml:space="preserve">Certain </w:t>
            </w:r>
            <w:proofErr w:type="gramStart"/>
            <w:r>
              <w:t>stainless steel</w:t>
            </w:r>
            <w:proofErr w:type="gramEnd"/>
            <w:r>
              <w:t xml:space="preserve"> products imported from the European Union, Japan, Korea and Indonesia</w:t>
            </w:r>
          </w:p>
        </w:tc>
      </w:tr>
      <w:tr w:rsidR="002A59D1" w:rsidRPr="0007327B" w14:paraId="781C4EBF" w14:textId="77777777" w:rsidTr="008A1191">
        <w:trPr>
          <w:cantSplit/>
          <w:trHeight w:val="397"/>
        </w:trPr>
        <w:tc>
          <w:tcPr>
            <w:tcW w:w="1696" w:type="dxa"/>
          </w:tcPr>
          <w:p w14:paraId="12AC6004" w14:textId="6E49A46A" w:rsidR="002A59D1" w:rsidRPr="00BD7366" w:rsidRDefault="00861B3E" w:rsidP="00064E6F">
            <w:pPr>
              <w:pStyle w:val="TTTableText"/>
              <w:rPr>
                <w:color w:val="000000" w:themeColor="text1"/>
                <w:highlight w:val="green"/>
              </w:rPr>
            </w:pPr>
            <w:r>
              <w:rPr>
                <w:color w:val="000000" w:themeColor="text1"/>
              </w:rPr>
              <w:t>P</w:t>
            </w:r>
            <w:r w:rsidR="00961E46" w:rsidRPr="00BD7366">
              <w:rPr>
                <w:color w:val="000000" w:themeColor="text1"/>
              </w:rPr>
              <w:t xml:space="preserve">roduct </w:t>
            </w:r>
            <w:r>
              <w:rPr>
                <w:color w:val="000000" w:themeColor="text1"/>
              </w:rPr>
              <w:t>U</w:t>
            </w:r>
            <w:r w:rsidR="00961E46">
              <w:rPr>
                <w:color w:val="000000" w:themeColor="text1"/>
              </w:rPr>
              <w:t xml:space="preserve">nder </w:t>
            </w:r>
            <w:r>
              <w:rPr>
                <w:color w:val="000000" w:themeColor="text1"/>
              </w:rPr>
              <w:t>I</w:t>
            </w:r>
            <w:r w:rsidR="00961E46">
              <w:rPr>
                <w:color w:val="000000" w:themeColor="text1"/>
              </w:rPr>
              <w:t>nvestigation</w:t>
            </w:r>
          </w:p>
        </w:tc>
        <w:tc>
          <w:tcPr>
            <w:tcW w:w="7364" w:type="dxa"/>
          </w:tcPr>
          <w:p w14:paraId="79EC44E7" w14:textId="3AF96F7E" w:rsidR="002A59D1" w:rsidRPr="00BD7366" w:rsidRDefault="00961E46" w:rsidP="00064E6F">
            <w:pPr>
              <w:pStyle w:val="TTTableText"/>
              <w:rPr>
                <w:color w:val="000000" w:themeColor="text1"/>
                <w:highlight w:val="green"/>
              </w:rPr>
            </w:pPr>
            <w:r w:rsidRPr="00BD7366">
              <w:rPr>
                <w:color w:val="000000" w:themeColor="text1"/>
              </w:rPr>
              <w:t>Stainless steel slabs</w:t>
            </w:r>
            <w:r w:rsidR="00BD7366">
              <w:rPr>
                <w:color w:val="000000" w:themeColor="text1"/>
              </w:rPr>
              <w:t xml:space="preserve"> (billets)</w:t>
            </w:r>
            <w:r w:rsidRPr="00BD7366">
              <w:rPr>
                <w:color w:val="000000" w:themeColor="text1"/>
              </w:rPr>
              <w:t xml:space="preserve">, hot-rolled </w:t>
            </w:r>
            <w:proofErr w:type="gramStart"/>
            <w:r w:rsidRPr="00BD7366">
              <w:rPr>
                <w:color w:val="000000" w:themeColor="text1"/>
              </w:rPr>
              <w:t>stainless steel</w:t>
            </w:r>
            <w:proofErr w:type="gramEnd"/>
            <w:r w:rsidRPr="00BD7366">
              <w:rPr>
                <w:color w:val="000000" w:themeColor="text1"/>
              </w:rPr>
              <w:t xml:space="preserve"> coils and hot-rolled stainless steel plates</w:t>
            </w:r>
          </w:p>
        </w:tc>
      </w:tr>
    </w:tbl>
    <w:p w14:paraId="36108968" w14:textId="77777777" w:rsidR="004D7079" w:rsidRPr="0007327B" w:rsidRDefault="004D7079" w:rsidP="004D7079">
      <w:pPr>
        <w:pStyle w:val="BTNSSBodyTextNoSpacingSmall"/>
      </w:pPr>
    </w:p>
    <w:p w14:paraId="58C9A220" w14:textId="77777777" w:rsidR="00F57DC7" w:rsidRPr="0007327B" w:rsidRDefault="00F57DC7" w:rsidP="00477519">
      <w:pPr>
        <w:pStyle w:val="BTNSSBodyTextNoSpacingSmall"/>
      </w:pPr>
    </w:p>
    <w:p w14:paraId="4A5D9352" w14:textId="77777777" w:rsidR="00477519" w:rsidRPr="0007327B" w:rsidRDefault="00477519" w:rsidP="007A3EF1">
      <w:pPr>
        <w:pStyle w:val="BTBodyText"/>
      </w:pPr>
    </w:p>
    <w:p w14:paraId="7ACF7CF8" w14:textId="77777777" w:rsidR="0023272D" w:rsidRPr="0007327B" w:rsidRDefault="0023272D" w:rsidP="0023272D">
      <w:pPr>
        <w:pStyle w:val="BTNSSBodyTextNoSpacingSmall"/>
      </w:pPr>
    </w:p>
    <w:p w14:paraId="04FA200C" w14:textId="77777777" w:rsidR="00D47F18" w:rsidRPr="0007327B" w:rsidRDefault="00D47F18" w:rsidP="00D52A17">
      <w:pPr>
        <w:pStyle w:val="BTBodyText"/>
      </w:pPr>
      <w:r w:rsidRPr="0007327B">
        <w:br w:type="page"/>
      </w:r>
    </w:p>
    <w:p w14:paraId="0AAC19D8" w14:textId="40ACAE62" w:rsidR="00D52A17" w:rsidRPr="0007327B" w:rsidRDefault="00BF748C" w:rsidP="00D52A17">
      <w:pPr>
        <w:pStyle w:val="HL1HeadingLevel1"/>
      </w:pPr>
      <w:bookmarkStart w:id="4" w:name="_Toc100253863"/>
      <w:bookmarkStart w:id="5" w:name="_Toc102905626"/>
      <w:r>
        <w:lastRenderedPageBreak/>
        <w:t>Introduction</w:t>
      </w:r>
      <w:bookmarkEnd w:id="4"/>
      <w:bookmarkEnd w:id="5"/>
      <w:r>
        <w:t xml:space="preserve"> </w:t>
      </w:r>
    </w:p>
    <w:p w14:paraId="076830C4" w14:textId="2DF363B5" w:rsidR="00D52A17" w:rsidRDefault="62EB62BA" w:rsidP="009B5EFE">
      <w:pPr>
        <w:pStyle w:val="P1-N1Paragraph1-Number1"/>
      </w:pPr>
      <w:r>
        <w:t xml:space="preserve">Australia welcomes the opportunity to present its views to the </w:t>
      </w:r>
      <w:r w:rsidR="66EF8F43">
        <w:t>P</w:t>
      </w:r>
      <w:r>
        <w:t>anel</w:t>
      </w:r>
      <w:r w:rsidR="4F0A5655">
        <w:t xml:space="preserve">. </w:t>
      </w:r>
      <w:r w:rsidR="65F6AB96">
        <w:t>Australia</w:t>
      </w:r>
      <w:r w:rsidR="14B944C5">
        <w:t xml:space="preserve"> considers that the proceedings</w:t>
      </w:r>
      <w:r w:rsidR="76C32FBE">
        <w:t xml:space="preserve"> initiated by Japan</w:t>
      </w:r>
      <w:r w:rsidR="65A10594">
        <w:t xml:space="preserve"> under the </w:t>
      </w:r>
      <w:r w:rsidR="1E637277">
        <w:t xml:space="preserve">DSU </w:t>
      </w:r>
      <w:r w:rsidR="65A10594">
        <w:t xml:space="preserve">raise </w:t>
      </w:r>
      <w:r w:rsidR="14B944C5">
        <w:t xml:space="preserve">important </w:t>
      </w:r>
      <w:r w:rsidR="27753A3B">
        <w:t xml:space="preserve">questions of legal interpretation and proper application of key provisions in the </w:t>
      </w:r>
      <w:r w:rsidR="47A3EC38">
        <w:t>Anti-Dumping Agreement.</w:t>
      </w:r>
      <w:r w:rsidR="1CF3183A">
        <w:t xml:space="preserve"> These include provisions relating to an investigating authority’s definition of a domestic industry</w:t>
      </w:r>
      <w:r w:rsidR="0E6CA650">
        <w:t xml:space="preserve"> (Article 4.1)</w:t>
      </w:r>
      <w:r w:rsidR="1CF3183A">
        <w:t>, determination</w:t>
      </w:r>
      <w:r w:rsidR="139651B2">
        <w:t xml:space="preserve"> of injury</w:t>
      </w:r>
      <w:r w:rsidR="0E6CA650">
        <w:t xml:space="preserve"> (Articles 3.1, 3.2, 3.4 and 3.5)</w:t>
      </w:r>
      <w:r w:rsidR="1CF3183A">
        <w:t xml:space="preserve">, </w:t>
      </w:r>
      <w:r w:rsidR="0E6CA650">
        <w:t>treatment of confidential information (Article 6.5), disclosure of essential facts (Article 6.9)</w:t>
      </w:r>
      <w:r w:rsidR="1CF3183A">
        <w:t xml:space="preserve"> and </w:t>
      </w:r>
      <w:r w:rsidR="0E6CA650">
        <w:t xml:space="preserve">explanations in </w:t>
      </w:r>
      <w:r w:rsidR="1CF3183A">
        <w:t>public notices</w:t>
      </w:r>
      <w:r w:rsidR="0E6CA650">
        <w:t xml:space="preserve"> (Article 12.2)</w:t>
      </w:r>
      <w:r w:rsidR="1CF3183A">
        <w:t xml:space="preserve">. </w:t>
      </w:r>
      <w:r w:rsidR="5CBEAA4F">
        <w:t xml:space="preserve"> </w:t>
      </w:r>
      <w:r w:rsidR="47A3EC38">
        <w:t xml:space="preserve"> </w:t>
      </w:r>
    </w:p>
    <w:p w14:paraId="22B83873" w14:textId="33523F51" w:rsidR="00CE1257" w:rsidRDefault="6BC913AC" w:rsidP="00D52A17">
      <w:pPr>
        <w:pStyle w:val="P1-N1Paragraph1-Number1"/>
      </w:pPr>
      <w:r>
        <w:t xml:space="preserve">The Anti-Dumping Agreement </w:t>
      </w:r>
      <w:r w:rsidR="4AE7E42B">
        <w:t>provides</w:t>
      </w:r>
      <w:r w:rsidR="29E66606">
        <w:t xml:space="preserve"> a framework </w:t>
      </w:r>
      <w:r w:rsidR="4AE7E42B">
        <w:t>that</w:t>
      </w:r>
      <w:r w:rsidR="3A254405">
        <w:t xml:space="preserve"> governs</w:t>
      </w:r>
      <w:r w:rsidR="725F921A">
        <w:t xml:space="preserve"> the application of anti-dumping measures by a WTO Member. </w:t>
      </w:r>
      <w:r w:rsidR="367F243A">
        <w:t xml:space="preserve">It </w:t>
      </w:r>
      <w:r w:rsidR="5AF17EC4">
        <w:t xml:space="preserve">sets out </w:t>
      </w:r>
      <w:r w:rsidR="0E6CA650">
        <w:t xml:space="preserve">the </w:t>
      </w:r>
      <w:r w:rsidR="5AF17EC4">
        <w:t>substantive requirements that must be met</w:t>
      </w:r>
      <w:r w:rsidR="367F243A">
        <w:t xml:space="preserve">, as well as detailed </w:t>
      </w:r>
      <w:r w:rsidR="0C9594AA">
        <w:t xml:space="preserve">due process </w:t>
      </w:r>
      <w:r w:rsidR="367F243A">
        <w:t xml:space="preserve">requirements </w:t>
      </w:r>
      <w:r w:rsidR="785AC0A3">
        <w:t xml:space="preserve">regarding the conduct of anti-dumping investigations and the imposition </w:t>
      </w:r>
      <w:r w:rsidR="49E69F6E">
        <w:t>of</w:t>
      </w:r>
      <w:r w:rsidR="724AE62E">
        <w:t xml:space="preserve"> anti-dumping</w:t>
      </w:r>
      <w:r w:rsidR="49E69F6E">
        <w:t xml:space="preserve"> measures.</w:t>
      </w:r>
      <w:r w:rsidR="026DA113">
        <w:t xml:space="preserve"> </w:t>
      </w:r>
      <w:r w:rsidR="29AADCF3">
        <w:t>Australia</w:t>
      </w:r>
      <w:r w:rsidR="17391472">
        <w:t xml:space="preserve"> considers that it is of critical importance that anti-dumping measures </w:t>
      </w:r>
      <w:r w:rsidR="745642C5">
        <w:t>are</w:t>
      </w:r>
      <w:r w:rsidR="2D1B897C">
        <w:t xml:space="preserve"> applied consistently with the Anti-Dumping A</w:t>
      </w:r>
      <w:r w:rsidR="6F303345">
        <w:t>g</w:t>
      </w:r>
      <w:r w:rsidR="2D1B897C">
        <w:t>reement</w:t>
      </w:r>
      <w:r w:rsidR="7EF7DC61">
        <w:t xml:space="preserve">, </w:t>
      </w:r>
      <w:r w:rsidR="7EDE10CB">
        <w:t>especially</w:t>
      </w:r>
      <w:r w:rsidR="5BEDE809">
        <w:t xml:space="preserve"> </w:t>
      </w:r>
      <w:r w:rsidR="7EF7DC61">
        <w:t>given the potential trade-distorting impacts of such measures</w:t>
      </w:r>
      <w:r w:rsidR="745642C5">
        <w:t xml:space="preserve">. </w:t>
      </w:r>
    </w:p>
    <w:p w14:paraId="517A3CD5" w14:textId="7BC68846" w:rsidR="0839184D" w:rsidRPr="00213B65" w:rsidRDefault="04C11CEB" w:rsidP="0839184D">
      <w:pPr>
        <w:pStyle w:val="P1-N1Paragraph1-Number1"/>
      </w:pPr>
      <w:r w:rsidRPr="00213B65">
        <w:t>Australia observes that while the Anti-Dumping Agreement does not prescribe how a product under investigation should be defined, a broad definition will have an impact on how an investigating authority defines the domestic industry and undertakes its subsequent injury analysis. Australia considers</w:t>
      </w:r>
      <w:r w:rsidR="00F4154B">
        <w:t xml:space="preserve"> </w:t>
      </w:r>
      <w:r w:rsidR="00F4154B" w:rsidRPr="0030409B">
        <w:t>that</w:t>
      </w:r>
      <w:r w:rsidRPr="00213B65">
        <w:t xml:space="preserve"> an investigating authority bears the responsibility for ensuring that </w:t>
      </w:r>
      <w:r w:rsidR="00AF2429" w:rsidRPr="00213B65">
        <w:t>its</w:t>
      </w:r>
      <w:r w:rsidRPr="00213B65">
        <w:t xml:space="preserve"> definition </w:t>
      </w:r>
      <w:r w:rsidR="00354E8C">
        <w:t xml:space="preserve">of the product under investigation </w:t>
      </w:r>
      <w:r w:rsidRPr="00213B65">
        <w:t xml:space="preserve">does not introduce a material risk of distortion to the subsequent analysis. </w:t>
      </w:r>
    </w:p>
    <w:p w14:paraId="479B6C95" w14:textId="19EF310E" w:rsidR="00B9095C" w:rsidRDefault="09C02934" w:rsidP="00FA6515">
      <w:pPr>
        <w:pStyle w:val="P1-N1Paragraph1-Number1"/>
      </w:pPr>
      <w:r>
        <w:t>In this submission,</w:t>
      </w:r>
      <w:r w:rsidR="702C5B36">
        <w:t xml:space="preserve"> Australia outlines the importance of an investigating authority undertaking its injury analysis, including in relation to price effects, </w:t>
      </w:r>
      <w:proofErr w:type="gramStart"/>
      <w:r w:rsidR="702C5B36">
        <w:t>impact</w:t>
      </w:r>
      <w:proofErr w:type="gramEnd"/>
      <w:r w:rsidR="702C5B36">
        <w:t xml:space="preserve"> and non-attribution, in a manner that is objective and based on positive evidence. Australia submits that flaws in an investigating authority’s definition of the domestic industry</w:t>
      </w:r>
      <w:r w:rsidR="002F1287">
        <w:t xml:space="preserve"> necessarily </w:t>
      </w:r>
      <w:r w:rsidR="6D6AED84">
        <w:t>give rise to a material</w:t>
      </w:r>
      <w:r w:rsidR="702C5B36">
        <w:t xml:space="preserve"> </w:t>
      </w:r>
      <w:r w:rsidR="6D6AED84">
        <w:t xml:space="preserve">risk of distortion in </w:t>
      </w:r>
      <w:r w:rsidR="702C5B36">
        <w:t>its injury analysis.</w:t>
      </w:r>
    </w:p>
    <w:p w14:paraId="72336C27" w14:textId="3C193E8A" w:rsidR="00EE59B2" w:rsidRDefault="09C02934" w:rsidP="00EE59B2">
      <w:pPr>
        <w:pStyle w:val="P1-N1Paragraph1-Number1"/>
      </w:pPr>
      <w:r>
        <w:t xml:space="preserve"> </w:t>
      </w:r>
      <w:r w:rsidR="70AA3F61">
        <w:t xml:space="preserve">Australia also discusses the importance of ensuring interested parties are furnished with sufficient information to allow them to </w:t>
      </w:r>
      <w:r w:rsidR="70AA3F61" w:rsidRPr="4DA07CBB">
        <w:rPr>
          <w:rFonts w:cs="Calibri"/>
        </w:rPr>
        <w:t xml:space="preserve">meaningfully engage in the investigative </w:t>
      </w:r>
      <w:proofErr w:type="gramStart"/>
      <w:r w:rsidR="70AA3F61" w:rsidRPr="4DA07CBB">
        <w:rPr>
          <w:rFonts w:cs="Calibri"/>
        </w:rPr>
        <w:t>process</w:t>
      </w:r>
      <w:r w:rsidR="00933CDE">
        <w:rPr>
          <w:rFonts w:cs="Calibri"/>
        </w:rPr>
        <w:t>,</w:t>
      </w:r>
      <w:r w:rsidR="70AA3F61" w:rsidRPr="4DA07CBB">
        <w:rPr>
          <w:rFonts w:cs="Calibri"/>
        </w:rPr>
        <w:t xml:space="preserve"> and</w:t>
      </w:r>
      <w:proofErr w:type="gramEnd"/>
      <w:r w:rsidR="70AA3F61" w:rsidRPr="4DA07CBB">
        <w:rPr>
          <w:rFonts w:cs="Calibri"/>
        </w:rPr>
        <w:t xml:space="preserve"> </w:t>
      </w:r>
      <w:r w:rsidR="002F1287">
        <w:rPr>
          <w:rFonts w:cs="Calibri"/>
        </w:rPr>
        <w:t>affording interest</w:t>
      </w:r>
      <w:r w:rsidR="00B9314F">
        <w:rPr>
          <w:rFonts w:cs="Calibri"/>
        </w:rPr>
        <w:t>ed</w:t>
      </w:r>
      <w:r w:rsidR="002F1287">
        <w:rPr>
          <w:rFonts w:cs="Calibri"/>
        </w:rPr>
        <w:t xml:space="preserve"> parties an </w:t>
      </w:r>
      <w:r w:rsidR="70AA3F61" w:rsidRPr="4DA07CBB">
        <w:rPr>
          <w:rFonts w:cs="Calibri"/>
        </w:rPr>
        <w:t xml:space="preserve">opportunity to </w:t>
      </w:r>
      <w:r w:rsidR="70AA3F61">
        <w:t xml:space="preserve">defend their interests during and after an </w:t>
      </w:r>
      <w:r w:rsidR="70AA3F61">
        <w:lastRenderedPageBreak/>
        <w:t xml:space="preserve">anti-dumping investigation. Australia submits that compliance with due process obligations is an essential element of ensuring anti-dumping duties are applied consistently with the requirements set out in the Anti-Dumping Agreement. </w:t>
      </w:r>
    </w:p>
    <w:p w14:paraId="677E9B87" w14:textId="077CBB93" w:rsidR="00933668" w:rsidRDefault="53FA402C" w:rsidP="00577202">
      <w:pPr>
        <w:pStyle w:val="P1-N1Paragraph1-Number1"/>
      </w:pPr>
      <w:r>
        <w:t xml:space="preserve">Australia reserves the right to raise other issues at the </w:t>
      </w:r>
      <w:proofErr w:type="gramStart"/>
      <w:r>
        <w:t>third party</w:t>
      </w:r>
      <w:proofErr w:type="gramEnd"/>
      <w:r>
        <w:t xml:space="preserve"> hearing before the </w:t>
      </w:r>
      <w:r w:rsidR="166A54DA">
        <w:t>P</w:t>
      </w:r>
      <w:r>
        <w:t>anel.</w:t>
      </w:r>
    </w:p>
    <w:p w14:paraId="00F3D316" w14:textId="4D432AF2" w:rsidR="00F1403D" w:rsidRDefault="00F1403D" w:rsidP="009B1ECC">
      <w:pPr>
        <w:pStyle w:val="HL1HeadingLevel1"/>
      </w:pPr>
      <w:bookmarkStart w:id="6" w:name="_Toc100253864"/>
      <w:bookmarkStart w:id="7" w:name="_Toc102905627"/>
      <w:r>
        <w:t>domestic industry</w:t>
      </w:r>
      <w:bookmarkEnd w:id="6"/>
      <w:bookmarkEnd w:id="7"/>
      <w:r>
        <w:t xml:space="preserve"> </w:t>
      </w:r>
    </w:p>
    <w:p w14:paraId="3D6CA7BE" w14:textId="0A7192F6" w:rsidR="00495BB4" w:rsidRPr="00673793" w:rsidRDefault="695D2357" w:rsidP="00961E46">
      <w:pPr>
        <w:pStyle w:val="P1-N1Paragraph1-Number1"/>
      </w:pPr>
      <w:r>
        <w:t xml:space="preserve">Japan submits that MOFCOM’s definition of </w:t>
      </w:r>
      <w:r w:rsidR="63E05DB9">
        <w:t>"</w:t>
      </w:r>
      <w:r>
        <w:t>domestic industry</w:t>
      </w:r>
      <w:r w:rsidR="63E05DB9">
        <w:t>"</w:t>
      </w:r>
      <w:r w:rsidR="4E9409FE">
        <w:t xml:space="preserve"> </w:t>
      </w:r>
      <w:r>
        <w:t xml:space="preserve">was inconsistent with Articles </w:t>
      </w:r>
      <w:r w:rsidR="4E9409FE">
        <w:t xml:space="preserve">3.1 and </w:t>
      </w:r>
      <w:r>
        <w:t>4.1 of the Anti-Dumping Agreement</w:t>
      </w:r>
      <w:r w:rsidR="796B0F58">
        <w:t xml:space="preserve"> and introduced a material risk of distortion in its injury analysis</w:t>
      </w:r>
      <w:r>
        <w:t>.</w:t>
      </w:r>
      <w:r w:rsidR="000B7715">
        <w:rPr>
          <w:rStyle w:val="FootnoteReference"/>
        </w:rPr>
        <w:footnoteReference w:id="2"/>
      </w:r>
      <w:r>
        <w:t xml:space="preserve"> </w:t>
      </w:r>
      <w:r w:rsidR="7C7A68BC">
        <w:t xml:space="preserve">Japan submits, among other things, that </w:t>
      </w:r>
      <w:r w:rsidR="63E05DB9">
        <w:t>"</w:t>
      </w:r>
      <w:r w:rsidR="1A1EF53B">
        <w:t xml:space="preserve">MOFCOM’s definition of the domestic industry failed to ensure its representativeness of the </w:t>
      </w:r>
      <w:r w:rsidR="59B5777A">
        <w:t xml:space="preserve">total domestic production in light of the differences among stainless steel slabs, hot-rolled </w:t>
      </w:r>
      <w:proofErr w:type="gramStart"/>
      <w:r w:rsidR="59B5777A">
        <w:t>stainless steel</w:t>
      </w:r>
      <w:proofErr w:type="gramEnd"/>
      <w:r w:rsidR="59B5777A">
        <w:t xml:space="preserve"> coils, and hot-rolled stainless steel plates</w:t>
      </w:r>
      <w:r w:rsidR="0030409B">
        <w:t>"</w:t>
      </w:r>
      <w:r w:rsidR="00933CDE">
        <w:t>.</w:t>
      </w:r>
      <w:r w:rsidR="00F95B2E">
        <w:rPr>
          <w:rStyle w:val="FootnoteReference"/>
        </w:rPr>
        <w:footnoteReference w:id="3"/>
      </w:r>
      <w:r w:rsidR="7015C08D">
        <w:t xml:space="preserve"> </w:t>
      </w:r>
    </w:p>
    <w:p w14:paraId="00DCE06D" w14:textId="5557DA65" w:rsidR="000C0EEF" w:rsidRDefault="209725C7">
      <w:pPr>
        <w:pStyle w:val="P1-N1Paragraph1-Number1"/>
      </w:pPr>
      <w:r>
        <w:t>On</w:t>
      </w:r>
      <w:r w:rsidR="1B2BE992">
        <w:t xml:space="preserve"> this issue,</w:t>
      </w:r>
      <w:r>
        <w:t xml:space="preserve"> </w:t>
      </w:r>
      <w:r w:rsidR="12C6E8F3">
        <w:t xml:space="preserve">China argues that the </w:t>
      </w:r>
      <w:r w:rsidR="0030409B">
        <w:t>"</w:t>
      </w:r>
      <w:r w:rsidR="6CD9B59B">
        <w:t xml:space="preserve">starting point for the identification of the domestic industry pursuant to Article 4.1 of the Anti-Dumping Agreement is the </w:t>
      </w:r>
      <w:r w:rsidR="5915A820">
        <w:t>'</w:t>
      </w:r>
      <w:r w:rsidR="6CD9B59B">
        <w:t>like product</w:t>
      </w:r>
      <w:r w:rsidR="5915A820">
        <w:t>'</w:t>
      </w:r>
      <w:r w:rsidR="6CD9B59B">
        <w:t xml:space="preserve">, and that whether a group of producers represents a </w:t>
      </w:r>
      <w:r w:rsidR="07F9E3F6">
        <w:t>'</w:t>
      </w:r>
      <w:r w:rsidR="6CD9B59B">
        <w:t>major proportion</w:t>
      </w:r>
      <w:r w:rsidR="07F9E3F6">
        <w:t>'</w:t>
      </w:r>
      <w:r w:rsidR="6CD9B59B">
        <w:t xml:space="preserve"> of total domestic output must be determined in relation to the production of the like pro</w:t>
      </w:r>
      <w:r w:rsidR="5A59FA99">
        <w:t>duct by the domestic producers as a whole.</w:t>
      </w:r>
      <w:r w:rsidR="0030409B">
        <w:t>"</w:t>
      </w:r>
      <w:r w:rsidR="00DB5617">
        <w:rPr>
          <w:rStyle w:val="FootnoteReference"/>
        </w:rPr>
        <w:footnoteReference w:id="4"/>
      </w:r>
      <w:r w:rsidR="5A59FA99">
        <w:t xml:space="preserve"> </w:t>
      </w:r>
      <w:r w:rsidR="56AF95B1">
        <w:t xml:space="preserve">On this basis, China submits that </w:t>
      </w:r>
      <w:r w:rsidR="0030409B">
        <w:t>"</w:t>
      </w:r>
      <w:r w:rsidR="56AF95B1">
        <w:t>MOFCOM was not required to perform the analysis for each billets, plates and coils individually, as this would go beyond the requirement to base the determination on the like product as a whole.</w:t>
      </w:r>
      <w:r w:rsidR="0030409B">
        <w:t>"</w:t>
      </w:r>
      <w:r w:rsidR="00CA077B">
        <w:rPr>
          <w:rStyle w:val="FootnoteReference"/>
        </w:rPr>
        <w:footnoteReference w:id="5"/>
      </w:r>
    </w:p>
    <w:p w14:paraId="2ABA4D6F" w14:textId="217192DA" w:rsidR="0083191C" w:rsidRPr="0030409B" w:rsidRDefault="0083191C" w:rsidP="00E450D4">
      <w:pPr>
        <w:pStyle w:val="P1-N1Paragraph1-Number1"/>
      </w:pPr>
      <w:r>
        <w:rPr>
          <w:rFonts w:eastAsia="Calibri" w:cs="Calibri"/>
        </w:rPr>
        <w:t xml:space="preserve">Australia agrees with China's submission that the concept of the </w:t>
      </w:r>
      <w:r w:rsidR="0030409B">
        <w:t>"</w:t>
      </w:r>
      <w:r>
        <w:rPr>
          <w:rFonts w:eastAsia="Calibri" w:cs="Calibri"/>
        </w:rPr>
        <w:t>domestic industry</w:t>
      </w:r>
      <w:r w:rsidR="0030409B">
        <w:t>"</w:t>
      </w:r>
      <w:r>
        <w:rPr>
          <w:rFonts w:eastAsia="Calibri" w:cs="Calibri"/>
        </w:rPr>
        <w:t xml:space="preserve"> is defined by Article 4.1 of the Anti-Dumping Agreement by reference to </w:t>
      </w:r>
      <w:r w:rsidR="0030409B">
        <w:t>"</w:t>
      </w:r>
      <w:r>
        <w:rPr>
          <w:rFonts w:eastAsia="Calibri" w:cs="Calibri"/>
        </w:rPr>
        <w:t>like products</w:t>
      </w:r>
      <w:r w:rsidR="0030409B">
        <w:t>"</w:t>
      </w:r>
      <w:r>
        <w:rPr>
          <w:rFonts w:eastAsia="Calibri" w:cs="Calibri"/>
        </w:rPr>
        <w:t xml:space="preserve">. Article 4.1 provides that </w:t>
      </w:r>
      <w:r w:rsidR="0030409B">
        <w:rPr>
          <w:rFonts w:eastAsia="Calibri" w:cs="Calibri"/>
        </w:rPr>
        <w:t>"</w:t>
      </w:r>
      <w:r>
        <w:rPr>
          <w:rFonts w:eastAsia="Calibri" w:cs="Calibri"/>
        </w:rPr>
        <w:t>domestic industry</w:t>
      </w:r>
      <w:r w:rsidR="0030409B">
        <w:rPr>
          <w:rFonts w:eastAsia="Calibri" w:cs="Calibri"/>
        </w:rPr>
        <w:t>"</w:t>
      </w:r>
      <w:r>
        <w:rPr>
          <w:rFonts w:eastAsia="Calibri" w:cs="Calibri"/>
        </w:rPr>
        <w:t xml:space="preserve"> can be defined in two ways: either as (</w:t>
      </w:r>
      <w:proofErr w:type="spellStart"/>
      <w:r>
        <w:rPr>
          <w:rFonts w:eastAsia="Calibri" w:cs="Calibri"/>
        </w:rPr>
        <w:t>i</w:t>
      </w:r>
      <w:proofErr w:type="spellEnd"/>
      <w:r>
        <w:rPr>
          <w:rFonts w:eastAsia="Calibri" w:cs="Calibri"/>
        </w:rPr>
        <w:t xml:space="preserve">) </w:t>
      </w:r>
      <w:r w:rsidR="0030409B">
        <w:rPr>
          <w:rFonts w:eastAsia="Calibri" w:cs="Calibri"/>
        </w:rPr>
        <w:t>"</w:t>
      </w:r>
      <w:r>
        <w:rPr>
          <w:rFonts w:eastAsia="Calibri" w:cs="Calibri"/>
        </w:rPr>
        <w:t xml:space="preserve">domestic producers </w:t>
      </w:r>
      <w:proofErr w:type="gramStart"/>
      <w:r>
        <w:rPr>
          <w:rFonts w:eastAsia="Calibri" w:cs="Calibri"/>
        </w:rPr>
        <w:t>as a whole of</w:t>
      </w:r>
      <w:proofErr w:type="gramEnd"/>
      <w:r>
        <w:rPr>
          <w:rFonts w:eastAsia="Calibri" w:cs="Calibri"/>
        </w:rPr>
        <w:t xml:space="preserve"> the like products</w:t>
      </w:r>
      <w:r w:rsidR="0030409B">
        <w:rPr>
          <w:rFonts w:eastAsia="Calibri" w:cs="Calibri"/>
        </w:rPr>
        <w:t>"</w:t>
      </w:r>
      <w:r>
        <w:rPr>
          <w:rFonts w:eastAsia="Calibri" w:cs="Calibri"/>
        </w:rPr>
        <w:t xml:space="preserve">; or (ii) </w:t>
      </w:r>
      <w:r w:rsidR="0030409B">
        <w:rPr>
          <w:rFonts w:eastAsia="Calibri" w:cs="Calibri"/>
        </w:rPr>
        <w:t>"</w:t>
      </w:r>
      <w:r>
        <w:rPr>
          <w:rFonts w:eastAsia="Calibri" w:cs="Calibri"/>
        </w:rPr>
        <w:t>those of them whose collective output of the products constitutes a major proportion of the total domestic production of those products</w:t>
      </w:r>
      <w:r w:rsidR="0030409B">
        <w:rPr>
          <w:rFonts w:eastAsia="Calibri" w:cs="Calibri"/>
        </w:rPr>
        <w:t>"</w:t>
      </w:r>
      <w:r>
        <w:rPr>
          <w:rFonts w:eastAsia="Calibri" w:cs="Calibri"/>
        </w:rPr>
        <w:t xml:space="preserve">. With respect to the second </w:t>
      </w:r>
      <w:r w:rsidRPr="0030409B">
        <w:rPr>
          <w:rFonts w:eastAsia="Calibri" w:cs="Calibri"/>
        </w:rPr>
        <w:t>definition</w:t>
      </w:r>
      <w:r>
        <w:rPr>
          <w:rFonts w:eastAsia="Calibri" w:cs="Calibri"/>
        </w:rPr>
        <w:t xml:space="preserve">, relied upon by MOFCOM in this case, the Appellate Body has explained that the </w:t>
      </w:r>
      <w:r w:rsidR="0030409B">
        <w:rPr>
          <w:rFonts w:eastAsia="Calibri" w:cs="Calibri"/>
        </w:rPr>
        <w:t>"</w:t>
      </w:r>
      <w:r>
        <w:rPr>
          <w:rFonts w:eastAsia="Calibri" w:cs="Calibri"/>
        </w:rPr>
        <w:t>major proportion</w:t>
      </w:r>
      <w:r w:rsidR="0030409B">
        <w:rPr>
          <w:rFonts w:eastAsia="Calibri" w:cs="Calibri"/>
        </w:rPr>
        <w:t>"</w:t>
      </w:r>
      <w:r>
        <w:rPr>
          <w:rFonts w:eastAsia="Calibri" w:cs="Calibri"/>
        </w:rPr>
        <w:t xml:space="preserve"> requirement has both </w:t>
      </w:r>
      <w:r>
        <w:rPr>
          <w:rFonts w:eastAsia="Calibri" w:cs="Calibri"/>
        </w:rPr>
        <w:lastRenderedPageBreak/>
        <w:t>quantitative and qualitative connotations.</w:t>
      </w:r>
      <w:r>
        <w:rPr>
          <w:rStyle w:val="FootnoteReference"/>
          <w:rFonts w:eastAsia="Calibri" w:cs="Calibri"/>
        </w:rPr>
        <w:footnoteReference w:id="6"/>
      </w:r>
      <w:r>
        <w:rPr>
          <w:rFonts w:eastAsia="Calibri" w:cs="Calibri"/>
        </w:rPr>
        <w:t xml:space="preserve"> In respect of the quantitative element, the Appellate Body has explained that </w:t>
      </w:r>
      <w:r w:rsidR="0030409B">
        <w:rPr>
          <w:rFonts w:eastAsia="Calibri" w:cs="Calibri"/>
        </w:rPr>
        <w:t>"</w:t>
      </w:r>
      <w:r>
        <w:rPr>
          <w:rFonts w:eastAsia="Calibri" w:cs="Calibri"/>
        </w:rPr>
        <w:t>'a major proportion' should be properly understood as a relatively high proportion of the total domestic production</w:t>
      </w:r>
      <w:r w:rsidR="0030409B">
        <w:rPr>
          <w:rFonts w:eastAsia="Calibri" w:cs="Calibri"/>
        </w:rPr>
        <w:t>"</w:t>
      </w:r>
      <w:r>
        <w:rPr>
          <w:rFonts w:eastAsia="Calibri" w:cs="Calibri"/>
        </w:rPr>
        <w:t xml:space="preserve"> that </w:t>
      </w:r>
      <w:r w:rsidR="0030409B">
        <w:rPr>
          <w:rFonts w:eastAsia="Calibri" w:cs="Calibri"/>
        </w:rPr>
        <w:t>"</w:t>
      </w:r>
      <w:r>
        <w:rPr>
          <w:rFonts w:eastAsia="Calibri" w:cs="Calibri"/>
        </w:rPr>
        <w:t>substantially reflects</w:t>
      </w:r>
      <w:r w:rsidR="0030409B">
        <w:rPr>
          <w:rFonts w:eastAsia="Calibri" w:cs="Calibri"/>
        </w:rPr>
        <w:t>"</w:t>
      </w:r>
      <w:r>
        <w:rPr>
          <w:rFonts w:eastAsia="Calibri" w:cs="Calibri"/>
        </w:rPr>
        <w:t xml:space="preserve"> the total domestic production.</w:t>
      </w:r>
      <w:r>
        <w:rPr>
          <w:rStyle w:val="FootnoteReference"/>
          <w:rFonts w:eastAsia="Calibri" w:cs="Calibri"/>
        </w:rPr>
        <w:footnoteReference w:id="7"/>
      </w:r>
      <w:r>
        <w:rPr>
          <w:rFonts w:eastAsia="Calibri" w:cs="Calibri"/>
        </w:rPr>
        <w:t xml:space="preserve"> The qualitative element is concerned with </w:t>
      </w:r>
      <w:r w:rsidR="0030409B">
        <w:rPr>
          <w:rFonts w:eastAsia="Calibri" w:cs="Calibri"/>
        </w:rPr>
        <w:t>"</w:t>
      </w:r>
      <w:r>
        <w:rPr>
          <w:rFonts w:eastAsia="Calibri" w:cs="Calibri"/>
        </w:rPr>
        <w:t>ensuring that the domestic producers of the like product that are included in the definition of domestic industry are representative of the total domestic production</w:t>
      </w:r>
      <w:r w:rsidR="0030409B">
        <w:rPr>
          <w:rFonts w:eastAsia="Calibri" w:cs="Calibri"/>
        </w:rPr>
        <w:t>"</w:t>
      </w:r>
      <w:r>
        <w:rPr>
          <w:rFonts w:eastAsia="Calibri" w:cs="Calibri"/>
        </w:rPr>
        <w:t>.</w:t>
      </w:r>
      <w:r>
        <w:rPr>
          <w:rStyle w:val="FootnoteReference"/>
          <w:rFonts w:eastAsia="Calibri" w:cs="Calibri"/>
        </w:rPr>
        <w:footnoteReference w:id="8"/>
      </w:r>
      <w:r>
        <w:rPr>
          <w:rFonts w:eastAsia="Calibri" w:cs="Calibri"/>
        </w:rPr>
        <w:t xml:space="preserve"> </w:t>
      </w:r>
    </w:p>
    <w:p w14:paraId="0D23486E" w14:textId="043BDCA4" w:rsidR="00E0646C" w:rsidRDefault="1C100C28" w:rsidP="00E450D4">
      <w:pPr>
        <w:pStyle w:val="P1-N1Paragraph1-Number1"/>
      </w:pPr>
      <w:r>
        <w:t>Australia recalls that the</w:t>
      </w:r>
      <w:r w:rsidRPr="0839184D">
        <w:t xml:space="preserve"> definition of </w:t>
      </w:r>
      <w:r w:rsidR="0030409B">
        <w:t>"</w:t>
      </w:r>
      <w:r w:rsidRPr="0839184D">
        <w:t>domestic industry</w:t>
      </w:r>
      <w:r w:rsidR="0030409B">
        <w:t>"</w:t>
      </w:r>
      <w:r w:rsidRPr="0839184D">
        <w:t xml:space="preserve"> is a </w:t>
      </w:r>
      <w:r w:rsidR="0030409B">
        <w:t>"</w:t>
      </w:r>
      <w:r w:rsidRPr="0839184D">
        <w:t>keystone</w:t>
      </w:r>
      <w:r w:rsidR="0030409B">
        <w:t>"</w:t>
      </w:r>
      <w:r w:rsidRPr="0839184D">
        <w:t xml:space="preserve"> of a</w:t>
      </w:r>
      <w:r w:rsidR="226E5E96" w:rsidRPr="0839184D">
        <w:t>n anti-</w:t>
      </w:r>
      <w:r w:rsidR="74558EAB" w:rsidRPr="0839184D">
        <w:t xml:space="preserve">dumping </w:t>
      </w:r>
      <w:r w:rsidRPr="0839184D">
        <w:t>investigation.</w:t>
      </w:r>
      <w:r w:rsidR="00CE1257" w:rsidRPr="0839184D">
        <w:rPr>
          <w:rStyle w:val="FootnoteReference"/>
        </w:rPr>
        <w:footnoteReference w:id="9"/>
      </w:r>
      <w:r w:rsidR="3BF628A1" w:rsidRPr="0839184D">
        <w:t xml:space="preserve"> It sets the scope of the investigation and lays the foundation for the injury and causation analyses required under Article 3</w:t>
      </w:r>
      <w:r w:rsidR="072A5E05" w:rsidRPr="0839184D">
        <w:t xml:space="preserve"> of the Anti-Dumping Agreement.</w:t>
      </w:r>
      <w:r w:rsidRPr="0839184D">
        <w:t xml:space="preserve"> </w:t>
      </w:r>
      <w:r w:rsidR="331EF775">
        <w:t xml:space="preserve">In </w:t>
      </w:r>
      <w:r w:rsidR="331EF775" w:rsidRPr="00697A6A">
        <w:rPr>
          <w:i/>
          <w:iCs/>
        </w:rPr>
        <w:t>EC – Fasteners (China)</w:t>
      </w:r>
      <w:r w:rsidR="331EF775">
        <w:t xml:space="preserve">, the Appellate Body </w:t>
      </w:r>
      <w:r w:rsidR="1A8862BC">
        <w:t xml:space="preserve">considered footnote 9 of Article 3 of the Anti-Dumping Agreement, as well as the context provided in Articles 3.1 and 3.4, </w:t>
      </w:r>
      <w:r w:rsidR="2DC2E4F4">
        <w:t>to be</w:t>
      </w:r>
      <w:r w:rsidR="1A8862BC">
        <w:t xml:space="preserve"> relevant for the interpretation of Article 4.1</w:t>
      </w:r>
      <w:r w:rsidR="0F74C9EE">
        <w:t xml:space="preserve"> of the Anti-Dumping Agreement</w:t>
      </w:r>
      <w:r w:rsidR="14B840E6">
        <w:t>.</w:t>
      </w:r>
      <w:r w:rsidR="0082219D">
        <w:rPr>
          <w:rStyle w:val="FootnoteReference"/>
        </w:rPr>
        <w:footnoteReference w:id="10"/>
      </w:r>
      <w:r w:rsidR="00D0C246">
        <w:t xml:space="preserve"> </w:t>
      </w:r>
    </w:p>
    <w:p w14:paraId="6A45EA4C" w14:textId="220899F0" w:rsidR="00CE1257" w:rsidRPr="009B2DB3" w:rsidRDefault="7B422C25" w:rsidP="00E450D4">
      <w:pPr>
        <w:pStyle w:val="P1-N1Paragraph1-Number1"/>
      </w:pPr>
      <w:r>
        <w:t xml:space="preserve">As the Appellate Body explained, </w:t>
      </w:r>
      <w:r w:rsidR="0030409B">
        <w:t>"</w:t>
      </w:r>
      <w:r>
        <w:t xml:space="preserve">the domestic industry forms the basis on which </w:t>
      </w:r>
      <w:r w:rsidR="6208EA78">
        <w:t xml:space="preserve">an investigating authority makes the determination of whether the dumped imports cause or threaten to </w:t>
      </w:r>
      <w:r w:rsidR="5ABB88F4">
        <w:t>cause material injury to the domestic producers</w:t>
      </w:r>
      <w:r w:rsidR="0030409B">
        <w:t>"</w:t>
      </w:r>
      <w:r w:rsidR="5ABB88F4">
        <w:t>,</w:t>
      </w:r>
      <w:r w:rsidR="695D2357" w:rsidRPr="00495BB4">
        <w:rPr>
          <w:rStyle w:val="FootnoteReference"/>
        </w:rPr>
        <w:t xml:space="preserve"> </w:t>
      </w:r>
      <w:r w:rsidR="00495BB4">
        <w:rPr>
          <w:rStyle w:val="FootnoteReference"/>
        </w:rPr>
        <w:footnoteReference w:id="11"/>
      </w:r>
      <w:r w:rsidR="5ABB88F4">
        <w:t xml:space="preserve"> and this determination </w:t>
      </w:r>
      <w:r w:rsidR="0030409B">
        <w:t>"</w:t>
      </w:r>
      <w:r w:rsidR="5ABB88F4">
        <w:t xml:space="preserve">must be based on </w:t>
      </w:r>
      <w:r w:rsidR="3C7B7881">
        <w:t>'</w:t>
      </w:r>
      <w:r w:rsidR="5ABB88F4">
        <w:t>positive evidence</w:t>
      </w:r>
      <w:r w:rsidR="3C7B7881">
        <w:t>'</w:t>
      </w:r>
      <w:r w:rsidR="0030409B">
        <w:t>"</w:t>
      </w:r>
      <w:r w:rsidR="5ABB88F4">
        <w:t>.</w:t>
      </w:r>
      <w:r w:rsidR="00793EFA">
        <w:rPr>
          <w:rStyle w:val="FootnoteReference"/>
        </w:rPr>
        <w:footnoteReference w:id="12"/>
      </w:r>
      <w:r w:rsidR="00E56931">
        <w:t xml:space="preserve"> </w:t>
      </w:r>
      <w:r w:rsidR="00E56931" w:rsidRPr="0030409B">
        <w:rPr>
          <w:rFonts w:eastAsia="Times New Roman" w:cs="Times New Roman"/>
        </w:rPr>
        <w:t xml:space="preserve">Such positive evidence </w:t>
      </w:r>
      <w:r w:rsidR="0030409B">
        <w:rPr>
          <w:rFonts w:eastAsia="Times New Roman" w:cs="Times New Roman"/>
        </w:rPr>
        <w:t>"</w:t>
      </w:r>
      <w:r w:rsidR="00E56931" w:rsidRPr="0030409B">
        <w:rPr>
          <w:rFonts w:eastAsia="Times New Roman" w:cs="Times New Roman"/>
        </w:rPr>
        <w:t>includes relevant economic factors and indices collected from the domestic industry, which have a bearing on the state of the industry</w:t>
      </w:r>
      <w:r w:rsidR="0030409B">
        <w:rPr>
          <w:rFonts w:eastAsia="Times New Roman" w:cs="Times New Roman"/>
        </w:rPr>
        <w:t>"</w:t>
      </w:r>
      <w:r w:rsidR="00E56931" w:rsidRPr="0030409B">
        <w:rPr>
          <w:rFonts w:eastAsia="Times New Roman" w:cs="Times New Roman"/>
        </w:rPr>
        <w:t xml:space="preserve">, and </w:t>
      </w:r>
      <w:r w:rsidR="0030409B">
        <w:rPr>
          <w:rFonts w:eastAsia="Times New Roman" w:cs="Times New Roman"/>
        </w:rPr>
        <w:t>"</w:t>
      </w:r>
      <w:r w:rsidR="00E56931" w:rsidRPr="0030409B">
        <w:rPr>
          <w:rFonts w:eastAsia="Times New Roman" w:cs="Times New Roman"/>
        </w:rPr>
        <w:t>requires wide-ranging information concerning the relevant economic factors in order to ensure the accuracy of an investigation concerning the state of the industry and the injury it has suffered</w:t>
      </w:r>
      <w:r w:rsidR="0030409B">
        <w:rPr>
          <w:rFonts w:eastAsia="Times New Roman" w:cs="Times New Roman"/>
        </w:rPr>
        <w:t>"</w:t>
      </w:r>
      <w:r w:rsidR="00E56931" w:rsidRPr="0030409B">
        <w:rPr>
          <w:rFonts w:eastAsia="Times New Roman" w:cs="Times New Roman"/>
        </w:rPr>
        <w:t>.</w:t>
      </w:r>
      <w:r w:rsidR="00CF413E" w:rsidRPr="0030409B">
        <w:rPr>
          <w:rStyle w:val="FootnoteReference"/>
          <w:rFonts w:eastAsia="Times New Roman" w:cs="Times New Roman"/>
        </w:rPr>
        <w:footnoteReference w:id="13"/>
      </w:r>
      <w:r w:rsidR="00E56931" w:rsidRPr="0030409B">
        <w:rPr>
          <w:rFonts w:eastAsia="Times New Roman" w:cs="Times New Roman"/>
        </w:rPr>
        <w:t xml:space="preserve"> Accordingly, </w:t>
      </w:r>
      <w:r w:rsidR="0030409B">
        <w:rPr>
          <w:rFonts w:asciiTheme="minorHAnsi" w:hAnsiTheme="minorHAnsi" w:cstheme="minorHAnsi"/>
        </w:rPr>
        <w:t>"</w:t>
      </w:r>
      <w:r w:rsidR="00E56931" w:rsidRPr="0030409B">
        <w:rPr>
          <w:rFonts w:asciiTheme="minorHAnsi" w:hAnsiTheme="minorHAnsi" w:cstheme="minorHAnsi"/>
        </w:rPr>
        <w:t>'a major proportion of the total domestic production' should be determined so as to ensure that the domestic industry defined on this basis is capable of providing ample data that ensure an accurate injury analysis</w:t>
      </w:r>
      <w:r w:rsidR="0030409B">
        <w:rPr>
          <w:rFonts w:asciiTheme="minorHAnsi" w:hAnsiTheme="minorHAnsi" w:cstheme="minorHAnsi"/>
        </w:rPr>
        <w:t>"</w:t>
      </w:r>
      <w:r w:rsidR="00E56931" w:rsidRPr="0030409B">
        <w:rPr>
          <w:rFonts w:asciiTheme="minorHAnsi" w:hAnsiTheme="minorHAnsi" w:cstheme="minorHAnsi"/>
        </w:rPr>
        <w:t>.</w:t>
      </w:r>
      <w:r w:rsidR="00CF413E" w:rsidRPr="0030409B">
        <w:rPr>
          <w:rStyle w:val="FootnoteReference"/>
          <w:rFonts w:cstheme="minorHAnsi"/>
        </w:rPr>
        <w:footnoteReference w:id="14"/>
      </w:r>
      <w:r w:rsidR="5ABB88F4">
        <w:t xml:space="preserve"> </w:t>
      </w:r>
      <w:r w:rsidR="497B04A3">
        <w:t>Further</w:t>
      </w:r>
      <w:r w:rsidR="1C100C28" w:rsidRPr="0839184D">
        <w:t xml:space="preserve">, the Appellate Body </w:t>
      </w:r>
      <w:r w:rsidR="1E6551EE" w:rsidRPr="0839184D">
        <w:t>clarified</w:t>
      </w:r>
      <w:r w:rsidR="1C100C28" w:rsidRPr="0839184D">
        <w:t xml:space="preserve"> that </w:t>
      </w:r>
      <w:r w:rsidR="1C100C28">
        <w:t xml:space="preserve">an </w:t>
      </w:r>
      <w:r w:rsidR="1C100C28" w:rsidRPr="0839184D">
        <w:t xml:space="preserve">investigating authority </w:t>
      </w:r>
      <w:r w:rsidR="0030409B">
        <w:t>"</w:t>
      </w:r>
      <w:r w:rsidR="1C100C28" w:rsidRPr="0839184D">
        <w:t xml:space="preserve">bears the obligation to ensure that the way in which it defines the domestic industry does not introduce a material risk of </w:t>
      </w:r>
      <w:r w:rsidR="1C100C28" w:rsidRPr="0839184D">
        <w:lastRenderedPageBreak/>
        <w:t>skewing the economic data and, consequently, distorting its analysis of the state of the industry</w:t>
      </w:r>
      <w:r w:rsidR="0030409B">
        <w:t>"</w:t>
      </w:r>
      <w:r w:rsidR="1C100C28" w:rsidRPr="0839184D">
        <w:t>.</w:t>
      </w:r>
      <w:r w:rsidR="00CE1257" w:rsidRPr="0839184D">
        <w:rPr>
          <w:rStyle w:val="FootnoteReference"/>
        </w:rPr>
        <w:footnoteReference w:id="15"/>
      </w:r>
      <w:r w:rsidR="00EC48AA">
        <w:t xml:space="preserve"> </w:t>
      </w:r>
    </w:p>
    <w:p w14:paraId="357E03A5" w14:textId="3AE023FF" w:rsidR="00E109A9" w:rsidRPr="0030409B" w:rsidRDefault="000670C7" w:rsidP="00F652F8">
      <w:pPr>
        <w:pStyle w:val="P1-N1Paragraph1-Number1"/>
        <w:rPr>
          <w:rFonts w:eastAsia="Calibri" w:cs="Calibri"/>
        </w:rPr>
      </w:pPr>
      <w:r>
        <w:t xml:space="preserve">Australia submits that MOFCOM </w:t>
      </w:r>
      <w:r w:rsidR="00033B90">
        <w:t xml:space="preserve">has an obligation to </w:t>
      </w:r>
      <w:r w:rsidR="00C46E93">
        <w:t xml:space="preserve">define the domestic industry </w:t>
      </w:r>
      <w:r w:rsidR="00475A8E">
        <w:t>i</w:t>
      </w:r>
      <w:r w:rsidR="00C46E93">
        <w:t xml:space="preserve">n a way that </w:t>
      </w:r>
      <w:r w:rsidR="00033B90">
        <w:t>ensure</w:t>
      </w:r>
      <w:r w:rsidR="00475A8E">
        <w:t>s</w:t>
      </w:r>
      <w:r w:rsidR="00033B90">
        <w:t xml:space="preserve"> </w:t>
      </w:r>
      <w:r w:rsidR="00C46E93">
        <w:t xml:space="preserve">the definition is reflective of </w:t>
      </w:r>
      <w:r w:rsidR="0030409B">
        <w:t>"</w:t>
      </w:r>
      <w:r w:rsidR="00033B90" w:rsidRPr="0030409B">
        <w:rPr>
          <w:rFonts w:asciiTheme="minorHAnsi" w:hAnsiTheme="minorHAnsi" w:cstheme="minorHAnsi"/>
        </w:rPr>
        <w:t>a major proportion of the total domestic production</w:t>
      </w:r>
      <w:r w:rsidR="0030409B">
        <w:t>"</w:t>
      </w:r>
      <w:r w:rsidR="0049152A">
        <w:rPr>
          <w:rFonts w:asciiTheme="minorHAnsi" w:hAnsiTheme="minorHAnsi" w:cstheme="minorHAnsi"/>
        </w:rPr>
        <w:t xml:space="preserve"> of the like products</w:t>
      </w:r>
      <w:r w:rsidR="00475A8E">
        <w:rPr>
          <w:rFonts w:asciiTheme="minorHAnsi" w:hAnsiTheme="minorHAnsi" w:cstheme="minorHAnsi"/>
        </w:rPr>
        <w:t>.</w:t>
      </w:r>
      <w:r w:rsidR="00033B90">
        <w:t xml:space="preserve"> </w:t>
      </w:r>
      <w:r w:rsidR="2014CF60">
        <w:t xml:space="preserve">Australia </w:t>
      </w:r>
      <w:r w:rsidR="71945B6C">
        <w:t>observes</w:t>
      </w:r>
      <w:r w:rsidR="2014CF60">
        <w:t xml:space="preserve"> that</w:t>
      </w:r>
      <w:r w:rsidR="28B536F0">
        <w:t xml:space="preserve"> if</w:t>
      </w:r>
      <w:r w:rsidR="29C6B6A5">
        <w:t xml:space="preserve"> </w:t>
      </w:r>
      <w:r w:rsidR="507B9015">
        <w:t>MOFCOM</w:t>
      </w:r>
      <w:r w:rsidR="75D07D71">
        <w:t xml:space="preserve"> </w:t>
      </w:r>
      <w:r w:rsidR="507B9015">
        <w:t xml:space="preserve">did </w:t>
      </w:r>
      <w:r w:rsidR="75D07D71">
        <w:t>not properly define</w:t>
      </w:r>
      <w:r w:rsidR="29C6B6A5">
        <w:t xml:space="preserve"> </w:t>
      </w:r>
      <w:r w:rsidR="0030409B">
        <w:t>"</w:t>
      </w:r>
      <w:r w:rsidR="29C6B6A5">
        <w:t>domestic industry</w:t>
      </w:r>
      <w:r w:rsidR="0030409B">
        <w:t>"</w:t>
      </w:r>
      <w:r w:rsidR="684EABD7">
        <w:t xml:space="preserve"> in accor</w:t>
      </w:r>
      <w:r w:rsidR="4FF56578">
        <w:t>dance with Article 4.1</w:t>
      </w:r>
      <w:r w:rsidR="272353E4">
        <w:t xml:space="preserve"> of the Anti-Dumping Agreement</w:t>
      </w:r>
      <w:r w:rsidR="006244A3">
        <w:t>, and</w:t>
      </w:r>
      <w:r w:rsidR="53BF1CFE">
        <w:t xml:space="preserve"> </w:t>
      </w:r>
      <w:r w:rsidR="11EF9FEA">
        <w:t>in an objective manner</w:t>
      </w:r>
      <w:r w:rsidR="53BF1CFE">
        <w:t xml:space="preserve"> and</w:t>
      </w:r>
      <w:r w:rsidR="11EF9FEA">
        <w:t xml:space="preserve"> based</w:t>
      </w:r>
      <w:r w:rsidR="53BF1CFE">
        <w:t xml:space="preserve"> </w:t>
      </w:r>
      <w:r w:rsidR="11EF9FEA">
        <w:t xml:space="preserve">on </w:t>
      </w:r>
      <w:r w:rsidR="53BF1CFE">
        <w:t>positive evidence</w:t>
      </w:r>
      <w:r w:rsidR="11EF9FEA">
        <w:t xml:space="preserve">, </w:t>
      </w:r>
      <w:r w:rsidR="5C694A52">
        <w:t>there</w:t>
      </w:r>
      <w:r w:rsidR="121E26C6">
        <w:t xml:space="preserve"> </w:t>
      </w:r>
      <w:r w:rsidR="25C868AB">
        <w:t xml:space="preserve">would necessarily have </w:t>
      </w:r>
      <w:r w:rsidR="53F40413">
        <w:t>been</w:t>
      </w:r>
      <w:r w:rsidR="25C868AB">
        <w:t xml:space="preserve"> </w:t>
      </w:r>
      <w:r w:rsidR="2A672251">
        <w:t>a material</w:t>
      </w:r>
      <w:r w:rsidR="33109382">
        <w:t xml:space="preserve"> </w:t>
      </w:r>
      <w:r w:rsidR="541C4F0E">
        <w:t xml:space="preserve">risk of </w:t>
      </w:r>
      <w:r w:rsidR="33109382">
        <w:t>distort</w:t>
      </w:r>
      <w:r w:rsidR="2A672251">
        <w:t>ion in</w:t>
      </w:r>
      <w:r w:rsidR="33109382">
        <w:t xml:space="preserve"> </w:t>
      </w:r>
      <w:r w:rsidR="507B9015">
        <w:t xml:space="preserve">its </w:t>
      </w:r>
      <w:r w:rsidR="4AFC8EEE">
        <w:t xml:space="preserve">subsequent </w:t>
      </w:r>
      <w:r w:rsidR="7C54B0B5">
        <w:t>injury analysis</w:t>
      </w:r>
      <w:r w:rsidR="1804178B">
        <w:t>.</w:t>
      </w:r>
      <w:r w:rsidR="0F3FF6D5">
        <w:t xml:space="preserve"> </w:t>
      </w:r>
      <w:r w:rsidR="363E2BE2">
        <w:t xml:space="preserve">As the panel noted in </w:t>
      </w:r>
      <w:r w:rsidR="363E2BE2" w:rsidRPr="4DA07CBB">
        <w:rPr>
          <w:i/>
          <w:iCs/>
        </w:rPr>
        <w:t>China – Autos (US)</w:t>
      </w:r>
      <w:r w:rsidR="363E2BE2">
        <w:t>,</w:t>
      </w:r>
      <w:r w:rsidR="4957FAFD" w:rsidRPr="370FA946">
        <w:t xml:space="preserve"> </w:t>
      </w:r>
      <w:r w:rsidR="0030409B">
        <w:t>"</w:t>
      </w:r>
      <w:r w:rsidR="4957FAFD" w:rsidRPr="370FA946">
        <w:t>a wrongly-defined domestic industry necessarily leads to an injury determination that is inconsistent</w:t>
      </w:r>
      <w:r w:rsidR="0030409B">
        <w:t>"</w:t>
      </w:r>
      <w:r w:rsidR="4957FAFD" w:rsidRPr="370FA946">
        <w:t xml:space="preserve"> with the Anti-Dumping Agreement.</w:t>
      </w:r>
      <w:r w:rsidR="00BD1B57" w:rsidRPr="4DA07CBB">
        <w:rPr>
          <w:rStyle w:val="FootnoteReference"/>
          <w:rFonts w:asciiTheme="minorHAnsi" w:hAnsiTheme="minorHAnsi"/>
        </w:rPr>
        <w:footnoteReference w:id="16"/>
      </w:r>
      <w:r w:rsidR="4957FAFD">
        <w:t xml:space="preserve"> </w:t>
      </w:r>
    </w:p>
    <w:p w14:paraId="4E414C8A" w14:textId="2F23C568" w:rsidR="00893BE4" w:rsidRPr="00BD1B57" w:rsidRDefault="20D1250A" w:rsidP="00F652F8">
      <w:pPr>
        <w:pStyle w:val="P1-N1Paragraph1-Number1"/>
        <w:rPr>
          <w:rFonts w:eastAsia="Calibri" w:cs="Calibri"/>
        </w:rPr>
      </w:pPr>
      <w:r>
        <w:t>Accordingly, Australia</w:t>
      </w:r>
      <w:r w:rsidR="69F6456A">
        <w:t>’s</w:t>
      </w:r>
      <w:r w:rsidR="67C227D6">
        <w:t xml:space="preserve"> view </w:t>
      </w:r>
      <w:r w:rsidR="69F6456A">
        <w:t xml:space="preserve">is </w:t>
      </w:r>
      <w:r w:rsidR="67C227D6">
        <w:t>that</w:t>
      </w:r>
      <w:r w:rsidR="69F6456A">
        <w:t xml:space="preserve"> the </w:t>
      </w:r>
      <w:r w:rsidR="194E32F5">
        <w:t xml:space="preserve">question of whether </w:t>
      </w:r>
      <w:r w:rsidR="67C227D6">
        <w:t>MOFCOM</w:t>
      </w:r>
      <w:r w:rsidR="5E734B54">
        <w:t xml:space="preserve">’s approach </w:t>
      </w:r>
      <w:r w:rsidR="69F6456A">
        <w:t xml:space="preserve">to </w:t>
      </w:r>
      <w:r w:rsidR="5E734B54">
        <w:t>defining the domestic industry</w:t>
      </w:r>
      <w:r w:rsidR="194E32F5">
        <w:t xml:space="preserve"> was consistent</w:t>
      </w:r>
      <w:r w:rsidR="5E734B54">
        <w:t xml:space="preserve"> </w:t>
      </w:r>
      <w:r w:rsidR="69F6456A">
        <w:t xml:space="preserve">with </w:t>
      </w:r>
      <w:r w:rsidR="5E734B54">
        <w:t>Article 4.1 of the Anti-Dumping Agreement</w:t>
      </w:r>
      <w:r w:rsidR="0E0CD615">
        <w:t xml:space="preserve"> </w:t>
      </w:r>
      <w:r w:rsidR="69F6456A">
        <w:t>is a key issue in</w:t>
      </w:r>
      <w:r w:rsidR="0E0CD615">
        <w:t xml:space="preserve"> these proceedings</w:t>
      </w:r>
      <w:r w:rsidR="0079406A">
        <w:t>, with foundational significance for the injury and causation analyses subsequently required as part of the investigation</w:t>
      </w:r>
      <w:r w:rsidR="69F6456A">
        <w:t xml:space="preserve">. </w:t>
      </w:r>
      <w:r w:rsidR="695D2357">
        <w:t xml:space="preserve">Australia </w:t>
      </w:r>
      <w:r w:rsidR="00697A6A">
        <w:t>submit</w:t>
      </w:r>
      <w:r w:rsidR="695D2357">
        <w:t xml:space="preserve">s that the </w:t>
      </w:r>
      <w:r w:rsidR="66EF8F43">
        <w:t>P</w:t>
      </w:r>
      <w:r w:rsidR="695D2357">
        <w:t>anel should</w:t>
      </w:r>
      <w:r w:rsidR="45DB9CD2">
        <w:t>,</w:t>
      </w:r>
      <w:r w:rsidR="695D2357">
        <w:t xml:space="preserve"> therefore</w:t>
      </w:r>
      <w:r w:rsidR="45DB9CD2">
        <w:t>,</w:t>
      </w:r>
      <w:r w:rsidR="695D2357">
        <w:t xml:space="preserve"> </w:t>
      </w:r>
      <w:r w:rsidR="5EB07110">
        <w:t xml:space="preserve">critically examine </w:t>
      </w:r>
      <w:r w:rsidR="695D2357">
        <w:t>the approach used by MOFCOM to define</w:t>
      </w:r>
      <w:r w:rsidR="4E7463AD">
        <w:t xml:space="preserve"> the</w:t>
      </w:r>
      <w:r w:rsidR="695D2357">
        <w:t xml:space="preserve"> domestic industry.</w:t>
      </w:r>
      <w:r w:rsidR="00B635D0">
        <w:t xml:space="preserve"> </w:t>
      </w:r>
    </w:p>
    <w:p w14:paraId="60B9334A" w14:textId="256DD0E6" w:rsidR="00616004" w:rsidRDefault="00616004" w:rsidP="009B1ECC">
      <w:pPr>
        <w:pStyle w:val="HL1HeadingLevel1"/>
      </w:pPr>
      <w:bookmarkStart w:id="8" w:name="_Toc100253865"/>
      <w:bookmarkStart w:id="9" w:name="_Toc102905628"/>
      <w:r>
        <w:t>injury</w:t>
      </w:r>
      <w:bookmarkEnd w:id="8"/>
      <w:bookmarkEnd w:id="9"/>
      <w:r>
        <w:t xml:space="preserve"> </w:t>
      </w:r>
    </w:p>
    <w:p w14:paraId="6834CA86" w14:textId="1C385106" w:rsidR="00616004" w:rsidRPr="00616004" w:rsidRDefault="3900D8C0" w:rsidP="00B342D8">
      <w:pPr>
        <w:pStyle w:val="P1-N1Paragraph1-Number1"/>
      </w:pPr>
      <w:r>
        <w:t xml:space="preserve">In conducting an injury analysis, </w:t>
      </w:r>
      <w:r w:rsidR="16658889">
        <w:t>Article 3.1 of the Anti-Dumping Agreement</w:t>
      </w:r>
      <w:r w:rsidR="0E0CD615">
        <w:t xml:space="preserve"> requires the investigating authority to</w:t>
      </w:r>
      <w:r w:rsidR="31A4C3A9">
        <w:t xml:space="preserve"> conduct an </w:t>
      </w:r>
      <w:r w:rsidR="0030409B">
        <w:t>"</w:t>
      </w:r>
      <w:r w:rsidR="31A4C3A9">
        <w:t>objective examination</w:t>
      </w:r>
      <w:r w:rsidR="0030409B">
        <w:t>"</w:t>
      </w:r>
      <w:r w:rsidR="2CE8DF0C">
        <w:t xml:space="preserve"> </w:t>
      </w:r>
      <w:r w:rsidR="31A4C3A9">
        <w:t>and</w:t>
      </w:r>
      <w:r>
        <w:t xml:space="preserve"> </w:t>
      </w:r>
      <w:r w:rsidR="4B947C12">
        <w:t xml:space="preserve">base </w:t>
      </w:r>
      <w:r w:rsidR="2C9DE124">
        <w:t>its</w:t>
      </w:r>
      <w:r w:rsidR="4B947C12">
        <w:t xml:space="preserve"> determination on </w:t>
      </w:r>
      <w:r w:rsidR="0030409B">
        <w:t>"</w:t>
      </w:r>
      <w:r w:rsidR="4B947C12">
        <w:t>positive evidence</w:t>
      </w:r>
      <w:r w:rsidR="0030409B">
        <w:t>"</w:t>
      </w:r>
      <w:r w:rsidR="31A4C3A9">
        <w:t>.</w:t>
      </w:r>
      <w:r w:rsidR="00BB179B">
        <w:rPr>
          <w:rStyle w:val="FootnoteReference"/>
        </w:rPr>
        <w:footnoteReference w:id="17"/>
      </w:r>
      <w:r w:rsidR="31A4C3A9">
        <w:t xml:space="preserve"> </w:t>
      </w:r>
      <w:r w:rsidR="2CE8DF0C">
        <w:t>Th</w:t>
      </w:r>
      <w:r w:rsidR="0C06E2D4">
        <w:t xml:space="preserve">e Appellate Body has explained that </w:t>
      </w:r>
      <w:r w:rsidR="6C00C328">
        <w:t xml:space="preserve">the former </w:t>
      </w:r>
      <w:r w:rsidR="2CE8DF0C">
        <w:t xml:space="preserve">requires an investigating authority to </w:t>
      </w:r>
      <w:r w:rsidR="60070A20">
        <w:t xml:space="preserve">investigate </w:t>
      </w:r>
      <w:r w:rsidR="5F5FDA76">
        <w:t xml:space="preserve">the effects of dumped imports </w:t>
      </w:r>
      <w:r w:rsidR="0030409B">
        <w:t>"</w:t>
      </w:r>
      <w:r w:rsidR="5F5FDA76">
        <w:t>in an unbiased manner, without favouring the interests of any interested party</w:t>
      </w:r>
      <w:r w:rsidR="0030409B">
        <w:t>"</w:t>
      </w:r>
      <w:r w:rsidR="0898C2D2">
        <w:t>.</w:t>
      </w:r>
      <w:r w:rsidR="007C20B4">
        <w:rPr>
          <w:rStyle w:val="FootnoteReference"/>
        </w:rPr>
        <w:footnoteReference w:id="18"/>
      </w:r>
      <w:r w:rsidR="7D56A327">
        <w:t xml:space="preserve"> </w:t>
      </w:r>
      <w:r w:rsidR="6EEFD83A">
        <w:t>The latter requires a</w:t>
      </w:r>
      <w:r w:rsidR="2CDCBE32">
        <w:t xml:space="preserve">n investigating authority </w:t>
      </w:r>
      <w:r w:rsidR="6EEFD83A">
        <w:t>to</w:t>
      </w:r>
      <w:r w:rsidR="2CDCBE32">
        <w:t xml:space="preserve"> </w:t>
      </w:r>
      <w:r w:rsidR="50DB09D4">
        <w:t xml:space="preserve">rely on evidence that is of an </w:t>
      </w:r>
      <w:r w:rsidR="0030409B">
        <w:t>"</w:t>
      </w:r>
      <w:r w:rsidR="50DB09D4">
        <w:t>affirmative, objective and verifiable character</w:t>
      </w:r>
      <w:r w:rsidR="0030409B">
        <w:t>"</w:t>
      </w:r>
      <w:r w:rsidR="2EF856F6">
        <w:t xml:space="preserve"> and is credible.</w:t>
      </w:r>
      <w:r w:rsidR="005E5F91">
        <w:rPr>
          <w:rStyle w:val="FootnoteReference"/>
        </w:rPr>
        <w:footnoteReference w:id="19"/>
      </w:r>
      <w:r w:rsidR="069F39E6">
        <w:t xml:space="preserve"> </w:t>
      </w:r>
      <w:r w:rsidR="717EE992">
        <w:t xml:space="preserve">Australia recalls that </w:t>
      </w:r>
      <w:r w:rsidR="4D2653ED">
        <w:t>Article 3.1 of the Anti-Dumping Agreement sets out</w:t>
      </w:r>
      <w:r w:rsidR="06613A63">
        <w:t xml:space="preserve"> a </w:t>
      </w:r>
      <w:r w:rsidR="06613A63">
        <w:lastRenderedPageBreak/>
        <w:t xml:space="preserve">Member’s </w:t>
      </w:r>
      <w:r w:rsidR="0030409B">
        <w:t>"</w:t>
      </w:r>
      <w:r w:rsidR="06613A63">
        <w:t>fundamental, substantive obligation</w:t>
      </w:r>
      <w:r w:rsidR="0030409B">
        <w:t>"</w:t>
      </w:r>
      <w:r w:rsidR="06613A63">
        <w:t xml:space="preserve"> with respect to </w:t>
      </w:r>
      <w:r w:rsidR="10D4D88B">
        <w:t xml:space="preserve">injury determination, and </w:t>
      </w:r>
      <w:r w:rsidR="3B562F8A">
        <w:t xml:space="preserve">investigating authorities </w:t>
      </w:r>
      <w:r w:rsidR="3B562F8A" w:rsidRPr="00303767">
        <w:t xml:space="preserve">must </w:t>
      </w:r>
      <w:r w:rsidR="3B562F8A" w:rsidRPr="00FA2DF2">
        <w:t>act consistently with Article 3.1</w:t>
      </w:r>
      <w:r w:rsidR="3B562F8A">
        <w:t xml:space="preserve"> in </w:t>
      </w:r>
      <w:r w:rsidR="5F5D3BF2">
        <w:t>fulfilling their obligations under the subsequent paragraphs of Article 3.</w:t>
      </w:r>
      <w:r w:rsidR="00DD6A10">
        <w:rPr>
          <w:rStyle w:val="FootnoteReference"/>
        </w:rPr>
        <w:footnoteReference w:id="20"/>
      </w:r>
      <w:r w:rsidR="10D4D88B">
        <w:t xml:space="preserve"> </w:t>
      </w:r>
    </w:p>
    <w:p w14:paraId="0583C886" w14:textId="7B08851F" w:rsidR="009E1E6A" w:rsidRDefault="00C935B4" w:rsidP="00591738">
      <w:pPr>
        <w:pStyle w:val="HL2HeadingLevel2"/>
      </w:pPr>
      <w:bookmarkStart w:id="10" w:name="_Toc100253866"/>
      <w:bookmarkStart w:id="11" w:name="_Toc102905629"/>
      <w:r>
        <w:t>price comparability</w:t>
      </w:r>
      <w:bookmarkEnd w:id="10"/>
      <w:bookmarkEnd w:id="11"/>
      <w:r w:rsidR="009B1ECC">
        <w:t xml:space="preserve"> </w:t>
      </w:r>
    </w:p>
    <w:p w14:paraId="2FE922F2" w14:textId="22C0C12D" w:rsidR="00933CDE" w:rsidRDefault="08F5919B" w:rsidP="00E21E25">
      <w:pPr>
        <w:pStyle w:val="P1-N1Paragraph1-Number1"/>
      </w:pPr>
      <w:r>
        <w:t xml:space="preserve">Australia understands that one of the key issues in this dispute is whether </w:t>
      </w:r>
      <w:r w:rsidR="66854AAA">
        <w:t>MOFCOM’s price effects analysis appropriately considered whether the</w:t>
      </w:r>
      <w:r w:rsidR="0E0E559B">
        <w:t xml:space="preserve"> dumped imports had </w:t>
      </w:r>
      <w:r w:rsidR="4F0078E2">
        <w:t xml:space="preserve">the effect of depressing the domestic prices. </w:t>
      </w:r>
      <w:r w:rsidR="71821A23">
        <w:t xml:space="preserve">Japan argues </w:t>
      </w:r>
      <w:r w:rsidR="19167DCF">
        <w:t>that MOFCOM’s price effects analysis</w:t>
      </w:r>
      <w:r w:rsidR="0DE3802C">
        <w:t xml:space="preserve"> was inconsistent with Articles 3.1 and 3.2 of the Anti-Dumping Agreement, as it</w:t>
      </w:r>
      <w:r w:rsidR="19167DCF">
        <w:t xml:space="preserve"> failed to ensure price comparability</w:t>
      </w:r>
      <w:r w:rsidR="0DE3802C">
        <w:t xml:space="preserve"> by</w:t>
      </w:r>
      <w:r w:rsidR="333F2ED9">
        <w:t xml:space="preserve"> not tak</w:t>
      </w:r>
      <w:r w:rsidR="0DE3802C">
        <w:t>ing</w:t>
      </w:r>
      <w:r w:rsidR="333F2ED9">
        <w:t xml:space="preserve"> into account the significant differences </w:t>
      </w:r>
      <w:r w:rsidR="131D6603">
        <w:t>among</w:t>
      </w:r>
      <w:r w:rsidR="43A9C318">
        <w:t xml:space="preserve"> the Subject Imports, </w:t>
      </w:r>
      <w:r w:rsidR="6CC78FEA">
        <w:t>including</w:t>
      </w:r>
      <w:r w:rsidR="131D6603">
        <w:t xml:space="preserve"> </w:t>
      </w:r>
      <w:r w:rsidR="3D8E7B8A">
        <w:t>in terms of the three product types comprising the Product Under Investigation (</w:t>
      </w:r>
      <w:proofErr w:type="gramStart"/>
      <w:r w:rsidR="3D8E7B8A">
        <w:t>i.e.</w:t>
      </w:r>
      <w:proofErr w:type="gramEnd"/>
      <w:r w:rsidR="3D8E7B8A">
        <w:t xml:space="preserve"> </w:t>
      </w:r>
      <w:r w:rsidR="131D6603">
        <w:t>stainless steel slabs (billets), hot-rolled stainless steel coils and hot-rolled stainless steel plates</w:t>
      </w:r>
      <w:r w:rsidR="78C25EA7">
        <w:t>).</w:t>
      </w:r>
      <w:r w:rsidR="00E07655">
        <w:rPr>
          <w:rStyle w:val="FootnoteReference"/>
        </w:rPr>
        <w:footnoteReference w:id="21"/>
      </w:r>
      <w:r w:rsidR="0627B476">
        <w:t xml:space="preserve"> </w:t>
      </w:r>
    </w:p>
    <w:p w14:paraId="250AAB11" w14:textId="1051B693" w:rsidR="00186F6C" w:rsidRPr="00933CDE" w:rsidRDefault="0887D2FC">
      <w:pPr>
        <w:pStyle w:val="P1-N1Paragraph1-Number1"/>
        <w:rPr>
          <w:rFonts w:eastAsia="Calibri" w:cs="Calibri"/>
          <w:i/>
          <w:iCs/>
          <w:vertAlign w:val="superscript"/>
        </w:rPr>
      </w:pPr>
      <w:r>
        <w:t xml:space="preserve">China argues that </w:t>
      </w:r>
      <w:r w:rsidR="1E5EADCA">
        <w:t xml:space="preserve">in </w:t>
      </w:r>
      <w:r w:rsidR="704DCDE1">
        <w:t>the context of the P</w:t>
      </w:r>
      <w:r w:rsidR="2C035462">
        <w:t xml:space="preserve">roduct </w:t>
      </w:r>
      <w:r w:rsidR="2F38ECB4">
        <w:t>U</w:t>
      </w:r>
      <w:r w:rsidR="2C035462">
        <w:t xml:space="preserve">nder Investigation, </w:t>
      </w:r>
      <w:r w:rsidR="56DE516B">
        <w:t xml:space="preserve"> </w:t>
      </w:r>
      <w:r w:rsidR="0030409B">
        <w:t>"</w:t>
      </w:r>
      <w:r w:rsidR="56DE516B">
        <w:t xml:space="preserve">the obligation to take steps to ensure price comparability is not triggered by </w:t>
      </w:r>
      <w:r w:rsidR="56DE516B" w:rsidRPr="00933CDE">
        <w:rPr>
          <w:i/>
          <w:iCs/>
        </w:rPr>
        <w:t xml:space="preserve">any </w:t>
      </w:r>
      <w:r w:rsidR="56DE516B">
        <w:t>difference</w:t>
      </w:r>
      <w:r w:rsidR="40BF382B">
        <w:t xml:space="preserve">s that might exist… the only differences that matter and which an investigating authority needs to take into account are </w:t>
      </w:r>
      <w:r w:rsidR="4F778A68">
        <w:t xml:space="preserve">differences which impact </w:t>
      </w:r>
      <w:r w:rsidR="4F778A68" w:rsidRPr="00933CDE">
        <w:rPr>
          <w:i/>
          <w:iCs/>
        </w:rPr>
        <w:t>prices</w:t>
      </w:r>
      <w:r w:rsidR="4F778A68">
        <w:t>.</w:t>
      </w:r>
      <w:r w:rsidR="0030409B">
        <w:t>"</w:t>
      </w:r>
      <w:r w:rsidR="00B62AC1">
        <w:rPr>
          <w:rStyle w:val="FootnoteReference"/>
        </w:rPr>
        <w:footnoteReference w:id="22"/>
      </w:r>
      <w:r w:rsidR="6C9FA242" w:rsidRPr="7F6ED6DC">
        <w:rPr>
          <w:rStyle w:val="FootnoteReference"/>
        </w:rPr>
        <w:t xml:space="preserve"> </w:t>
      </w:r>
      <w:r w:rsidR="6C9FA242" w:rsidRPr="00FA2DF2">
        <w:t>C</w:t>
      </w:r>
      <w:r w:rsidR="6C9FA242">
        <w:t xml:space="preserve">hina submits </w:t>
      </w:r>
      <w:r w:rsidR="0030409B">
        <w:t>"</w:t>
      </w:r>
      <w:r w:rsidR="6C9FA242">
        <w:t xml:space="preserve">when finding a certain </w:t>
      </w:r>
      <w:r w:rsidR="00687FA9" w:rsidRPr="00687FA9">
        <w:t xml:space="preserve"> </w:t>
      </w:r>
      <w:r w:rsidR="00687FA9">
        <w:t>'</w:t>
      </w:r>
      <w:r w:rsidR="6C9FA242">
        <w:t>lack of competitive overlap</w:t>
      </w:r>
      <w:r w:rsidR="00687FA9">
        <w:t>'</w:t>
      </w:r>
      <w:r w:rsidR="6C9FA242">
        <w:t xml:space="preserve"> because of certain product differences, the investigating authority should make </w:t>
      </w:r>
      <w:r w:rsidR="00687FA9">
        <w:t>'</w:t>
      </w:r>
      <w:r w:rsidR="6C9FA242">
        <w:t>further inquiries into those differences to determine whether they affected prices.</w:t>
      </w:r>
      <w:r w:rsidR="00687FA9">
        <w:t>'</w:t>
      </w:r>
      <w:r w:rsidR="0030409B">
        <w:t>"</w:t>
      </w:r>
      <w:r w:rsidR="00402352">
        <w:rPr>
          <w:rStyle w:val="FootnoteReference"/>
        </w:rPr>
        <w:footnoteReference w:id="23"/>
      </w:r>
      <w:r w:rsidR="6C9FA242">
        <w:t xml:space="preserve"> On this basis, China submits that </w:t>
      </w:r>
      <w:r w:rsidR="0030409B">
        <w:t>"</w:t>
      </w:r>
      <w:r w:rsidR="6C9FA242">
        <w:t>it follows that difference between product types, for instance in physical characteristics or end uses, are not such relevant for the purposes of assessing price comparability.</w:t>
      </w:r>
      <w:r w:rsidR="0030409B">
        <w:t>"</w:t>
      </w:r>
      <w:r w:rsidR="00402352">
        <w:rPr>
          <w:rStyle w:val="FootnoteReference"/>
        </w:rPr>
        <w:footnoteReference w:id="24"/>
      </w:r>
    </w:p>
    <w:p w14:paraId="1B7757AF" w14:textId="06FF9F87" w:rsidR="003C4D5A" w:rsidRDefault="009D1F14" w:rsidP="009B1ECC">
      <w:pPr>
        <w:pStyle w:val="P1-N1Paragraph1-Number1"/>
      </w:pPr>
      <w:r>
        <w:t xml:space="preserve">The panel in </w:t>
      </w:r>
      <w:r>
        <w:rPr>
          <w:i/>
          <w:iCs/>
        </w:rPr>
        <w:t>Korea – Pneumatic Valves</w:t>
      </w:r>
      <w:r w:rsidR="00817A7A">
        <w:rPr>
          <w:i/>
          <w:iCs/>
        </w:rPr>
        <w:t xml:space="preserve"> (Japan)</w:t>
      </w:r>
      <w:r>
        <w:rPr>
          <w:i/>
          <w:iCs/>
        </w:rPr>
        <w:t xml:space="preserve"> </w:t>
      </w:r>
      <w:r w:rsidR="00CC02F3">
        <w:t>explained that p</w:t>
      </w:r>
      <w:r w:rsidR="0E0CD615">
        <w:t>rice comparability needs to be considered in all price effects analyses to ensure that the injury determination involves an objective examination based on positive evidence.</w:t>
      </w:r>
      <w:r w:rsidR="00B035A6">
        <w:rPr>
          <w:rStyle w:val="FootnoteReference"/>
        </w:rPr>
        <w:footnoteReference w:id="25"/>
      </w:r>
      <w:r w:rsidR="0E0CD615">
        <w:t xml:space="preserve"> </w:t>
      </w:r>
      <w:r w:rsidR="001D0E8B">
        <w:t>As t</w:t>
      </w:r>
      <w:r w:rsidR="0D984180">
        <w:t xml:space="preserve">he </w:t>
      </w:r>
      <w:r w:rsidR="5F147F1E">
        <w:t xml:space="preserve">Appellate Body </w:t>
      </w:r>
      <w:r w:rsidR="00B9314F">
        <w:lastRenderedPageBreak/>
        <w:t>discussed</w:t>
      </w:r>
      <w:r w:rsidR="001D0E8B">
        <w:t xml:space="preserve"> </w:t>
      </w:r>
      <w:r w:rsidR="5F147F1E">
        <w:t xml:space="preserve">in </w:t>
      </w:r>
      <w:r w:rsidR="5F147F1E" w:rsidRPr="4DA07CBB">
        <w:rPr>
          <w:i/>
          <w:iCs/>
        </w:rPr>
        <w:t>China – GOES</w:t>
      </w:r>
      <w:r w:rsidR="00B9314F">
        <w:t>,</w:t>
      </w:r>
      <w:r w:rsidR="6C7174C2">
        <w:t xml:space="preserve"> </w:t>
      </w:r>
      <w:r w:rsidR="0030409B">
        <w:t>"</w:t>
      </w:r>
      <w:r w:rsidR="5F147F1E">
        <w:t>if subject import and domes</w:t>
      </w:r>
      <w:r w:rsidR="3F3C62EC">
        <w:t>tic prices were not comparable, this would defeat the explanatory force that subject import prices might have for the depression or suppression of domestic prices.</w:t>
      </w:r>
      <w:r w:rsidR="0030409B">
        <w:t>"</w:t>
      </w:r>
      <w:r w:rsidR="00E2660D">
        <w:rPr>
          <w:rStyle w:val="FootnoteReference"/>
        </w:rPr>
        <w:footnoteReference w:id="26"/>
      </w:r>
      <w:r w:rsidR="6D31877D">
        <w:t xml:space="preserve"> </w:t>
      </w:r>
      <w:r w:rsidR="7C259061">
        <w:t xml:space="preserve">The </w:t>
      </w:r>
      <w:r w:rsidR="4813294A">
        <w:t xml:space="preserve">panel in </w:t>
      </w:r>
      <w:r w:rsidR="4813294A" w:rsidRPr="4DA07CBB">
        <w:rPr>
          <w:i/>
          <w:iCs/>
        </w:rPr>
        <w:t xml:space="preserve">China – X-Ray Equipment </w:t>
      </w:r>
      <w:r w:rsidR="282C0035">
        <w:t>reinforced this logic by stating that</w:t>
      </w:r>
      <w:r w:rsidR="5B0F58FE">
        <w:t xml:space="preserve"> </w:t>
      </w:r>
      <w:r w:rsidR="0030409B">
        <w:t>"</w:t>
      </w:r>
      <w:r w:rsidR="5B0F58FE">
        <w:t xml:space="preserve">if two products being </w:t>
      </w:r>
      <w:r w:rsidR="282C0035">
        <w:t xml:space="preserve">analysed in [a </w:t>
      </w:r>
      <w:r w:rsidR="524787B6">
        <w:t>price]</w:t>
      </w:r>
      <w:r w:rsidR="282C0035">
        <w:t xml:space="preserve"> undercutting analysis are not comparable, for example in the sense that they do not compete with each other, it is difficult to conceive how the outcome of such an analysis could be relevant to the causation question.</w:t>
      </w:r>
      <w:r w:rsidR="0030409B">
        <w:t>"</w:t>
      </w:r>
      <w:r w:rsidR="00344527">
        <w:rPr>
          <w:rStyle w:val="FootnoteReference"/>
        </w:rPr>
        <w:footnoteReference w:id="27"/>
      </w:r>
      <w:r w:rsidR="23F34D71">
        <w:t xml:space="preserve"> </w:t>
      </w:r>
    </w:p>
    <w:p w14:paraId="763835B3" w14:textId="58827B4C" w:rsidR="3060D85C" w:rsidRDefault="005B116D" w:rsidP="00871B62">
      <w:pPr>
        <w:pStyle w:val="P1-N1Paragraph1-Number1"/>
        <w:rPr>
          <w:rFonts w:eastAsia="Calibri" w:cs="Calibri"/>
          <w:color w:val="881798"/>
        </w:rPr>
      </w:pPr>
      <w:r>
        <w:t>In ensuring price comparability</w:t>
      </w:r>
      <w:r w:rsidR="009B0DF7">
        <w:t xml:space="preserve"> amongst a </w:t>
      </w:r>
      <w:r w:rsidR="006250F5">
        <w:t>group</w:t>
      </w:r>
      <w:r w:rsidR="00062705">
        <w:t xml:space="preserve"> of products</w:t>
      </w:r>
      <w:r>
        <w:t xml:space="preserve">, </w:t>
      </w:r>
      <w:r w:rsidR="00861F5A">
        <w:t xml:space="preserve">Australia </w:t>
      </w:r>
      <w:r w:rsidR="00B97E3F">
        <w:t xml:space="preserve">notes that the panel in </w:t>
      </w:r>
      <w:r w:rsidR="00B97E3F" w:rsidRPr="043AAB03">
        <w:rPr>
          <w:i/>
          <w:iCs/>
        </w:rPr>
        <w:t>China – Broiler Products</w:t>
      </w:r>
      <w:r w:rsidR="00B97E3F">
        <w:t xml:space="preserve"> found th</w:t>
      </w:r>
      <w:r w:rsidR="00C1120F">
        <w:t xml:space="preserve">at </w:t>
      </w:r>
      <w:r w:rsidR="0030409B">
        <w:t>"</w:t>
      </w:r>
      <w:r w:rsidR="00C1120F">
        <w:t xml:space="preserve">in a situation in which it performs a price comparison on the basis of a </w:t>
      </w:r>
      <w:r w:rsidR="00687FA9">
        <w:t>'</w:t>
      </w:r>
      <w:r w:rsidR="00C1120F">
        <w:t>basket</w:t>
      </w:r>
      <w:r w:rsidR="00687FA9">
        <w:t>'</w:t>
      </w:r>
      <w:r w:rsidR="00C1120F">
        <w:t xml:space="preserve"> of products</w:t>
      </w:r>
      <w:r w:rsidR="00DA0D0C">
        <w:t xml:space="preserve"> or sales transactions, the authority must ensure that the groups of products or transactions compared on both sides of the equation are sufficiently similar so that any price differential [</w:t>
      </w:r>
      <w:r w:rsidR="00CE2405">
        <w:t>is] not merely from differences in the composition of the two baskets being compared.</w:t>
      </w:r>
      <w:r w:rsidR="0030409B">
        <w:t>"</w:t>
      </w:r>
      <w:r w:rsidR="00DC4FDD">
        <w:rPr>
          <w:rStyle w:val="FootnoteReference"/>
        </w:rPr>
        <w:footnoteReference w:id="28"/>
      </w:r>
      <w:r w:rsidR="00CE2405">
        <w:t xml:space="preserve"> Th</w:t>
      </w:r>
      <w:r w:rsidR="00FC513A">
        <w:t xml:space="preserve">e panel also noted that this </w:t>
      </w:r>
      <w:r w:rsidR="0030409B">
        <w:t>"</w:t>
      </w:r>
      <w:r w:rsidR="00FC513A">
        <w:t>may well require the investigating authority to perform its price comparison at the level of product models</w:t>
      </w:r>
      <w:r w:rsidR="0030409B">
        <w:t>"</w:t>
      </w:r>
      <w:r w:rsidR="007A51F0">
        <w:t>.</w:t>
      </w:r>
      <w:r w:rsidR="00FC513A">
        <w:rPr>
          <w:rStyle w:val="FootnoteReference"/>
        </w:rPr>
        <w:footnoteReference w:id="29"/>
      </w:r>
      <w:r w:rsidR="00B673B4">
        <w:t xml:space="preserve"> </w:t>
      </w:r>
      <w:r w:rsidR="00B9314F">
        <w:t xml:space="preserve">In this instance, </w:t>
      </w:r>
      <w:r w:rsidR="708A5F03">
        <w:t xml:space="preserve">Japan argues that </w:t>
      </w:r>
      <w:r w:rsidR="0030409B">
        <w:t>"</w:t>
      </w:r>
      <w:r w:rsidR="708A5F03">
        <w:t>MOFCOM’s comparison between the overall average prices of Subject Imports as a whole and those of domestic like products as a whole did not preclude the possibility that the price correlation between them, if any, was merely coincidental</w:t>
      </w:r>
      <w:r w:rsidR="0030409B">
        <w:t>"</w:t>
      </w:r>
      <w:r w:rsidR="7FD5887F">
        <w:t>.</w:t>
      </w:r>
      <w:r w:rsidR="3060D85C" w:rsidRPr="0839184D">
        <w:rPr>
          <w:rStyle w:val="FootnoteReference"/>
        </w:rPr>
        <w:footnoteReference w:id="30"/>
      </w:r>
      <w:r w:rsidR="708A5F03">
        <w:t xml:space="preserve"> This was on the basis that the changes in the average prices of the Subject Imports and domestic like products could have been </w:t>
      </w:r>
      <w:r w:rsidR="0030409B">
        <w:t>"</w:t>
      </w:r>
      <w:r w:rsidR="708A5F03">
        <w:t>the result of changes in the product mix</w:t>
      </w:r>
      <w:r w:rsidR="0030409B">
        <w:t>"</w:t>
      </w:r>
      <w:r w:rsidR="2BF8D38C">
        <w:t>.</w:t>
      </w:r>
      <w:r w:rsidR="3060D85C" w:rsidRPr="0839184D">
        <w:rPr>
          <w:rStyle w:val="FootnoteReference"/>
        </w:rPr>
        <w:footnoteReference w:id="31"/>
      </w:r>
    </w:p>
    <w:p w14:paraId="603A45F3" w14:textId="0C8989B1" w:rsidR="006250F5" w:rsidRDefault="650F3167" w:rsidP="00273504">
      <w:pPr>
        <w:pStyle w:val="P1-N1Paragraph1-Number1"/>
        <w:rPr>
          <w:rFonts w:eastAsia="Calibri" w:cs="Calibri"/>
          <w:color w:val="881798"/>
        </w:rPr>
      </w:pPr>
      <w:r>
        <w:t xml:space="preserve">Australia submits that </w:t>
      </w:r>
      <w:r w:rsidR="1E8F8B89">
        <w:t xml:space="preserve">an investigating authority has an obligation to ensure the comparability of the prices of the three product types comprising the Product Under Investigation and the domestic like products for the purposes of its price effects analysis. </w:t>
      </w:r>
      <w:r w:rsidR="3D0669F1">
        <w:t xml:space="preserve">While Article 3.2 of the Anti-Dumping Agreement does not prescribe a methodology for investigating authorities to ensure price comparability, </w:t>
      </w:r>
      <w:r w:rsidR="1E8F8B89">
        <w:t xml:space="preserve">Australia recalls that in </w:t>
      </w:r>
      <w:r w:rsidR="1E8F8B89" w:rsidRPr="4DA07CBB">
        <w:rPr>
          <w:i/>
          <w:iCs/>
        </w:rPr>
        <w:t>China – X-Ray Equipment</w:t>
      </w:r>
      <w:r w:rsidR="1E8F8B89">
        <w:t xml:space="preserve">, the panel observed that where there are differences in the physical characteristics </w:t>
      </w:r>
      <w:r w:rsidR="1E8F8B89">
        <w:lastRenderedPageBreak/>
        <w:t>and uses of the product under investigation (</w:t>
      </w:r>
      <w:proofErr w:type="gramStart"/>
      <w:r w:rsidR="1E8F8B89">
        <w:t>e.g.</w:t>
      </w:r>
      <w:proofErr w:type="gramEnd"/>
      <w:r w:rsidR="1E8F8B89">
        <w:t xml:space="preserve"> </w:t>
      </w:r>
      <w:r w:rsidR="0030409B">
        <w:t>"</w:t>
      </w:r>
      <w:r w:rsidR="1E8F8B89">
        <w:t>low energy scanners</w:t>
      </w:r>
      <w:r w:rsidR="0030409B">
        <w:t>"</w:t>
      </w:r>
      <w:r w:rsidR="1E8F8B89">
        <w:t xml:space="preserve"> and </w:t>
      </w:r>
      <w:r w:rsidR="0030409B">
        <w:t>"</w:t>
      </w:r>
      <w:r w:rsidR="1E8F8B89">
        <w:t>high energy scanners</w:t>
      </w:r>
      <w:r w:rsidR="0030409B">
        <w:t>"</w:t>
      </w:r>
      <w:r w:rsidR="1E8F8B89">
        <w:t>), an investigating authority must take these differences into account to ensure price comparability.</w:t>
      </w:r>
      <w:r w:rsidR="00B81C0D">
        <w:rPr>
          <w:rStyle w:val="FootnoteReference"/>
        </w:rPr>
        <w:footnoteReference w:id="32"/>
      </w:r>
      <w:r w:rsidR="1E8F8B89">
        <w:t xml:space="preserve"> </w:t>
      </w:r>
      <w:r>
        <w:t xml:space="preserve">  </w:t>
      </w:r>
    </w:p>
    <w:p w14:paraId="5E2CE135" w14:textId="12AC033B" w:rsidR="00B035A6" w:rsidRPr="00303767" w:rsidRDefault="002E5B6B" w:rsidP="00273504">
      <w:pPr>
        <w:pStyle w:val="P1-N1Paragraph1-Number1"/>
      </w:pPr>
      <w:r>
        <w:t xml:space="preserve">Australia submits there are serious questions to be asked about MOFCOM's approach to ensuring price comparability. </w:t>
      </w:r>
      <w:r w:rsidR="0012615B" w:rsidRPr="0030409B">
        <w:t xml:space="preserve">With </w:t>
      </w:r>
      <w:r w:rsidR="3D0669F1" w:rsidRPr="0030409B">
        <w:t xml:space="preserve">a broadly defined Product Under Investigation that comprises the three product types, </w:t>
      </w:r>
      <w:r w:rsidR="6C7174C2" w:rsidRPr="0030409B">
        <w:t xml:space="preserve">Australia submits that </w:t>
      </w:r>
      <w:r w:rsidR="3D0669F1" w:rsidRPr="0030409B">
        <w:t xml:space="preserve">it will be important for the Panel to </w:t>
      </w:r>
      <w:r w:rsidR="0012615B" w:rsidRPr="0030409B">
        <w:t xml:space="preserve">assess </w:t>
      </w:r>
      <w:r w:rsidR="3D0669F1" w:rsidRPr="0030409B">
        <w:t xml:space="preserve">whether MOFCOM appropriately considered and </w:t>
      </w:r>
      <w:proofErr w:type="gramStart"/>
      <w:r w:rsidR="3D0669F1" w:rsidRPr="0030409B">
        <w:t>took into account</w:t>
      </w:r>
      <w:proofErr w:type="gramEnd"/>
      <w:r w:rsidR="3D0669F1" w:rsidRPr="0030409B">
        <w:t xml:space="preserve"> the differences in the physical characteristics and uses of the three product types </w:t>
      </w:r>
      <w:r w:rsidR="6C7174C2" w:rsidRPr="0030409B">
        <w:t>to ensure price comparability</w:t>
      </w:r>
      <w:r w:rsidR="3D0669F1" w:rsidRPr="0030409B">
        <w:t>.</w:t>
      </w:r>
      <w:r w:rsidR="3D0669F1">
        <w:t xml:space="preserve"> Australia considers that an absence of price comparability</w:t>
      </w:r>
      <w:r w:rsidR="46F08C51">
        <w:t xml:space="preserve"> </w:t>
      </w:r>
      <w:r w:rsidR="6C7174C2">
        <w:t>bring</w:t>
      </w:r>
      <w:r w:rsidR="00C613F6">
        <w:t>s</w:t>
      </w:r>
      <w:r w:rsidR="6C7174C2">
        <w:t xml:space="preserve"> into question whether </w:t>
      </w:r>
      <w:r w:rsidR="3D0669F1">
        <w:t>MOFCOM’s</w:t>
      </w:r>
      <w:r w:rsidR="517C5A4A">
        <w:t xml:space="preserve"> price effects analysis was undertaken in an objective manner </w:t>
      </w:r>
      <w:r w:rsidR="555993F8">
        <w:t>and was</w:t>
      </w:r>
      <w:r w:rsidR="6C7174C2">
        <w:t xml:space="preserve"> based on positive evidence, </w:t>
      </w:r>
      <w:r w:rsidR="3E3C349E">
        <w:t>as</w:t>
      </w:r>
      <w:r w:rsidR="6C7174C2">
        <w:t xml:space="preserve"> required under Articles 3.1 and 3.2 of the Anti-Dumping Agreement.</w:t>
      </w:r>
    </w:p>
    <w:p w14:paraId="3EB0A32C" w14:textId="10E7FF9C" w:rsidR="002F4235" w:rsidRDefault="002F4235" w:rsidP="00591738">
      <w:pPr>
        <w:pStyle w:val="HL2HeadingLevel2"/>
      </w:pPr>
      <w:bookmarkStart w:id="12" w:name="_Toc100253867"/>
      <w:bookmarkStart w:id="13" w:name="_Toc102905630"/>
      <w:r>
        <w:t>impact analysis</w:t>
      </w:r>
      <w:bookmarkEnd w:id="12"/>
      <w:bookmarkEnd w:id="13"/>
      <w:r>
        <w:t xml:space="preserve"> </w:t>
      </w:r>
    </w:p>
    <w:p w14:paraId="375E78E3" w14:textId="4ED5001B" w:rsidR="002F4235" w:rsidRDefault="39ACE00F" w:rsidP="002F4235">
      <w:pPr>
        <w:pStyle w:val="P1-N1Paragraph1-Number1"/>
      </w:pPr>
      <w:r>
        <w:t xml:space="preserve">Japan argues that </w:t>
      </w:r>
      <w:r w:rsidR="02284850">
        <w:t xml:space="preserve">MOFCOM’s analysis of the impact of the Subject Imports on the domestic industry </w:t>
      </w:r>
      <w:r w:rsidR="6F4E42A7">
        <w:t>was inconsistent with Articles 3.1 and 3.4 of the Anti-Dumping Agreement</w:t>
      </w:r>
      <w:r w:rsidR="5818AB2C">
        <w:t>.</w:t>
      </w:r>
      <w:r w:rsidR="009428C4">
        <w:rPr>
          <w:rStyle w:val="FootnoteReference"/>
        </w:rPr>
        <w:footnoteReference w:id="33"/>
      </w:r>
      <w:r w:rsidR="28D0A280">
        <w:t xml:space="preserve"> Japan su</w:t>
      </w:r>
      <w:r w:rsidR="7E1766E9">
        <w:t>bmits</w:t>
      </w:r>
      <w:r w:rsidR="53203BC8">
        <w:t>, among other things,</w:t>
      </w:r>
      <w:r w:rsidR="7E1766E9">
        <w:t xml:space="preserve"> that </w:t>
      </w:r>
      <w:r w:rsidR="5CD8860B">
        <w:t>MOFCOM</w:t>
      </w:r>
      <w:r w:rsidR="5A5DE600">
        <w:t xml:space="preserve"> did not </w:t>
      </w:r>
      <w:r w:rsidR="619BEBD6">
        <w:t>objectively evaluate the economic factors listed in Article 3.4 of the Anti-Dumping Agreement</w:t>
      </w:r>
      <w:r w:rsidR="6477DE1E">
        <w:t>, particularly in relation to capacity utilization, ending inventory</w:t>
      </w:r>
      <w:r w:rsidR="1E9E03C7">
        <w:t>, pre-tax profit, market share</w:t>
      </w:r>
      <w:r w:rsidR="397E0732">
        <w:t xml:space="preserve"> and return on investment</w:t>
      </w:r>
      <w:r w:rsidR="619BEBD6">
        <w:t>.</w:t>
      </w:r>
      <w:r w:rsidR="004A6556">
        <w:rPr>
          <w:rStyle w:val="FootnoteReference"/>
        </w:rPr>
        <w:footnoteReference w:id="34"/>
      </w:r>
      <w:r w:rsidR="153C05FF">
        <w:t xml:space="preserve"> </w:t>
      </w:r>
      <w:r w:rsidR="628F041F">
        <w:t>Japan also submits that MOFCOM did not</w:t>
      </w:r>
      <w:r w:rsidR="63E9D8A3">
        <w:t xml:space="preserve"> </w:t>
      </w:r>
      <w:r w:rsidR="0030409B">
        <w:t>"</w:t>
      </w:r>
      <w:r w:rsidR="63E9D8A3">
        <w:t>provide a compelling explanation</w:t>
      </w:r>
      <w:r w:rsidR="3A01FEB0">
        <w:t xml:space="preserve"> as to why the economic factors showing negative t</w:t>
      </w:r>
      <w:r w:rsidR="4EA71D3F">
        <w:t>r</w:t>
      </w:r>
      <w:r w:rsidR="3A01FEB0">
        <w:t>ends supported an affirmative injury determination in light of the fac</w:t>
      </w:r>
      <w:r w:rsidR="460DA75B">
        <w:t>t that several factors exhibited positive trends</w:t>
      </w:r>
      <w:r w:rsidR="0030409B">
        <w:t>"</w:t>
      </w:r>
      <w:r w:rsidR="16F7D5A1">
        <w:t>.</w:t>
      </w:r>
      <w:r w:rsidR="0081598A">
        <w:rPr>
          <w:rStyle w:val="FootnoteReference"/>
        </w:rPr>
        <w:footnoteReference w:id="35"/>
      </w:r>
      <w:r w:rsidR="63E9D8A3">
        <w:t xml:space="preserve">  </w:t>
      </w:r>
    </w:p>
    <w:p w14:paraId="0B56D2B9" w14:textId="2688E7CF" w:rsidR="00BE339C" w:rsidRDefault="7B9699CD" w:rsidP="002F4235">
      <w:pPr>
        <w:pStyle w:val="P1-N1Paragraph1-Number1"/>
      </w:pPr>
      <w:r>
        <w:t>China argues that</w:t>
      </w:r>
      <w:r w:rsidR="449B8FB5">
        <w:t xml:space="preserve"> the </w:t>
      </w:r>
      <w:r w:rsidR="627F228B">
        <w:t xml:space="preserve">analysis carried out by MOFCOM </w:t>
      </w:r>
      <w:r w:rsidR="0030409B">
        <w:t>"</w:t>
      </w:r>
      <w:r w:rsidR="627F228B">
        <w:t>addressed in great detail the various indices</w:t>
      </w:r>
      <w:r w:rsidR="0030409B">
        <w:t>"</w:t>
      </w:r>
      <w:r w:rsidR="267AD6F1">
        <w:t xml:space="preserve"> and </w:t>
      </w:r>
      <w:r w:rsidR="62346704">
        <w:t>submits that MOFCOM had explained why certain factors had positive trends.</w:t>
      </w:r>
      <w:r w:rsidR="00E64B14">
        <w:rPr>
          <w:rStyle w:val="FootnoteReference"/>
        </w:rPr>
        <w:footnoteReference w:id="36"/>
      </w:r>
    </w:p>
    <w:p w14:paraId="3F2B15EE" w14:textId="2A79842D" w:rsidR="00DA6F7E" w:rsidRDefault="7FCF2240" w:rsidP="002F4235">
      <w:pPr>
        <w:pStyle w:val="P1-N1Paragraph1-Number1"/>
      </w:pPr>
      <w:r>
        <w:t>Article 3.4 of the Ant</w:t>
      </w:r>
      <w:r w:rsidR="334763F0">
        <w:t>i</w:t>
      </w:r>
      <w:r>
        <w:t xml:space="preserve">-Dumping Agreement </w:t>
      </w:r>
      <w:r w:rsidR="3184AB5D">
        <w:t xml:space="preserve">requires an investigating authority to </w:t>
      </w:r>
      <w:r w:rsidR="68486062">
        <w:t xml:space="preserve">evaluate </w:t>
      </w:r>
      <w:r w:rsidR="0030409B">
        <w:t>"</w:t>
      </w:r>
      <w:r w:rsidR="68486062" w:rsidRPr="4DA07CBB">
        <w:rPr>
          <w:i/>
          <w:iCs/>
        </w:rPr>
        <w:t xml:space="preserve">all </w:t>
      </w:r>
      <w:r w:rsidR="68486062">
        <w:t>relevant economic factors and indices</w:t>
      </w:r>
      <w:r w:rsidR="0030409B">
        <w:t>"</w:t>
      </w:r>
      <w:r w:rsidR="68486062">
        <w:t xml:space="preserve"> that have a bearing </w:t>
      </w:r>
      <w:r w:rsidR="0561F721">
        <w:t xml:space="preserve">on the state of the </w:t>
      </w:r>
      <w:r w:rsidR="0561F721">
        <w:lastRenderedPageBreak/>
        <w:t>domestic industry concerned in examining injury</w:t>
      </w:r>
      <w:r w:rsidR="6B65A432">
        <w:t xml:space="preserve">, including </w:t>
      </w:r>
      <w:r w:rsidR="113B55CA">
        <w:t xml:space="preserve">consideration of </w:t>
      </w:r>
      <w:r>
        <w:t xml:space="preserve">the </w:t>
      </w:r>
      <w:r w:rsidR="32F2C233">
        <w:t>15</w:t>
      </w:r>
      <w:r w:rsidR="113B55CA">
        <w:t xml:space="preserve"> prescribed </w:t>
      </w:r>
      <w:r w:rsidR="6B65A432">
        <w:t>factors.</w:t>
      </w:r>
      <w:r w:rsidR="00F251CF">
        <w:rPr>
          <w:rStyle w:val="FootnoteReference"/>
        </w:rPr>
        <w:footnoteReference w:id="37"/>
      </w:r>
      <w:r w:rsidR="6B65A432">
        <w:t xml:space="preserve"> </w:t>
      </w:r>
      <w:r w:rsidR="7D23321A">
        <w:t xml:space="preserve">As the </w:t>
      </w:r>
      <w:r w:rsidR="357F9653">
        <w:t xml:space="preserve">list of </w:t>
      </w:r>
      <w:r w:rsidR="7D23321A">
        <w:t xml:space="preserve">factors in Article 3.4 of the Anti-Dumping Agreement is not exhaustive, </w:t>
      </w:r>
      <w:r w:rsidR="3643DC9E">
        <w:t xml:space="preserve">the circumstances of a particular case may require </w:t>
      </w:r>
      <w:r w:rsidR="7D23321A">
        <w:t>an investigating authority to give consideration to other relevant economic factors,</w:t>
      </w:r>
      <w:r w:rsidR="4124FC02">
        <w:t xml:space="preserve"> and these factors must be apparent in the final determination of the investigating authority</w:t>
      </w:r>
      <w:r w:rsidR="7D23321A">
        <w:t>.</w:t>
      </w:r>
      <w:r w:rsidR="001C1DCE">
        <w:rPr>
          <w:rStyle w:val="FootnoteReference"/>
        </w:rPr>
        <w:footnoteReference w:id="38"/>
      </w:r>
    </w:p>
    <w:p w14:paraId="5E9F0AE7" w14:textId="7D723E8F" w:rsidR="004124D1" w:rsidRDefault="7D23321A" w:rsidP="002F4235">
      <w:pPr>
        <w:pStyle w:val="P1-N1Paragraph1-Number1"/>
      </w:pPr>
      <w:r w:rsidRPr="00876E04">
        <w:t>In conducting an impact analysis under Article 3.4</w:t>
      </w:r>
      <w:r w:rsidR="1A114BB5" w:rsidRPr="00876E04">
        <w:t xml:space="preserve"> of </w:t>
      </w:r>
      <w:r w:rsidR="1F4D0A56">
        <w:t>the</w:t>
      </w:r>
      <w:r w:rsidR="1A114BB5" w:rsidRPr="00876E04">
        <w:t xml:space="preserve"> Anti-Dumping Agreement</w:t>
      </w:r>
      <w:r w:rsidRPr="00876E04">
        <w:t xml:space="preserve">, </w:t>
      </w:r>
      <w:r w:rsidR="6DB54349" w:rsidRPr="00876E04">
        <w:t>an investig</w:t>
      </w:r>
      <w:r w:rsidR="4690145E" w:rsidRPr="00876E04">
        <w:t>ating authority must</w:t>
      </w:r>
      <w:r w:rsidR="76977ADF" w:rsidRPr="00876E04">
        <w:t xml:space="preserve"> </w:t>
      </w:r>
      <w:r w:rsidR="33A983EF" w:rsidRPr="00876E04">
        <w:t xml:space="preserve">examine the </w:t>
      </w:r>
      <w:r w:rsidR="0030409B">
        <w:t>"</w:t>
      </w:r>
      <w:r w:rsidR="33A983EF" w:rsidRPr="00876E04">
        <w:t>explanatory force</w:t>
      </w:r>
      <w:r w:rsidR="0030409B">
        <w:t>"</w:t>
      </w:r>
      <w:r w:rsidR="6A75463E" w:rsidRPr="00876E04">
        <w:t xml:space="preserve"> of the </w:t>
      </w:r>
      <w:r w:rsidR="6B2988FF" w:rsidRPr="00876E04">
        <w:t>Subject Imports</w:t>
      </w:r>
      <w:r w:rsidR="6A75463E" w:rsidRPr="00876E04">
        <w:t xml:space="preserve"> for the domestic industry.</w:t>
      </w:r>
      <w:r w:rsidR="007E12C1" w:rsidRPr="00876E04">
        <w:rPr>
          <w:rStyle w:val="FootnoteReference"/>
        </w:rPr>
        <w:footnoteReference w:id="39"/>
      </w:r>
      <w:r w:rsidR="0953858A">
        <w:t xml:space="preserve"> Th</w:t>
      </w:r>
      <w:r w:rsidR="5A7765D1">
        <w:t xml:space="preserve">e panel in </w:t>
      </w:r>
      <w:r w:rsidR="5A7765D1" w:rsidRPr="4DA07CBB">
        <w:rPr>
          <w:i/>
          <w:iCs/>
        </w:rPr>
        <w:t>Pakistan</w:t>
      </w:r>
      <w:r w:rsidR="1694D061" w:rsidRPr="4DA07CBB">
        <w:rPr>
          <w:i/>
          <w:iCs/>
        </w:rPr>
        <w:t xml:space="preserve"> – BOPP </w:t>
      </w:r>
      <w:r w:rsidR="5A7765D1" w:rsidRPr="4DA07CBB">
        <w:rPr>
          <w:i/>
          <w:iCs/>
        </w:rPr>
        <w:t>Film (UAE)</w:t>
      </w:r>
      <w:r w:rsidR="5A7765D1">
        <w:t xml:space="preserve"> explained that </w:t>
      </w:r>
      <w:r w:rsidR="1694D061">
        <w:t>this</w:t>
      </w:r>
      <w:r w:rsidR="0953858A">
        <w:t xml:space="preserve"> requires </w:t>
      </w:r>
      <w:r w:rsidR="0CEE8DA1">
        <w:t xml:space="preserve">an investigating authority to </w:t>
      </w:r>
      <w:r w:rsidR="0030409B">
        <w:t>"</w:t>
      </w:r>
      <w:r w:rsidR="0CEE8DA1">
        <w:t xml:space="preserve">identify </w:t>
      </w:r>
      <w:r w:rsidR="02D53D0B">
        <w:t>the trends in the injury factors</w:t>
      </w:r>
      <w:r w:rsidR="0F4BEC9D">
        <w:t xml:space="preserve"> and place those trends in the relevant context that is informative of the injury suffered by the domestic industry, taking into account the relevant evidence and explanations that are on its record</w:t>
      </w:r>
      <w:r w:rsidR="0030409B">
        <w:t>"</w:t>
      </w:r>
      <w:r w:rsidR="63E05DB9">
        <w:t>.</w:t>
      </w:r>
      <w:r w:rsidR="00E74D23">
        <w:rPr>
          <w:rStyle w:val="FootnoteReference"/>
        </w:rPr>
        <w:footnoteReference w:id="40"/>
      </w:r>
    </w:p>
    <w:p w14:paraId="0066339D" w14:textId="5C678108" w:rsidR="00707C3A" w:rsidRDefault="27445EFD" w:rsidP="000B1088">
      <w:pPr>
        <w:pStyle w:val="P1-N1Paragraph1-Number1"/>
      </w:pPr>
      <w:r>
        <w:t xml:space="preserve">Consistent with the requirements of Article 3.1 of the Anti-Dumping Agreement, an </w:t>
      </w:r>
      <w:r w:rsidR="3E164641">
        <w:t xml:space="preserve">investigating authority must also </w:t>
      </w:r>
      <w:r w:rsidR="3D8CB89A">
        <w:t xml:space="preserve">explain </w:t>
      </w:r>
      <w:r w:rsidR="0030409B">
        <w:t>"</w:t>
      </w:r>
      <w:r w:rsidR="4690145E">
        <w:t xml:space="preserve">in a satisfactory way why the evaluation of the injury factors set out under Article 3.4 led to the determination of material </w:t>
      </w:r>
      <w:r w:rsidR="0CCF201C">
        <w:t>injury, including an explanation of why factors which would seem to lead in the other direction do not, overall, undermine the conclusion of material injury</w:t>
      </w:r>
      <w:r w:rsidR="0030409B">
        <w:t>"</w:t>
      </w:r>
      <w:r w:rsidR="0898C2D2">
        <w:t>.</w:t>
      </w:r>
      <w:r w:rsidR="00707C3A">
        <w:rPr>
          <w:rStyle w:val="FootnoteReference"/>
        </w:rPr>
        <w:footnoteReference w:id="41"/>
      </w:r>
      <w:r w:rsidR="319DD43B">
        <w:t xml:space="preserve"> A</w:t>
      </w:r>
      <w:r w:rsidR="469C3B7B">
        <w:t xml:space="preserve"> mere </w:t>
      </w:r>
      <w:r w:rsidR="0030409B">
        <w:t>"</w:t>
      </w:r>
      <w:r w:rsidR="469C3B7B">
        <w:t>checklist approach</w:t>
      </w:r>
      <w:r w:rsidR="0030409B">
        <w:t>"</w:t>
      </w:r>
      <w:r w:rsidR="469C3B7B">
        <w:t xml:space="preserve"> consisting of a </w:t>
      </w:r>
      <w:r w:rsidR="0030409B">
        <w:t>"</w:t>
      </w:r>
      <w:r w:rsidR="469C3B7B">
        <w:t>mechanical exercise</w:t>
      </w:r>
      <w:r w:rsidR="0030409B">
        <w:t>"</w:t>
      </w:r>
      <w:r w:rsidR="469C3B7B">
        <w:t>, which referred to each of the factors in some way, would not constitute an objective examination.</w:t>
      </w:r>
      <w:r w:rsidR="00E97024">
        <w:rPr>
          <w:rStyle w:val="FootnoteReference"/>
        </w:rPr>
        <w:footnoteReference w:id="42"/>
      </w:r>
      <w:r w:rsidR="469C3B7B">
        <w:t xml:space="preserve"> </w:t>
      </w:r>
    </w:p>
    <w:p w14:paraId="6CC014B3" w14:textId="2B4A8311" w:rsidR="007E5265" w:rsidRPr="002F4235" w:rsidRDefault="5A9EC555" w:rsidP="000B1088">
      <w:pPr>
        <w:pStyle w:val="P1-N1Paragraph1-Number1"/>
      </w:pPr>
      <w:r>
        <w:t>Australia submits that Articles 3.1 and 3.4 of the Anti-Dumping Agreement require an investigating authority to provide a reasoned explanation for all the factors under consideration,</w:t>
      </w:r>
      <w:r w:rsidR="53511987">
        <w:t xml:space="preserve"> </w:t>
      </w:r>
      <w:r w:rsidR="2991221B">
        <w:t>i</w:t>
      </w:r>
      <w:r w:rsidR="28D93AA3">
        <w:t xml:space="preserve">ncluding </w:t>
      </w:r>
      <w:r w:rsidR="79538B73">
        <w:t>explaining how any positive trends do not undermine the conclusion of injury</w:t>
      </w:r>
      <w:r>
        <w:t>.</w:t>
      </w:r>
      <w:r w:rsidR="5F15E6FD">
        <w:t xml:space="preserve"> </w:t>
      </w:r>
      <w:r w:rsidR="33385F94">
        <w:t xml:space="preserve">Australia submits that the Panel should carefully consider whether MOFCOM has adequately explained how it objectively evaluated the economic factors in Article 3.4 of the Anti-Dumping Agreement. Further, where there are positive movements in </w:t>
      </w:r>
      <w:proofErr w:type="gramStart"/>
      <w:r w:rsidR="33385F94">
        <w:t>a number of</w:t>
      </w:r>
      <w:proofErr w:type="gramEnd"/>
      <w:r w:rsidR="33385F94">
        <w:t xml:space="preserve"> factors, Australia submits that the Panel should also consider whether MOFCOM</w:t>
      </w:r>
      <w:r w:rsidR="00593448">
        <w:t xml:space="preserve"> provided </w:t>
      </w:r>
      <w:r w:rsidR="0030409B">
        <w:t>"</w:t>
      </w:r>
      <w:r w:rsidR="33385F94">
        <w:t xml:space="preserve">a </w:t>
      </w:r>
      <w:r w:rsidR="33385F94">
        <w:lastRenderedPageBreak/>
        <w:t>compelling explanation of why and how, in light of such apparent positive trends, the domestic industry [is], or remain[s], injured</w:t>
      </w:r>
      <w:r w:rsidR="0030409B">
        <w:t>"</w:t>
      </w:r>
      <w:r w:rsidR="7A7EA904">
        <w:t>.</w:t>
      </w:r>
      <w:r w:rsidR="00B81C0D">
        <w:rPr>
          <w:rStyle w:val="FootnoteReference"/>
        </w:rPr>
        <w:footnoteReference w:id="43"/>
      </w:r>
      <w:r w:rsidR="2842B168">
        <w:t xml:space="preserve"> </w:t>
      </w:r>
    </w:p>
    <w:p w14:paraId="5C76C625" w14:textId="204541D7" w:rsidR="00310F2C" w:rsidRDefault="00D57186" w:rsidP="00591738">
      <w:pPr>
        <w:pStyle w:val="HL2HeadingLevel2"/>
      </w:pPr>
      <w:bookmarkStart w:id="14" w:name="_Toc100253868"/>
      <w:bookmarkStart w:id="15" w:name="_Toc102905631"/>
      <w:r>
        <w:t>non-</w:t>
      </w:r>
      <w:r w:rsidR="00B41C7B">
        <w:t>attribution</w:t>
      </w:r>
      <w:bookmarkEnd w:id="14"/>
      <w:bookmarkEnd w:id="15"/>
    </w:p>
    <w:p w14:paraId="0D981CE8" w14:textId="79F41762" w:rsidR="00194583" w:rsidRDefault="46F2E634" w:rsidP="00B41C7B">
      <w:pPr>
        <w:pStyle w:val="P1-N1Paragraph1-Number1"/>
      </w:pPr>
      <w:r>
        <w:t>Japan argues that MOFCOM</w:t>
      </w:r>
      <w:r w:rsidR="1E91FEB3">
        <w:t>’s causation analysis i</w:t>
      </w:r>
      <w:r w:rsidR="656BD204">
        <w:t>s incon</w:t>
      </w:r>
      <w:r w:rsidR="2E6A4250">
        <w:t xml:space="preserve">sistent with </w:t>
      </w:r>
      <w:r w:rsidR="03BE2212">
        <w:t>Article</w:t>
      </w:r>
      <w:r w:rsidR="0D82213D">
        <w:t xml:space="preserve"> 3.1 and</w:t>
      </w:r>
      <w:r w:rsidR="2BFC5BA6">
        <w:t xml:space="preserve"> the third sentence of Article</w:t>
      </w:r>
      <w:r w:rsidR="03BE2212">
        <w:t xml:space="preserve"> 3.5 of the Anti-Dumping Agreement</w:t>
      </w:r>
      <w:r w:rsidR="77AACB4A">
        <w:t xml:space="preserve">, </w:t>
      </w:r>
      <w:r w:rsidR="0DE15684">
        <w:t>as</w:t>
      </w:r>
      <w:r w:rsidR="0069257E">
        <w:t xml:space="preserve"> </w:t>
      </w:r>
      <w:r w:rsidR="0030409B">
        <w:t>"</w:t>
      </w:r>
      <w:r w:rsidR="0069257E">
        <w:t>the analysis described therein is not sufficient to ensure that the injurious effects of factors other than the Subject Imports would not be attributed to the Subject Imports.</w:t>
      </w:r>
      <w:r w:rsidR="0030409B">
        <w:t>"</w:t>
      </w:r>
      <w:r w:rsidR="00D92CB2">
        <w:rPr>
          <w:rStyle w:val="FootnoteReference"/>
        </w:rPr>
        <w:footnoteReference w:id="44"/>
      </w:r>
      <w:r w:rsidR="0069257E">
        <w:t xml:space="preserve"> Specifically, Japan submits that </w:t>
      </w:r>
      <w:r w:rsidR="7E0B7B56">
        <w:t xml:space="preserve">MOFCOM did not </w:t>
      </w:r>
      <w:r w:rsidR="6BE7A7AB">
        <w:t xml:space="preserve">distinguish </w:t>
      </w:r>
      <w:r w:rsidR="72D15301">
        <w:t>the injurious effects caused by known factors</w:t>
      </w:r>
      <w:r w:rsidR="00C613F6">
        <w:t xml:space="preserve"> </w:t>
      </w:r>
      <w:r w:rsidR="77BF20C5">
        <w:t xml:space="preserve">such as fluctuations in global prices of nickel </w:t>
      </w:r>
      <w:r w:rsidR="384F1894">
        <w:t>and the effects of stricter environmental standards</w:t>
      </w:r>
      <w:r w:rsidR="72D15301">
        <w:t>.</w:t>
      </w:r>
      <w:r w:rsidR="000218B7">
        <w:rPr>
          <w:rStyle w:val="FootnoteReference"/>
        </w:rPr>
        <w:footnoteReference w:id="45"/>
      </w:r>
      <w:r w:rsidR="72D15301">
        <w:t xml:space="preserve"> </w:t>
      </w:r>
    </w:p>
    <w:p w14:paraId="3F08A3E6" w14:textId="4E3C3A5A" w:rsidR="00194583" w:rsidRDefault="58CFFE1E" w:rsidP="00B41C7B">
      <w:pPr>
        <w:pStyle w:val="P1-N1Paragraph1-Number1"/>
      </w:pPr>
      <w:r>
        <w:t xml:space="preserve">China </w:t>
      </w:r>
      <w:r w:rsidR="00537E5E">
        <w:t>submits</w:t>
      </w:r>
      <w:r>
        <w:t xml:space="preserve"> that</w:t>
      </w:r>
      <w:r w:rsidR="1AEFDAFC">
        <w:t xml:space="preserve"> </w:t>
      </w:r>
      <w:r w:rsidR="0030409B">
        <w:t>"</w:t>
      </w:r>
      <w:r w:rsidR="1AEFDAFC">
        <w:t xml:space="preserve">MOFCOM </w:t>
      </w:r>
      <w:r w:rsidR="00537E5E">
        <w:t>did not find that the increase of the price of nickel caused any injury to the domestic industry… and it was therefore not required to carry out a non-attribution analysis.</w:t>
      </w:r>
      <w:r w:rsidR="0030409B">
        <w:t>"</w:t>
      </w:r>
      <w:r w:rsidR="00537E5E">
        <w:rPr>
          <w:rStyle w:val="FootnoteReference"/>
        </w:rPr>
        <w:footnoteReference w:id="46"/>
      </w:r>
      <w:r w:rsidR="00537E5E">
        <w:t xml:space="preserve"> </w:t>
      </w:r>
      <w:r w:rsidR="00540F1C">
        <w:t xml:space="preserve">China further submits that </w:t>
      </w:r>
      <w:r w:rsidR="0030409B">
        <w:t>"</w:t>
      </w:r>
      <w:r w:rsidR="00540F1C">
        <w:t xml:space="preserve">even if MOFCOM had concluded that the increase of the nickel price did cause injury to the domestic industry, </w:t>
      </w:r>
      <w:r w:rsidR="00540F1C">
        <w:rPr>
          <w:i/>
          <w:iCs/>
        </w:rPr>
        <w:t xml:space="preserve">quod non, </w:t>
      </w:r>
      <w:r w:rsidR="00540F1C">
        <w:t>China considers that the non-attribution analysis carried out by MOFCOM complies with the requirements of Article 3.5.</w:t>
      </w:r>
      <w:r w:rsidR="0030409B">
        <w:t>"</w:t>
      </w:r>
      <w:r w:rsidR="00540F1C">
        <w:rPr>
          <w:rStyle w:val="FootnoteReference"/>
        </w:rPr>
        <w:footnoteReference w:id="47"/>
      </w:r>
      <w:r w:rsidR="00540F1C">
        <w:t xml:space="preserve"> In relation to the effects of stricter environmental standards, China submits that </w:t>
      </w:r>
      <w:r w:rsidR="0030409B">
        <w:t>"</w:t>
      </w:r>
      <w:r w:rsidR="00540F1C">
        <w:t xml:space="preserve">MOFCOM did look into this and concluded that the domestic industry did not suffer any injury due to this element, thus MOFCOM was not under any obligation to carry out </w:t>
      </w:r>
      <w:r w:rsidR="002D79BE">
        <w:t xml:space="preserve">any </w:t>
      </w:r>
      <w:r w:rsidR="00540F1C">
        <w:t>additional non-attribution analysis.</w:t>
      </w:r>
      <w:r w:rsidR="0030409B">
        <w:t>"</w:t>
      </w:r>
      <w:r w:rsidR="00540F1C">
        <w:rPr>
          <w:rStyle w:val="FootnoteReference"/>
        </w:rPr>
        <w:footnoteReference w:id="48"/>
      </w:r>
      <w:r w:rsidR="00540F1C">
        <w:rPr>
          <w:i/>
          <w:iCs/>
        </w:rPr>
        <w:t xml:space="preserve"> </w:t>
      </w:r>
    </w:p>
    <w:p w14:paraId="50D31C89" w14:textId="4BE231E4" w:rsidR="000F3D68" w:rsidRDefault="69F6F6CC" w:rsidP="000F3D68">
      <w:pPr>
        <w:pStyle w:val="P1-N1Paragraph1-Number1"/>
      </w:pPr>
      <w:r>
        <w:t>A</w:t>
      </w:r>
      <w:r w:rsidR="74DC7BF1">
        <w:t xml:space="preserve">ustralia </w:t>
      </w:r>
      <w:r w:rsidR="391D4EB1">
        <w:t>note</w:t>
      </w:r>
      <w:r w:rsidR="74DC7BF1">
        <w:t>s that A</w:t>
      </w:r>
      <w:r>
        <w:t xml:space="preserve">rticle 3.5 of the Anti-Dumping Agreement establishes the framework for an investigating authority to determine whether a </w:t>
      </w:r>
      <w:r w:rsidR="0030409B">
        <w:t>"</w:t>
      </w:r>
      <w:r>
        <w:t>causal relationship</w:t>
      </w:r>
      <w:r w:rsidR="0030409B">
        <w:t>"</w:t>
      </w:r>
      <w:r>
        <w:t xml:space="preserve"> exists between dumped imports </w:t>
      </w:r>
      <w:r w:rsidR="705411FE">
        <w:t>and injury to the</w:t>
      </w:r>
      <w:r w:rsidR="03E1C218">
        <w:t xml:space="preserve"> relevant</w:t>
      </w:r>
      <w:r w:rsidR="705411FE">
        <w:t xml:space="preserve"> domestic industry.</w:t>
      </w:r>
      <w:r w:rsidR="6FA7A122">
        <w:t xml:space="preserve"> </w:t>
      </w:r>
      <w:r w:rsidR="668636AC">
        <w:t xml:space="preserve">The third sentence of </w:t>
      </w:r>
      <w:r w:rsidR="46C0322D">
        <w:t xml:space="preserve">Article 3.5 of the Anti-Dumping Agreement includes a </w:t>
      </w:r>
      <w:r w:rsidR="0030409B">
        <w:t>"</w:t>
      </w:r>
      <w:r w:rsidR="46C0322D">
        <w:t>non-attribution</w:t>
      </w:r>
      <w:r w:rsidR="0030409B">
        <w:t>"</w:t>
      </w:r>
      <w:r w:rsidR="46C0322D">
        <w:t xml:space="preserve"> requirement,</w:t>
      </w:r>
      <w:r w:rsidR="75BBE83A">
        <w:t xml:space="preserve"> </w:t>
      </w:r>
      <w:r w:rsidR="46C0322D">
        <w:t xml:space="preserve">which requires </w:t>
      </w:r>
      <w:r w:rsidR="44DC08A6">
        <w:t xml:space="preserve">an investigating authority </w:t>
      </w:r>
      <w:r w:rsidR="4D3C88EA">
        <w:t xml:space="preserve">to </w:t>
      </w:r>
      <w:r w:rsidR="178193E2">
        <w:t xml:space="preserve">examine any </w:t>
      </w:r>
      <w:r w:rsidR="0030409B">
        <w:t>"</w:t>
      </w:r>
      <w:r w:rsidR="178193E2">
        <w:t>known factors</w:t>
      </w:r>
      <w:r w:rsidR="0030409B">
        <w:t>"</w:t>
      </w:r>
      <w:r w:rsidR="178193E2">
        <w:t xml:space="preserve"> other than the dumped imports which at the same time are injuring the domestic industry</w:t>
      </w:r>
      <w:r w:rsidR="668636AC">
        <w:t>.</w:t>
      </w:r>
      <w:r w:rsidR="0071245B">
        <w:t xml:space="preserve"> </w:t>
      </w:r>
    </w:p>
    <w:p w14:paraId="146F32BC" w14:textId="48D93812" w:rsidR="000F3D68" w:rsidRDefault="000F3D68" w:rsidP="000F3D68">
      <w:pPr>
        <w:pStyle w:val="P1-N1Paragraph1-Number1"/>
      </w:pPr>
      <w:r>
        <w:lastRenderedPageBreak/>
        <w:t xml:space="preserve">The Appellate Body stated in </w:t>
      </w:r>
      <w:r w:rsidRPr="4DA07CBB">
        <w:rPr>
          <w:i/>
          <w:iCs/>
        </w:rPr>
        <w:t xml:space="preserve">EC – Tube or Pipe Fittings </w:t>
      </w:r>
      <w:r>
        <w:t xml:space="preserve">that, </w:t>
      </w:r>
      <w:proofErr w:type="gramStart"/>
      <w:r>
        <w:t>in order to</w:t>
      </w:r>
      <w:proofErr w:type="gramEnd"/>
      <w:r>
        <w:t xml:space="preserve"> fall within the scope of the term </w:t>
      </w:r>
      <w:r w:rsidR="0030409B">
        <w:t>"</w:t>
      </w:r>
      <w:r>
        <w:t>known factor</w:t>
      </w:r>
      <w:r w:rsidR="0030409B">
        <w:t>"</w:t>
      </w:r>
      <w:r>
        <w:t xml:space="preserve"> in Article 3.5 of the Anti-Dumping Agreement, a factor must: </w:t>
      </w:r>
    </w:p>
    <w:p w14:paraId="08FA2307" w14:textId="2F54F2F8" w:rsidR="000F3D68" w:rsidRDefault="000F3D68" w:rsidP="000F3D68">
      <w:pPr>
        <w:pStyle w:val="HL8HeadingLevel8"/>
        <w:numPr>
          <w:ilvl w:val="0"/>
          <w:numId w:val="8"/>
        </w:numPr>
        <w:rPr>
          <w:u w:val="none"/>
        </w:rPr>
      </w:pPr>
      <w:r>
        <w:rPr>
          <w:u w:val="none"/>
        </w:rPr>
        <w:t xml:space="preserve">be </w:t>
      </w:r>
      <w:r w:rsidR="0030409B">
        <w:rPr>
          <w:u w:val="none"/>
        </w:rPr>
        <w:t>"</w:t>
      </w:r>
      <w:r>
        <w:rPr>
          <w:u w:val="none"/>
        </w:rPr>
        <w:t>known</w:t>
      </w:r>
      <w:r w:rsidR="0030409B">
        <w:rPr>
          <w:u w:val="none"/>
        </w:rPr>
        <w:t>"</w:t>
      </w:r>
      <w:r>
        <w:rPr>
          <w:u w:val="none"/>
        </w:rPr>
        <w:t xml:space="preserve"> to an investigating </w:t>
      </w:r>
      <w:proofErr w:type="gramStart"/>
      <w:r>
        <w:rPr>
          <w:u w:val="none"/>
        </w:rPr>
        <w:t>authority;</w:t>
      </w:r>
      <w:proofErr w:type="gramEnd"/>
    </w:p>
    <w:p w14:paraId="7F1E7704" w14:textId="724280F8" w:rsidR="000F3D68" w:rsidRDefault="000F3D68" w:rsidP="000F3D68">
      <w:pPr>
        <w:pStyle w:val="P1-N1Paragraph1-Number1"/>
        <w:numPr>
          <w:ilvl w:val="0"/>
          <w:numId w:val="8"/>
        </w:numPr>
      </w:pPr>
      <w:r>
        <w:t xml:space="preserve">be a factor </w:t>
      </w:r>
      <w:r w:rsidR="0030409B">
        <w:t>"</w:t>
      </w:r>
      <w:r>
        <w:t>other than dumped imports</w:t>
      </w:r>
      <w:r w:rsidR="0030409B">
        <w:t>"</w:t>
      </w:r>
      <w:r>
        <w:t xml:space="preserve">; and </w:t>
      </w:r>
    </w:p>
    <w:p w14:paraId="4EC8CC7D" w14:textId="77777777" w:rsidR="000F3D68" w:rsidRDefault="000F3D68" w:rsidP="000F3D68">
      <w:pPr>
        <w:pStyle w:val="P1-N1Paragraph1-Number1"/>
        <w:numPr>
          <w:ilvl w:val="0"/>
          <w:numId w:val="8"/>
        </w:numPr>
      </w:pPr>
      <w:r>
        <w:t>be injuring the domestic industry at the same time as the dumped imports.</w:t>
      </w:r>
      <w:r w:rsidRPr="00876E04">
        <w:rPr>
          <w:rStyle w:val="FootnoteReference"/>
        </w:rPr>
        <w:t xml:space="preserve"> </w:t>
      </w:r>
      <w:r>
        <w:rPr>
          <w:rStyle w:val="FootnoteReference"/>
        </w:rPr>
        <w:footnoteReference w:id="49"/>
      </w:r>
      <w:r>
        <w:t xml:space="preserve"> </w:t>
      </w:r>
    </w:p>
    <w:p w14:paraId="0859B0F4" w14:textId="4FF09903" w:rsidR="000F3D68" w:rsidRDefault="000F3D68" w:rsidP="00A3032E">
      <w:pPr>
        <w:pStyle w:val="P1-N1Paragraph1-Number1"/>
        <w:numPr>
          <w:ilvl w:val="0"/>
          <w:numId w:val="0"/>
        </w:numPr>
      </w:pPr>
      <w:r>
        <w:t xml:space="preserve">The panel in </w:t>
      </w:r>
      <w:r w:rsidRPr="7F6ED6DC">
        <w:rPr>
          <w:i/>
          <w:iCs/>
        </w:rPr>
        <w:t>EU – Footwear (China)</w:t>
      </w:r>
      <w:r>
        <w:t xml:space="preserve"> considered that </w:t>
      </w:r>
      <w:r w:rsidR="0030409B">
        <w:t>"</w:t>
      </w:r>
      <w:r>
        <w:t>known</w:t>
      </w:r>
      <w:r w:rsidR="0030409B">
        <w:t>"</w:t>
      </w:r>
      <w:r>
        <w:t xml:space="preserve"> other factors would </w:t>
      </w:r>
      <w:r w:rsidR="0030409B">
        <w:t>"</w:t>
      </w:r>
      <w:r>
        <w:t xml:space="preserve">at a minimum, include factors allegedly causing injury that are clearly raised by interested parties </w:t>
      </w:r>
      <w:proofErr w:type="gramStart"/>
      <w:r>
        <w:t>during the course of</w:t>
      </w:r>
      <w:proofErr w:type="gramEnd"/>
      <w:r>
        <w:t xml:space="preserve"> the anti-dumping investigation</w:t>
      </w:r>
      <w:r w:rsidR="0030409B">
        <w:t>"</w:t>
      </w:r>
      <w:r>
        <w:t>.</w:t>
      </w:r>
      <w:r>
        <w:rPr>
          <w:rStyle w:val="FootnoteReference"/>
        </w:rPr>
        <w:footnoteReference w:id="50"/>
      </w:r>
      <w:r>
        <w:t xml:space="preserve"> </w:t>
      </w:r>
    </w:p>
    <w:p w14:paraId="0989A5AC" w14:textId="7446D5EE" w:rsidR="0085199F" w:rsidRDefault="00C613F6" w:rsidP="00B41C7B">
      <w:pPr>
        <w:pStyle w:val="P1-N1Paragraph1-Number1"/>
      </w:pPr>
      <w:r>
        <w:t>I</w:t>
      </w:r>
      <w:r w:rsidR="003175EC">
        <w:t xml:space="preserve">n assessing the injury caused to the domestic industry by other known factors, Australia recalls that an investigating authority </w:t>
      </w:r>
      <w:r w:rsidR="002D79BE">
        <w:t>is</w:t>
      </w:r>
      <w:r w:rsidR="003175EC">
        <w:t xml:space="preserve"> required to separate and distinguish </w:t>
      </w:r>
      <w:r w:rsidR="0030409B">
        <w:t>"</w:t>
      </w:r>
      <w:r w:rsidR="0085199F">
        <w:t>the injurious effects of the other factors from the injurious effects of the dumped imports… In the absence of such separation and</w:t>
      </w:r>
      <w:r w:rsidR="000550BD">
        <w:t xml:space="preserve"> distinction of the different injurious effects, the investigating authorities would have no rational basis to conclude that the dumped imports are indeed causing the injury which, under the Anti-Dumping Agreement, justifies the imposition of anti-dumping duties.</w:t>
      </w:r>
      <w:r w:rsidR="0030409B">
        <w:t>"</w:t>
      </w:r>
      <w:r w:rsidR="000550BD">
        <w:rPr>
          <w:rStyle w:val="FootnoteReference"/>
        </w:rPr>
        <w:footnoteReference w:id="51"/>
      </w:r>
      <w:r w:rsidR="000550BD">
        <w:t xml:space="preserve"> </w:t>
      </w:r>
      <w:r w:rsidR="002659FC">
        <w:t xml:space="preserve">An investigating authority must also provide </w:t>
      </w:r>
      <w:r w:rsidR="0030409B">
        <w:t>"</w:t>
      </w:r>
      <w:r w:rsidR="002659FC">
        <w:t>a satisfactory explanation of the nature and extent of the injurious effects of the other factors, as distinguished from the injurious effects of the dumped imports.</w:t>
      </w:r>
      <w:r w:rsidR="0030409B">
        <w:t>"</w:t>
      </w:r>
      <w:r w:rsidR="002659FC">
        <w:rPr>
          <w:rStyle w:val="FootnoteReference"/>
        </w:rPr>
        <w:footnoteReference w:id="52"/>
      </w:r>
    </w:p>
    <w:p w14:paraId="56612970" w14:textId="3E945AC2" w:rsidR="00B41C7B" w:rsidRDefault="6C7174C2" w:rsidP="00B41C7B">
      <w:pPr>
        <w:pStyle w:val="P1-N1Paragraph1-Number1"/>
      </w:pPr>
      <w:r>
        <w:t xml:space="preserve">This non-attribution analysis </w:t>
      </w:r>
      <w:r w:rsidR="423294D6">
        <w:t xml:space="preserve">is </w:t>
      </w:r>
      <w:r w:rsidR="2436A2CB">
        <w:t xml:space="preserve">important in ensuring </w:t>
      </w:r>
      <w:r w:rsidR="6AC186D6">
        <w:t>that</w:t>
      </w:r>
      <w:r w:rsidR="750B93CC">
        <w:t xml:space="preserve"> injur</w:t>
      </w:r>
      <w:r w:rsidR="668636AC">
        <w:t>y</w:t>
      </w:r>
      <w:r w:rsidR="750B93CC">
        <w:t xml:space="preserve"> caused by these other factors </w:t>
      </w:r>
      <w:r w:rsidR="682A8E10">
        <w:t>is</w:t>
      </w:r>
      <w:r w:rsidR="668636AC">
        <w:t xml:space="preserve"> </w:t>
      </w:r>
      <w:r w:rsidR="750B93CC">
        <w:t>not attributed to the dumped imports</w:t>
      </w:r>
      <w:r w:rsidR="09306B8F">
        <w:t>, and that the dumped imports</w:t>
      </w:r>
      <w:r>
        <w:t xml:space="preserve">, which need not be the </w:t>
      </w:r>
      <w:r w:rsidR="0030409B">
        <w:t>"</w:t>
      </w:r>
      <w:r>
        <w:t>sole</w:t>
      </w:r>
      <w:r w:rsidR="0030409B">
        <w:t>"</w:t>
      </w:r>
      <w:r>
        <w:t xml:space="preserve"> cause,</w:t>
      </w:r>
      <w:r w:rsidR="09306B8F">
        <w:t xml:space="preserve"> are a </w:t>
      </w:r>
      <w:r w:rsidR="0030409B">
        <w:t>"</w:t>
      </w:r>
      <w:r w:rsidR="09306B8F">
        <w:t>genuine and substantial</w:t>
      </w:r>
      <w:r w:rsidR="0030409B">
        <w:t>"</w:t>
      </w:r>
      <w:r w:rsidR="09306B8F">
        <w:t xml:space="preserve"> cause of the injury to the domestic industry</w:t>
      </w:r>
      <w:r w:rsidR="750B93CC">
        <w:t>.</w:t>
      </w:r>
      <w:r w:rsidR="00901D62">
        <w:rPr>
          <w:rStyle w:val="FootnoteReference"/>
        </w:rPr>
        <w:footnoteReference w:id="53"/>
      </w:r>
      <w:r w:rsidR="634F90F6">
        <w:t xml:space="preserve"> </w:t>
      </w:r>
      <w:r>
        <w:t xml:space="preserve">In the context of Article 15.5 of the SCM Agreement, which is drafted in nearly identical terms to Article 3.5 of the Anti-Dumping Agreement, the Appellate Body has explained, </w:t>
      </w:r>
      <w:r w:rsidR="0030409B">
        <w:t>"</w:t>
      </w:r>
      <w:r>
        <w:t xml:space="preserve">the </w:t>
      </w:r>
      <w:r w:rsidR="2F9993B2">
        <w:t>'</w:t>
      </w:r>
      <w:r>
        <w:t>genuine</w:t>
      </w:r>
      <w:r w:rsidR="2F9993B2">
        <w:t>'</w:t>
      </w:r>
      <w:r>
        <w:t xml:space="preserve"> component of the </w:t>
      </w:r>
      <w:r w:rsidR="3034EFBD">
        <w:t>'</w:t>
      </w:r>
      <w:r>
        <w:t>genuine and substantial</w:t>
      </w:r>
      <w:r w:rsidR="3034EFBD">
        <w:t>'</w:t>
      </w:r>
      <w:r>
        <w:t xml:space="preserve"> causation test requires </w:t>
      </w:r>
      <w:r>
        <w:lastRenderedPageBreak/>
        <w:t xml:space="preserve">that the nexus between the causal agent and the consequence at issue be </w:t>
      </w:r>
      <w:r w:rsidR="3F813D43">
        <w:t>'</w:t>
      </w:r>
      <w:r>
        <w:t>real</w:t>
      </w:r>
      <w:r w:rsidR="3F813D43">
        <w:t>'</w:t>
      </w:r>
      <w:r>
        <w:t xml:space="preserve"> or </w:t>
      </w:r>
      <w:r w:rsidR="3F813D43">
        <w:t>'</w:t>
      </w:r>
      <w:r>
        <w:t>true</w:t>
      </w:r>
      <w:r w:rsidR="3F813D43">
        <w:t>'</w:t>
      </w:r>
      <w:r w:rsidR="0030409B">
        <w:t>"</w:t>
      </w:r>
      <w:r w:rsidR="20E77870">
        <w:t>,</w:t>
      </w:r>
      <w:r w:rsidR="00516CBC">
        <w:rPr>
          <w:rStyle w:val="FootnoteReference"/>
        </w:rPr>
        <w:footnoteReference w:id="54"/>
      </w:r>
      <w:r>
        <w:t xml:space="preserve"> </w:t>
      </w:r>
      <w:r w:rsidR="20E77870">
        <w:t>w</w:t>
      </w:r>
      <w:r>
        <w:t xml:space="preserve">hile the </w:t>
      </w:r>
      <w:r w:rsidR="0030409B">
        <w:t>"</w:t>
      </w:r>
      <w:r w:rsidR="4EDD1AB5">
        <w:t>'</w:t>
      </w:r>
      <w:r>
        <w:t>substantial</w:t>
      </w:r>
      <w:r w:rsidR="3F813D43">
        <w:t xml:space="preserve">' </w:t>
      </w:r>
      <w:r>
        <w:t xml:space="preserve">component of the test concerns the </w:t>
      </w:r>
      <w:r w:rsidR="3F813D43">
        <w:t>'</w:t>
      </w:r>
      <w:r>
        <w:t>relative importance</w:t>
      </w:r>
      <w:r w:rsidR="3F813D43">
        <w:t>'</w:t>
      </w:r>
      <w:r>
        <w:t xml:space="preserve"> of the causal agent in bringing about the consequences.</w:t>
      </w:r>
      <w:r w:rsidR="0030409B">
        <w:t>"</w:t>
      </w:r>
      <w:r w:rsidR="00B035A6">
        <w:rPr>
          <w:rStyle w:val="FootnoteReference"/>
        </w:rPr>
        <w:footnoteReference w:id="55"/>
      </w:r>
      <w:r>
        <w:t xml:space="preserve">  </w:t>
      </w:r>
    </w:p>
    <w:p w14:paraId="4DD50CBD" w14:textId="3A4B7C66" w:rsidR="00C21FCA" w:rsidRDefault="00C21FCA" w:rsidP="00896578">
      <w:pPr>
        <w:pStyle w:val="P1-N1Paragraph1-Number1"/>
      </w:pPr>
      <w:r>
        <w:t xml:space="preserve">Australia </w:t>
      </w:r>
      <w:r w:rsidR="00BB7375">
        <w:t xml:space="preserve">notes </w:t>
      </w:r>
      <w:r>
        <w:t xml:space="preserve">that </w:t>
      </w:r>
      <w:r w:rsidR="00A27799">
        <w:t xml:space="preserve">while the Anti-Dumping Agreement does not specify how a non-attribution analysis should be conducted, the analysis still needs to be objective and based on positive evidence, as required under </w:t>
      </w:r>
      <w:r w:rsidR="009B626E">
        <w:t xml:space="preserve">the overarching obligations set out in </w:t>
      </w:r>
      <w:r w:rsidR="00A27799">
        <w:t>Article 3.1 of the Anti-Dumping Agreement. Accordingly, Australia submits that the Panel should carefully consider whether MOFCOM distinguished and separated the known factors (</w:t>
      </w:r>
      <w:proofErr w:type="gramStart"/>
      <w:r w:rsidR="00A27799">
        <w:t>i.e.</w:t>
      </w:r>
      <w:proofErr w:type="gramEnd"/>
      <w:r w:rsidR="00A27799">
        <w:t xml:space="preserve"> fluctuations in the price of nickel and the requirement to comply with stricter environmental protection standards) in assessing the injury caused to the domestic industry. Australia submits that the Panel should also carefully consider whether assertions that the known factors </w:t>
      </w:r>
      <w:r w:rsidR="0030409B">
        <w:t>"</w:t>
      </w:r>
      <w:r w:rsidR="00A27799">
        <w:t>could not refute the causal link</w:t>
      </w:r>
      <w:r w:rsidR="0030409B">
        <w:t>"</w:t>
      </w:r>
      <w:r w:rsidR="00A27799">
        <w:rPr>
          <w:rStyle w:val="FootnoteReference"/>
        </w:rPr>
        <w:footnoteReference w:id="56"/>
      </w:r>
      <w:r w:rsidR="00A27799">
        <w:t xml:space="preserve"> between dumped imports and material injury to the domestic industry, are sufficient to meet the legal standard required under Articles 3.1 and 3.5 of the Anti-Dumping Agreement. </w:t>
      </w:r>
    </w:p>
    <w:p w14:paraId="112B7A1A" w14:textId="1AE9EF3F" w:rsidR="00EA158A" w:rsidRDefault="00737285" w:rsidP="00EA158A">
      <w:pPr>
        <w:pStyle w:val="HL1HeadingLevel1"/>
        <w:ind w:left="0" w:firstLine="0"/>
      </w:pPr>
      <w:bookmarkStart w:id="16" w:name="_Toc100253869"/>
      <w:bookmarkStart w:id="17" w:name="_Toc102905632"/>
      <w:r>
        <w:t>due process</w:t>
      </w:r>
      <w:bookmarkEnd w:id="16"/>
      <w:bookmarkEnd w:id="17"/>
    </w:p>
    <w:p w14:paraId="01A2270D" w14:textId="4003905B" w:rsidR="00015133" w:rsidRPr="00591738" w:rsidRDefault="6574B001" w:rsidP="00591738">
      <w:pPr>
        <w:pStyle w:val="P1-N1Paragraph1-Number1"/>
      </w:pPr>
      <w:r>
        <w:t xml:space="preserve">Australia </w:t>
      </w:r>
      <w:r w:rsidR="7517C005">
        <w:t>observes</w:t>
      </w:r>
      <w:r>
        <w:t xml:space="preserve"> that </w:t>
      </w:r>
      <w:r w:rsidR="2A888038">
        <w:t xml:space="preserve">the </w:t>
      </w:r>
      <w:r w:rsidR="141680EF">
        <w:t xml:space="preserve">due process </w:t>
      </w:r>
      <w:r w:rsidR="26FBEA90">
        <w:t>obligations</w:t>
      </w:r>
      <w:r w:rsidR="653C2978">
        <w:t xml:space="preserve"> </w:t>
      </w:r>
      <w:r w:rsidR="01EEE310">
        <w:t xml:space="preserve">set out </w:t>
      </w:r>
      <w:r w:rsidR="653C2978">
        <w:t xml:space="preserve">in </w:t>
      </w:r>
      <w:r w:rsidR="26FBEA90">
        <w:t xml:space="preserve">Articles 6 and 12 of </w:t>
      </w:r>
      <w:r w:rsidR="653C2978">
        <w:t>the Anti-Dumping Agreement</w:t>
      </w:r>
      <w:r>
        <w:t xml:space="preserve"> are critically important</w:t>
      </w:r>
      <w:r w:rsidR="653C2978">
        <w:t>.</w:t>
      </w:r>
      <w:r w:rsidR="00B81C0D">
        <w:rPr>
          <w:rStyle w:val="FootnoteReference"/>
        </w:rPr>
        <w:footnoteReference w:id="57"/>
      </w:r>
      <w:r w:rsidR="653C2978">
        <w:t xml:space="preserve"> </w:t>
      </w:r>
      <w:r w:rsidR="49054DDD">
        <w:t>T</w:t>
      </w:r>
      <w:r w:rsidR="30CEF26C">
        <w:t xml:space="preserve">hese obligations operate together to ensure </w:t>
      </w:r>
      <w:r w:rsidR="546613C9">
        <w:t xml:space="preserve">that interested parties can </w:t>
      </w:r>
      <w:r w:rsidR="2A888038" w:rsidRPr="370FA946">
        <w:rPr>
          <w:rFonts w:cs="Calibri"/>
        </w:rPr>
        <w:t xml:space="preserve">meaningfully engage in the investigative process and have an opportunity to </w:t>
      </w:r>
      <w:r w:rsidR="546613C9">
        <w:t>defend their interests during a</w:t>
      </w:r>
      <w:r w:rsidR="72602EA6">
        <w:t>n anti-</w:t>
      </w:r>
      <w:r w:rsidR="546613C9">
        <w:t>dumping investigation. These obligations also ensure that WTO Members</w:t>
      </w:r>
      <w:r w:rsidR="2A888038">
        <w:t xml:space="preserve"> have the relevant information to allow them</w:t>
      </w:r>
      <w:r w:rsidR="358C8BEF">
        <w:t xml:space="preserve"> to assess the consistency of a measure against domestic laws and/or the Anti-Dumping </w:t>
      </w:r>
      <w:r w:rsidR="141875C9">
        <w:t xml:space="preserve">Agreement </w:t>
      </w:r>
      <w:r w:rsidR="358C8BEF">
        <w:t>and</w:t>
      </w:r>
      <w:r w:rsidR="546613C9">
        <w:t xml:space="preserve">, where appropriate, </w:t>
      </w:r>
      <w:r w:rsidR="2A888038">
        <w:t xml:space="preserve">to </w:t>
      </w:r>
      <w:r w:rsidR="546613C9">
        <w:t>seek review of an anti-dumping measure</w:t>
      </w:r>
      <w:r w:rsidR="2A888038">
        <w:t xml:space="preserve"> through domestic avenues or</w:t>
      </w:r>
      <w:r w:rsidR="546613C9">
        <w:t xml:space="preserve"> before a WTO </w:t>
      </w:r>
      <w:r w:rsidR="0BBA15E0">
        <w:t xml:space="preserve">dispute settlement </w:t>
      </w:r>
      <w:r w:rsidR="546613C9">
        <w:t xml:space="preserve">panel. </w:t>
      </w:r>
      <w:r w:rsidR="63C46A51">
        <w:t xml:space="preserve">Australia submits that Japan’s claims that MOFCOM departed from several </w:t>
      </w:r>
      <w:r w:rsidR="32C54CEB">
        <w:t>due process</w:t>
      </w:r>
      <w:r w:rsidR="63C46A51">
        <w:t xml:space="preserve"> requirements </w:t>
      </w:r>
      <w:proofErr w:type="gramStart"/>
      <w:r w:rsidR="63C46A51">
        <w:t>in the course of</w:t>
      </w:r>
      <w:proofErr w:type="gramEnd"/>
      <w:r w:rsidR="63C46A51">
        <w:t xml:space="preserve"> this investigation</w:t>
      </w:r>
      <w:r w:rsidR="52296732">
        <w:t xml:space="preserve"> </w:t>
      </w:r>
      <w:r w:rsidR="2A888038">
        <w:t xml:space="preserve">must, </w:t>
      </w:r>
      <w:r w:rsidR="52296732">
        <w:t xml:space="preserve">therefore, be closely </w:t>
      </w:r>
      <w:r w:rsidR="0D399E48">
        <w:t>scrutinised</w:t>
      </w:r>
      <w:r w:rsidR="52296732">
        <w:t>.</w:t>
      </w:r>
      <w:r w:rsidR="78CA269E">
        <w:t xml:space="preserve"> </w:t>
      </w:r>
    </w:p>
    <w:p w14:paraId="03832EC0" w14:textId="3072CA2C" w:rsidR="00EA4588" w:rsidRDefault="00EA4588" w:rsidP="00591738">
      <w:pPr>
        <w:pStyle w:val="HL2HeadingLevel2"/>
      </w:pPr>
      <w:bookmarkStart w:id="18" w:name="_Toc100253870"/>
      <w:bookmarkStart w:id="19" w:name="_Toc102905633"/>
      <w:r>
        <w:lastRenderedPageBreak/>
        <w:t>Treatment of confidential information</w:t>
      </w:r>
      <w:bookmarkEnd w:id="18"/>
      <w:bookmarkEnd w:id="19"/>
    </w:p>
    <w:p w14:paraId="4BF7FAF5" w14:textId="18B27A21" w:rsidR="00EA158A" w:rsidRDefault="3A5D631A" w:rsidP="00EA158A">
      <w:pPr>
        <w:pStyle w:val="P1-N1Paragraph1-Number1"/>
      </w:pPr>
      <w:r>
        <w:t xml:space="preserve">Japan submits that MOFCOM's treatment of certain information </w:t>
      </w:r>
      <w:r w:rsidR="44A78C34">
        <w:t xml:space="preserve">(specifically, the names of companies) </w:t>
      </w:r>
      <w:r>
        <w:t xml:space="preserve">as confidential was inconsistent with Article 6.5 of the Anti-Dumping Agreement, as MOFCOM did not assess whether </w:t>
      </w:r>
      <w:r w:rsidR="0030409B">
        <w:t>"</w:t>
      </w:r>
      <w:r>
        <w:t>good cause</w:t>
      </w:r>
      <w:r w:rsidR="0030409B">
        <w:t>"</w:t>
      </w:r>
      <w:r>
        <w:t xml:space="preserve"> for such treatment was shown by the interested parties</w:t>
      </w:r>
      <w:r w:rsidR="799C116D">
        <w:t>.</w:t>
      </w:r>
      <w:r w:rsidR="00A53043">
        <w:rPr>
          <w:rStyle w:val="FootnoteReference"/>
        </w:rPr>
        <w:footnoteReference w:id="58"/>
      </w:r>
      <w:r w:rsidR="799C116D">
        <w:t xml:space="preserve"> </w:t>
      </w:r>
      <w:r w:rsidR="451540DE">
        <w:t>Japan</w:t>
      </w:r>
      <w:r w:rsidR="799C116D">
        <w:t xml:space="preserve"> also submits that</w:t>
      </w:r>
      <w:r>
        <w:t xml:space="preserve"> MOFCOM's </w:t>
      </w:r>
      <w:r w:rsidR="20CA866D">
        <w:t xml:space="preserve">confidential </w:t>
      </w:r>
      <w:r>
        <w:t xml:space="preserve">treatment of </w:t>
      </w:r>
      <w:r w:rsidR="20CA866D">
        <w:t>company names</w:t>
      </w:r>
      <w:r>
        <w:t xml:space="preserve"> was inconsistent with Article 6.5.1 of the Anti-Dumping Agreement because MOFCOM did not require the relevant interested parties to provide sufficiently detailed non-confidential summaries or, in exceptional circumstances, a statement explaining the reasons why summarization was not possible.</w:t>
      </w:r>
      <w:r w:rsidR="00335FEC">
        <w:rPr>
          <w:rStyle w:val="FootnoteReference"/>
        </w:rPr>
        <w:footnoteReference w:id="59"/>
      </w:r>
      <w:r>
        <w:t xml:space="preserve"> </w:t>
      </w:r>
    </w:p>
    <w:p w14:paraId="5B5F8D39" w14:textId="6A697C8B" w:rsidR="005D3442" w:rsidRDefault="69EAB55C">
      <w:pPr>
        <w:pStyle w:val="P1-N1Paragraph1-Number1"/>
      </w:pPr>
      <w:r>
        <w:t xml:space="preserve"> China submits that publication of the relevant companies</w:t>
      </w:r>
      <w:r w:rsidR="24FAC43E">
        <w:t>’</w:t>
      </w:r>
      <w:r>
        <w:t xml:space="preserve"> names </w:t>
      </w:r>
      <w:r w:rsidR="36F2A8FF">
        <w:t xml:space="preserve">would have disclosed which companies are related to an exporter or an importer, or are themselves an importer, of the </w:t>
      </w:r>
      <w:r w:rsidR="2F42D038">
        <w:t>P</w:t>
      </w:r>
      <w:r w:rsidR="36F2A8FF">
        <w:t xml:space="preserve">roduct </w:t>
      </w:r>
      <w:r w:rsidR="2F42D038">
        <w:t>U</w:t>
      </w:r>
      <w:r w:rsidR="36F2A8FF">
        <w:t xml:space="preserve">nder </w:t>
      </w:r>
      <w:r w:rsidR="2F42D038">
        <w:t>I</w:t>
      </w:r>
      <w:r w:rsidR="36F2A8FF">
        <w:t>nvestigation, which is sufficiently sensitive information to warrant confidential treatment.</w:t>
      </w:r>
      <w:r w:rsidR="004A2939">
        <w:rPr>
          <w:rStyle w:val="FootnoteReference"/>
        </w:rPr>
        <w:footnoteReference w:id="60"/>
      </w:r>
      <w:r w:rsidR="3AF866FA">
        <w:t xml:space="preserve"> </w:t>
      </w:r>
      <w:r w:rsidR="29527C5C">
        <w:t xml:space="preserve">China argues that interested parties were </w:t>
      </w:r>
      <w:r w:rsidR="0030409B">
        <w:t>"</w:t>
      </w:r>
      <w:r w:rsidR="29527C5C">
        <w:t>provided with more than a sufficient summary to be able to defend their interest</w:t>
      </w:r>
      <w:r w:rsidR="0030409B">
        <w:t>"</w:t>
      </w:r>
      <w:r w:rsidR="005D3442">
        <w:rPr>
          <w:rStyle w:val="FootnoteReference"/>
        </w:rPr>
        <w:footnoteReference w:id="61"/>
      </w:r>
      <w:r w:rsidR="03E6DA3B">
        <w:t xml:space="preserve"> because </w:t>
      </w:r>
      <w:r w:rsidR="0030409B">
        <w:t>"</w:t>
      </w:r>
      <w:r w:rsidR="52203888">
        <w:t>apart from the actual names themselves, interested parties knew exactly what was contained in the redacted information</w:t>
      </w:r>
      <w:r w:rsidR="0030409B">
        <w:t>"</w:t>
      </w:r>
      <w:r w:rsidR="003C3D59">
        <w:t xml:space="preserve"> (</w:t>
      </w:r>
      <w:r w:rsidR="054CD6D5">
        <w:t>i</w:t>
      </w:r>
      <w:r w:rsidR="7FF3D3C6">
        <w:t>.</w:t>
      </w:r>
      <w:r w:rsidR="054CD6D5">
        <w:t>e</w:t>
      </w:r>
      <w:r w:rsidR="7FF3D3C6">
        <w:t>.</w:t>
      </w:r>
      <w:r w:rsidR="054CD6D5">
        <w:t xml:space="preserve"> these companies were domestic produce</w:t>
      </w:r>
      <w:r w:rsidR="3DA20DD8">
        <w:t>r</w:t>
      </w:r>
      <w:r w:rsidR="054CD6D5">
        <w:t xml:space="preserve">s of </w:t>
      </w:r>
      <w:r w:rsidR="7519EA9F">
        <w:t xml:space="preserve">a like product to </w:t>
      </w:r>
      <w:r w:rsidR="054CD6D5">
        <w:t xml:space="preserve">the </w:t>
      </w:r>
      <w:r w:rsidR="4E57313D">
        <w:t>P</w:t>
      </w:r>
      <w:r w:rsidR="054CD6D5">
        <w:t xml:space="preserve">roduct </w:t>
      </w:r>
      <w:r w:rsidR="4E57313D">
        <w:t>U</w:t>
      </w:r>
      <w:r w:rsidR="054CD6D5">
        <w:t xml:space="preserve">nder </w:t>
      </w:r>
      <w:r w:rsidR="4E57313D">
        <w:t>I</w:t>
      </w:r>
      <w:r w:rsidR="054CD6D5">
        <w:t>nvestigation that were excluded</w:t>
      </w:r>
      <w:r w:rsidR="0BBA15E0">
        <w:t xml:space="preserve"> from</w:t>
      </w:r>
      <w:r w:rsidR="054CD6D5">
        <w:t xml:space="preserve"> the domestic industry by the </w:t>
      </w:r>
      <w:r w:rsidR="7E13677D">
        <w:t>a</w:t>
      </w:r>
      <w:r w:rsidR="054CD6D5">
        <w:t>pplicant</w:t>
      </w:r>
      <w:r w:rsidR="7519EA9F">
        <w:t>,</w:t>
      </w:r>
      <w:r w:rsidR="054CD6D5">
        <w:t xml:space="preserve"> and that these companies were either importers of the </w:t>
      </w:r>
      <w:r w:rsidR="2DAAB0A2">
        <w:t>P</w:t>
      </w:r>
      <w:r w:rsidR="054CD6D5">
        <w:t xml:space="preserve">roduct </w:t>
      </w:r>
      <w:r w:rsidR="2DAAB0A2">
        <w:t>U</w:t>
      </w:r>
      <w:r w:rsidR="054CD6D5">
        <w:t xml:space="preserve">nder </w:t>
      </w:r>
      <w:r w:rsidR="2DAAB0A2">
        <w:t>I</w:t>
      </w:r>
      <w:r w:rsidR="054CD6D5">
        <w:t>nvestigation or they had sta</w:t>
      </w:r>
      <w:r w:rsidR="672FA1DF">
        <w:t>r</w:t>
      </w:r>
      <w:r w:rsidR="054CD6D5">
        <w:t xml:space="preserve">ted production of </w:t>
      </w:r>
      <w:r w:rsidR="0EB24AD7">
        <w:t xml:space="preserve">a </w:t>
      </w:r>
      <w:r w:rsidR="4C8164A6">
        <w:t>like product</w:t>
      </w:r>
      <w:r w:rsidR="0EB24AD7">
        <w:t xml:space="preserve"> to </w:t>
      </w:r>
      <w:r w:rsidR="054CD6D5">
        <w:t xml:space="preserve">the </w:t>
      </w:r>
      <w:r w:rsidR="2DAAB0A2">
        <w:t>P</w:t>
      </w:r>
      <w:r w:rsidR="054CD6D5">
        <w:t xml:space="preserve">roduct </w:t>
      </w:r>
      <w:r w:rsidR="2DAAB0A2">
        <w:t>U</w:t>
      </w:r>
      <w:r w:rsidR="054CD6D5">
        <w:t xml:space="preserve">nder </w:t>
      </w:r>
      <w:r w:rsidR="2DAAB0A2">
        <w:t>I</w:t>
      </w:r>
      <w:r w:rsidR="054CD6D5">
        <w:t>nvestigation in Indonesia</w:t>
      </w:r>
      <w:r w:rsidR="003C3D59">
        <w:t>)</w:t>
      </w:r>
      <w:r w:rsidR="054CD6D5">
        <w:t>.</w:t>
      </w:r>
      <w:r w:rsidR="001D60F5">
        <w:rPr>
          <w:rStyle w:val="FootnoteReference"/>
        </w:rPr>
        <w:footnoteReference w:id="62"/>
      </w:r>
    </w:p>
    <w:p w14:paraId="016A63FD" w14:textId="1B3456FB" w:rsidR="004E7727" w:rsidRPr="00D661C0" w:rsidRDefault="4C6C5292" w:rsidP="00EA158A">
      <w:pPr>
        <w:pStyle w:val="P1-N1Paragraph1-Number1"/>
        <w:rPr>
          <w:rFonts w:ascii="Times New Roman" w:hAnsi="Times New Roman" w:cs="Times New Roman"/>
          <w:lang w:eastAsia="en-AU"/>
        </w:rPr>
      </w:pPr>
      <w:r>
        <w:t xml:space="preserve">The panel in </w:t>
      </w:r>
      <w:r w:rsidRPr="4DA07CBB">
        <w:rPr>
          <w:rFonts w:asciiTheme="minorHAnsi" w:eastAsiaTheme="minorEastAsia" w:hAnsiTheme="minorHAnsi"/>
          <w:i/>
          <w:iCs/>
        </w:rPr>
        <w:t xml:space="preserve">Mexico – Steel Pipes and Tubes </w:t>
      </w:r>
      <w:r w:rsidRPr="4DA07CBB">
        <w:rPr>
          <w:rFonts w:asciiTheme="minorHAnsi" w:eastAsiaTheme="minorEastAsia" w:hAnsiTheme="minorHAnsi"/>
        </w:rPr>
        <w:t>observed</w:t>
      </w:r>
      <w:r w:rsidR="3A5D631A" w:rsidRPr="4DA07CBB">
        <w:rPr>
          <w:rFonts w:asciiTheme="minorHAnsi" w:eastAsiaTheme="minorEastAsia" w:hAnsiTheme="minorHAnsi"/>
        </w:rPr>
        <w:t xml:space="preserve"> </w:t>
      </w:r>
      <w:r w:rsidR="3A5D631A">
        <w:t>that the conditions set out in Articles 6.5 and 6.5.1</w:t>
      </w:r>
      <w:r w:rsidR="19508EC6">
        <w:t xml:space="preserve"> </w:t>
      </w:r>
      <w:r w:rsidR="3A5D631A">
        <w:t xml:space="preserve">of the Anti-Dumping Agreement are of </w:t>
      </w:r>
      <w:r w:rsidR="0030409B">
        <w:t>"</w:t>
      </w:r>
      <w:r w:rsidR="3A5D631A">
        <w:t>critical importance in preserving the balance between the interests of confidentiality and the ability of another interested party to defend its rights throughout an anti-dumping investigation</w:t>
      </w:r>
      <w:r w:rsidR="0030409B">
        <w:t>"</w:t>
      </w:r>
      <w:r w:rsidR="19508EC6">
        <w:t xml:space="preserve"> and for this reason it is </w:t>
      </w:r>
      <w:r w:rsidR="0030409B">
        <w:t>"</w:t>
      </w:r>
      <w:r w:rsidR="19508EC6">
        <w:t>paramount</w:t>
      </w:r>
      <w:r w:rsidR="0030409B">
        <w:t>"</w:t>
      </w:r>
      <w:r w:rsidR="19508EC6">
        <w:t xml:space="preserve"> that the</w:t>
      </w:r>
      <w:r w:rsidR="0E3736F8">
        <w:t>se</w:t>
      </w:r>
      <w:r w:rsidR="19508EC6">
        <w:t xml:space="preserve"> conditions are fulfilled.</w:t>
      </w:r>
      <w:r w:rsidR="00EA158A">
        <w:rPr>
          <w:rStyle w:val="FootnoteReference"/>
        </w:rPr>
        <w:footnoteReference w:id="63"/>
      </w:r>
      <w:r w:rsidR="3A5D631A">
        <w:t xml:space="preserve"> Australia </w:t>
      </w:r>
      <w:r w:rsidR="511B66F0">
        <w:t>submits</w:t>
      </w:r>
      <w:r w:rsidR="3A5D631A">
        <w:t xml:space="preserve"> that it is important for these conditions to be strictly enforced, in order to maintain this balance.</w:t>
      </w:r>
      <w:r w:rsidR="6CFCB9AA" w:rsidDel="002F1FF7">
        <w:rPr>
          <w:rStyle w:val="FootnoteReference"/>
        </w:rPr>
        <w:t xml:space="preserve"> </w:t>
      </w:r>
      <w:r w:rsidR="3A5D631A">
        <w:t xml:space="preserve"> </w:t>
      </w:r>
    </w:p>
    <w:p w14:paraId="14DCC0C7" w14:textId="199BDCFC" w:rsidR="00EA158A" w:rsidRPr="007068F0" w:rsidRDefault="3A5D631A" w:rsidP="00EA158A">
      <w:pPr>
        <w:pStyle w:val="P1-N1Paragraph1-Number1"/>
        <w:rPr>
          <w:rFonts w:ascii="Times New Roman" w:hAnsi="Times New Roman" w:cs="Times New Roman"/>
          <w:lang w:eastAsia="en-AU"/>
        </w:rPr>
      </w:pPr>
      <w:r>
        <w:lastRenderedPageBreak/>
        <w:t xml:space="preserve">In relation to the </w:t>
      </w:r>
      <w:r w:rsidR="0030409B">
        <w:t>"</w:t>
      </w:r>
      <w:r>
        <w:t>good cause</w:t>
      </w:r>
      <w:r w:rsidR="0030409B">
        <w:t>"</w:t>
      </w:r>
      <w:r>
        <w:t xml:space="preserve"> requirement in Article 6.5 of the Anti-Dumping Agreement, Australia observes that without a </w:t>
      </w:r>
      <w:r w:rsidR="0030409B">
        <w:t>"</w:t>
      </w:r>
      <w:r>
        <w:t>good cause</w:t>
      </w:r>
      <w:r w:rsidR="0030409B">
        <w:t>"</w:t>
      </w:r>
      <w:r w:rsidR="5B2412BB">
        <w:t xml:space="preserve">, </w:t>
      </w:r>
      <w:r>
        <w:t xml:space="preserve">there is no legal basis for an investigating authority to accord confidential treatment to information. </w:t>
      </w:r>
      <w:r w:rsidR="4BD0517F">
        <w:t>The Appellate Body has clarified that</w:t>
      </w:r>
      <w:r>
        <w:t xml:space="preserve"> a showing of </w:t>
      </w:r>
      <w:r w:rsidR="0030409B">
        <w:t>"</w:t>
      </w:r>
      <w:r>
        <w:t>good cause</w:t>
      </w:r>
      <w:r w:rsidR="0030409B">
        <w:t>"</w:t>
      </w:r>
      <w:r>
        <w:t xml:space="preserve"> must constitute a reason </w:t>
      </w:r>
      <w:r w:rsidR="0030409B">
        <w:t>"</w:t>
      </w:r>
      <w:r>
        <w:t>sufficient to justify the withholding of information from both the public and from the other parties interested in the investigation</w:t>
      </w:r>
      <w:r w:rsidR="0030409B">
        <w:t>"</w:t>
      </w:r>
      <w:r>
        <w:t>, and this assessment is an objective one.</w:t>
      </w:r>
      <w:r w:rsidR="00EA158A">
        <w:rPr>
          <w:rStyle w:val="FootnoteReference"/>
        </w:rPr>
        <w:footnoteReference w:id="64"/>
      </w:r>
      <w:r>
        <w:t xml:space="preserve"> </w:t>
      </w:r>
    </w:p>
    <w:p w14:paraId="2F9B455C" w14:textId="19016DAC" w:rsidR="00CE29B5" w:rsidRPr="00283DF0" w:rsidRDefault="5B2412BB" w:rsidP="00EA158A">
      <w:pPr>
        <w:pStyle w:val="P1-N1Paragraph1-Number1"/>
      </w:pPr>
      <w:r>
        <w:t>Where a</w:t>
      </w:r>
      <w:r w:rsidR="63C46A51">
        <w:t xml:space="preserve">n investigating authority </w:t>
      </w:r>
      <w:r>
        <w:t xml:space="preserve">has found there to be </w:t>
      </w:r>
      <w:r w:rsidR="0030409B">
        <w:t>"</w:t>
      </w:r>
      <w:r>
        <w:t>good cause</w:t>
      </w:r>
      <w:r w:rsidR="0030409B">
        <w:t>"</w:t>
      </w:r>
      <w:r w:rsidR="4F4F8E9F">
        <w:t xml:space="preserve"> for confidential treatment</w:t>
      </w:r>
      <w:r w:rsidR="5E54815F">
        <w:t xml:space="preserve"> of certain information</w:t>
      </w:r>
      <w:r w:rsidR="4F4F8E9F">
        <w:t xml:space="preserve">, Article 6.5.1 </w:t>
      </w:r>
      <w:r w:rsidR="03EE5781">
        <w:t xml:space="preserve">of the Anti-Dumping Agreement </w:t>
      </w:r>
      <w:r w:rsidR="4F4F8E9F">
        <w:t>applies</w:t>
      </w:r>
      <w:r w:rsidR="0D6EDE0E">
        <w:t xml:space="preserve">, requiring non-confidential summaries of </w:t>
      </w:r>
      <w:r w:rsidR="5E54815F">
        <w:t>that information</w:t>
      </w:r>
      <w:r w:rsidR="6BD89E93">
        <w:t xml:space="preserve"> to be furnished</w:t>
      </w:r>
      <w:r w:rsidR="5E54815F">
        <w:t>.</w:t>
      </w:r>
      <w:r>
        <w:t xml:space="preserve"> </w:t>
      </w:r>
      <w:r w:rsidR="6BD89E93">
        <w:t xml:space="preserve">The Appellate Body has </w:t>
      </w:r>
      <w:r w:rsidR="25AB2677">
        <w:t>indicated that a</w:t>
      </w:r>
      <w:r w:rsidR="6BD89E93">
        <w:t xml:space="preserve"> failure to comply with </w:t>
      </w:r>
      <w:r w:rsidR="25AB2677">
        <w:t>t</w:t>
      </w:r>
      <w:r w:rsidR="6BD89E93">
        <w:t xml:space="preserve">his requirement means that </w:t>
      </w:r>
      <w:r w:rsidR="3A5D631A" w:rsidRPr="00BD657D">
        <w:rPr>
          <w:rFonts w:cs="Calibri"/>
        </w:rPr>
        <w:t xml:space="preserve">interested parties cannot meaningfully engage in the investigative process and </w:t>
      </w:r>
      <w:r w:rsidR="3A5D631A">
        <w:rPr>
          <w:rFonts w:cs="Calibri"/>
        </w:rPr>
        <w:t xml:space="preserve">have an </w:t>
      </w:r>
      <w:r w:rsidR="0030409B">
        <w:rPr>
          <w:rFonts w:cs="Calibri"/>
        </w:rPr>
        <w:t>"</w:t>
      </w:r>
      <w:r w:rsidR="3A5D631A">
        <w:rPr>
          <w:rFonts w:cs="Calibri"/>
        </w:rPr>
        <w:t xml:space="preserve">adequate opportunity for </w:t>
      </w:r>
      <w:r w:rsidR="3A5D631A" w:rsidRPr="00BD657D">
        <w:rPr>
          <w:rFonts w:cs="Calibri"/>
        </w:rPr>
        <w:t>the defence of their interests</w:t>
      </w:r>
      <w:r w:rsidR="0030409B">
        <w:rPr>
          <w:rFonts w:cs="Calibri"/>
        </w:rPr>
        <w:t>"</w:t>
      </w:r>
      <w:r w:rsidR="0898C2D2" w:rsidRPr="7F6ED6DC">
        <w:rPr>
          <w:rFonts w:cs="Calibri"/>
        </w:rPr>
        <w:t>.</w:t>
      </w:r>
      <w:r w:rsidR="00EA158A">
        <w:rPr>
          <w:rStyle w:val="FootnoteReference"/>
        </w:rPr>
        <w:footnoteReference w:id="65"/>
      </w:r>
      <w:r w:rsidR="3A5D631A">
        <w:rPr>
          <w:rFonts w:cs="Calibri"/>
        </w:rPr>
        <w:t xml:space="preserve"> </w:t>
      </w:r>
    </w:p>
    <w:p w14:paraId="023A5AA4" w14:textId="22F6F22B" w:rsidR="00201743" w:rsidRDefault="25AB2677" w:rsidP="00E70C5E">
      <w:pPr>
        <w:pStyle w:val="P1-N1Paragraph1-Number1"/>
      </w:pPr>
      <w:r>
        <w:rPr>
          <w:rFonts w:cs="Calibri"/>
        </w:rPr>
        <w:t xml:space="preserve">The Appellate Body has clarified that </w:t>
      </w:r>
      <w:r>
        <w:t>where</w:t>
      </w:r>
      <w:r w:rsidR="3A5D631A">
        <w:t xml:space="preserve"> in </w:t>
      </w:r>
      <w:r w:rsidR="0030409B">
        <w:t>"</w:t>
      </w:r>
      <w:r w:rsidR="3A5D631A">
        <w:t>exceptional circumstances</w:t>
      </w:r>
      <w:r w:rsidR="0030409B">
        <w:t>"</w:t>
      </w:r>
      <w:r w:rsidR="3A5D631A">
        <w:t xml:space="preserve"> a party considers that the confidential information is not susceptible of summary, it is not sufficient for a party to simply assert that a summary would be burdensome.</w:t>
      </w:r>
      <w:r w:rsidR="00EA158A">
        <w:rPr>
          <w:vertAlign w:val="superscript"/>
        </w:rPr>
        <w:footnoteReference w:id="66"/>
      </w:r>
      <w:r w:rsidR="3A5D631A">
        <w:t xml:space="preserve"> Instead, it is incumbent on that party to demonstrate that no alternative method of presenting the information can be developed that would not either disclose the confidential information, or fail to provide a sufficient level of detail to permit a reasonable understanding of the information submitted confidentially.</w:t>
      </w:r>
      <w:r w:rsidR="00EA158A">
        <w:rPr>
          <w:vertAlign w:val="superscript"/>
        </w:rPr>
        <w:footnoteReference w:id="67"/>
      </w:r>
      <w:r w:rsidR="65733F59">
        <w:t xml:space="preserve"> </w:t>
      </w:r>
    </w:p>
    <w:p w14:paraId="3A9147F1" w14:textId="4972474F" w:rsidR="009B6849" w:rsidRDefault="734BFA81">
      <w:pPr>
        <w:pStyle w:val="P1-N1Paragraph1-Number1"/>
        <w:rPr>
          <w:rFonts w:eastAsia="Calibri" w:cs="Calibri"/>
        </w:rPr>
      </w:pPr>
      <w:r>
        <w:t xml:space="preserve">Australia </w:t>
      </w:r>
      <w:r w:rsidR="62C560A4">
        <w:t>submits</w:t>
      </w:r>
      <w:r>
        <w:t xml:space="preserve"> that the role of a panel assessing an allegation of a breach of Articles 6.5 and 6.5.1 of the Anti-Dumping Agreement is not to undertake a </w:t>
      </w:r>
      <w:r w:rsidRPr="4DA07CBB">
        <w:rPr>
          <w:i/>
          <w:iCs/>
        </w:rPr>
        <w:t>de novo</w:t>
      </w:r>
      <w:r>
        <w:t xml:space="preserve"> review of the evidence on record to determine whether </w:t>
      </w:r>
      <w:r w:rsidR="0030409B">
        <w:t>"</w:t>
      </w:r>
      <w:r>
        <w:t>good cause</w:t>
      </w:r>
      <w:r w:rsidR="0030409B">
        <w:t>"</w:t>
      </w:r>
      <w:r>
        <w:t xml:space="preserve"> was objectively demonstrated, or if a summary or claim that summarization was not possible was objectively adequate.</w:t>
      </w:r>
      <w:r w:rsidR="00C9408F">
        <w:rPr>
          <w:rStyle w:val="FootnoteReference"/>
        </w:rPr>
        <w:footnoteReference w:id="68"/>
      </w:r>
      <w:r>
        <w:t xml:space="preserve"> Instead</w:t>
      </w:r>
      <w:r w:rsidR="5CF41ED1">
        <w:t xml:space="preserve">, as explained by the Appellate Body in </w:t>
      </w:r>
      <w:r w:rsidR="1212A4DE" w:rsidRPr="4DA07CBB">
        <w:rPr>
          <w:rFonts w:eastAsia="Calibri" w:cs="Calibri"/>
          <w:i/>
          <w:iCs/>
        </w:rPr>
        <w:t>China – HP-SSST (Japan) / China – HP-SSST (EU)</w:t>
      </w:r>
      <w:r>
        <w:t xml:space="preserve">, </w:t>
      </w:r>
      <w:r>
        <w:lastRenderedPageBreak/>
        <w:t xml:space="preserve">Australia submits that the </w:t>
      </w:r>
      <w:r w:rsidR="66EF8F43">
        <w:t>P</w:t>
      </w:r>
      <w:r>
        <w:t xml:space="preserve">anel should assess whether </w:t>
      </w:r>
      <w:r w:rsidR="018C2234">
        <w:t>it is discernible from the Final Determination or any supporting documents</w:t>
      </w:r>
      <w:r w:rsidR="196DACCF">
        <w:t xml:space="preserve"> (and in light of the nature of the information at issue, and the reasons given by the submitting party in its request for confidentiality)</w:t>
      </w:r>
      <w:r w:rsidR="018C2234">
        <w:t xml:space="preserve"> </w:t>
      </w:r>
      <w:r w:rsidR="490DB24A">
        <w:t>that MOFCOM</w:t>
      </w:r>
      <w:r>
        <w:t xml:space="preserve"> met the standard </w:t>
      </w:r>
      <w:r w:rsidR="31A5B1B4">
        <w:t>required</w:t>
      </w:r>
      <w:r>
        <w:t xml:space="preserve"> by Articles 6.5 and 6.5.1 of the Anti-Dumping Agreement.</w:t>
      </w:r>
      <w:r w:rsidR="008B2632">
        <w:rPr>
          <w:rStyle w:val="FootnoteReference"/>
        </w:rPr>
        <w:footnoteReference w:id="69"/>
      </w:r>
      <w:r w:rsidR="066D3F0B">
        <w:t xml:space="preserve"> </w:t>
      </w:r>
    </w:p>
    <w:p w14:paraId="63341655" w14:textId="77777777" w:rsidR="00EA158A" w:rsidRDefault="00EA158A" w:rsidP="00591738">
      <w:pPr>
        <w:pStyle w:val="HL2HeadingLevel2"/>
      </w:pPr>
      <w:bookmarkStart w:id="20" w:name="_Toc100253871"/>
      <w:bookmarkStart w:id="21" w:name="_Toc102905634"/>
      <w:r>
        <w:t>Disclosure of essential facts</w:t>
      </w:r>
      <w:bookmarkEnd w:id="20"/>
      <w:bookmarkEnd w:id="21"/>
    </w:p>
    <w:p w14:paraId="6049AF8A" w14:textId="0E960B24" w:rsidR="00EA158A" w:rsidRPr="003809DD" w:rsidRDefault="63D0968A" w:rsidP="00EA158A">
      <w:pPr>
        <w:pStyle w:val="P1-N1Paragraph1-Number1"/>
      </w:pPr>
      <w:r>
        <w:t>Japan submits that</w:t>
      </w:r>
      <w:r w:rsidR="75233F12" w:rsidRPr="001134A1">
        <w:t xml:space="preserve"> </w:t>
      </w:r>
      <w:r w:rsidR="75233F12">
        <w:t>to meet the requirements of Article 6.9 of the Anti-Dumping Agreement,</w:t>
      </w:r>
      <w:r w:rsidR="5D0F7C92" w:rsidRPr="00F24B13">
        <w:t xml:space="preserve"> </w:t>
      </w:r>
      <w:r w:rsidR="5D0F7C92">
        <w:t>which</w:t>
      </w:r>
      <w:r w:rsidR="5D0F7C92" w:rsidRPr="001E036C">
        <w:t xml:space="preserve"> </w:t>
      </w:r>
      <w:r w:rsidR="5D0F7C92">
        <w:t>requires an investi</w:t>
      </w:r>
      <w:r w:rsidR="3EE26D0A">
        <w:t>gati</w:t>
      </w:r>
      <w:r w:rsidR="5D0F7C92">
        <w:t xml:space="preserve">ng authority to inform all interested parties of the essential facts under consideration, </w:t>
      </w:r>
      <w:r w:rsidR="7AB6BF20">
        <w:t xml:space="preserve">MOFCOM was required to disclose all the essential facts under consideration, in a </w:t>
      </w:r>
      <w:r w:rsidR="0CB2B278">
        <w:t xml:space="preserve">coherent way </w:t>
      </w:r>
      <w:r w:rsidR="7AB6BF20">
        <w:t>that would permit an interested party to understand the basis for MOFCOM’s decision to continue imposing anti-dumping duties.</w:t>
      </w:r>
      <w:r w:rsidR="00AF3C9B">
        <w:rPr>
          <w:rStyle w:val="FootnoteReference"/>
        </w:rPr>
        <w:footnoteReference w:id="70"/>
      </w:r>
      <w:r w:rsidR="7AB6BF20">
        <w:t xml:space="preserve"> </w:t>
      </w:r>
      <w:r w:rsidR="6AE9C696">
        <w:t>Japan</w:t>
      </w:r>
      <w:r w:rsidR="02EB34E8">
        <w:t xml:space="preserve"> submits that</w:t>
      </w:r>
      <w:r w:rsidR="3A5D631A" w:rsidRPr="003809DD">
        <w:t xml:space="preserve"> MOFCOM failed to disclose the essential facts underlying</w:t>
      </w:r>
      <w:r w:rsidR="3A5D631A">
        <w:t xml:space="preserve"> </w:t>
      </w:r>
      <w:r w:rsidR="3A5D631A" w:rsidRPr="003809DD">
        <w:t xml:space="preserve">the definition of the products under investigation, the determinations of injury and causation, </w:t>
      </w:r>
      <w:r w:rsidR="3A5D631A">
        <w:t>and the</w:t>
      </w:r>
      <w:r w:rsidR="3A5D631A" w:rsidRPr="003809DD">
        <w:t xml:space="preserve"> definition of the domestic </w:t>
      </w:r>
      <w:r w:rsidR="3A5D631A">
        <w:t>industry in a manner that was consistent with Article 6.9 of the Anti-Dumping Agreement.</w:t>
      </w:r>
      <w:r w:rsidR="00D91DC5">
        <w:rPr>
          <w:rStyle w:val="FootnoteReference"/>
        </w:rPr>
        <w:footnoteReference w:id="71"/>
      </w:r>
      <w:r w:rsidR="3A5D631A" w:rsidRPr="003809DD">
        <w:t xml:space="preserve"> </w:t>
      </w:r>
    </w:p>
    <w:p w14:paraId="05E03A39" w14:textId="2588D010" w:rsidR="00EA158A" w:rsidRDefault="0779F7A7" w:rsidP="00EA158A">
      <w:pPr>
        <w:pStyle w:val="P1-N1Paragraph1-Number1"/>
      </w:pPr>
      <w:r>
        <w:t xml:space="preserve">While China disagrees with Japan’s views that </w:t>
      </w:r>
      <w:r w:rsidR="35FF52F3">
        <w:t xml:space="preserve">the elements outlined in the above paragraph would qualify as </w:t>
      </w:r>
      <w:r w:rsidR="0030409B">
        <w:t>"</w:t>
      </w:r>
      <w:r w:rsidR="35FF52F3">
        <w:t>essential fact</w:t>
      </w:r>
      <w:r w:rsidR="18CF4E6C">
        <w:t>s</w:t>
      </w:r>
      <w:r w:rsidR="0030409B">
        <w:t>"</w:t>
      </w:r>
      <w:r w:rsidR="35FF52F3">
        <w:t xml:space="preserve">, China submits that </w:t>
      </w:r>
      <w:r w:rsidR="37FE0A93">
        <w:t>MOFCOM</w:t>
      </w:r>
      <w:r w:rsidR="35FF52F3">
        <w:t xml:space="preserve"> nonetheless</w:t>
      </w:r>
      <w:r w:rsidR="37FE0A93">
        <w:t xml:space="preserve"> complied with the requirements under Article 6.9 of the Anti-Dumping Agreement.</w:t>
      </w:r>
      <w:r w:rsidR="00062475">
        <w:rPr>
          <w:rStyle w:val="FootnoteReference"/>
        </w:rPr>
        <w:footnoteReference w:id="72"/>
      </w:r>
      <w:r w:rsidR="37FE0A93">
        <w:t xml:space="preserve"> </w:t>
      </w:r>
      <w:r w:rsidR="35FF52F3">
        <w:t xml:space="preserve"> </w:t>
      </w:r>
    </w:p>
    <w:p w14:paraId="37D57DB3" w14:textId="3000D461" w:rsidR="001134A1" w:rsidRDefault="5D0F7C92" w:rsidP="001134A1">
      <w:pPr>
        <w:pStyle w:val="P1-N1Paragraph1-Number1"/>
      </w:pPr>
      <w:r>
        <w:t xml:space="preserve">Australia observes that </w:t>
      </w:r>
      <w:r w:rsidR="75233F12">
        <w:t xml:space="preserve">Article 6.9 </w:t>
      </w:r>
      <w:r w:rsidR="37FE0A93">
        <w:t xml:space="preserve">of the Anti-Dumping Agreement has been interpreted to </w:t>
      </w:r>
      <w:r w:rsidR="75233F12">
        <w:t xml:space="preserve">require an investigating authority to </w:t>
      </w:r>
      <w:r w:rsidR="0030409B">
        <w:t>"</w:t>
      </w:r>
      <w:r w:rsidR="75233F12">
        <w:t>disclose such facts</w:t>
      </w:r>
      <w:r w:rsidR="5BCE9643">
        <w:t>,</w:t>
      </w:r>
      <w:r w:rsidR="75233F12">
        <w:t xml:space="preserve"> in a coherent way, so as to permit an interested party to understand the basis for the decision whether or not to apply definitive measures.</w:t>
      </w:r>
      <w:r w:rsidR="0030409B">
        <w:t>"</w:t>
      </w:r>
      <w:r w:rsidR="001134A1">
        <w:rPr>
          <w:rStyle w:val="FootnoteReference"/>
        </w:rPr>
        <w:footnoteReference w:id="73"/>
      </w:r>
      <w:r w:rsidR="75233F12">
        <w:t xml:space="preserve"> Article 6.9 of the Anti-Dumping Agreement states that the disclosure of essential facts must be made </w:t>
      </w:r>
      <w:r w:rsidR="0030409B">
        <w:t>"</w:t>
      </w:r>
      <w:r w:rsidR="75233F12">
        <w:t>before a final determination is made</w:t>
      </w:r>
      <w:r w:rsidR="0030409B">
        <w:t>"</w:t>
      </w:r>
      <w:r w:rsidR="00B33D3C">
        <w:rPr>
          <w:rStyle w:val="FootnoteReference"/>
        </w:rPr>
        <w:footnoteReference w:id="74"/>
      </w:r>
      <w:r w:rsidR="75233F12">
        <w:t xml:space="preserve"> and </w:t>
      </w:r>
      <w:r w:rsidR="0030409B">
        <w:t>"</w:t>
      </w:r>
      <w:r w:rsidR="75233F12">
        <w:t xml:space="preserve">in </w:t>
      </w:r>
      <w:r w:rsidR="75233F12">
        <w:lastRenderedPageBreak/>
        <w:t>sufficient time for the parties to defend their interests.</w:t>
      </w:r>
      <w:r w:rsidR="0030409B">
        <w:t>"</w:t>
      </w:r>
      <w:r w:rsidR="63727EB8" w:rsidRPr="00B33D3C">
        <w:rPr>
          <w:rStyle w:val="FootnoteReference"/>
        </w:rPr>
        <w:t xml:space="preserve"> </w:t>
      </w:r>
      <w:r w:rsidR="00B33D3C">
        <w:rPr>
          <w:rStyle w:val="FootnoteReference"/>
        </w:rPr>
        <w:footnoteReference w:id="75"/>
      </w:r>
      <w:r w:rsidR="75233F12">
        <w:t xml:space="preserve"> Australia submits that this requirement is critical to ensuring the provision of procedural fairness to all interested parties. </w:t>
      </w:r>
    </w:p>
    <w:p w14:paraId="2651074B" w14:textId="400227E1" w:rsidR="00910042" w:rsidRDefault="6BA8D85A" w:rsidP="00EA158A">
      <w:pPr>
        <w:pStyle w:val="P1-N1Paragraph1-Number1"/>
        <w:rPr>
          <w:rFonts w:eastAsia="Calibri" w:cs="Calibri"/>
        </w:rPr>
      </w:pPr>
      <w:r>
        <w:t>T</w:t>
      </w:r>
      <w:r w:rsidR="4AFDFAFC">
        <w:t>he Appellate Body</w:t>
      </w:r>
      <w:r>
        <w:t xml:space="preserve"> has</w:t>
      </w:r>
      <w:r w:rsidR="4AFDFAFC">
        <w:t xml:space="preserve"> explained</w:t>
      </w:r>
      <w:r>
        <w:t xml:space="preserve"> that</w:t>
      </w:r>
      <w:r w:rsidR="3A5D631A">
        <w:t xml:space="preserve"> </w:t>
      </w:r>
      <w:r w:rsidR="0030409B">
        <w:t>"</w:t>
      </w:r>
      <w:r w:rsidR="7FF882B9">
        <w:t>'</w:t>
      </w:r>
      <w:r w:rsidR="44B15A7A">
        <w:t>essential facts</w:t>
      </w:r>
      <w:r w:rsidR="7FF882B9">
        <w:t>'</w:t>
      </w:r>
      <w:r w:rsidR="44B15A7A">
        <w:t xml:space="preserve">…refer to those facts that are significant in the process of reaching a decision as to </w:t>
      </w:r>
      <w:proofErr w:type="gramStart"/>
      <w:r w:rsidR="44B15A7A">
        <w:t>whether or not</w:t>
      </w:r>
      <w:proofErr w:type="gramEnd"/>
      <w:r w:rsidR="44B15A7A">
        <w:t xml:space="preserve"> to apply definitive measures. Such facts are those that are salient for a decision to apply definitive measures, as well as those that are salient for a contrary outcome.</w:t>
      </w:r>
      <w:r w:rsidR="0030409B">
        <w:t>"</w:t>
      </w:r>
      <w:r w:rsidR="00EA158A">
        <w:rPr>
          <w:rStyle w:val="FootnoteReference"/>
        </w:rPr>
        <w:footnoteReference w:id="76"/>
      </w:r>
      <w:r w:rsidR="3A5D631A">
        <w:t xml:space="preserve"> The requirement to disclose the essential facts is intended to </w:t>
      </w:r>
      <w:r w:rsidR="0030409B">
        <w:t>"</w:t>
      </w:r>
      <w:r w:rsidR="19743841">
        <w:t>provide the interested parties with the necessary information to enable them to comment on the completeness and correctness of the facts being considered by the investigating authority, provide additional information or correct perceived errors, and comment on or make arguments as to the proper interpretation of those facts</w:t>
      </w:r>
      <w:r w:rsidR="0030409B">
        <w:t>"</w:t>
      </w:r>
      <w:r w:rsidR="63E05DB9">
        <w:t>.</w:t>
      </w:r>
      <w:r w:rsidR="00454B6E">
        <w:rPr>
          <w:rStyle w:val="FootnoteReference"/>
        </w:rPr>
        <w:footnoteReference w:id="77"/>
      </w:r>
    </w:p>
    <w:p w14:paraId="282C089C" w14:textId="6ABCB49E" w:rsidR="00EA158A" w:rsidRDefault="582ECE7E" w:rsidP="00EA158A">
      <w:pPr>
        <w:pStyle w:val="P1-N1Paragraph1-Number1"/>
      </w:pPr>
      <w:r>
        <w:t xml:space="preserve">The </w:t>
      </w:r>
      <w:r w:rsidR="01CDF01E">
        <w:t xml:space="preserve">panel in </w:t>
      </w:r>
      <w:r w:rsidR="01CDF01E" w:rsidRPr="4DA07CBB">
        <w:rPr>
          <w:i/>
          <w:iCs/>
        </w:rPr>
        <w:t xml:space="preserve">Ukraine – Ammonium Nitrate </w:t>
      </w:r>
      <w:r w:rsidR="01CDF01E">
        <w:t>explained that an investigating authority must disclose</w:t>
      </w:r>
      <w:r w:rsidR="6B91D098">
        <w:t xml:space="preserve"> essential facts </w:t>
      </w:r>
      <w:r w:rsidR="02C1F362">
        <w:t xml:space="preserve">in a coherent </w:t>
      </w:r>
      <w:r w:rsidR="0CB2B278">
        <w:t xml:space="preserve">way </w:t>
      </w:r>
      <w:r w:rsidR="01CDF01E">
        <w:t xml:space="preserve">and </w:t>
      </w:r>
      <w:r w:rsidR="3A5D631A">
        <w:t xml:space="preserve">interested parties are not required to </w:t>
      </w:r>
      <w:r w:rsidR="0030409B">
        <w:t>"</w:t>
      </w:r>
      <w:r w:rsidR="3A5D631A">
        <w:t>engage in back-calculations and inferential reasoning, or piece together a puzzle</w:t>
      </w:r>
      <w:r w:rsidR="0030409B">
        <w:t>"</w:t>
      </w:r>
      <w:r w:rsidR="3A5D631A">
        <w:t xml:space="preserve"> in order to ascertain the essential facts.</w:t>
      </w:r>
      <w:r w:rsidR="00EA158A">
        <w:rPr>
          <w:rStyle w:val="FootnoteReference"/>
        </w:rPr>
        <w:footnoteReference w:id="78"/>
      </w:r>
      <w:r w:rsidR="50B691D0">
        <w:t xml:space="preserve"> </w:t>
      </w:r>
      <w:r w:rsidR="50B691D0" w:rsidRPr="00303B85">
        <w:t>Australia</w:t>
      </w:r>
      <w:r w:rsidR="50B691D0" w:rsidRPr="0005493A">
        <w:t xml:space="preserve"> </w:t>
      </w:r>
      <w:r w:rsidR="551CFD01">
        <w:t xml:space="preserve">appreciates that what facts are </w:t>
      </w:r>
      <w:r w:rsidR="0030409B">
        <w:t>"</w:t>
      </w:r>
      <w:r w:rsidR="551CFD01">
        <w:t>essential</w:t>
      </w:r>
      <w:r w:rsidR="0030409B">
        <w:t>"</w:t>
      </w:r>
      <w:r w:rsidR="551CFD01">
        <w:t xml:space="preserve"> will depend on the </w:t>
      </w:r>
      <w:r w:rsidR="5BCE9643">
        <w:t>nature and scope of the particular substantive obligations, the content of the particular findings needed to satisfy the substantive obligations at issue, and the factual circumstances of each case.</w:t>
      </w:r>
      <w:r w:rsidR="000A5280">
        <w:rPr>
          <w:rStyle w:val="FootnoteReference"/>
        </w:rPr>
        <w:footnoteReference w:id="79"/>
      </w:r>
      <w:r w:rsidR="5BCE9643">
        <w:t xml:space="preserve"> </w:t>
      </w:r>
      <w:r w:rsidR="551CFD01">
        <w:t xml:space="preserve"> </w:t>
      </w:r>
    </w:p>
    <w:p w14:paraId="05D36A98" w14:textId="4B01D890" w:rsidR="00EA158A" w:rsidRDefault="3A5D631A" w:rsidP="00EA158A">
      <w:pPr>
        <w:pStyle w:val="P1-N1Paragraph1-Number1"/>
      </w:pPr>
      <w:r>
        <w:t xml:space="preserve">If MOFCOM did not </w:t>
      </w:r>
      <w:r w:rsidR="0030409B">
        <w:t>"</w:t>
      </w:r>
      <w:r>
        <w:t>disclose all of the essential facts under consideration, coherently and in a manner that would permit an interested party to understand the basis for MOFCOM’s decision to continue imposing anti-dumping duties</w:t>
      </w:r>
      <w:r w:rsidR="0030409B">
        <w:t>"</w:t>
      </w:r>
      <w:r w:rsidR="00732B14">
        <w:t>,</w:t>
      </w:r>
      <w:r w:rsidR="00454B6E">
        <w:rPr>
          <w:rStyle w:val="FootnoteReference"/>
        </w:rPr>
        <w:footnoteReference w:id="80"/>
      </w:r>
      <w:r>
        <w:t xml:space="preserve"> MOFCOM would not have met its obligations under Article 6.9 of the Anti-Dumping Agreement. Australia submits that, given the critical importance of the due process obligations in the Anti-Dumping Agreement, the Panel should carefully consider whether MOFCOM has met its disclosure obligations.</w:t>
      </w:r>
    </w:p>
    <w:p w14:paraId="77523008" w14:textId="5DDDA303" w:rsidR="002105C3" w:rsidRPr="00C9695A" w:rsidRDefault="00015133" w:rsidP="00591738">
      <w:pPr>
        <w:pStyle w:val="HL2HeadingLevel2"/>
      </w:pPr>
      <w:bookmarkStart w:id="22" w:name="_Toc100253872"/>
      <w:bookmarkStart w:id="23" w:name="_Toc102905635"/>
      <w:r>
        <w:lastRenderedPageBreak/>
        <w:t>Public notice</w:t>
      </w:r>
      <w:bookmarkEnd w:id="22"/>
      <w:bookmarkEnd w:id="23"/>
    </w:p>
    <w:p w14:paraId="432372A5" w14:textId="57735387" w:rsidR="00D52A17" w:rsidRDefault="0D2628A3" w:rsidP="00A80934">
      <w:pPr>
        <w:pStyle w:val="P1-N1Paragraph1-Number1"/>
      </w:pPr>
      <w:r>
        <w:t xml:space="preserve">Japan </w:t>
      </w:r>
      <w:r w:rsidR="3313B7D7">
        <w:t>submits that</w:t>
      </w:r>
      <w:r w:rsidR="035EA048">
        <w:t xml:space="preserve"> MOFCOM failed to comply with Articles 12.2 and 12.2.2 of the Anti-Dumping Agreement because</w:t>
      </w:r>
      <w:r w:rsidR="3313B7D7">
        <w:t xml:space="preserve"> it </w:t>
      </w:r>
      <w:r w:rsidR="0030409B">
        <w:t>"</w:t>
      </w:r>
      <w:r w:rsidR="67AADD11">
        <w:t>failed to provide its findings and conclusions on all issues of fact and law considered material by the investigating authority in sufficient detail</w:t>
      </w:r>
      <w:r w:rsidR="4C3EF9B7">
        <w:t>, and failed to provide all relevant information on those matters of fact and law, or on the reasons that led to the imposition of the final measure.</w:t>
      </w:r>
      <w:r w:rsidR="0030409B">
        <w:t>"</w:t>
      </w:r>
      <w:r w:rsidR="00DA6659">
        <w:rPr>
          <w:rStyle w:val="FootnoteReference"/>
        </w:rPr>
        <w:footnoteReference w:id="81"/>
      </w:r>
      <w:r w:rsidR="4C3EF9B7">
        <w:t xml:space="preserve"> In particular, </w:t>
      </w:r>
      <w:r w:rsidR="092C2320">
        <w:t xml:space="preserve">Japan claims, among other things, that </w:t>
      </w:r>
      <w:r w:rsidR="0030409B">
        <w:t>"</w:t>
      </w:r>
      <w:r w:rsidR="6600D3A8">
        <w:t>MOFCOM failed to make sufficiently detailed disclosures regarding its treatment of the arguments by interested parties regarding the differences among</w:t>
      </w:r>
      <w:r w:rsidR="6EC0D4EC">
        <w:t xml:space="preserve"> the three Products</w:t>
      </w:r>
      <w:r>
        <w:t>.</w:t>
      </w:r>
      <w:r w:rsidR="0030409B">
        <w:t>"</w:t>
      </w:r>
      <w:r w:rsidR="003A4E53">
        <w:rPr>
          <w:rStyle w:val="FootnoteReference"/>
        </w:rPr>
        <w:footnoteReference w:id="82"/>
      </w:r>
      <w:r w:rsidR="639DC23E">
        <w:t xml:space="preserve"> </w:t>
      </w:r>
    </w:p>
    <w:p w14:paraId="29A4C9C4" w14:textId="312B1122" w:rsidR="004C2367" w:rsidRDefault="773BA508" w:rsidP="00A80934">
      <w:pPr>
        <w:pStyle w:val="P1-N1Paragraph1-Number1"/>
      </w:pPr>
      <w:r>
        <w:t>China</w:t>
      </w:r>
      <w:r w:rsidR="2FF6F3B9">
        <w:t xml:space="preserve"> submits that it </w:t>
      </w:r>
      <w:r w:rsidR="0030409B">
        <w:t>"</w:t>
      </w:r>
      <w:r w:rsidR="2FF6F3B9">
        <w:t xml:space="preserve">does not see </w:t>
      </w:r>
      <w:r w:rsidR="00EED7FD">
        <w:t xml:space="preserve">why the criteria and factors that MOFCOM took into </w:t>
      </w:r>
      <w:r w:rsidR="0BBA15E0">
        <w:t xml:space="preserve">account </w:t>
      </w:r>
      <w:r w:rsidR="00EED7FD">
        <w:t xml:space="preserve">in defining the </w:t>
      </w:r>
      <w:r w:rsidR="22BFF18F">
        <w:t>P</w:t>
      </w:r>
      <w:r w:rsidR="00EED7FD">
        <w:t xml:space="preserve">roduct </w:t>
      </w:r>
      <w:r w:rsidR="22BFF18F">
        <w:t>U</w:t>
      </w:r>
      <w:r w:rsidR="00EED7FD">
        <w:t xml:space="preserve">nder </w:t>
      </w:r>
      <w:r w:rsidR="22BFF18F">
        <w:t>I</w:t>
      </w:r>
      <w:r w:rsidR="00EED7FD">
        <w:t>nvestigation (which in this case were in any event fully disclosed in MOFCOM’s Final Determination) should be subject to the notification requirements laid down in Articles 12.2 and 12.2.2 of the Anti-Dumping Agreement</w:t>
      </w:r>
      <w:r>
        <w:t>.</w:t>
      </w:r>
      <w:r w:rsidR="0030409B">
        <w:t>"</w:t>
      </w:r>
      <w:r w:rsidR="0014430D">
        <w:rPr>
          <w:rStyle w:val="FootnoteReference"/>
        </w:rPr>
        <w:footnoteReference w:id="83"/>
      </w:r>
      <w:r w:rsidR="6CCA510D">
        <w:t xml:space="preserve"> </w:t>
      </w:r>
      <w:r w:rsidR="6BD202DA">
        <w:t xml:space="preserve">Nonetheless, China also submits that MOFCOM had </w:t>
      </w:r>
      <w:r w:rsidR="2CC60DB1">
        <w:t>fully disclosed its assessment of the products’ similarities and differences in the Final Determination</w:t>
      </w:r>
      <w:r w:rsidR="628225AF">
        <w:t xml:space="preserve"> and the reasons for concluding that the three products fell </w:t>
      </w:r>
      <w:r w:rsidR="0030409B">
        <w:t>"</w:t>
      </w:r>
      <w:r w:rsidR="24F6143E">
        <w:t>into the same category of product</w:t>
      </w:r>
      <w:r w:rsidR="0030409B">
        <w:t>"</w:t>
      </w:r>
      <w:r w:rsidR="2CC60DB1">
        <w:t>.</w:t>
      </w:r>
      <w:r w:rsidR="001B1D5C">
        <w:rPr>
          <w:rStyle w:val="FootnoteReference"/>
        </w:rPr>
        <w:footnoteReference w:id="84"/>
      </w:r>
      <w:r w:rsidR="2CC60DB1">
        <w:t xml:space="preserve"> </w:t>
      </w:r>
    </w:p>
    <w:p w14:paraId="1E84586F" w14:textId="29879C00" w:rsidR="0045739D" w:rsidRDefault="36440E9A" w:rsidP="00BD0739">
      <w:pPr>
        <w:pStyle w:val="P1-N1Paragraph1-Number1"/>
      </w:pPr>
      <w:r>
        <w:t>A</w:t>
      </w:r>
      <w:r w:rsidR="1E19A37B">
        <w:t xml:space="preserve">ustralia </w:t>
      </w:r>
      <w:r w:rsidR="2DC4D474">
        <w:t xml:space="preserve">notes </w:t>
      </w:r>
      <w:r w:rsidR="1E19A37B">
        <w:t>that</w:t>
      </w:r>
      <w:r>
        <w:t xml:space="preserve"> </w:t>
      </w:r>
      <w:r w:rsidR="6C7174C2">
        <w:t xml:space="preserve">the purpose of </w:t>
      </w:r>
      <w:r w:rsidR="7E0FB74D">
        <w:t>Article 12.2</w:t>
      </w:r>
      <w:r w:rsidR="31AD2EFA">
        <w:t xml:space="preserve"> </w:t>
      </w:r>
      <w:r w:rsidR="7E0FB74D">
        <w:t>of the Anti-Dumping Agreement</w:t>
      </w:r>
      <w:r w:rsidR="7D46E2C5">
        <w:t xml:space="preserve"> </w:t>
      </w:r>
      <w:r w:rsidR="6C7174C2">
        <w:t>is to provide transparency of the authority’s decision-making at crucial points of the investigation.</w:t>
      </w:r>
      <w:r w:rsidR="00B035A6">
        <w:rPr>
          <w:rStyle w:val="FootnoteReference"/>
        </w:rPr>
        <w:footnoteReference w:id="85"/>
      </w:r>
      <w:r w:rsidR="6C7174C2">
        <w:t xml:space="preserve"> This article </w:t>
      </w:r>
      <w:r w:rsidR="7D46E2C5">
        <w:t>requires</w:t>
      </w:r>
      <w:r w:rsidR="6CF906C9">
        <w:t xml:space="preserve"> </w:t>
      </w:r>
      <w:r w:rsidR="0987E93B">
        <w:t>any public notice (or separate report)</w:t>
      </w:r>
      <w:r w:rsidR="6CF906C9">
        <w:t xml:space="preserve"> to set out in</w:t>
      </w:r>
      <w:r w:rsidR="1CF47094">
        <w:t xml:space="preserve"> </w:t>
      </w:r>
      <w:r w:rsidR="0030409B">
        <w:t>"</w:t>
      </w:r>
      <w:r w:rsidR="1CF47094">
        <w:t xml:space="preserve">sufficient detail the findings and conclusions </w:t>
      </w:r>
      <w:r w:rsidR="5B418C74">
        <w:t xml:space="preserve">reached </w:t>
      </w:r>
      <w:r w:rsidR="1CF47094">
        <w:t>on all issues of fact and law considered material</w:t>
      </w:r>
      <w:r w:rsidR="53509C71">
        <w:t xml:space="preserve"> by the investigating authorities</w:t>
      </w:r>
      <w:r w:rsidR="0030409B">
        <w:t>"</w:t>
      </w:r>
      <w:r w:rsidR="0898C2D2">
        <w:t>.</w:t>
      </w:r>
      <w:r w:rsidR="00907AFF">
        <w:rPr>
          <w:rStyle w:val="FootnoteReference"/>
        </w:rPr>
        <w:footnoteReference w:id="86"/>
      </w:r>
      <w:r w:rsidR="3BFC20A7">
        <w:t xml:space="preserve"> </w:t>
      </w:r>
      <w:r w:rsidR="085AED53">
        <w:t xml:space="preserve">The panel explained in </w:t>
      </w:r>
      <w:r w:rsidR="085AED53" w:rsidRPr="4DA07CBB">
        <w:rPr>
          <w:i/>
          <w:iCs/>
        </w:rPr>
        <w:t>EC – Tube or Pipe Fittings</w:t>
      </w:r>
      <w:r w:rsidR="085AED53">
        <w:t xml:space="preserve"> that a </w:t>
      </w:r>
      <w:r w:rsidR="0030409B">
        <w:t>"</w:t>
      </w:r>
      <w:r w:rsidR="085AED53">
        <w:t>material issue</w:t>
      </w:r>
      <w:r w:rsidR="0030409B">
        <w:t>"</w:t>
      </w:r>
      <w:r w:rsidR="085AED53">
        <w:t xml:space="preserve"> is </w:t>
      </w:r>
      <w:r w:rsidR="0030409B">
        <w:t>"</w:t>
      </w:r>
      <w:r w:rsidR="085AED53">
        <w:t>an issue that has arisen in the course of the investigation that must necessarily be resolved in order for the investigating authorities to be able to reach their determination</w:t>
      </w:r>
      <w:r w:rsidR="0030409B">
        <w:t>"</w:t>
      </w:r>
      <w:r w:rsidR="0898C2D2">
        <w:t>.</w:t>
      </w:r>
      <w:r w:rsidR="0045739D">
        <w:rPr>
          <w:rStyle w:val="FootnoteReference"/>
        </w:rPr>
        <w:footnoteReference w:id="87"/>
      </w:r>
      <w:r w:rsidR="5DC39DF3">
        <w:t xml:space="preserve"> Parties affected by the imposition of anti-dumping duties </w:t>
      </w:r>
      <w:r w:rsidR="0030409B">
        <w:t>"</w:t>
      </w:r>
      <w:r w:rsidR="5DC39DF3">
        <w:t xml:space="preserve">are entitled to </w:t>
      </w:r>
      <w:r w:rsidR="5DC39DF3">
        <w:lastRenderedPageBreak/>
        <w:t>know, as a matter of fairness and due process, the facts, law and reasons that have led to the imposition of such duties</w:t>
      </w:r>
      <w:r w:rsidR="0030409B">
        <w:t>"</w:t>
      </w:r>
      <w:r w:rsidR="5DC39DF3">
        <w:t>.</w:t>
      </w:r>
      <w:r w:rsidR="005567C2">
        <w:rPr>
          <w:rStyle w:val="FootnoteReference"/>
        </w:rPr>
        <w:footnoteReference w:id="88"/>
      </w:r>
    </w:p>
    <w:p w14:paraId="530B7B29" w14:textId="69FB8EA8" w:rsidR="003E27BC" w:rsidRDefault="4FD77D10" w:rsidP="008927EA">
      <w:pPr>
        <w:pStyle w:val="P1-N1Paragraph1-Number1"/>
      </w:pPr>
      <w:r>
        <w:t>Further,</w:t>
      </w:r>
      <w:r w:rsidR="7D46E2C5">
        <w:t xml:space="preserve"> </w:t>
      </w:r>
      <w:r w:rsidR="754A4E03">
        <w:t xml:space="preserve">the second sentence of </w:t>
      </w:r>
      <w:r w:rsidR="7D46E2C5">
        <w:t xml:space="preserve">Article 12.2.2 of the Anti-Dumping Agreement </w:t>
      </w:r>
      <w:r w:rsidR="1FCF1A95">
        <w:t>requires</w:t>
      </w:r>
      <w:r w:rsidR="754A4E03">
        <w:t xml:space="preserve"> inclusion in the public notice of </w:t>
      </w:r>
      <w:r w:rsidR="0030409B">
        <w:t>"</w:t>
      </w:r>
      <w:r w:rsidR="69C0593B">
        <w:t>the reasons for the acceptance or rejection of relevant arguments or claims made by the exporters and importers</w:t>
      </w:r>
      <w:r w:rsidR="0030409B">
        <w:t>"</w:t>
      </w:r>
      <w:r w:rsidR="63E05DB9">
        <w:t>.</w:t>
      </w:r>
      <w:r w:rsidR="4E212686">
        <w:t xml:space="preserve"> The panel in </w:t>
      </w:r>
      <w:r w:rsidR="2ED1E773" w:rsidRPr="4DA07CBB">
        <w:rPr>
          <w:i/>
          <w:iCs/>
        </w:rPr>
        <w:t>China – X-Ray Equipment</w:t>
      </w:r>
      <w:r w:rsidR="2ED1E773">
        <w:t xml:space="preserve">, noted that </w:t>
      </w:r>
      <w:r w:rsidR="0030409B">
        <w:t>"</w:t>
      </w:r>
      <w:r w:rsidR="2ED1E773">
        <w:t xml:space="preserve">it is particularly important </w:t>
      </w:r>
      <w:r w:rsidR="75CDC29A">
        <w:t xml:space="preserve">that the </w:t>
      </w:r>
      <w:r w:rsidR="0030409B">
        <w:t>"</w:t>
      </w:r>
      <w:r w:rsidR="75CDC29A">
        <w:t>reasons</w:t>
      </w:r>
      <w:r w:rsidR="0030409B">
        <w:t>"</w:t>
      </w:r>
      <w:r w:rsidR="75CDC29A">
        <w:t xml:space="preserve"> for rejecting or accepting </w:t>
      </w:r>
      <w:r w:rsidR="74B1A9CB">
        <w:t xml:space="preserve">such arguments [made by exporters and importers] should be set forth in sufficient detail to allow those exporters and importers to understand why their arguments or claims were treated as they were, and to assess </w:t>
      </w:r>
      <w:proofErr w:type="gramStart"/>
      <w:r w:rsidR="74B1A9CB">
        <w:t>whether or not</w:t>
      </w:r>
      <w:proofErr w:type="gramEnd"/>
      <w:r w:rsidR="74B1A9CB">
        <w:t xml:space="preserve"> the invest</w:t>
      </w:r>
      <w:r w:rsidR="5B3BB6C5">
        <w:t>igating authority’s treatment of the relevant issue was consistent with domestic law and/or the WTO Agreement</w:t>
      </w:r>
      <w:r w:rsidR="0030409B">
        <w:t>"</w:t>
      </w:r>
      <w:r w:rsidR="676038BD">
        <w:t>.</w:t>
      </w:r>
      <w:r w:rsidR="00F47149">
        <w:rPr>
          <w:rStyle w:val="FootnoteReference"/>
        </w:rPr>
        <w:footnoteReference w:id="89"/>
      </w:r>
      <w:r w:rsidR="5B3BB6C5">
        <w:t xml:space="preserve"> </w:t>
      </w:r>
    </w:p>
    <w:p w14:paraId="4A2E16F9" w14:textId="4E9F3469" w:rsidR="00B8579F" w:rsidRDefault="14BA66C1" w:rsidP="00A80934">
      <w:pPr>
        <w:pStyle w:val="P1-N1Paragraph1-Number1"/>
      </w:pPr>
      <w:r>
        <w:t>Australia</w:t>
      </w:r>
      <w:r w:rsidR="18856044">
        <w:t xml:space="preserve"> </w:t>
      </w:r>
      <w:r w:rsidR="3788BBC0">
        <w:t>notes that over the course of the investigation, interested parties ha</w:t>
      </w:r>
      <w:r w:rsidR="0BBA15E0">
        <w:t>d</w:t>
      </w:r>
      <w:r w:rsidR="3788BBC0">
        <w:t xml:space="preserve"> </w:t>
      </w:r>
      <w:r w:rsidR="6B647D70">
        <w:t xml:space="preserve">raised with MOFCOM </w:t>
      </w:r>
      <w:r w:rsidR="15FBED43">
        <w:t xml:space="preserve">their concerns </w:t>
      </w:r>
      <w:r w:rsidR="6B647D70">
        <w:t xml:space="preserve">that </w:t>
      </w:r>
      <w:r w:rsidR="0030409B">
        <w:t>"</w:t>
      </w:r>
      <w:r w:rsidR="6B647D70">
        <w:t>the scope of the subject product</w:t>
      </w:r>
      <w:r w:rsidR="3ECBC2E7">
        <w:t>…</w:t>
      </w:r>
      <w:r w:rsidR="203FCDB2">
        <w:t xml:space="preserve"> was too broad, involving several different products </w:t>
      </w:r>
      <w:r w:rsidR="2BC07D92">
        <w:t>with different prices</w:t>
      </w:r>
      <w:r w:rsidR="0030409B">
        <w:t>"</w:t>
      </w:r>
      <w:r w:rsidR="1ED8EE67">
        <w:t>.</w:t>
      </w:r>
      <w:r w:rsidR="00CB010D">
        <w:rPr>
          <w:rStyle w:val="FootnoteReference"/>
        </w:rPr>
        <w:footnoteReference w:id="90"/>
      </w:r>
      <w:r w:rsidR="6F0C8527">
        <w:t xml:space="preserve"> </w:t>
      </w:r>
      <w:r w:rsidR="0BBA15E0">
        <w:t xml:space="preserve">While </w:t>
      </w:r>
      <w:r w:rsidR="054EE363">
        <w:t xml:space="preserve">MOFCOM </w:t>
      </w:r>
      <w:r w:rsidR="0BBA15E0">
        <w:t>acknowledged</w:t>
      </w:r>
      <w:r w:rsidR="054EE363">
        <w:t xml:space="preserve"> that </w:t>
      </w:r>
      <w:r w:rsidR="00B74B22">
        <w:t>a</w:t>
      </w:r>
      <w:r w:rsidR="054EE8FA">
        <w:t xml:space="preserve">lthough </w:t>
      </w:r>
      <w:r w:rsidR="054EE363">
        <w:t xml:space="preserve">the </w:t>
      </w:r>
      <w:r w:rsidR="0BBA15E0">
        <w:t>Subject Imports</w:t>
      </w:r>
      <w:r w:rsidR="35FDAE17">
        <w:t xml:space="preserve"> </w:t>
      </w:r>
      <w:r w:rsidR="0030409B">
        <w:t>"</w:t>
      </w:r>
      <w:r w:rsidR="35FDAE17">
        <w:t>have difference</w:t>
      </w:r>
      <w:r w:rsidR="054EE8FA">
        <w:t>s</w:t>
      </w:r>
      <w:r w:rsidR="35FDAE17">
        <w:t xml:space="preserve"> in specific segment uses and customers, </w:t>
      </w:r>
      <w:r w:rsidR="054EE8FA">
        <w:t>these are</w:t>
      </w:r>
      <w:r w:rsidR="35FDAE17">
        <w:t xml:space="preserve"> reasonable difference</w:t>
      </w:r>
      <w:r w:rsidR="054EE8FA">
        <w:t>s</w:t>
      </w:r>
      <w:r w:rsidR="35FDAE17">
        <w:t xml:space="preserve"> within the products of the same category due to segmentation specifications</w:t>
      </w:r>
      <w:r w:rsidR="0030409B">
        <w:t>"</w:t>
      </w:r>
      <w:r w:rsidR="0BBA15E0">
        <w:t>,</w:t>
      </w:r>
      <w:r w:rsidR="00F644BF">
        <w:rPr>
          <w:rStyle w:val="FootnoteReference"/>
        </w:rPr>
        <w:footnoteReference w:id="91"/>
      </w:r>
      <w:r w:rsidR="4EF816F1">
        <w:t xml:space="preserve"> </w:t>
      </w:r>
      <w:r w:rsidR="0BBA15E0">
        <w:t xml:space="preserve">it did not </w:t>
      </w:r>
      <w:r w:rsidR="5DB5211B">
        <w:t>provide further explanation</w:t>
      </w:r>
      <w:r w:rsidR="7FA439E4">
        <w:t xml:space="preserve"> to support this assertion, including </w:t>
      </w:r>
      <w:r w:rsidR="5DB5211B">
        <w:t>how it reached the conclusion that</w:t>
      </w:r>
      <w:r w:rsidR="490C6314">
        <w:t xml:space="preserve"> the differences constituted a </w:t>
      </w:r>
      <w:r w:rsidR="0030409B">
        <w:t>"</w:t>
      </w:r>
      <w:r w:rsidR="5DB5211B">
        <w:t>reasonable difference</w:t>
      </w:r>
      <w:r w:rsidR="0030409B">
        <w:t>"</w:t>
      </w:r>
      <w:r w:rsidR="63E05DB9">
        <w:t>.</w:t>
      </w:r>
      <w:r w:rsidR="0BBA15E0">
        <w:t xml:space="preserve">  </w:t>
      </w:r>
      <w:r w:rsidR="137F4878">
        <w:t xml:space="preserve">Australia submits Panel should carefully consider whether the explanations set out in MOFCOM’s determination met the requirements under Articles 12.2 and 12.2.2 of the Anti-Dumping Agreement.  </w:t>
      </w:r>
    </w:p>
    <w:p w14:paraId="7ACC38D4" w14:textId="77777777" w:rsidR="00B8579F" w:rsidRDefault="00B8579F" w:rsidP="00B8579F">
      <w:pPr>
        <w:pStyle w:val="HL1HeadingLevel1"/>
      </w:pPr>
      <w:bookmarkStart w:id="24" w:name="_Toc100253873"/>
      <w:bookmarkStart w:id="25" w:name="_Toc102905636"/>
      <w:r>
        <w:t>conclusion</w:t>
      </w:r>
      <w:bookmarkEnd w:id="24"/>
      <w:bookmarkEnd w:id="25"/>
      <w:r>
        <w:t xml:space="preserve"> </w:t>
      </w:r>
    </w:p>
    <w:p w14:paraId="214613F9" w14:textId="0E905D69" w:rsidR="00821BCD" w:rsidRPr="000B2425" w:rsidRDefault="3D1C8523" w:rsidP="00DA4598">
      <w:pPr>
        <w:pStyle w:val="P1-N1Paragraph1-Number1"/>
        <w:rPr>
          <w:rFonts w:eastAsia="Calibri" w:cs="Calibri"/>
        </w:rPr>
      </w:pPr>
      <w:r>
        <w:t>Japan’s claims in this</w:t>
      </w:r>
      <w:r w:rsidR="6BA8F67F">
        <w:t xml:space="preserve"> dispute raise important questions</w:t>
      </w:r>
      <w:r w:rsidR="3B3F8461">
        <w:t xml:space="preserve"> </w:t>
      </w:r>
      <w:r w:rsidR="279C0666">
        <w:t xml:space="preserve">regarding the proper </w:t>
      </w:r>
      <w:r w:rsidR="232B3A09">
        <w:t xml:space="preserve">legal </w:t>
      </w:r>
      <w:r w:rsidR="279C0666">
        <w:t xml:space="preserve">interpretation and application of the Anti-Dumping Agreement. </w:t>
      </w:r>
      <w:r w:rsidR="4DA07CBB">
        <w:t xml:space="preserve">Australia reiterates the potential trade-distorting impacts of anti-dumping measures and the consequent responsibility of investigating authorities to conduct anti-dumping investigations and impose </w:t>
      </w:r>
      <w:r w:rsidR="4DA07CBB">
        <w:lastRenderedPageBreak/>
        <w:t>measures consistently with the Anti-Dumping Agreement</w:t>
      </w:r>
      <w:r w:rsidR="76242CCA">
        <w:t>.</w:t>
      </w:r>
      <w:r w:rsidR="40764BFF">
        <w:t xml:space="preserve"> </w:t>
      </w:r>
      <w:r w:rsidR="4DA07CBB">
        <w:t>In this submission, Australia has outlined its understanding of the obligations contained in key provisions of the Anti-Dumping A</w:t>
      </w:r>
      <w:r w:rsidR="00933CDE">
        <w:t>greement</w:t>
      </w:r>
      <w:r w:rsidR="4DA07CBB">
        <w:t xml:space="preserve">, including by reference to the interpretations of those provisions in previous decisions of panels and the Appellate Body. </w:t>
      </w:r>
    </w:p>
    <w:p w14:paraId="5CC7E285" w14:textId="0AE7F5F2" w:rsidR="00303B85" w:rsidRDefault="00257728" w:rsidP="00303B85">
      <w:pPr>
        <w:pStyle w:val="P1-N1Paragraph1-Number1"/>
        <w:rPr>
          <w:rFonts w:eastAsia="Calibri" w:cs="Calibri"/>
        </w:rPr>
      </w:pPr>
      <w:r>
        <w:t xml:space="preserve">While </w:t>
      </w:r>
      <w:r w:rsidR="008A23A6">
        <w:t xml:space="preserve">Australia </w:t>
      </w:r>
      <w:r>
        <w:t>acknowledges an</w:t>
      </w:r>
      <w:r w:rsidR="008A23A6">
        <w:t xml:space="preserve"> investigating authority</w:t>
      </w:r>
      <w:r w:rsidR="00B42AF0">
        <w:t xml:space="preserve"> has discretion in defining</w:t>
      </w:r>
      <w:r>
        <w:t xml:space="preserve"> the</w:t>
      </w:r>
      <w:r w:rsidR="008A23A6">
        <w:t xml:space="preserve"> product under investigation</w:t>
      </w:r>
      <w:r>
        <w:t xml:space="preserve">, Australia recognises the </w:t>
      </w:r>
      <w:r w:rsidR="00D108C6">
        <w:t>responsibility</w:t>
      </w:r>
      <w:r>
        <w:t xml:space="preserve"> placed on investigating authorities by the Anti-Dumping Agreement</w:t>
      </w:r>
      <w:r w:rsidR="00D108C6">
        <w:t xml:space="preserve"> </w:t>
      </w:r>
      <w:r w:rsidR="00172DD5">
        <w:t xml:space="preserve">to ensure </w:t>
      </w:r>
      <w:r>
        <w:t>an undistorted</w:t>
      </w:r>
      <w:r w:rsidR="001626D7">
        <w:t xml:space="preserve"> and</w:t>
      </w:r>
      <w:r>
        <w:t xml:space="preserve"> objective </w:t>
      </w:r>
      <w:r w:rsidR="001626D7">
        <w:t>injury analysis based on positive evidence</w:t>
      </w:r>
      <w:r w:rsidR="004E27FE">
        <w:t xml:space="preserve">. </w:t>
      </w:r>
      <w:r w:rsidR="000A1C37">
        <w:t xml:space="preserve">In addition, Australia reiterates that compliance with due process obligations is an essential element an anti-dumping investigation. </w:t>
      </w:r>
      <w:r w:rsidR="4DA07CBB">
        <w:t xml:space="preserve">Australia submits that </w:t>
      </w:r>
      <w:r w:rsidR="002371EA">
        <w:t>MOFCOM's approach on these issues raises serious questions. It is</w:t>
      </w:r>
      <w:r w:rsidR="008A5DE6">
        <w:t>,</w:t>
      </w:r>
      <w:r w:rsidR="002371EA">
        <w:t xml:space="preserve"> therefore</w:t>
      </w:r>
      <w:r w:rsidR="008A5DE6">
        <w:t>,</w:t>
      </w:r>
      <w:r w:rsidR="002371EA">
        <w:t xml:space="preserve"> incumbent on the Panel to closely examine MOFCOM's definition of the domestic industry and injury analysis, as well as MOFCOM's compliance with due process obligations, to ensure that the </w:t>
      </w:r>
      <w:r w:rsidR="4DA07CBB">
        <w:t>measures at issue are applied consistently with the Anti-Dumping Agreement</w:t>
      </w:r>
      <w:r w:rsidR="40764BFF">
        <w:t xml:space="preserve">. </w:t>
      </w:r>
    </w:p>
    <w:p w14:paraId="4DBAB269" w14:textId="47AFB187" w:rsidR="00F652F8" w:rsidRPr="0005493A" w:rsidRDefault="2967F9AF" w:rsidP="7F6ED6DC">
      <w:pPr>
        <w:pStyle w:val="P1-N1Paragraph1-Number1"/>
        <w:rPr>
          <w:rFonts w:eastAsiaTheme="majorEastAsia" w:cstheme="majorBidi"/>
          <w:b/>
          <w:bCs/>
        </w:rPr>
      </w:pPr>
      <w:r>
        <w:t xml:space="preserve">Australia </w:t>
      </w:r>
      <w:r w:rsidR="52891DAE">
        <w:t xml:space="preserve">thanks the </w:t>
      </w:r>
      <w:r w:rsidR="582ECE7E">
        <w:t>P</w:t>
      </w:r>
      <w:r w:rsidR="52891DAE">
        <w:t xml:space="preserve">anel for the opportunity to submit its views on the issues raised in this dispute. </w:t>
      </w:r>
    </w:p>
    <w:sectPr w:rsidR="00F652F8" w:rsidRPr="0005493A" w:rsidSect="008F5B14">
      <w:headerReference w:type="default" r:id="rId33"/>
      <w:footerReference w:type="default" r:id="rId34"/>
      <w:headerReference w:type="first" r:id="rId35"/>
      <w:footerReference w:type="first" r:id="rId36"/>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F7618" w14:textId="77777777" w:rsidR="009A31ED" w:rsidRDefault="009A31ED" w:rsidP="00006269">
      <w:pPr>
        <w:spacing w:after="0" w:line="240" w:lineRule="auto"/>
      </w:pPr>
      <w:r>
        <w:separator/>
      </w:r>
    </w:p>
  </w:endnote>
  <w:endnote w:type="continuationSeparator" w:id="0">
    <w:p w14:paraId="7C4F6661" w14:textId="77777777" w:rsidR="009A31ED" w:rsidRDefault="009A31ED" w:rsidP="00006269">
      <w:pPr>
        <w:spacing w:after="0" w:line="240" w:lineRule="auto"/>
      </w:pPr>
      <w:r>
        <w:continuationSeparator/>
      </w:r>
    </w:p>
  </w:endnote>
  <w:endnote w:type="continuationNotice" w:id="1">
    <w:p w14:paraId="5C7E62C8" w14:textId="77777777" w:rsidR="009A31ED" w:rsidRDefault="009A3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6D7B" w14:textId="77777777" w:rsidR="00DB29B8" w:rsidRDefault="00DB29B8">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2E84E" w14:textId="1AD7E888" w:rsidR="00DB29B8" w:rsidRDefault="00DB29B8">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42503" w14:textId="77777777" w:rsidR="009A31ED" w:rsidRDefault="009A31ED" w:rsidP="00006269">
      <w:pPr>
        <w:spacing w:after="0" w:line="240" w:lineRule="auto"/>
      </w:pPr>
      <w:r>
        <w:separator/>
      </w:r>
    </w:p>
  </w:footnote>
  <w:footnote w:type="continuationSeparator" w:id="0">
    <w:p w14:paraId="5AFD0E42" w14:textId="77777777" w:rsidR="009A31ED" w:rsidRDefault="009A31ED" w:rsidP="00006269">
      <w:pPr>
        <w:spacing w:after="0" w:line="240" w:lineRule="auto"/>
      </w:pPr>
      <w:r>
        <w:continuationSeparator/>
      </w:r>
    </w:p>
  </w:footnote>
  <w:footnote w:type="continuationNotice" w:id="1">
    <w:p w14:paraId="095D40C6" w14:textId="77777777" w:rsidR="009A31ED" w:rsidRDefault="009A31ED">
      <w:pPr>
        <w:spacing w:after="0" w:line="240" w:lineRule="auto"/>
      </w:pPr>
    </w:p>
  </w:footnote>
  <w:footnote w:id="2">
    <w:p w14:paraId="5F9793EA" w14:textId="00C734DB" w:rsidR="00DB29B8" w:rsidRDefault="00DB29B8">
      <w:pPr>
        <w:pStyle w:val="FootnoteText"/>
      </w:pPr>
      <w:r>
        <w:rPr>
          <w:rStyle w:val="FootnoteReference"/>
        </w:rPr>
        <w:footnoteRef/>
      </w:r>
      <w:r>
        <w:t xml:space="preserve"> Japan’s first written submission, para. 468.</w:t>
      </w:r>
    </w:p>
  </w:footnote>
  <w:footnote w:id="3">
    <w:p w14:paraId="46685038" w14:textId="18269CEA" w:rsidR="00DB29B8" w:rsidRDefault="00DB29B8">
      <w:pPr>
        <w:pStyle w:val="FootnoteText"/>
      </w:pPr>
      <w:r>
        <w:rPr>
          <w:rStyle w:val="FootnoteReference"/>
        </w:rPr>
        <w:footnoteRef/>
      </w:r>
      <w:r>
        <w:t xml:space="preserve"> Japan’s first written submission, para. 468. </w:t>
      </w:r>
    </w:p>
  </w:footnote>
  <w:footnote w:id="4">
    <w:p w14:paraId="625CB383" w14:textId="4333AB8A" w:rsidR="00DB29B8" w:rsidRDefault="00DB29B8">
      <w:pPr>
        <w:pStyle w:val="FootnoteText"/>
      </w:pPr>
      <w:r>
        <w:rPr>
          <w:rStyle w:val="FootnoteReference"/>
        </w:rPr>
        <w:footnoteRef/>
      </w:r>
      <w:r>
        <w:t xml:space="preserve"> China’s first written submission, para. 669.</w:t>
      </w:r>
    </w:p>
  </w:footnote>
  <w:footnote w:id="5">
    <w:p w14:paraId="5A429181" w14:textId="6BE2ECF8" w:rsidR="00DB29B8" w:rsidRDefault="00DB29B8">
      <w:pPr>
        <w:pStyle w:val="FootnoteText"/>
      </w:pPr>
      <w:r>
        <w:rPr>
          <w:rStyle w:val="FootnoteReference"/>
        </w:rPr>
        <w:footnoteRef/>
      </w:r>
      <w:r>
        <w:t xml:space="preserve"> China’s first written submission, para. 670.</w:t>
      </w:r>
    </w:p>
  </w:footnote>
  <w:footnote w:id="6">
    <w:p w14:paraId="6FFD826E" w14:textId="77777777" w:rsidR="0083191C" w:rsidRPr="000463AE" w:rsidRDefault="0083191C" w:rsidP="0083191C">
      <w:pPr>
        <w:pStyle w:val="FootnoteText"/>
      </w:pPr>
      <w:r>
        <w:rPr>
          <w:rStyle w:val="FootnoteReference"/>
        </w:rPr>
        <w:footnoteRef/>
      </w:r>
      <w:r>
        <w:t xml:space="preserve"> Appellate Body report, </w:t>
      </w:r>
      <w:r>
        <w:rPr>
          <w:i/>
          <w:iCs/>
        </w:rPr>
        <w:t>EC – Fasteners (China)</w:t>
      </w:r>
      <w:r>
        <w:t xml:space="preserve"> </w:t>
      </w:r>
      <w:r>
        <w:rPr>
          <w:i/>
          <w:iCs/>
        </w:rPr>
        <w:t>(Article 21.5 – China)</w:t>
      </w:r>
      <w:r>
        <w:t>, para 5.302.</w:t>
      </w:r>
    </w:p>
  </w:footnote>
  <w:footnote w:id="7">
    <w:p w14:paraId="6B81AC6C" w14:textId="77777777" w:rsidR="0083191C" w:rsidRDefault="0083191C" w:rsidP="0083191C">
      <w:pPr>
        <w:pStyle w:val="FootnoteText"/>
      </w:pPr>
      <w:r>
        <w:rPr>
          <w:rStyle w:val="FootnoteReference"/>
        </w:rPr>
        <w:footnoteRef/>
      </w:r>
      <w:r>
        <w:t xml:space="preserve"> Appellate Body reports, </w:t>
      </w:r>
      <w:r>
        <w:rPr>
          <w:i/>
          <w:iCs/>
        </w:rPr>
        <w:t>EC – Fasteners (China)</w:t>
      </w:r>
      <w:r>
        <w:t xml:space="preserve">, para. 412; </w:t>
      </w:r>
      <w:r>
        <w:rPr>
          <w:i/>
          <w:iCs/>
        </w:rPr>
        <w:t>EC – Fasteners (China)</w:t>
      </w:r>
      <w:r>
        <w:t>,</w:t>
      </w:r>
      <w:r w:rsidRPr="003B7123">
        <w:t xml:space="preserve"> </w:t>
      </w:r>
      <w:r>
        <w:t>para. 419.</w:t>
      </w:r>
    </w:p>
  </w:footnote>
  <w:footnote w:id="8">
    <w:p w14:paraId="68C08BD1" w14:textId="77777777" w:rsidR="0083191C" w:rsidRDefault="0083191C" w:rsidP="0083191C">
      <w:pPr>
        <w:pStyle w:val="FootnoteText"/>
      </w:pPr>
      <w:r>
        <w:rPr>
          <w:rStyle w:val="FootnoteReference"/>
        </w:rPr>
        <w:footnoteRef/>
      </w:r>
      <w:r>
        <w:t xml:space="preserve"> Appellate Body report, </w:t>
      </w:r>
      <w:r w:rsidRPr="00995C2B">
        <w:rPr>
          <w:rFonts w:eastAsia="Calibri" w:cs="Calibri"/>
          <w:i/>
          <w:iCs/>
        </w:rPr>
        <w:t>Russia – Commercial Vehicles</w:t>
      </w:r>
      <w:r w:rsidRPr="0839184D">
        <w:rPr>
          <w:rFonts w:eastAsia="Calibri" w:cs="Calibri"/>
        </w:rPr>
        <w:t>, para.</w:t>
      </w:r>
      <w:r>
        <w:rPr>
          <w:rFonts w:eastAsia="Calibri" w:cs="Calibri"/>
        </w:rPr>
        <w:t xml:space="preserve"> 513.</w:t>
      </w:r>
    </w:p>
  </w:footnote>
  <w:footnote w:id="9">
    <w:p w14:paraId="5532CED4" w14:textId="423477D9" w:rsidR="00DB29B8" w:rsidRPr="00483278" w:rsidRDefault="00DB29B8" w:rsidP="00CE1257">
      <w:pPr>
        <w:pStyle w:val="FootnoteText"/>
      </w:pPr>
      <w:r w:rsidRPr="002B53F9">
        <w:rPr>
          <w:rStyle w:val="FootnoteReference"/>
        </w:rPr>
        <w:footnoteRef/>
      </w:r>
      <w:r w:rsidRPr="002B53F9">
        <w:t xml:space="preserve"> Panel </w:t>
      </w:r>
      <w:r>
        <w:t>r</w:t>
      </w:r>
      <w:r w:rsidRPr="002B53F9">
        <w:t xml:space="preserve">eport, </w:t>
      </w:r>
      <w:r w:rsidRPr="002B53F9">
        <w:rPr>
          <w:i/>
          <w:iCs/>
        </w:rPr>
        <w:t>EC – Tube or Pipe Fittings</w:t>
      </w:r>
      <w:r w:rsidRPr="002B53F9">
        <w:t xml:space="preserve">, </w:t>
      </w:r>
      <w:r>
        <w:t xml:space="preserve">para. </w:t>
      </w:r>
      <w:r w:rsidRPr="002B53F9">
        <w:t>7.397.</w:t>
      </w:r>
    </w:p>
  </w:footnote>
  <w:footnote w:id="10">
    <w:p w14:paraId="11DFADA6" w14:textId="424CF7E5" w:rsidR="00DB29B8" w:rsidRPr="009E0341" w:rsidRDefault="00DB29B8">
      <w:pPr>
        <w:pStyle w:val="FootnoteText"/>
      </w:pPr>
      <w:r>
        <w:rPr>
          <w:rStyle w:val="FootnoteReference"/>
        </w:rPr>
        <w:footnoteRef/>
      </w:r>
      <w:r>
        <w:t xml:space="preserve"> Appellate Body report, </w:t>
      </w:r>
      <w:r>
        <w:rPr>
          <w:i/>
          <w:iCs/>
        </w:rPr>
        <w:t>EC – Fasteners (China)</w:t>
      </w:r>
      <w:r>
        <w:t>, paras. 413-414.</w:t>
      </w:r>
    </w:p>
  </w:footnote>
  <w:footnote w:id="11">
    <w:p w14:paraId="5F1D1529" w14:textId="02D214F5" w:rsidR="00DB29B8" w:rsidRDefault="00DB29B8" w:rsidP="00495BB4">
      <w:pPr>
        <w:pStyle w:val="FootnoteText"/>
      </w:pPr>
      <w:r>
        <w:rPr>
          <w:rStyle w:val="FootnoteReference"/>
        </w:rPr>
        <w:footnoteRef/>
      </w:r>
      <w:r>
        <w:t xml:space="preserve"> Appellate Body report, </w:t>
      </w:r>
      <w:r>
        <w:rPr>
          <w:i/>
          <w:iCs/>
        </w:rPr>
        <w:t>EC – Fasteners (China)</w:t>
      </w:r>
      <w:r>
        <w:t xml:space="preserve">, para. 413. </w:t>
      </w:r>
    </w:p>
  </w:footnote>
  <w:footnote w:id="12">
    <w:p w14:paraId="7CD10FE8" w14:textId="171734F3" w:rsidR="00DB29B8" w:rsidRDefault="00DB29B8">
      <w:pPr>
        <w:pStyle w:val="FootnoteText"/>
      </w:pPr>
      <w:r>
        <w:rPr>
          <w:rStyle w:val="FootnoteReference"/>
        </w:rPr>
        <w:footnoteRef/>
      </w:r>
      <w:r>
        <w:t xml:space="preserve"> Appellate Body report, </w:t>
      </w:r>
      <w:r>
        <w:rPr>
          <w:i/>
          <w:iCs/>
        </w:rPr>
        <w:t>EC – Fasteners (China)</w:t>
      </w:r>
      <w:r>
        <w:t>, para. 413.</w:t>
      </w:r>
    </w:p>
  </w:footnote>
  <w:footnote w:id="13">
    <w:p w14:paraId="0AEED7EF" w14:textId="3687B670" w:rsidR="00CF413E" w:rsidRDefault="00CF413E">
      <w:pPr>
        <w:pStyle w:val="FootnoteText"/>
      </w:pPr>
      <w:r>
        <w:rPr>
          <w:rStyle w:val="FootnoteReference"/>
        </w:rPr>
        <w:footnoteRef/>
      </w:r>
      <w:r>
        <w:t xml:space="preserve"> Appellate Body report, </w:t>
      </w:r>
      <w:r>
        <w:rPr>
          <w:i/>
          <w:iCs/>
        </w:rPr>
        <w:t>EC – Fasteners (China)</w:t>
      </w:r>
      <w:r>
        <w:t>, para. 413.</w:t>
      </w:r>
    </w:p>
  </w:footnote>
  <w:footnote w:id="14">
    <w:p w14:paraId="5269480F" w14:textId="1EED3FBB" w:rsidR="00CF413E" w:rsidRDefault="00CF413E">
      <w:pPr>
        <w:pStyle w:val="FootnoteText"/>
      </w:pPr>
      <w:r>
        <w:rPr>
          <w:rStyle w:val="FootnoteReference"/>
        </w:rPr>
        <w:footnoteRef/>
      </w:r>
      <w:r>
        <w:t xml:space="preserve"> Appellate Body report, </w:t>
      </w:r>
      <w:r>
        <w:rPr>
          <w:i/>
          <w:iCs/>
        </w:rPr>
        <w:t>EC – Fasteners (China)</w:t>
      </w:r>
      <w:r>
        <w:t>, para. 413.</w:t>
      </w:r>
    </w:p>
  </w:footnote>
  <w:footnote w:id="15">
    <w:p w14:paraId="1935863E" w14:textId="08341588" w:rsidR="00DB29B8" w:rsidRDefault="00DB29B8" w:rsidP="00CE1257">
      <w:pPr>
        <w:pStyle w:val="FootnoteText"/>
        <w:rPr>
          <w:lang w:val="en-CA"/>
        </w:rPr>
      </w:pPr>
      <w:r w:rsidRPr="003B7123">
        <w:rPr>
          <w:rStyle w:val="FootnoteReference"/>
        </w:rPr>
        <w:footnoteRef/>
      </w:r>
      <w:r w:rsidRPr="003B7123">
        <w:t xml:space="preserve"> </w:t>
      </w:r>
      <w:r>
        <w:t xml:space="preserve">Appellate Body report, </w:t>
      </w:r>
      <w:r>
        <w:rPr>
          <w:i/>
          <w:iCs/>
        </w:rPr>
        <w:t>EC – Fasteners (China)</w:t>
      </w:r>
      <w:r>
        <w:t>,</w:t>
      </w:r>
      <w:r w:rsidRPr="003B7123">
        <w:t xml:space="preserve"> </w:t>
      </w:r>
      <w:r>
        <w:t xml:space="preserve">para. </w:t>
      </w:r>
      <w:r w:rsidRPr="003B7123">
        <w:t>416.</w:t>
      </w:r>
    </w:p>
  </w:footnote>
  <w:footnote w:id="16">
    <w:p w14:paraId="6CB798DE" w14:textId="60EF52DC" w:rsidR="00DB29B8" w:rsidRDefault="00DB29B8" w:rsidP="00BD1B57">
      <w:pPr>
        <w:pStyle w:val="FootnoteText"/>
      </w:pPr>
      <w:r w:rsidRPr="00B349B3">
        <w:rPr>
          <w:rStyle w:val="FootnoteReference"/>
        </w:rPr>
        <w:footnoteRef/>
      </w:r>
      <w:r w:rsidRPr="00B349B3">
        <w:t xml:space="preserve"> Panel </w:t>
      </w:r>
      <w:r>
        <w:t>r</w:t>
      </w:r>
      <w:r w:rsidRPr="00B349B3">
        <w:t xml:space="preserve">eport, </w:t>
      </w:r>
      <w:r w:rsidRPr="00B349B3">
        <w:rPr>
          <w:i/>
          <w:iCs/>
        </w:rPr>
        <w:t>China – Autos (US)</w:t>
      </w:r>
      <w:r w:rsidRPr="00B349B3">
        <w:t xml:space="preserve">, para. 7.210. The panel expressed </w:t>
      </w:r>
      <w:r w:rsidRPr="00B349B3">
        <w:rPr>
          <w:rFonts w:cs="Calibri"/>
        </w:rPr>
        <w:t xml:space="preserve">its agreement with the earlier finding of the </w:t>
      </w:r>
      <w:r w:rsidRPr="00B349B3">
        <w:t xml:space="preserve">panel in </w:t>
      </w:r>
      <w:r w:rsidRPr="00B349B3">
        <w:rPr>
          <w:i/>
          <w:iCs/>
        </w:rPr>
        <w:t>EC – Salmon (Norway)</w:t>
      </w:r>
      <w:r w:rsidRPr="00B349B3">
        <w:t xml:space="preserve"> on this point.</w:t>
      </w:r>
    </w:p>
  </w:footnote>
  <w:footnote w:id="17">
    <w:p w14:paraId="4037EC81" w14:textId="417D1A50" w:rsidR="00DB29B8" w:rsidRDefault="00DB29B8">
      <w:pPr>
        <w:pStyle w:val="FootnoteText"/>
      </w:pPr>
      <w:r>
        <w:rPr>
          <w:rStyle w:val="FootnoteReference"/>
        </w:rPr>
        <w:footnoteRef/>
      </w:r>
      <w:r>
        <w:t xml:space="preserve"> Article 3.1 Anti-Dumping Agreement. </w:t>
      </w:r>
    </w:p>
  </w:footnote>
  <w:footnote w:id="18">
    <w:p w14:paraId="3AC4BFD0" w14:textId="746E6E77" w:rsidR="00DB29B8" w:rsidRPr="00DB76D0" w:rsidRDefault="00DB29B8">
      <w:pPr>
        <w:pStyle w:val="FootnoteText"/>
      </w:pPr>
      <w:r>
        <w:rPr>
          <w:rStyle w:val="FootnoteReference"/>
        </w:rPr>
        <w:footnoteRef/>
      </w:r>
      <w:r>
        <w:t xml:space="preserve"> Appellate Body report, </w:t>
      </w:r>
      <w:r w:rsidRPr="002473F2">
        <w:rPr>
          <w:i/>
        </w:rPr>
        <w:t>US – Hot-Rolled Steel</w:t>
      </w:r>
      <w:r>
        <w:t xml:space="preserve">, para. 193. Quoted in several subsequent Appellate Body reports including </w:t>
      </w:r>
      <w:r w:rsidRPr="002473F2">
        <w:rPr>
          <w:i/>
        </w:rPr>
        <w:t>China – GOES</w:t>
      </w:r>
      <w:r>
        <w:t xml:space="preserve">, para. 126, </w:t>
      </w:r>
      <w:r>
        <w:rPr>
          <w:i/>
          <w:iCs/>
        </w:rPr>
        <w:t>China – HPP-SSST (EU)/China – HP-SSST (Japan)</w:t>
      </w:r>
      <w:r>
        <w:t xml:space="preserve">, para. 5.138. </w:t>
      </w:r>
    </w:p>
  </w:footnote>
  <w:footnote w:id="19">
    <w:p w14:paraId="7418073E" w14:textId="33348674" w:rsidR="00DB29B8" w:rsidRDefault="00DB29B8">
      <w:pPr>
        <w:pStyle w:val="FootnoteText"/>
      </w:pPr>
      <w:r>
        <w:rPr>
          <w:rStyle w:val="FootnoteReference"/>
        </w:rPr>
        <w:footnoteRef/>
      </w:r>
      <w:r>
        <w:t xml:space="preserve"> Appellate Body report, </w:t>
      </w:r>
      <w:r>
        <w:rPr>
          <w:i/>
          <w:iCs/>
        </w:rPr>
        <w:t>US – Hot-Rolled Steel</w:t>
      </w:r>
      <w:r>
        <w:t xml:space="preserve">, para. 192. Quoted in several subsequent Appellate Body reports including </w:t>
      </w:r>
      <w:r w:rsidRPr="002473F2">
        <w:rPr>
          <w:i/>
        </w:rPr>
        <w:t>China – GOES</w:t>
      </w:r>
      <w:r>
        <w:t xml:space="preserve">, para. 126, </w:t>
      </w:r>
      <w:r>
        <w:rPr>
          <w:i/>
          <w:iCs/>
        </w:rPr>
        <w:t>China – HPP-SSST (EU)/China – HP-SSST (Japan)</w:t>
      </w:r>
      <w:r>
        <w:t xml:space="preserve">, para. 5.138.  </w:t>
      </w:r>
    </w:p>
  </w:footnote>
  <w:footnote w:id="20">
    <w:p w14:paraId="6B8F0E9A" w14:textId="6138ADB0" w:rsidR="00DB29B8" w:rsidRPr="00DD6A10" w:rsidRDefault="00DB29B8">
      <w:pPr>
        <w:pStyle w:val="FootnoteText"/>
      </w:pPr>
      <w:r>
        <w:rPr>
          <w:rStyle w:val="FootnoteReference"/>
        </w:rPr>
        <w:footnoteRef/>
      </w:r>
      <w:r>
        <w:t xml:space="preserve"> Appellate Body report, </w:t>
      </w:r>
      <w:r>
        <w:rPr>
          <w:i/>
          <w:iCs/>
        </w:rPr>
        <w:t>China – GOES</w:t>
      </w:r>
      <w:r>
        <w:t xml:space="preserve">, para. 126, citing Appellate Body Report, </w:t>
      </w:r>
      <w:r>
        <w:rPr>
          <w:i/>
          <w:iCs/>
        </w:rPr>
        <w:t>Thailand – H-Beams</w:t>
      </w:r>
      <w:r>
        <w:t xml:space="preserve">, para. 106. </w:t>
      </w:r>
    </w:p>
  </w:footnote>
  <w:footnote w:id="21">
    <w:p w14:paraId="2DD4B761" w14:textId="71810305" w:rsidR="00DB29B8" w:rsidRDefault="00DB29B8">
      <w:pPr>
        <w:pStyle w:val="FootnoteText"/>
      </w:pPr>
      <w:r>
        <w:rPr>
          <w:rStyle w:val="FootnoteReference"/>
        </w:rPr>
        <w:footnoteRef/>
      </w:r>
      <w:r>
        <w:t xml:space="preserve"> Japan’s first written submission, para. 74. </w:t>
      </w:r>
    </w:p>
  </w:footnote>
  <w:footnote w:id="22">
    <w:p w14:paraId="02E48088" w14:textId="32033EB4" w:rsidR="00DB29B8" w:rsidRDefault="00DB29B8">
      <w:pPr>
        <w:pStyle w:val="FootnoteText"/>
      </w:pPr>
      <w:r>
        <w:rPr>
          <w:rStyle w:val="FootnoteReference"/>
        </w:rPr>
        <w:footnoteRef/>
      </w:r>
      <w:r>
        <w:t xml:space="preserve"> China’s first written submission, para. 127. </w:t>
      </w:r>
    </w:p>
  </w:footnote>
  <w:footnote w:id="23">
    <w:p w14:paraId="12A25DCF" w14:textId="5E1CD7E9" w:rsidR="00DB29B8" w:rsidRDefault="00DB29B8">
      <w:pPr>
        <w:pStyle w:val="FootnoteText"/>
      </w:pPr>
      <w:r>
        <w:rPr>
          <w:rStyle w:val="FootnoteReference"/>
        </w:rPr>
        <w:footnoteRef/>
      </w:r>
      <w:r>
        <w:t xml:space="preserve"> China first written submission, para. 128.</w:t>
      </w:r>
    </w:p>
  </w:footnote>
  <w:footnote w:id="24">
    <w:p w14:paraId="3B1B6BF2" w14:textId="63F9870C" w:rsidR="00DB29B8" w:rsidRDefault="00DB29B8">
      <w:pPr>
        <w:pStyle w:val="FootnoteText"/>
      </w:pPr>
      <w:r>
        <w:rPr>
          <w:rStyle w:val="FootnoteReference"/>
        </w:rPr>
        <w:footnoteRef/>
      </w:r>
      <w:r>
        <w:t xml:space="preserve"> China first written submission, para. 128.</w:t>
      </w:r>
    </w:p>
  </w:footnote>
  <w:footnote w:id="25">
    <w:p w14:paraId="2D25A2A1" w14:textId="0A2BAF20" w:rsidR="00DB29B8" w:rsidRDefault="00DB29B8">
      <w:pPr>
        <w:pStyle w:val="FootnoteText"/>
      </w:pPr>
      <w:r>
        <w:rPr>
          <w:rStyle w:val="FootnoteReference"/>
        </w:rPr>
        <w:footnoteRef/>
      </w:r>
      <w:r>
        <w:t xml:space="preserve"> Panel report, </w:t>
      </w:r>
      <w:r>
        <w:rPr>
          <w:i/>
          <w:iCs/>
        </w:rPr>
        <w:t>Korea – Pneumatic Valves (Japan)</w:t>
      </w:r>
      <w:r>
        <w:t xml:space="preserve">, para. 7.266. See also panel reports, </w:t>
      </w:r>
      <w:r>
        <w:rPr>
          <w:i/>
          <w:iCs/>
        </w:rPr>
        <w:t>China – X-Ray Equipment</w:t>
      </w:r>
      <w:r>
        <w:t xml:space="preserve">, para.7.68; </w:t>
      </w:r>
      <w:r>
        <w:rPr>
          <w:i/>
          <w:iCs/>
        </w:rPr>
        <w:t>Pakistan – BOPP Film (UAE)</w:t>
      </w:r>
      <w:r>
        <w:t xml:space="preserve">, para. 7.309; </w:t>
      </w:r>
      <w:r>
        <w:rPr>
          <w:i/>
          <w:iCs/>
        </w:rPr>
        <w:t>China – Autos (US)</w:t>
      </w:r>
      <w:r>
        <w:t>, para. 7.277.</w:t>
      </w:r>
    </w:p>
  </w:footnote>
  <w:footnote w:id="26">
    <w:p w14:paraId="0E20E4AA" w14:textId="16328512" w:rsidR="00DB29B8" w:rsidRPr="00E2660D" w:rsidRDefault="00DB29B8">
      <w:pPr>
        <w:pStyle w:val="FootnoteText"/>
      </w:pPr>
      <w:r>
        <w:rPr>
          <w:rStyle w:val="FootnoteReference"/>
        </w:rPr>
        <w:footnoteRef/>
      </w:r>
      <w:r>
        <w:t xml:space="preserve"> Appellate Body report, </w:t>
      </w:r>
      <w:r>
        <w:rPr>
          <w:i/>
          <w:iCs/>
        </w:rPr>
        <w:t>China – GOES</w:t>
      </w:r>
      <w:r>
        <w:t>, para. 200.</w:t>
      </w:r>
    </w:p>
  </w:footnote>
  <w:footnote w:id="27">
    <w:p w14:paraId="1F7BEDCE" w14:textId="44BD6244" w:rsidR="00DB29B8" w:rsidRPr="00344527" w:rsidRDefault="00DB29B8">
      <w:pPr>
        <w:pStyle w:val="FootnoteText"/>
      </w:pPr>
      <w:r>
        <w:rPr>
          <w:rStyle w:val="FootnoteReference"/>
        </w:rPr>
        <w:footnoteRef/>
      </w:r>
      <w:r>
        <w:t xml:space="preserve"> Panel report, </w:t>
      </w:r>
      <w:r>
        <w:rPr>
          <w:i/>
          <w:iCs/>
        </w:rPr>
        <w:t>China – X-Ray Equipment</w:t>
      </w:r>
      <w:r>
        <w:t xml:space="preserve">, para. 7.50. </w:t>
      </w:r>
    </w:p>
  </w:footnote>
  <w:footnote w:id="28">
    <w:p w14:paraId="03C272D1" w14:textId="48EA036A" w:rsidR="00DB29B8" w:rsidRPr="00CD099A" w:rsidRDefault="00DB29B8">
      <w:pPr>
        <w:pStyle w:val="FootnoteText"/>
      </w:pPr>
      <w:r>
        <w:rPr>
          <w:rStyle w:val="FootnoteReference"/>
        </w:rPr>
        <w:footnoteRef/>
      </w:r>
      <w:r>
        <w:t xml:space="preserve"> Panel report, </w:t>
      </w:r>
      <w:r>
        <w:rPr>
          <w:i/>
          <w:iCs/>
        </w:rPr>
        <w:t>China – Broiler Products</w:t>
      </w:r>
      <w:r>
        <w:t>, para. 7.483.</w:t>
      </w:r>
    </w:p>
  </w:footnote>
  <w:footnote w:id="29">
    <w:p w14:paraId="32DD4A44" w14:textId="5491DA77" w:rsidR="00DB29B8" w:rsidRPr="00FC513A" w:rsidRDefault="00DB29B8">
      <w:pPr>
        <w:pStyle w:val="FootnoteText"/>
      </w:pPr>
      <w:r>
        <w:rPr>
          <w:rStyle w:val="FootnoteReference"/>
        </w:rPr>
        <w:footnoteRef/>
      </w:r>
      <w:r>
        <w:t xml:space="preserve"> Panel report, </w:t>
      </w:r>
      <w:r>
        <w:rPr>
          <w:i/>
          <w:iCs/>
        </w:rPr>
        <w:t>China – Broiler Products,</w:t>
      </w:r>
      <w:r>
        <w:t xml:space="preserve"> para. 7.483.</w:t>
      </w:r>
    </w:p>
  </w:footnote>
  <w:footnote w:id="30">
    <w:p w14:paraId="7C198D3F" w14:textId="7A76E2B7" w:rsidR="00DB29B8" w:rsidRDefault="00DB29B8" w:rsidP="0839184D">
      <w:pPr>
        <w:pStyle w:val="FootnoteText"/>
      </w:pPr>
      <w:r w:rsidRPr="0839184D">
        <w:rPr>
          <w:rStyle w:val="FootnoteReference"/>
        </w:rPr>
        <w:footnoteRef/>
      </w:r>
      <w:r>
        <w:t xml:space="preserve"> Japan’s first written submission, para. 89.</w:t>
      </w:r>
    </w:p>
  </w:footnote>
  <w:footnote w:id="31">
    <w:p w14:paraId="20B7CB3A" w14:textId="3DE47E5E" w:rsidR="00DB29B8" w:rsidRDefault="00DB29B8" w:rsidP="0839184D">
      <w:pPr>
        <w:pStyle w:val="FootnoteText"/>
      </w:pPr>
      <w:r w:rsidRPr="0839184D">
        <w:rPr>
          <w:rStyle w:val="FootnoteReference"/>
        </w:rPr>
        <w:footnoteRef/>
      </w:r>
      <w:r>
        <w:t xml:space="preserve"> Japan’s first written submission, para. 89.</w:t>
      </w:r>
    </w:p>
  </w:footnote>
  <w:footnote w:id="32">
    <w:p w14:paraId="742680FA" w14:textId="01D0A79B" w:rsidR="00DB29B8" w:rsidRDefault="00DB29B8">
      <w:pPr>
        <w:pStyle w:val="FootnoteText"/>
      </w:pPr>
      <w:r>
        <w:rPr>
          <w:rStyle w:val="FootnoteReference"/>
        </w:rPr>
        <w:footnoteRef/>
      </w:r>
      <w:r>
        <w:t xml:space="preserve"> Panel report, </w:t>
      </w:r>
      <w:r w:rsidRPr="0839184D">
        <w:rPr>
          <w:i/>
          <w:iCs/>
        </w:rPr>
        <w:t>China – X-Ray Equipment</w:t>
      </w:r>
      <w:r w:rsidRPr="0839184D">
        <w:t xml:space="preserve">, </w:t>
      </w:r>
      <w:r>
        <w:t xml:space="preserve">para. </w:t>
      </w:r>
      <w:r w:rsidRPr="0839184D">
        <w:t>7.85.</w:t>
      </w:r>
    </w:p>
  </w:footnote>
  <w:footnote w:id="33">
    <w:p w14:paraId="05DA4E94" w14:textId="74D24A66" w:rsidR="00DB29B8" w:rsidRDefault="00DB29B8">
      <w:pPr>
        <w:pStyle w:val="FootnoteText"/>
      </w:pPr>
      <w:r>
        <w:rPr>
          <w:rStyle w:val="FootnoteReference"/>
        </w:rPr>
        <w:footnoteRef/>
      </w:r>
      <w:r>
        <w:t xml:space="preserve"> Japan’s first written submission, para. 302. </w:t>
      </w:r>
    </w:p>
  </w:footnote>
  <w:footnote w:id="34">
    <w:p w14:paraId="67B7EF42" w14:textId="3CBA956A" w:rsidR="00DB29B8" w:rsidRDefault="00DB29B8">
      <w:pPr>
        <w:pStyle w:val="FootnoteText"/>
      </w:pPr>
      <w:r>
        <w:rPr>
          <w:rStyle w:val="FootnoteReference"/>
        </w:rPr>
        <w:footnoteRef/>
      </w:r>
      <w:r>
        <w:t xml:space="preserve"> Japan’s first written submission, para. 355. </w:t>
      </w:r>
    </w:p>
  </w:footnote>
  <w:footnote w:id="35">
    <w:p w14:paraId="4AE9A7CF" w14:textId="5D02CE83" w:rsidR="00DB29B8" w:rsidRDefault="00DB29B8">
      <w:pPr>
        <w:pStyle w:val="FootnoteText"/>
      </w:pPr>
      <w:r>
        <w:rPr>
          <w:rStyle w:val="FootnoteReference"/>
        </w:rPr>
        <w:footnoteRef/>
      </w:r>
      <w:r>
        <w:t xml:space="preserve"> Japan’s first written submission, para. 360. </w:t>
      </w:r>
    </w:p>
  </w:footnote>
  <w:footnote w:id="36">
    <w:p w14:paraId="5738D7E8" w14:textId="212E1C5E" w:rsidR="00DB29B8" w:rsidRDefault="00DB29B8">
      <w:pPr>
        <w:pStyle w:val="FootnoteText"/>
      </w:pPr>
      <w:r>
        <w:rPr>
          <w:rStyle w:val="FootnoteReference"/>
        </w:rPr>
        <w:footnoteRef/>
      </w:r>
      <w:r>
        <w:t xml:space="preserve"> China’s first written submission, paras. 504 and 505. </w:t>
      </w:r>
    </w:p>
  </w:footnote>
  <w:footnote w:id="37">
    <w:p w14:paraId="3912BF05" w14:textId="4FB9619D" w:rsidR="00DB29B8" w:rsidRPr="00F251CF" w:rsidRDefault="00DB29B8">
      <w:pPr>
        <w:pStyle w:val="FootnoteText"/>
      </w:pPr>
      <w:r>
        <w:rPr>
          <w:rStyle w:val="FootnoteReference"/>
        </w:rPr>
        <w:footnoteRef/>
      </w:r>
      <w:r>
        <w:t xml:space="preserve"> Appellate Body reports, </w:t>
      </w:r>
      <w:r>
        <w:rPr>
          <w:i/>
          <w:iCs/>
        </w:rPr>
        <w:t>EC – Tube or Pipe Fittings</w:t>
      </w:r>
      <w:r>
        <w:t xml:space="preserve">, para. 156; </w:t>
      </w:r>
      <w:r>
        <w:rPr>
          <w:i/>
        </w:rPr>
        <w:t xml:space="preserve">Thailand – H-Beams, </w:t>
      </w:r>
      <w:r>
        <w:t xml:space="preserve">para. 128. </w:t>
      </w:r>
    </w:p>
  </w:footnote>
  <w:footnote w:id="38">
    <w:p w14:paraId="51F4376C" w14:textId="690F5B71" w:rsidR="00DB29B8" w:rsidRPr="00421F4B" w:rsidRDefault="00DB29B8" w:rsidP="001C1DCE">
      <w:pPr>
        <w:pStyle w:val="FootnoteText"/>
      </w:pPr>
      <w:r>
        <w:rPr>
          <w:rStyle w:val="FootnoteReference"/>
        </w:rPr>
        <w:footnoteRef/>
      </w:r>
      <w:r>
        <w:t xml:space="preserve"> Panel report, </w:t>
      </w:r>
      <w:r>
        <w:rPr>
          <w:i/>
          <w:iCs/>
        </w:rPr>
        <w:t>Mexico – Corn Syrup</w:t>
      </w:r>
      <w:r>
        <w:t>, para. 7.128.</w:t>
      </w:r>
    </w:p>
  </w:footnote>
  <w:footnote w:id="39">
    <w:p w14:paraId="1CEA4A7C" w14:textId="3554D972" w:rsidR="00DB29B8" w:rsidRPr="00876E04" w:rsidRDefault="00DB29B8">
      <w:pPr>
        <w:pStyle w:val="FootnoteText"/>
        <w:rPr>
          <w:b/>
          <w:bCs/>
        </w:rPr>
      </w:pPr>
      <w:r>
        <w:rPr>
          <w:rStyle w:val="FootnoteReference"/>
        </w:rPr>
        <w:footnoteRef/>
      </w:r>
      <w:r>
        <w:t xml:space="preserve"> Appellate Body r</w:t>
      </w:r>
      <w:r w:rsidRPr="00876E04">
        <w:t xml:space="preserve">eport, </w:t>
      </w:r>
      <w:r w:rsidRPr="00876E04">
        <w:rPr>
          <w:i/>
          <w:iCs/>
        </w:rPr>
        <w:t>China – GOES</w:t>
      </w:r>
      <w:r w:rsidRPr="00876E04">
        <w:t xml:space="preserve">, </w:t>
      </w:r>
      <w:r>
        <w:t xml:space="preserve">para. </w:t>
      </w:r>
      <w:r w:rsidRPr="00876E04">
        <w:t xml:space="preserve">149. </w:t>
      </w:r>
    </w:p>
  </w:footnote>
  <w:footnote w:id="40">
    <w:p w14:paraId="18782427" w14:textId="268A2D30" w:rsidR="00DB29B8" w:rsidRPr="00E74D23" w:rsidRDefault="00DB29B8">
      <w:pPr>
        <w:pStyle w:val="FootnoteText"/>
      </w:pPr>
      <w:r>
        <w:rPr>
          <w:rStyle w:val="FootnoteReference"/>
        </w:rPr>
        <w:footnoteRef/>
      </w:r>
      <w:r>
        <w:t xml:space="preserve"> Panel report, </w:t>
      </w:r>
      <w:r>
        <w:rPr>
          <w:i/>
          <w:iCs/>
        </w:rPr>
        <w:t>Pakistan – BOPP Film (UAE)</w:t>
      </w:r>
      <w:r>
        <w:t xml:space="preserve">, para. 7.352. </w:t>
      </w:r>
    </w:p>
  </w:footnote>
  <w:footnote w:id="41">
    <w:p w14:paraId="36DF6683" w14:textId="5D35F6E2" w:rsidR="00DB29B8" w:rsidRPr="00707C3A" w:rsidRDefault="00DB29B8">
      <w:pPr>
        <w:pStyle w:val="FootnoteText"/>
      </w:pPr>
      <w:r>
        <w:rPr>
          <w:rStyle w:val="FootnoteReference"/>
        </w:rPr>
        <w:footnoteRef/>
      </w:r>
      <w:r>
        <w:t xml:space="preserve"> Panel report, </w:t>
      </w:r>
      <w:r>
        <w:rPr>
          <w:i/>
          <w:iCs/>
        </w:rPr>
        <w:t>Korea – Certain Paper</w:t>
      </w:r>
      <w:r>
        <w:t xml:space="preserve">, para. 7.272. </w:t>
      </w:r>
    </w:p>
  </w:footnote>
  <w:footnote w:id="42">
    <w:p w14:paraId="480DD0CE" w14:textId="2368D49F" w:rsidR="00DB29B8" w:rsidRPr="000B1088" w:rsidRDefault="00DB29B8" w:rsidP="00E97024">
      <w:pPr>
        <w:pStyle w:val="FootnoteText"/>
      </w:pPr>
      <w:r>
        <w:rPr>
          <w:rStyle w:val="FootnoteReference"/>
        </w:rPr>
        <w:footnoteRef/>
      </w:r>
      <w:r>
        <w:t xml:space="preserve"> Panel report, </w:t>
      </w:r>
      <w:r>
        <w:rPr>
          <w:i/>
          <w:iCs/>
        </w:rPr>
        <w:t xml:space="preserve">Thailand – H-Beams, </w:t>
      </w:r>
      <w:r>
        <w:t>para. 7.236.</w:t>
      </w:r>
    </w:p>
  </w:footnote>
  <w:footnote w:id="43">
    <w:p w14:paraId="252BCB24" w14:textId="05771CB8" w:rsidR="00DB29B8" w:rsidRDefault="00DB29B8">
      <w:pPr>
        <w:pStyle w:val="FootnoteText"/>
      </w:pPr>
      <w:r>
        <w:rPr>
          <w:rStyle w:val="FootnoteReference"/>
        </w:rPr>
        <w:footnoteRef/>
      </w:r>
      <w:r>
        <w:t xml:space="preserve"> Panel report, </w:t>
      </w:r>
      <w:r w:rsidRPr="046131D9">
        <w:rPr>
          <w:i/>
          <w:iCs/>
        </w:rPr>
        <w:t xml:space="preserve">Thailand – H-Beams, </w:t>
      </w:r>
      <w:r w:rsidRPr="046131D9">
        <w:t>para</w:t>
      </w:r>
      <w:r>
        <w:t>.</w:t>
      </w:r>
      <w:r w:rsidRPr="046131D9">
        <w:t xml:space="preserve"> 7.249</w:t>
      </w:r>
      <w:r>
        <w:t>.</w:t>
      </w:r>
    </w:p>
  </w:footnote>
  <w:footnote w:id="44">
    <w:p w14:paraId="7FE44531" w14:textId="6BCE879A" w:rsidR="00DB29B8" w:rsidRDefault="00DB29B8">
      <w:pPr>
        <w:pStyle w:val="FootnoteText"/>
      </w:pPr>
      <w:r>
        <w:rPr>
          <w:rStyle w:val="FootnoteReference"/>
        </w:rPr>
        <w:footnoteRef/>
      </w:r>
      <w:r>
        <w:t xml:space="preserve"> Japan’s first written submission, para. 419. </w:t>
      </w:r>
    </w:p>
  </w:footnote>
  <w:footnote w:id="45">
    <w:p w14:paraId="6618100F" w14:textId="686DBDFE" w:rsidR="00DB29B8" w:rsidRDefault="00DB29B8">
      <w:pPr>
        <w:pStyle w:val="FootnoteText"/>
      </w:pPr>
      <w:r>
        <w:rPr>
          <w:rStyle w:val="FootnoteReference"/>
        </w:rPr>
        <w:footnoteRef/>
      </w:r>
      <w:r>
        <w:t xml:space="preserve"> Japan’s first written submission, para. 419. </w:t>
      </w:r>
    </w:p>
  </w:footnote>
  <w:footnote w:id="46">
    <w:p w14:paraId="177199C0" w14:textId="0DEA8F98" w:rsidR="00DB29B8" w:rsidRDefault="00DB29B8">
      <w:pPr>
        <w:pStyle w:val="FootnoteText"/>
      </w:pPr>
      <w:r>
        <w:rPr>
          <w:rStyle w:val="FootnoteReference"/>
        </w:rPr>
        <w:footnoteRef/>
      </w:r>
      <w:r>
        <w:t xml:space="preserve"> China’s first written submission, para. 575. </w:t>
      </w:r>
    </w:p>
  </w:footnote>
  <w:footnote w:id="47">
    <w:p w14:paraId="572CFA9D" w14:textId="0AF99C87" w:rsidR="00DB29B8" w:rsidRDefault="00DB29B8">
      <w:pPr>
        <w:pStyle w:val="FootnoteText"/>
      </w:pPr>
      <w:r>
        <w:rPr>
          <w:rStyle w:val="FootnoteReference"/>
        </w:rPr>
        <w:footnoteRef/>
      </w:r>
      <w:r>
        <w:t xml:space="preserve"> China’s first written submission, para. 576.</w:t>
      </w:r>
    </w:p>
  </w:footnote>
  <w:footnote w:id="48">
    <w:p w14:paraId="48F8C890" w14:textId="6A85ADBB" w:rsidR="00DB29B8" w:rsidRDefault="00DB29B8">
      <w:pPr>
        <w:pStyle w:val="FootnoteText"/>
      </w:pPr>
      <w:r>
        <w:rPr>
          <w:rStyle w:val="FootnoteReference"/>
        </w:rPr>
        <w:footnoteRef/>
      </w:r>
      <w:r>
        <w:t xml:space="preserve"> China’s first written submission, para. 582.</w:t>
      </w:r>
    </w:p>
  </w:footnote>
  <w:footnote w:id="49">
    <w:p w14:paraId="73E63670" w14:textId="77777777" w:rsidR="00DB29B8" w:rsidRPr="00FA21C3" w:rsidRDefault="00DB29B8" w:rsidP="000F3D68">
      <w:pPr>
        <w:pStyle w:val="FootnoteText"/>
      </w:pPr>
      <w:r>
        <w:rPr>
          <w:rStyle w:val="FootnoteReference"/>
        </w:rPr>
        <w:footnoteRef/>
      </w:r>
      <w:r>
        <w:t xml:space="preserve"> Appellate Body report, </w:t>
      </w:r>
      <w:r>
        <w:rPr>
          <w:i/>
          <w:iCs/>
        </w:rPr>
        <w:t>EC – Tube or Pipe Fittings</w:t>
      </w:r>
      <w:r>
        <w:t>, para. 175.</w:t>
      </w:r>
    </w:p>
  </w:footnote>
  <w:footnote w:id="50">
    <w:p w14:paraId="61C3508F" w14:textId="77777777" w:rsidR="00DB29B8" w:rsidRPr="003D0D46" w:rsidRDefault="00DB29B8" w:rsidP="000F3D68">
      <w:pPr>
        <w:pStyle w:val="FootnoteText"/>
      </w:pPr>
      <w:r>
        <w:rPr>
          <w:rStyle w:val="FootnoteReference"/>
        </w:rPr>
        <w:footnoteRef/>
      </w:r>
      <w:r>
        <w:t xml:space="preserve"> Panel report, </w:t>
      </w:r>
      <w:r>
        <w:rPr>
          <w:i/>
          <w:iCs/>
        </w:rPr>
        <w:t>EU – Footwear (China)</w:t>
      </w:r>
      <w:r>
        <w:t xml:space="preserve">, para. 7.484. See also Panel report, </w:t>
      </w:r>
      <w:r w:rsidRPr="00C54697">
        <w:rPr>
          <w:i/>
        </w:rPr>
        <w:t>Thailand – H-Beams</w:t>
      </w:r>
      <w:r>
        <w:t>, para. 7.273.</w:t>
      </w:r>
    </w:p>
  </w:footnote>
  <w:footnote w:id="51">
    <w:p w14:paraId="2C605AF2" w14:textId="13F494BE" w:rsidR="00DB29B8" w:rsidRPr="00A825BB" w:rsidRDefault="00DB29B8">
      <w:pPr>
        <w:pStyle w:val="FootnoteText"/>
      </w:pPr>
      <w:r>
        <w:rPr>
          <w:rStyle w:val="FootnoteReference"/>
        </w:rPr>
        <w:footnoteRef/>
      </w:r>
      <w:r>
        <w:t xml:space="preserve"> Appellate Body report, </w:t>
      </w:r>
      <w:r>
        <w:rPr>
          <w:i/>
          <w:iCs/>
        </w:rPr>
        <w:t>US – Hot-Rolled Steel (2001)</w:t>
      </w:r>
      <w:r>
        <w:t xml:space="preserve">, para. 223. </w:t>
      </w:r>
    </w:p>
  </w:footnote>
  <w:footnote w:id="52">
    <w:p w14:paraId="423FA3A7" w14:textId="519932AB" w:rsidR="00DB29B8" w:rsidRPr="00A825BB" w:rsidRDefault="00DB29B8">
      <w:pPr>
        <w:pStyle w:val="FootnoteText"/>
      </w:pPr>
      <w:r>
        <w:rPr>
          <w:rStyle w:val="FootnoteReference"/>
        </w:rPr>
        <w:footnoteRef/>
      </w:r>
      <w:r>
        <w:t xml:space="preserve"> Appellate Body report, </w:t>
      </w:r>
      <w:r>
        <w:rPr>
          <w:i/>
          <w:iCs/>
        </w:rPr>
        <w:t>US – Hot-Rolled Steel (2001)</w:t>
      </w:r>
      <w:r>
        <w:t xml:space="preserve">, para. 226. </w:t>
      </w:r>
    </w:p>
  </w:footnote>
  <w:footnote w:id="53">
    <w:p w14:paraId="0559CB9C" w14:textId="15E29EB4" w:rsidR="00DB29B8" w:rsidRPr="00901D62" w:rsidRDefault="00DB29B8" w:rsidP="04A8E358">
      <w:pPr>
        <w:pStyle w:val="FootnoteText"/>
        <w:rPr>
          <w:i/>
          <w:iCs/>
        </w:rPr>
      </w:pPr>
      <w:r>
        <w:rPr>
          <w:rStyle w:val="FootnoteReference"/>
        </w:rPr>
        <w:footnoteRef/>
      </w:r>
      <w:r>
        <w:t xml:space="preserve"> </w:t>
      </w:r>
      <w:r w:rsidRPr="00BA1ED9">
        <w:t xml:space="preserve">Appellate Body </w:t>
      </w:r>
      <w:r>
        <w:t>r</w:t>
      </w:r>
      <w:r w:rsidRPr="00BA1ED9">
        <w:t>eport</w:t>
      </w:r>
      <w:r>
        <w:t>s</w:t>
      </w:r>
      <w:r w:rsidRPr="00BA1ED9">
        <w:t xml:space="preserve">, </w:t>
      </w:r>
      <w:r w:rsidRPr="04A8E358">
        <w:rPr>
          <w:i/>
          <w:iCs/>
        </w:rPr>
        <w:t>EU – PET (Pakistan)</w:t>
      </w:r>
      <w:r>
        <w:t xml:space="preserve">, para. 5.169; </w:t>
      </w:r>
      <w:r w:rsidRPr="04A8E358">
        <w:rPr>
          <w:i/>
          <w:iCs/>
        </w:rPr>
        <w:t>US – Wheat Gluten</w:t>
      </w:r>
      <w:r>
        <w:t>, para. 67. While these cases relate to Article 15.5 of the SCM Agreement and Article 4.2 of the Agreement on Safeguards, respectively, Australia notes that the Appellate Body has found that in interpreting the elements of a non-attribution analysis under Articles 3.5 and 15.5 of the Anti-Dumping and SCM Agreement, respectively, the Agreement on Safeguards can provide guidance (</w:t>
      </w:r>
      <w:r w:rsidRPr="04A8E358">
        <w:rPr>
          <w:i/>
          <w:iCs/>
        </w:rPr>
        <w:t>US – Hot-Rolled Steel</w:t>
      </w:r>
      <w:r>
        <w:t xml:space="preserve">, para. 230). </w:t>
      </w:r>
    </w:p>
  </w:footnote>
  <w:footnote w:id="54">
    <w:p w14:paraId="742E35A8" w14:textId="1326ABD4" w:rsidR="00DB29B8" w:rsidRDefault="00DB29B8">
      <w:pPr>
        <w:pStyle w:val="FootnoteText"/>
      </w:pPr>
      <w:r>
        <w:rPr>
          <w:rStyle w:val="FootnoteReference"/>
        </w:rPr>
        <w:footnoteRef/>
      </w:r>
      <w:r>
        <w:t xml:space="preserve"> </w:t>
      </w:r>
      <w:r>
        <w:rPr>
          <w:lang w:val="en-GB"/>
        </w:rPr>
        <w:t xml:space="preserve">Appellate Body report, </w:t>
      </w:r>
      <w:r>
        <w:rPr>
          <w:i/>
          <w:iCs/>
          <w:lang w:val="en-GB"/>
        </w:rPr>
        <w:t>EU – PET (Pakistan)</w:t>
      </w:r>
      <w:r>
        <w:rPr>
          <w:lang w:val="en-GB"/>
        </w:rPr>
        <w:t>, para. 5.169.</w:t>
      </w:r>
    </w:p>
  </w:footnote>
  <w:footnote w:id="55">
    <w:p w14:paraId="225403DF" w14:textId="334EFCF6" w:rsidR="00DB29B8" w:rsidRPr="00B76B4C" w:rsidRDefault="00DB29B8" w:rsidP="00B035A6">
      <w:pPr>
        <w:pStyle w:val="FootnoteText"/>
      </w:pPr>
      <w:r>
        <w:rPr>
          <w:rStyle w:val="FootnoteReference"/>
        </w:rPr>
        <w:footnoteRef/>
      </w:r>
      <w:r>
        <w:t xml:space="preserve"> </w:t>
      </w:r>
      <w:r>
        <w:rPr>
          <w:lang w:val="en-GB"/>
        </w:rPr>
        <w:t xml:space="preserve">Appellate Body report, </w:t>
      </w:r>
      <w:r>
        <w:rPr>
          <w:i/>
          <w:iCs/>
          <w:lang w:val="en-GB"/>
        </w:rPr>
        <w:t>EU – PET (Pakistan)</w:t>
      </w:r>
      <w:r>
        <w:rPr>
          <w:lang w:val="en-GB"/>
        </w:rPr>
        <w:t>,</w:t>
      </w:r>
      <w:r>
        <w:t xml:space="preserve"> para. 5.169. </w:t>
      </w:r>
    </w:p>
  </w:footnote>
  <w:footnote w:id="56">
    <w:p w14:paraId="64620123" w14:textId="31EF0AA0" w:rsidR="00DB29B8" w:rsidRDefault="00DB29B8">
      <w:pPr>
        <w:pStyle w:val="FootnoteText"/>
      </w:pPr>
      <w:r>
        <w:rPr>
          <w:rStyle w:val="FootnoteReference"/>
        </w:rPr>
        <w:footnoteRef/>
      </w:r>
      <w:r>
        <w:t xml:space="preserve"> </w:t>
      </w:r>
      <w:r w:rsidRPr="00471785">
        <w:t>MOFCOM’s Final Determination, (Exhibit JPN-</w:t>
      </w:r>
      <w:proofErr w:type="gramStart"/>
      <w:r w:rsidRPr="00471785">
        <w:t>5.b</w:t>
      </w:r>
      <w:proofErr w:type="gramEnd"/>
      <w:r w:rsidRPr="00471785">
        <w:t>), page 53</w:t>
      </w:r>
      <w:r>
        <w:t>..</w:t>
      </w:r>
    </w:p>
  </w:footnote>
  <w:footnote w:id="57">
    <w:p w14:paraId="7EF13DDF" w14:textId="14770CB9" w:rsidR="00DB29B8" w:rsidRDefault="00DB29B8">
      <w:pPr>
        <w:pStyle w:val="FootnoteText"/>
      </w:pPr>
      <w:r>
        <w:rPr>
          <w:rStyle w:val="FootnoteReference"/>
        </w:rPr>
        <w:footnoteRef/>
      </w:r>
      <w:r>
        <w:t xml:space="preserve"> Appellate Body report, </w:t>
      </w:r>
      <w:r w:rsidRPr="0839184D">
        <w:rPr>
          <w:i/>
          <w:iCs/>
        </w:rPr>
        <w:t>EC – Tube or Pipe Fittings</w:t>
      </w:r>
      <w:r w:rsidRPr="0839184D">
        <w:t>, para. 138</w:t>
      </w:r>
      <w:r>
        <w:t>.</w:t>
      </w:r>
    </w:p>
  </w:footnote>
  <w:footnote w:id="58">
    <w:p w14:paraId="1EF5AACF" w14:textId="6DE5B26D" w:rsidR="00DB29B8" w:rsidRDefault="00DB29B8">
      <w:pPr>
        <w:pStyle w:val="FootnoteText"/>
      </w:pPr>
      <w:r>
        <w:rPr>
          <w:rStyle w:val="FootnoteReference"/>
        </w:rPr>
        <w:footnoteRef/>
      </w:r>
      <w:r>
        <w:t xml:space="preserve"> Japan’s first written submission, para. 493. </w:t>
      </w:r>
    </w:p>
  </w:footnote>
  <w:footnote w:id="59">
    <w:p w14:paraId="63C73EAD" w14:textId="0044A1A7" w:rsidR="00DB29B8" w:rsidRDefault="00DB29B8">
      <w:pPr>
        <w:pStyle w:val="FootnoteText"/>
      </w:pPr>
      <w:r>
        <w:rPr>
          <w:rStyle w:val="FootnoteReference"/>
        </w:rPr>
        <w:footnoteRef/>
      </w:r>
      <w:r>
        <w:t xml:space="preserve"> Japan’s first written submission, para. 493.</w:t>
      </w:r>
    </w:p>
  </w:footnote>
  <w:footnote w:id="60">
    <w:p w14:paraId="4ABDBD1F" w14:textId="1B4251D6" w:rsidR="00DB29B8" w:rsidRDefault="00DB29B8">
      <w:pPr>
        <w:pStyle w:val="FootnoteText"/>
      </w:pPr>
      <w:r>
        <w:rPr>
          <w:rStyle w:val="FootnoteReference"/>
        </w:rPr>
        <w:footnoteRef/>
      </w:r>
      <w:r>
        <w:t xml:space="preserve"> China's first written submission, paras. 700, 704.</w:t>
      </w:r>
    </w:p>
  </w:footnote>
  <w:footnote w:id="61">
    <w:p w14:paraId="587C359A" w14:textId="7AA502A6" w:rsidR="00DB29B8" w:rsidRDefault="00DB29B8">
      <w:pPr>
        <w:pStyle w:val="FootnoteText"/>
      </w:pPr>
      <w:r>
        <w:rPr>
          <w:rStyle w:val="FootnoteReference"/>
        </w:rPr>
        <w:footnoteRef/>
      </w:r>
      <w:r>
        <w:t xml:space="preserve"> China's first written submission, para. 732.</w:t>
      </w:r>
    </w:p>
  </w:footnote>
  <w:footnote w:id="62">
    <w:p w14:paraId="5AEBE129" w14:textId="54236050" w:rsidR="00DB29B8" w:rsidRDefault="00DB29B8">
      <w:pPr>
        <w:pStyle w:val="FootnoteText"/>
      </w:pPr>
      <w:r>
        <w:rPr>
          <w:rStyle w:val="FootnoteReference"/>
        </w:rPr>
        <w:footnoteRef/>
      </w:r>
      <w:r>
        <w:t xml:space="preserve"> China's first written submission, para. 731.</w:t>
      </w:r>
    </w:p>
  </w:footnote>
  <w:footnote w:id="63">
    <w:p w14:paraId="042D0BCA" w14:textId="7FCE8A84" w:rsidR="00DB29B8" w:rsidRPr="000673C5" w:rsidRDefault="00DB29B8" w:rsidP="00EA158A">
      <w:pPr>
        <w:pStyle w:val="FootnoteText"/>
      </w:pPr>
      <w:r w:rsidRPr="000673C5">
        <w:rPr>
          <w:rStyle w:val="FootnoteReference"/>
        </w:rPr>
        <w:footnoteRef/>
      </w:r>
      <w:r w:rsidRPr="000673C5">
        <w:t xml:space="preserve"> </w:t>
      </w:r>
      <w:r w:rsidRPr="000673C5">
        <w:rPr>
          <w:rFonts w:cs="Calibri"/>
          <w:szCs w:val="18"/>
        </w:rPr>
        <w:t xml:space="preserve">Panel </w:t>
      </w:r>
      <w:r>
        <w:rPr>
          <w:rFonts w:cs="Calibri"/>
          <w:szCs w:val="18"/>
        </w:rPr>
        <w:t>re</w:t>
      </w:r>
      <w:r w:rsidRPr="000673C5">
        <w:rPr>
          <w:rFonts w:cs="Calibri"/>
          <w:szCs w:val="18"/>
        </w:rPr>
        <w:t xml:space="preserve">port, </w:t>
      </w:r>
      <w:r w:rsidRPr="000673C5">
        <w:rPr>
          <w:rFonts w:ascii="Calibri-Italic" w:hAnsi="Calibri-Italic" w:cs="Calibri-Italic"/>
          <w:i/>
          <w:iCs/>
          <w:szCs w:val="18"/>
        </w:rPr>
        <w:t>Mexico – Steel Pipes and Tubes</w:t>
      </w:r>
      <w:r w:rsidRPr="000673C5">
        <w:rPr>
          <w:rFonts w:cs="Calibri"/>
          <w:szCs w:val="18"/>
        </w:rPr>
        <w:t xml:space="preserve">, </w:t>
      </w:r>
      <w:r>
        <w:rPr>
          <w:rFonts w:cs="Calibri"/>
          <w:szCs w:val="18"/>
        </w:rPr>
        <w:t xml:space="preserve">para. </w:t>
      </w:r>
      <w:r w:rsidRPr="000673C5">
        <w:rPr>
          <w:rFonts w:cs="Calibri"/>
          <w:szCs w:val="18"/>
        </w:rPr>
        <w:t>7.380.</w:t>
      </w:r>
    </w:p>
  </w:footnote>
  <w:footnote w:id="64">
    <w:p w14:paraId="16C353DB" w14:textId="159A1491" w:rsidR="00DB29B8" w:rsidRDefault="00DB29B8" w:rsidP="00EA158A">
      <w:pPr>
        <w:pStyle w:val="FootnoteText"/>
      </w:pPr>
      <w:r>
        <w:rPr>
          <w:rStyle w:val="FootnoteReference"/>
        </w:rPr>
        <w:footnoteRef/>
      </w:r>
      <w:r>
        <w:t xml:space="preserve"> Appellate Body report, </w:t>
      </w:r>
      <w:r>
        <w:rPr>
          <w:i/>
          <w:iCs/>
        </w:rPr>
        <w:t>EC – Fasteners (China)</w:t>
      </w:r>
      <w:r>
        <w:t>, para. 537.</w:t>
      </w:r>
    </w:p>
  </w:footnote>
  <w:footnote w:id="65">
    <w:p w14:paraId="5E74C582" w14:textId="66E0EE45" w:rsidR="00DB29B8" w:rsidRPr="00D6006C" w:rsidRDefault="00DB29B8" w:rsidP="00EA158A">
      <w:pPr>
        <w:pStyle w:val="FootnoteText"/>
      </w:pPr>
      <w:r w:rsidRPr="00D6006C">
        <w:rPr>
          <w:rStyle w:val="FootnoteReference"/>
        </w:rPr>
        <w:footnoteRef/>
      </w:r>
      <w:r w:rsidRPr="00D6006C">
        <w:t xml:space="preserve"> </w:t>
      </w:r>
      <w:r>
        <w:t xml:space="preserve">Appellate Body report, </w:t>
      </w:r>
      <w:r>
        <w:rPr>
          <w:i/>
          <w:iCs/>
        </w:rPr>
        <w:t>EC – Fasteners (China)</w:t>
      </w:r>
      <w:r>
        <w:rPr>
          <w:rFonts w:cs="Calibri"/>
          <w:szCs w:val="18"/>
        </w:rPr>
        <w:t>,</w:t>
      </w:r>
      <w:r w:rsidRPr="00D6006C">
        <w:rPr>
          <w:rFonts w:cs="Calibri"/>
          <w:szCs w:val="18"/>
        </w:rPr>
        <w:t xml:space="preserve"> paras. 541-542. See also Panel Reports, </w:t>
      </w:r>
      <w:r w:rsidRPr="00D6006C">
        <w:rPr>
          <w:rFonts w:ascii="Calibri-Italic" w:hAnsi="Calibri-Italic" w:cs="Calibri-Italic"/>
          <w:i/>
          <w:iCs/>
          <w:szCs w:val="18"/>
        </w:rPr>
        <w:t>China – Broiler Products</w:t>
      </w:r>
      <w:r w:rsidRPr="00D6006C">
        <w:rPr>
          <w:rFonts w:cs="Calibri"/>
          <w:szCs w:val="18"/>
        </w:rPr>
        <w:t xml:space="preserve">, </w:t>
      </w:r>
      <w:r>
        <w:rPr>
          <w:rFonts w:cs="Calibri"/>
          <w:szCs w:val="18"/>
        </w:rPr>
        <w:t xml:space="preserve">para. </w:t>
      </w:r>
      <w:r w:rsidRPr="00D6006C">
        <w:rPr>
          <w:rFonts w:cs="Calibri"/>
          <w:szCs w:val="18"/>
        </w:rPr>
        <w:t xml:space="preserve">7.50; </w:t>
      </w:r>
      <w:r w:rsidRPr="00D6006C">
        <w:rPr>
          <w:rFonts w:ascii="Calibri-Italic" w:hAnsi="Calibri-Italic" w:cs="Calibri-Italic"/>
          <w:i/>
          <w:iCs/>
          <w:szCs w:val="18"/>
        </w:rPr>
        <w:t>China – GOES</w:t>
      </w:r>
      <w:r w:rsidRPr="00D6006C">
        <w:rPr>
          <w:rFonts w:cs="Calibri"/>
          <w:szCs w:val="18"/>
        </w:rPr>
        <w:t xml:space="preserve">, </w:t>
      </w:r>
      <w:r>
        <w:rPr>
          <w:rFonts w:cs="Calibri"/>
          <w:szCs w:val="18"/>
        </w:rPr>
        <w:t xml:space="preserve">para. </w:t>
      </w:r>
      <w:r w:rsidRPr="00D6006C">
        <w:rPr>
          <w:rFonts w:cs="Calibri"/>
          <w:szCs w:val="18"/>
        </w:rPr>
        <w:t xml:space="preserve">7.188; </w:t>
      </w:r>
      <w:r w:rsidRPr="00D6006C">
        <w:rPr>
          <w:rFonts w:ascii="Calibri-Italic" w:hAnsi="Calibri-Italic" w:cs="Calibri-Italic"/>
          <w:i/>
          <w:iCs/>
          <w:szCs w:val="18"/>
        </w:rPr>
        <w:t>Mexico – Steel Pipes and Tubes</w:t>
      </w:r>
      <w:r w:rsidRPr="00D6006C">
        <w:rPr>
          <w:rFonts w:cs="Calibri"/>
          <w:szCs w:val="18"/>
        </w:rPr>
        <w:t xml:space="preserve">, </w:t>
      </w:r>
      <w:r>
        <w:rPr>
          <w:rFonts w:cs="Calibri"/>
          <w:szCs w:val="18"/>
        </w:rPr>
        <w:t xml:space="preserve">paras. </w:t>
      </w:r>
      <w:r w:rsidRPr="00D6006C">
        <w:rPr>
          <w:rFonts w:cs="Calibri"/>
          <w:szCs w:val="18"/>
        </w:rPr>
        <w:t xml:space="preserve">7.379-7.380; and </w:t>
      </w:r>
      <w:r w:rsidRPr="00D6006C">
        <w:rPr>
          <w:rFonts w:ascii="Calibri-Italic" w:hAnsi="Calibri-Italic" w:cs="Calibri-Italic"/>
          <w:i/>
          <w:iCs/>
          <w:szCs w:val="18"/>
        </w:rPr>
        <w:t>US – Oil Country Tubular Goods Sunset Reviews (Article 21.5 – Argentina)</w:t>
      </w:r>
      <w:r w:rsidRPr="00D6006C">
        <w:rPr>
          <w:rFonts w:cs="Calibri"/>
          <w:szCs w:val="18"/>
        </w:rPr>
        <w:t xml:space="preserve">, </w:t>
      </w:r>
      <w:r>
        <w:rPr>
          <w:rFonts w:cs="Calibri"/>
          <w:szCs w:val="18"/>
        </w:rPr>
        <w:t xml:space="preserve">para. </w:t>
      </w:r>
      <w:r w:rsidRPr="00D6006C">
        <w:rPr>
          <w:rFonts w:cs="Calibri"/>
          <w:szCs w:val="18"/>
        </w:rPr>
        <w:t>7.133.</w:t>
      </w:r>
    </w:p>
  </w:footnote>
  <w:footnote w:id="66">
    <w:p w14:paraId="40C9FAF9" w14:textId="725F54BB" w:rsidR="00DB29B8" w:rsidRPr="00D6006C" w:rsidRDefault="00DB29B8" w:rsidP="00EA158A">
      <w:pPr>
        <w:pStyle w:val="FootnoteText"/>
      </w:pPr>
      <w:r w:rsidRPr="00D6006C">
        <w:rPr>
          <w:rStyle w:val="FootnoteReference"/>
        </w:rPr>
        <w:footnoteRef/>
      </w:r>
      <w:r w:rsidRPr="00D6006C">
        <w:t xml:space="preserve"> Appellate Body </w:t>
      </w:r>
      <w:r>
        <w:t>r</w:t>
      </w:r>
      <w:r w:rsidRPr="00D6006C">
        <w:t xml:space="preserve">eport, </w:t>
      </w:r>
      <w:r w:rsidRPr="00D6006C">
        <w:rPr>
          <w:i/>
          <w:iCs/>
        </w:rPr>
        <w:t>EC – Fasteners (China)</w:t>
      </w:r>
      <w:r w:rsidRPr="00D6006C">
        <w:t xml:space="preserve">, </w:t>
      </w:r>
      <w:r>
        <w:t xml:space="preserve">para. </w:t>
      </w:r>
      <w:r w:rsidRPr="00D6006C">
        <w:t>543.</w:t>
      </w:r>
    </w:p>
  </w:footnote>
  <w:footnote w:id="67">
    <w:p w14:paraId="1FADE7C5" w14:textId="50A7E34B" w:rsidR="00DB29B8" w:rsidRPr="00F01AAE" w:rsidRDefault="00DB29B8" w:rsidP="00EA158A">
      <w:pPr>
        <w:pStyle w:val="FootnoteText"/>
      </w:pPr>
      <w:r w:rsidRPr="00D6006C">
        <w:rPr>
          <w:rStyle w:val="FootnoteReference"/>
        </w:rPr>
        <w:footnoteRef/>
      </w:r>
      <w:r w:rsidRPr="00D6006C">
        <w:t xml:space="preserve"> </w:t>
      </w:r>
      <w:r>
        <w:t xml:space="preserve">Appellate Body report, </w:t>
      </w:r>
      <w:r>
        <w:rPr>
          <w:i/>
          <w:iCs/>
        </w:rPr>
        <w:t>EC – Fasteners (China)</w:t>
      </w:r>
      <w:r>
        <w:t xml:space="preserve">, para. 543. </w:t>
      </w:r>
    </w:p>
  </w:footnote>
  <w:footnote w:id="68">
    <w:p w14:paraId="0C0C7258" w14:textId="00099B5C" w:rsidR="00DB29B8" w:rsidRDefault="00DB29B8">
      <w:pPr>
        <w:pStyle w:val="FootnoteText"/>
      </w:pPr>
      <w:r>
        <w:rPr>
          <w:rStyle w:val="FootnoteReference"/>
        </w:rPr>
        <w:footnoteRef/>
      </w:r>
      <w:r>
        <w:t xml:space="preserve"> See, for example, Appellate Body reports, </w:t>
      </w:r>
      <w:r w:rsidRPr="00995C2B">
        <w:rPr>
          <w:rFonts w:eastAsia="Calibri" w:cs="Calibri"/>
          <w:i/>
          <w:iCs/>
        </w:rPr>
        <w:t>China – HP-SSST (Japan) / China – HP-SSST (EU)</w:t>
      </w:r>
      <w:r w:rsidRPr="0839184D">
        <w:rPr>
          <w:rFonts w:eastAsia="Calibri" w:cs="Calibri"/>
        </w:rPr>
        <w:t xml:space="preserve">, para. 5.97, </w:t>
      </w:r>
      <w:r w:rsidRPr="0839184D">
        <w:rPr>
          <w:i/>
          <w:iCs/>
        </w:rPr>
        <w:t>Korea – Pneumatic Valves</w:t>
      </w:r>
      <w:r>
        <w:rPr>
          <w:i/>
          <w:iCs/>
        </w:rPr>
        <w:t xml:space="preserve"> (Japan)</w:t>
      </w:r>
      <w:r w:rsidRPr="0839184D">
        <w:t xml:space="preserve">, para. 5.221 and </w:t>
      </w:r>
      <w:r w:rsidRPr="00995C2B">
        <w:rPr>
          <w:rFonts w:eastAsia="Calibri" w:cs="Calibri"/>
          <w:i/>
          <w:iCs/>
        </w:rPr>
        <w:t>Russia – Commercial Vehicles</w:t>
      </w:r>
      <w:r w:rsidRPr="0839184D">
        <w:rPr>
          <w:rFonts w:eastAsia="Calibri" w:cs="Calibri"/>
        </w:rPr>
        <w:t>, para. 5.102.</w:t>
      </w:r>
    </w:p>
  </w:footnote>
  <w:footnote w:id="69">
    <w:p w14:paraId="017ABA58" w14:textId="2010CFC2" w:rsidR="00DB29B8" w:rsidRDefault="00DB29B8">
      <w:pPr>
        <w:pStyle w:val="FootnoteText"/>
      </w:pPr>
      <w:r>
        <w:rPr>
          <w:rStyle w:val="FootnoteReference"/>
        </w:rPr>
        <w:footnoteRef/>
      </w:r>
      <w:r>
        <w:t xml:space="preserve"> Appellate Body report, </w:t>
      </w:r>
      <w:r w:rsidRPr="0839184D">
        <w:rPr>
          <w:rFonts w:eastAsia="Calibri" w:cs="Calibri"/>
          <w:i/>
          <w:iCs/>
        </w:rPr>
        <w:t>China – HP-SSST (Japan) / China – HP-SSST (EU)</w:t>
      </w:r>
      <w:r w:rsidRPr="0839184D">
        <w:rPr>
          <w:rFonts w:eastAsia="Calibri" w:cs="Calibri"/>
        </w:rPr>
        <w:t>, para. 5.97</w:t>
      </w:r>
      <w:r>
        <w:rPr>
          <w:rFonts w:eastAsia="Calibri" w:cs="Calibri"/>
        </w:rPr>
        <w:t>.</w:t>
      </w:r>
    </w:p>
  </w:footnote>
  <w:footnote w:id="70">
    <w:p w14:paraId="7E07F37E" w14:textId="755BAC09" w:rsidR="00DB29B8" w:rsidRDefault="00DB29B8">
      <w:pPr>
        <w:pStyle w:val="FootnoteText"/>
      </w:pPr>
      <w:r>
        <w:rPr>
          <w:rStyle w:val="FootnoteReference"/>
        </w:rPr>
        <w:footnoteRef/>
      </w:r>
      <w:r>
        <w:t xml:space="preserve"> Japan’s first written submission, para. 529. </w:t>
      </w:r>
    </w:p>
  </w:footnote>
  <w:footnote w:id="71">
    <w:p w14:paraId="28EBFC9A" w14:textId="58E3C895" w:rsidR="00DB29B8" w:rsidRDefault="00DB29B8">
      <w:pPr>
        <w:pStyle w:val="FootnoteText"/>
      </w:pPr>
      <w:r>
        <w:rPr>
          <w:rStyle w:val="FootnoteReference"/>
        </w:rPr>
        <w:footnoteRef/>
      </w:r>
      <w:r>
        <w:t xml:space="preserve"> Japan’s first written submission, para. 531.  </w:t>
      </w:r>
    </w:p>
  </w:footnote>
  <w:footnote w:id="72">
    <w:p w14:paraId="40BA9FE4" w14:textId="57F008EB" w:rsidR="00DB29B8" w:rsidRDefault="00DB29B8">
      <w:pPr>
        <w:pStyle w:val="FootnoteText"/>
      </w:pPr>
      <w:r>
        <w:rPr>
          <w:rStyle w:val="FootnoteReference"/>
        </w:rPr>
        <w:footnoteRef/>
      </w:r>
      <w:r>
        <w:t xml:space="preserve"> China’s first written submission, paras. 754 and 755.</w:t>
      </w:r>
    </w:p>
  </w:footnote>
  <w:footnote w:id="73">
    <w:p w14:paraId="14441C63" w14:textId="41FCC88E" w:rsidR="00DB29B8" w:rsidRPr="00A71A4A" w:rsidRDefault="00DB29B8" w:rsidP="001134A1">
      <w:pPr>
        <w:pStyle w:val="FootnoteText"/>
      </w:pPr>
      <w:r>
        <w:rPr>
          <w:rStyle w:val="FootnoteReference"/>
        </w:rPr>
        <w:footnoteRef/>
      </w:r>
      <w:r>
        <w:t xml:space="preserve"> Appellate Body report, </w:t>
      </w:r>
      <w:r>
        <w:rPr>
          <w:i/>
          <w:iCs/>
        </w:rPr>
        <w:t>China – GOES</w:t>
      </w:r>
      <w:r>
        <w:t xml:space="preserve">, para. 240, See also Appellate Body report </w:t>
      </w:r>
      <w:r>
        <w:rPr>
          <w:i/>
          <w:iCs/>
        </w:rPr>
        <w:t xml:space="preserve">Russia – Commercial Vehicles, </w:t>
      </w:r>
      <w:r>
        <w:t xml:space="preserve">para. 5.177. </w:t>
      </w:r>
    </w:p>
  </w:footnote>
  <w:footnote w:id="74">
    <w:p w14:paraId="6D90F4A8" w14:textId="6953BF28" w:rsidR="00DB29B8" w:rsidRDefault="00DB29B8">
      <w:pPr>
        <w:pStyle w:val="FootnoteText"/>
      </w:pPr>
      <w:r>
        <w:rPr>
          <w:rStyle w:val="FootnoteReference"/>
        </w:rPr>
        <w:footnoteRef/>
      </w:r>
      <w:r>
        <w:t xml:space="preserve"> Article 6.9 Anti-Dumping Agreement.</w:t>
      </w:r>
    </w:p>
  </w:footnote>
  <w:footnote w:id="75">
    <w:p w14:paraId="56A02B76" w14:textId="2B953338" w:rsidR="00DB29B8" w:rsidRDefault="00DB29B8" w:rsidP="00B33D3C">
      <w:pPr>
        <w:pStyle w:val="FootnoteText"/>
      </w:pPr>
      <w:r>
        <w:rPr>
          <w:rStyle w:val="FootnoteReference"/>
        </w:rPr>
        <w:footnoteRef/>
      </w:r>
      <w:r>
        <w:t xml:space="preserve"> Article 6.9 Anti-Dumping Agreement. </w:t>
      </w:r>
    </w:p>
  </w:footnote>
  <w:footnote w:id="76">
    <w:p w14:paraId="6DA124B7" w14:textId="635B5C79" w:rsidR="00DB29B8" w:rsidRPr="009545CB" w:rsidRDefault="00DB29B8" w:rsidP="00EA158A">
      <w:pPr>
        <w:pStyle w:val="Default"/>
        <w:rPr>
          <w:rFonts w:ascii="Calibri" w:hAnsi="Calibri" w:cs="Calibri"/>
          <w:sz w:val="18"/>
          <w:szCs w:val="18"/>
        </w:rPr>
      </w:pPr>
      <w:r w:rsidRPr="00876E04">
        <w:rPr>
          <w:rStyle w:val="FootnoteReference"/>
          <w:rFonts w:cstheme="minorBidi"/>
          <w:color w:val="auto"/>
          <w:sz w:val="18"/>
          <w:szCs w:val="20"/>
        </w:rPr>
        <w:footnoteRef/>
      </w:r>
      <w:r w:rsidRPr="00876E04">
        <w:rPr>
          <w:rStyle w:val="FootnoteReference"/>
          <w:rFonts w:cstheme="minorBidi"/>
          <w:color w:val="auto"/>
          <w:sz w:val="18"/>
          <w:szCs w:val="20"/>
        </w:rPr>
        <w:t xml:space="preserve"> </w:t>
      </w:r>
      <w:r w:rsidRPr="007B2967">
        <w:rPr>
          <w:rFonts w:ascii="Calibri" w:hAnsi="Calibri" w:cs="Calibri"/>
          <w:sz w:val="18"/>
          <w:szCs w:val="18"/>
        </w:rPr>
        <w:t xml:space="preserve">Appellate Body </w:t>
      </w:r>
      <w:r>
        <w:rPr>
          <w:rFonts w:ascii="Calibri" w:hAnsi="Calibri" w:cs="Calibri"/>
          <w:sz w:val="18"/>
          <w:szCs w:val="18"/>
        </w:rPr>
        <w:t>r</w:t>
      </w:r>
      <w:r w:rsidRPr="007B2967">
        <w:rPr>
          <w:rFonts w:ascii="Calibri" w:hAnsi="Calibri" w:cs="Calibri"/>
          <w:sz w:val="18"/>
          <w:szCs w:val="18"/>
        </w:rPr>
        <w:t xml:space="preserve">eport, </w:t>
      </w:r>
      <w:r w:rsidRPr="007B2967">
        <w:rPr>
          <w:rFonts w:ascii="Calibri" w:hAnsi="Calibri" w:cs="Calibri"/>
          <w:i/>
          <w:iCs/>
          <w:sz w:val="18"/>
          <w:szCs w:val="18"/>
        </w:rPr>
        <w:t xml:space="preserve">China – </w:t>
      </w:r>
      <w:r w:rsidRPr="00CB2E6D">
        <w:rPr>
          <w:rFonts w:ascii="Calibri" w:hAnsi="Calibri" w:cs="Calibri"/>
          <w:i/>
          <w:iCs/>
          <w:sz w:val="18"/>
          <w:szCs w:val="18"/>
        </w:rPr>
        <w:t>GOES</w:t>
      </w:r>
      <w:r w:rsidRPr="00CB2E6D">
        <w:rPr>
          <w:rFonts w:ascii="Calibri" w:hAnsi="Calibri" w:cs="Calibri"/>
          <w:sz w:val="18"/>
          <w:szCs w:val="18"/>
        </w:rPr>
        <w:t xml:space="preserve">, </w:t>
      </w:r>
      <w:r>
        <w:rPr>
          <w:rFonts w:ascii="Calibri" w:hAnsi="Calibri" w:cs="Calibri"/>
          <w:sz w:val="18"/>
          <w:szCs w:val="18"/>
        </w:rPr>
        <w:t xml:space="preserve">para. </w:t>
      </w:r>
      <w:r w:rsidRPr="00CB2E6D">
        <w:rPr>
          <w:rFonts w:ascii="Calibri" w:hAnsi="Calibri" w:cs="Calibri"/>
          <w:sz w:val="18"/>
          <w:szCs w:val="18"/>
        </w:rPr>
        <w:t xml:space="preserve">240. See also Appellate Body </w:t>
      </w:r>
      <w:r>
        <w:rPr>
          <w:rFonts w:ascii="Calibri" w:hAnsi="Calibri" w:cs="Calibri"/>
          <w:sz w:val="18"/>
          <w:szCs w:val="18"/>
        </w:rPr>
        <w:t>R</w:t>
      </w:r>
      <w:r w:rsidRPr="00CB2E6D">
        <w:rPr>
          <w:rFonts w:ascii="Calibri" w:hAnsi="Calibri" w:cs="Calibri"/>
          <w:sz w:val="18"/>
          <w:szCs w:val="18"/>
        </w:rPr>
        <w:t xml:space="preserve">eport, </w:t>
      </w:r>
      <w:r w:rsidRPr="00CB2E6D">
        <w:rPr>
          <w:rFonts w:ascii="Calibri" w:hAnsi="Calibri" w:cs="Calibri"/>
          <w:i/>
          <w:iCs/>
          <w:sz w:val="18"/>
          <w:szCs w:val="18"/>
        </w:rPr>
        <w:t>China – HP-SSST (Japan) / China – HP-SSST (EU)</w:t>
      </w:r>
      <w:r w:rsidRPr="00CB2E6D">
        <w:rPr>
          <w:rFonts w:ascii="Calibri" w:hAnsi="Calibri" w:cs="Calibri"/>
          <w:sz w:val="18"/>
          <w:szCs w:val="18"/>
        </w:rPr>
        <w:t xml:space="preserve">, </w:t>
      </w:r>
      <w:r>
        <w:rPr>
          <w:rFonts w:ascii="Calibri" w:hAnsi="Calibri" w:cs="Calibri"/>
          <w:sz w:val="18"/>
          <w:szCs w:val="18"/>
        </w:rPr>
        <w:t xml:space="preserve">para. </w:t>
      </w:r>
      <w:r w:rsidRPr="00CB2E6D">
        <w:rPr>
          <w:rFonts w:ascii="Calibri" w:hAnsi="Calibri" w:cs="Calibri"/>
          <w:sz w:val="18"/>
          <w:szCs w:val="18"/>
        </w:rPr>
        <w:t xml:space="preserve">5.130. </w:t>
      </w:r>
    </w:p>
  </w:footnote>
  <w:footnote w:id="77">
    <w:p w14:paraId="06B6145F" w14:textId="4581A7B0" w:rsidR="00DB29B8" w:rsidRDefault="00DB29B8">
      <w:pPr>
        <w:pStyle w:val="FootnoteText"/>
      </w:pPr>
      <w:r>
        <w:rPr>
          <w:rStyle w:val="FootnoteReference"/>
        </w:rPr>
        <w:footnoteRef/>
      </w:r>
      <w:r>
        <w:t xml:space="preserve"> Appellate Body report, </w:t>
      </w:r>
      <w:r w:rsidRPr="046131D9">
        <w:rPr>
          <w:i/>
          <w:iCs/>
        </w:rPr>
        <w:t>China – GOES</w:t>
      </w:r>
      <w:r w:rsidRPr="00995C2B">
        <w:t>, fn</w:t>
      </w:r>
      <w:r w:rsidRPr="046131D9">
        <w:t xml:space="preserve">. 390, citing Panel report, </w:t>
      </w:r>
      <w:r w:rsidRPr="046131D9">
        <w:rPr>
          <w:i/>
          <w:iCs/>
        </w:rPr>
        <w:t xml:space="preserve">EC – Salmon (Norway), </w:t>
      </w:r>
      <w:r w:rsidRPr="00995C2B">
        <w:t>para. 7.805</w:t>
      </w:r>
      <w:r>
        <w:t>.</w:t>
      </w:r>
    </w:p>
  </w:footnote>
  <w:footnote w:id="78">
    <w:p w14:paraId="5A0A6A81" w14:textId="79CC71FB" w:rsidR="00DB29B8" w:rsidRPr="0095404D" w:rsidRDefault="00DB29B8" w:rsidP="00EA158A">
      <w:pPr>
        <w:pStyle w:val="FootnoteText"/>
        <w:rPr>
          <w:highlight w:val="yellow"/>
        </w:rPr>
      </w:pPr>
      <w:r w:rsidRPr="009545CB">
        <w:rPr>
          <w:rStyle w:val="FootnoteReference"/>
        </w:rPr>
        <w:footnoteRef/>
      </w:r>
      <w:r w:rsidRPr="009545CB">
        <w:t xml:space="preserve"> Panel </w:t>
      </w:r>
      <w:r>
        <w:t>r</w:t>
      </w:r>
      <w:r w:rsidRPr="009545CB">
        <w:t xml:space="preserve">eport, </w:t>
      </w:r>
      <w:r w:rsidRPr="009545CB">
        <w:rPr>
          <w:i/>
          <w:iCs/>
        </w:rPr>
        <w:t>Ukraine – Ammonium Nitrate</w:t>
      </w:r>
      <w:r w:rsidRPr="009545CB">
        <w:t>, para. 7.227.</w:t>
      </w:r>
    </w:p>
  </w:footnote>
  <w:footnote w:id="79">
    <w:p w14:paraId="0C70A80D" w14:textId="135BA92C" w:rsidR="00DB29B8" w:rsidRPr="00162C82" w:rsidRDefault="00DB29B8" w:rsidP="000A5280">
      <w:pPr>
        <w:pStyle w:val="FootnoteText"/>
        <w:rPr>
          <w:lang w:val="en-US"/>
        </w:rPr>
      </w:pPr>
      <w:r>
        <w:rPr>
          <w:rStyle w:val="FootnoteReference"/>
        </w:rPr>
        <w:footnoteRef/>
      </w:r>
      <w:r>
        <w:t xml:space="preserve"> </w:t>
      </w:r>
      <w:r>
        <w:rPr>
          <w:lang w:val="en-US"/>
        </w:rPr>
        <w:t xml:space="preserve">Appellate Body reports, </w:t>
      </w:r>
      <w:r>
        <w:rPr>
          <w:i/>
          <w:lang w:val="en-US"/>
        </w:rPr>
        <w:t xml:space="preserve">Russia – Commercial Vehicles, </w:t>
      </w:r>
      <w:r>
        <w:rPr>
          <w:lang w:val="en-US"/>
        </w:rPr>
        <w:t xml:space="preserve">para. 5.220, </w:t>
      </w:r>
      <w:r w:rsidRPr="00CB2E6D">
        <w:rPr>
          <w:rFonts w:cs="Calibri"/>
          <w:i/>
          <w:iCs/>
          <w:szCs w:val="18"/>
        </w:rPr>
        <w:t>China – HP-SSST (Japan) / China – HP-SSST (EU)</w:t>
      </w:r>
      <w:r w:rsidRPr="00CB2E6D">
        <w:rPr>
          <w:rFonts w:cs="Calibri"/>
          <w:szCs w:val="18"/>
        </w:rPr>
        <w:t xml:space="preserve">, </w:t>
      </w:r>
      <w:r>
        <w:rPr>
          <w:rFonts w:cs="Calibri"/>
          <w:szCs w:val="18"/>
        </w:rPr>
        <w:t xml:space="preserve">para. </w:t>
      </w:r>
      <w:r w:rsidRPr="00CB2E6D">
        <w:rPr>
          <w:rFonts w:cs="Calibri"/>
          <w:szCs w:val="18"/>
        </w:rPr>
        <w:t>5.130.</w:t>
      </w:r>
      <w:r>
        <w:rPr>
          <w:rFonts w:cs="Calibri"/>
          <w:szCs w:val="18"/>
        </w:rPr>
        <w:t xml:space="preserve"> </w:t>
      </w:r>
    </w:p>
  </w:footnote>
  <w:footnote w:id="80">
    <w:p w14:paraId="18073C37" w14:textId="67555DB4" w:rsidR="00DB29B8" w:rsidRDefault="00DB29B8">
      <w:pPr>
        <w:pStyle w:val="FootnoteText"/>
      </w:pPr>
      <w:r>
        <w:rPr>
          <w:rStyle w:val="FootnoteReference"/>
        </w:rPr>
        <w:footnoteRef/>
      </w:r>
      <w:r>
        <w:t xml:space="preserve"> Japan’s first written submission, para. 529.</w:t>
      </w:r>
    </w:p>
  </w:footnote>
  <w:footnote w:id="81">
    <w:p w14:paraId="3E273AF9" w14:textId="3A776E8C" w:rsidR="00DB29B8" w:rsidRDefault="00DB29B8">
      <w:pPr>
        <w:pStyle w:val="FootnoteText"/>
      </w:pPr>
      <w:r>
        <w:rPr>
          <w:rStyle w:val="FootnoteReference"/>
        </w:rPr>
        <w:footnoteRef/>
      </w:r>
      <w:r>
        <w:t xml:space="preserve"> Japan’s first written submission, para. 618.</w:t>
      </w:r>
    </w:p>
  </w:footnote>
  <w:footnote w:id="82">
    <w:p w14:paraId="434AAF64" w14:textId="12D8C335" w:rsidR="00DB29B8" w:rsidRDefault="00DB29B8">
      <w:pPr>
        <w:pStyle w:val="FootnoteText"/>
      </w:pPr>
      <w:r>
        <w:rPr>
          <w:rStyle w:val="FootnoteReference"/>
        </w:rPr>
        <w:footnoteRef/>
      </w:r>
      <w:r>
        <w:t xml:space="preserve"> Japan’s first written submission, para. 620.</w:t>
      </w:r>
    </w:p>
  </w:footnote>
  <w:footnote w:id="83">
    <w:p w14:paraId="6983632C" w14:textId="20C593A2" w:rsidR="00DB29B8" w:rsidRDefault="00DB29B8">
      <w:pPr>
        <w:pStyle w:val="FootnoteText"/>
      </w:pPr>
      <w:r>
        <w:rPr>
          <w:rStyle w:val="FootnoteReference"/>
        </w:rPr>
        <w:footnoteRef/>
      </w:r>
      <w:r>
        <w:t xml:space="preserve"> China’s first written submission, para. 909.</w:t>
      </w:r>
    </w:p>
  </w:footnote>
  <w:footnote w:id="84">
    <w:p w14:paraId="3CBC0422" w14:textId="56BD7D59" w:rsidR="00DB29B8" w:rsidRDefault="00DB29B8">
      <w:pPr>
        <w:pStyle w:val="FootnoteText"/>
      </w:pPr>
      <w:r>
        <w:rPr>
          <w:rStyle w:val="FootnoteReference"/>
        </w:rPr>
        <w:footnoteRef/>
      </w:r>
      <w:r>
        <w:t xml:space="preserve"> China’s first written submission, para. 913. </w:t>
      </w:r>
    </w:p>
  </w:footnote>
  <w:footnote w:id="85">
    <w:p w14:paraId="64B39EFE" w14:textId="6243AE2C" w:rsidR="00DB29B8" w:rsidRPr="00C12383" w:rsidRDefault="00DB29B8" w:rsidP="00B035A6">
      <w:pPr>
        <w:pStyle w:val="FootnoteText"/>
      </w:pPr>
      <w:r>
        <w:rPr>
          <w:rStyle w:val="FootnoteReference"/>
        </w:rPr>
        <w:footnoteRef/>
      </w:r>
      <w:r>
        <w:t xml:space="preserve"> Panel report, </w:t>
      </w:r>
      <w:r>
        <w:rPr>
          <w:i/>
          <w:iCs/>
        </w:rPr>
        <w:t>Mexico – Corn Syrup</w:t>
      </w:r>
      <w:r>
        <w:t>, para. 7.104.</w:t>
      </w:r>
    </w:p>
  </w:footnote>
  <w:footnote w:id="86">
    <w:p w14:paraId="608D41D9" w14:textId="5E6A8ACB" w:rsidR="00DB29B8" w:rsidRDefault="00DB29B8">
      <w:pPr>
        <w:pStyle w:val="FootnoteText"/>
      </w:pPr>
      <w:r>
        <w:rPr>
          <w:rStyle w:val="FootnoteReference"/>
        </w:rPr>
        <w:footnoteRef/>
      </w:r>
      <w:r>
        <w:t xml:space="preserve"> Article 12.2, Anti-Dumping Agreement.</w:t>
      </w:r>
    </w:p>
  </w:footnote>
  <w:footnote w:id="87">
    <w:p w14:paraId="1F875F87" w14:textId="06663FAB" w:rsidR="00DB29B8" w:rsidRPr="00A4477C" w:rsidRDefault="00DB29B8" w:rsidP="0045739D">
      <w:pPr>
        <w:pStyle w:val="FootnoteText"/>
      </w:pPr>
      <w:r>
        <w:rPr>
          <w:rStyle w:val="FootnoteReference"/>
        </w:rPr>
        <w:footnoteRef/>
      </w:r>
      <w:r>
        <w:t xml:space="preserve"> Panel report, </w:t>
      </w:r>
      <w:r>
        <w:rPr>
          <w:i/>
          <w:iCs/>
        </w:rPr>
        <w:t>EC – Tube or Pipe Fittings</w:t>
      </w:r>
      <w:r>
        <w:t xml:space="preserve">, para. 7.424. See also Panel report, </w:t>
      </w:r>
      <w:r>
        <w:rPr>
          <w:i/>
        </w:rPr>
        <w:t>EU – Footwear (China)</w:t>
      </w:r>
      <w:r>
        <w:t>, para. 7.844.</w:t>
      </w:r>
    </w:p>
  </w:footnote>
  <w:footnote w:id="88">
    <w:p w14:paraId="1F5A717D" w14:textId="1FFD592D" w:rsidR="00DB29B8" w:rsidRPr="00141ED8" w:rsidRDefault="00DB29B8" w:rsidP="005567C2">
      <w:pPr>
        <w:pStyle w:val="FootnoteText"/>
      </w:pPr>
      <w:r>
        <w:rPr>
          <w:rStyle w:val="FootnoteReference"/>
        </w:rPr>
        <w:footnoteRef/>
      </w:r>
      <w:r>
        <w:t xml:space="preserve"> Appellate Body report, </w:t>
      </w:r>
      <w:r>
        <w:rPr>
          <w:i/>
          <w:iCs/>
        </w:rPr>
        <w:t>China – GOES</w:t>
      </w:r>
      <w:r>
        <w:t>, para. 258.</w:t>
      </w:r>
    </w:p>
  </w:footnote>
  <w:footnote w:id="89">
    <w:p w14:paraId="149802D4" w14:textId="3E7EB4D2" w:rsidR="00DB29B8" w:rsidRPr="00F47149" w:rsidRDefault="00DB29B8">
      <w:pPr>
        <w:pStyle w:val="FootnoteText"/>
      </w:pPr>
      <w:r>
        <w:rPr>
          <w:rStyle w:val="FootnoteReference"/>
        </w:rPr>
        <w:footnoteRef/>
      </w:r>
      <w:r>
        <w:t xml:space="preserve"> Panel report, </w:t>
      </w:r>
      <w:r>
        <w:rPr>
          <w:i/>
          <w:iCs/>
        </w:rPr>
        <w:t>China – X-ray Equipment</w:t>
      </w:r>
      <w:r>
        <w:t>, para. 7.472.</w:t>
      </w:r>
    </w:p>
  </w:footnote>
  <w:footnote w:id="90">
    <w:p w14:paraId="59A3E641" w14:textId="2C0FE61E" w:rsidR="00DB29B8" w:rsidRDefault="00DB29B8">
      <w:pPr>
        <w:pStyle w:val="FootnoteText"/>
      </w:pPr>
      <w:r>
        <w:rPr>
          <w:rStyle w:val="FootnoteReference"/>
        </w:rPr>
        <w:footnoteRef/>
      </w:r>
      <w:r>
        <w:t xml:space="preserve"> MOFCOM’s Final Determination, (Exhibit JPN-</w:t>
      </w:r>
      <w:proofErr w:type="gramStart"/>
      <w:r>
        <w:t>5.b</w:t>
      </w:r>
      <w:proofErr w:type="gramEnd"/>
      <w:r>
        <w:t>), page 11.</w:t>
      </w:r>
    </w:p>
  </w:footnote>
  <w:footnote w:id="91">
    <w:p w14:paraId="29036869" w14:textId="19A6B6C5" w:rsidR="00DB29B8" w:rsidRDefault="00DB29B8">
      <w:pPr>
        <w:pStyle w:val="FootnoteText"/>
      </w:pPr>
      <w:r>
        <w:rPr>
          <w:rStyle w:val="FootnoteReference"/>
        </w:rPr>
        <w:footnoteRef/>
      </w:r>
      <w:r>
        <w:t xml:space="preserve"> MOFCOM’s Final Determination, (Exhibit JPN-</w:t>
      </w:r>
      <w:proofErr w:type="gramStart"/>
      <w:r>
        <w:t>5.b</w:t>
      </w:r>
      <w:proofErr w:type="gramEnd"/>
      <w:r>
        <w:t xml:space="preserve">), page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C6E17" w14:textId="276A0346" w:rsidR="00DB29B8" w:rsidRDefault="00DB29B8">
    <w:pPr>
      <w:pStyle w:val="Header"/>
      <w:rPr>
        <w:i/>
        <w:iCs/>
      </w:rPr>
    </w:pPr>
    <w:r>
      <w:rPr>
        <w:i/>
        <w:iCs/>
      </w:rPr>
      <w:t xml:space="preserve">China – Anti-Dumping measures on </w:t>
    </w:r>
    <w:r>
      <w:rPr>
        <w:i/>
        <w:iCs/>
      </w:rPr>
      <w:tab/>
    </w:r>
    <w:r>
      <w:rPr>
        <w:i/>
        <w:iCs/>
      </w:rPr>
      <w:tab/>
      <w:t>Third party written submission of Australia</w:t>
    </w:r>
  </w:p>
  <w:p w14:paraId="70F16C1D" w14:textId="30062D72" w:rsidR="00DB29B8" w:rsidRPr="0004425A" w:rsidRDefault="00DB29B8">
    <w:pPr>
      <w:pStyle w:val="Header"/>
      <w:rPr>
        <w:i/>
        <w:iCs/>
      </w:rPr>
    </w:pPr>
    <w:r>
      <w:rPr>
        <w:i/>
        <w:iCs/>
      </w:rPr>
      <w:t>stainless steel products from Japan</w:t>
    </w:r>
  </w:p>
  <w:p w14:paraId="78CD9136" w14:textId="3708FEAE" w:rsidR="00DB29B8" w:rsidRDefault="00AB4324">
    <w:pPr>
      <w:pStyle w:val="Header"/>
      <w:rPr>
        <w:noProof/>
      </w:rPr>
    </w:pPr>
    <w:r>
      <w:fldChar w:fldCharType="begin"/>
    </w:r>
    <w:r>
      <w:instrText>STYLEREF  "[DSN] DS Number"  \* MERGEFORMAT</w:instrText>
    </w:r>
    <w:r>
      <w:fldChar w:fldCharType="separate"/>
    </w:r>
    <w:r>
      <w:rPr>
        <w:noProof/>
      </w:rPr>
      <w:t>(DS601)</w:t>
    </w:r>
    <w:r>
      <w:rPr>
        <w:noProof/>
      </w:rPr>
      <w:fldChar w:fldCharType="end"/>
    </w:r>
    <w:r w:rsidR="00DB29B8">
      <w:ptab w:relativeTo="margin" w:alignment="right" w:leader="none"/>
    </w:r>
    <w:r>
      <w:fldChar w:fldCharType="begin"/>
    </w:r>
    <w:r>
      <w:instrText>STYLEREF  "[DD] Document Date"  \* MERGEFORMAT</w:instrText>
    </w:r>
    <w:r>
      <w:fldChar w:fldCharType="separate"/>
    </w:r>
    <w:r>
      <w:rPr>
        <w:noProof/>
      </w:rPr>
      <w:t>9 May 2022</w:t>
    </w:r>
    <w:r>
      <w:rPr>
        <w:noProof/>
      </w:rPr>
      <w:fldChar w:fldCharType="end"/>
    </w:r>
  </w:p>
  <w:p w14:paraId="3E284CFE" w14:textId="74E1EC51" w:rsidR="00DB29B8" w:rsidRDefault="00DB29B8">
    <w:pPr>
      <w:pStyle w:val="Header"/>
      <w:rPr>
        <w:noProof/>
      </w:rPr>
    </w:pPr>
  </w:p>
  <w:p w14:paraId="1A33DAE9" w14:textId="77777777" w:rsidR="00DB29B8" w:rsidRDefault="00DB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8EF8" w14:textId="4574CEC6" w:rsidR="00DB29B8" w:rsidRDefault="00DB29B8">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76D2D3B0"/>
    <w:lvl w:ilvl="0" w:tplc="C08EB820">
      <w:start w:val="1"/>
      <w:numFmt w:val="decimal"/>
      <w:pStyle w:val="P1-N1Paragraph1-Number1"/>
      <w:lvlText w:val="%1."/>
      <w:lvlJc w:val="left"/>
      <w:pPr>
        <w:tabs>
          <w:tab w:val="num" w:pos="851"/>
        </w:tabs>
        <w:ind w:left="0" w:firstLine="0"/>
      </w:pPr>
      <w:rPr>
        <w:rFonts w:asciiTheme="minorHAnsi" w:hAnsiTheme="minorHAnsi" w:cstheme="minorHAnsi" w:hint="default"/>
        <w:b w:val="0"/>
        <w:bCs w:val="0"/>
        <w:i w:val="0"/>
        <w:iCs w:val="0"/>
        <w:color w:val="auto"/>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2A471A1D"/>
    <w:multiLevelType w:val="hybridMultilevel"/>
    <w:tmpl w:val="A386CFC6"/>
    <w:lvl w:ilvl="0" w:tplc="FE42E2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AF5F04"/>
    <w:multiLevelType w:val="hybridMultilevel"/>
    <w:tmpl w:val="C31EC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6" w15:restartNumberingAfterBreak="0">
    <w:nsid w:val="628F5FD3"/>
    <w:multiLevelType w:val="hybridMultilevel"/>
    <w:tmpl w:val="B7EA25A8"/>
    <w:lvl w:ilvl="0" w:tplc="B896DF96">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num>
  <w:num w:numId="4">
    <w:abstractNumId w:val="0"/>
  </w:num>
  <w:num w:numId="5">
    <w:abstractNumId w:val="7"/>
  </w:num>
  <w:num w:numId="6">
    <w:abstractNumId w:val="5"/>
  </w:num>
  <w:num w:numId="7">
    <w:abstractNumId w:val="5"/>
  </w:num>
  <w:num w:numId="8">
    <w:abstractNumId w:val="3"/>
  </w:num>
  <w:num w:numId="9">
    <w:abstractNumId w:val="6"/>
  </w:num>
  <w:num w:numId="10">
    <w:abstractNumId w:val="1"/>
  </w:num>
  <w:num w:numId="11">
    <w:abstractNumId w:val="1"/>
  </w:num>
  <w:num w:numId="12">
    <w:abstractNumId w:val="1"/>
  </w:num>
  <w:num w:numId="13">
    <w:abstractNumId w:val="1"/>
  </w:num>
  <w:num w:numId="14">
    <w:abstractNumId w:val="1"/>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
  </w:num>
  <w:num w:numId="17">
    <w:abstractNumId w:val="4"/>
  </w:num>
  <w:num w:numId="18">
    <w:abstractNumId w:val="2"/>
  </w:num>
  <w:num w:numId="19">
    <w:abstractNumId w:val="2"/>
  </w:num>
  <w:num w:numId="20">
    <w:abstractNumId w:val="2"/>
  </w:num>
  <w:num w:numId="21">
    <w:abstractNumId w:val="2"/>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85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7"/>
    <w:rsid w:val="00002AB5"/>
    <w:rsid w:val="00004009"/>
    <w:rsid w:val="000048CF"/>
    <w:rsid w:val="00005A57"/>
    <w:rsid w:val="00006269"/>
    <w:rsid w:val="000062BC"/>
    <w:rsid w:val="00007301"/>
    <w:rsid w:val="00010A09"/>
    <w:rsid w:val="00010FFC"/>
    <w:rsid w:val="00011F99"/>
    <w:rsid w:val="0001220E"/>
    <w:rsid w:val="00012341"/>
    <w:rsid w:val="00013558"/>
    <w:rsid w:val="00013F6E"/>
    <w:rsid w:val="00014B2D"/>
    <w:rsid w:val="00015133"/>
    <w:rsid w:val="00015733"/>
    <w:rsid w:val="00016C4A"/>
    <w:rsid w:val="00017BA5"/>
    <w:rsid w:val="00020396"/>
    <w:rsid w:val="000207AA"/>
    <w:rsid w:val="000212D4"/>
    <w:rsid w:val="000213A8"/>
    <w:rsid w:val="000214BD"/>
    <w:rsid w:val="000218B7"/>
    <w:rsid w:val="00021AE7"/>
    <w:rsid w:val="00023296"/>
    <w:rsid w:val="000238CC"/>
    <w:rsid w:val="00023C47"/>
    <w:rsid w:val="00023EDB"/>
    <w:rsid w:val="00023F69"/>
    <w:rsid w:val="000244D8"/>
    <w:rsid w:val="00025483"/>
    <w:rsid w:val="0002673E"/>
    <w:rsid w:val="00027E52"/>
    <w:rsid w:val="0003060B"/>
    <w:rsid w:val="00030A32"/>
    <w:rsid w:val="00031577"/>
    <w:rsid w:val="00031A02"/>
    <w:rsid w:val="0003264D"/>
    <w:rsid w:val="00033AF0"/>
    <w:rsid w:val="00033B90"/>
    <w:rsid w:val="0003485B"/>
    <w:rsid w:val="00034911"/>
    <w:rsid w:val="00034C79"/>
    <w:rsid w:val="00035333"/>
    <w:rsid w:val="000367B1"/>
    <w:rsid w:val="00036A9B"/>
    <w:rsid w:val="000375EF"/>
    <w:rsid w:val="00037B6B"/>
    <w:rsid w:val="0004047E"/>
    <w:rsid w:val="00040481"/>
    <w:rsid w:val="00040482"/>
    <w:rsid w:val="00040CB4"/>
    <w:rsid w:val="00041946"/>
    <w:rsid w:val="00042FB4"/>
    <w:rsid w:val="0004360C"/>
    <w:rsid w:val="0004425A"/>
    <w:rsid w:val="000453F8"/>
    <w:rsid w:val="0004579F"/>
    <w:rsid w:val="0004607E"/>
    <w:rsid w:val="000463AE"/>
    <w:rsid w:val="000464BA"/>
    <w:rsid w:val="000467A4"/>
    <w:rsid w:val="00046BAF"/>
    <w:rsid w:val="00047150"/>
    <w:rsid w:val="00047282"/>
    <w:rsid w:val="000503AC"/>
    <w:rsid w:val="0005048B"/>
    <w:rsid w:val="00053344"/>
    <w:rsid w:val="00053707"/>
    <w:rsid w:val="0005493A"/>
    <w:rsid w:val="00054C54"/>
    <w:rsid w:val="000550BD"/>
    <w:rsid w:val="00056553"/>
    <w:rsid w:val="00056CD5"/>
    <w:rsid w:val="00057946"/>
    <w:rsid w:val="00060205"/>
    <w:rsid w:val="00061DD0"/>
    <w:rsid w:val="00062475"/>
    <w:rsid w:val="00062705"/>
    <w:rsid w:val="00064E6F"/>
    <w:rsid w:val="0006512F"/>
    <w:rsid w:val="000662B0"/>
    <w:rsid w:val="00066D64"/>
    <w:rsid w:val="00066E1B"/>
    <w:rsid w:val="000670C7"/>
    <w:rsid w:val="00067142"/>
    <w:rsid w:val="000700E8"/>
    <w:rsid w:val="000702A4"/>
    <w:rsid w:val="000712D0"/>
    <w:rsid w:val="000716BD"/>
    <w:rsid w:val="00071EED"/>
    <w:rsid w:val="00072657"/>
    <w:rsid w:val="00073171"/>
    <w:rsid w:val="0007327B"/>
    <w:rsid w:val="000738B2"/>
    <w:rsid w:val="0007443E"/>
    <w:rsid w:val="000745D8"/>
    <w:rsid w:val="00074FD4"/>
    <w:rsid w:val="0007533F"/>
    <w:rsid w:val="00075E59"/>
    <w:rsid w:val="00077319"/>
    <w:rsid w:val="000810C0"/>
    <w:rsid w:val="00081602"/>
    <w:rsid w:val="000823DF"/>
    <w:rsid w:val="00082549"/>
    <w:rsid w:val="000825FA"/>
    <w:rsid w:val="0008279D"/>
    <w:rsid w:val="000828FE"/>
    <w:rsid w:val="00084218"/>
    <w:rsid w:val="00087659"/>
    <w:rsid w:val="000900AE"/>
    <w:rsid w:val="000904C5"/>
    <w:rsid w:val="000923E1"/>
    <w:rsid w:val="000926BE"/>
    <w:rsid w:val="00092BC3"/>
    <w:rsid w:val="00093175"/>
    <w:rsid w:val="00094101"/>
    <w:rsid w:val="00094DB7"/>
    <w:rsid w:val="000950D2"/>
    <w:rsid w:val="00095F5D"/>
    <w:rsid w:val="00096002"/>
    <w:rsid w:val="0009752E"/>
    <w:rsid w:val="000A0FB1"/>
    <w:rsid w:val="000A18E8"/>
    <w:rsid w:val="000A1C37"/>
    <w:rsid w:val="000A2A44"/>
    <w:rsid w:val="000A2FA9"/>
    <w:rsid w:val="000A345D"/>
    <w:rsid w:val="000A3AFA"/>
    <w:rsid w:val="000A3BF9"/>
    <w:rsid w:val="000A3E5E"/>
    <w:rsid w:val="000A4EA1"/>
    <w:rsid w:val="000A5280"/>
    <w:rsid w:val="000A653D"/>
    <w:rsid w:val="000A7120"/>
    <w:rsid w:val="000B1088"/>
    <w:rsid w:val="000B1299"/>
    <w:rsid w:val="000B18A7"/>
    <w:rsid w:val="000B2425"/>
    <w:rsid w:val="000B355C"/>
    <w:rsid w:val="000B4720"/>
    <w:rsid w:val="000B5B7C"/>
    <w:rsid w:val="000B5C9D"/>
    <w:rsid w:val="000B7009"/>
    <w:rsid w:val="000B7715"/>
    <w:rsid w:val="000C0EEF"/>
    <w:rsid w:val="000C14F5"/>
    <w:rsid w:val="000C232E"/>
    <w:rsid w:val="000C4193"/>
    <w:rsid w:val="000C485D"/>
    <w:rsid w:val="000C4C74"/>
    <w:rsid w:val="000C5E42"/>
    <w:rsid w:val="000C5F01"/>
    <w:rsid w:val="000C633A"/>
    <w:rsid w:val="000C6354"/>
    <w:rsid w:val="000C63AB"/>
    <w:rsid w:val="000C69EE"/>
    <w:rsid w:val="000C71BD"/>
    <w:rsid w:val="000D06C5"/>
    <w:rsid w:val="000D444A"/>
    <w:rsid w:val="000D470E"/>
    <w:rsid w:val="000D5CFE"/>
    <w:rsid w:val="000D5D6F"/>
    <w:rsid w:val="000D6757"/>
    <w:rsid w:val="000D6986"/>
    <w:rsid w:val="000D6B36"/>
    <w:rsid w:val="000D7FEC"/>
    <w:rsid w:val="000E0F2F"/>
    <w:rsid w:val="000E1158"/>
    <w:rsid w:val="000E1875"/>
    <w:rsid w:val="000E1AE1"/>
    <w:rsid w:val="000E3862"/>
    <w:rsid w:val="000E440E"/>
    <w:rsid w:val="000E52D6"/>
    <w:rsid w:val="000E52D8"/>
    <w:rsid w:val="000E5F0C"/>
    <w:rsid w:val="000E6FA7"/>
    <w:rsid w:val="000E7D40"/>
    <w:rsid w:val="000E7F52"/>
    <w:rsid w:val="000F0594"/>
    <w:rsid w:val="000F3BEF"/>
    <w:rsid w:val="000F3D68"/>
    <w:rsid w:val="000F44B8"/>
    <w:rsid w:val="000F44E5"/>
    <w:rsid w:val="000F4CDD"/>
    <w:rsid w:val="000F56D9"/>
    <w:rsid w:val="000F6EFB"/>
    <w:rsid w:val="001000BC"/>
    <w:rsid w:val="001001BF"/>
    <w:rsid w:val="00100AB2"/>
    <w:rsid w:val="00100B06"/>
    <w:rsid w:val="0010114F"/>
    <w:rsid w:val="00101DFA"/>
    <w:rsid w:val="00101E5C"/>
    <w:rsid w:val="00102DA4"/>
    <w:rsid w:val="00105160"/>
    <w:rsid w:val="00105EB9"/>
    <w:rsid w:val="001061AA"/>
    <w:rsid w:val="00106B7E"/>
    <w:rsid w:val="001075DB"/>
    <w:rsid w:val="0011066D"/>
    <w:rsid w:val="001106C9"/>
    <w:rsid w:val="00111B42"/>
    <w:rsid w:val="00112B5F"/>
    <w:rsid w:val="00112F06"/>
    <w:rsid w:val="001134A1"/>
    <w:rsid w:val="00113850"/>
    <w:rsid w:val="00113BCD"/>
    <w:rsid w:val="0011547E"/>
    <w:rsid w:val="001163B4"/>
    <w:rsid w:val="00116B1D"/>
    <w:rsid w:val="0012007D"/>
    <w:rsid w:val="0012151F"/>
    <w:rsid w:val="00121802"/>
    <w:rsid w:val="00121B4E"/>
    <w:rsid w:val="001225F9"/>
    <w:rsid w:val="0012294C"/>
    <w:rsid w:val="0012308F"/>
    <w:rsid w:val="00123553"/>
    <w:rsid w:val="00124CA3"/>
    <w:rsid w:val="00124F07"/>
    <w:rsid w:val="00124F93"/>
    <w:rsid w:val="00125153"/>
    <w:rsid w:val="00125BBC"/>
    <w:rsid w:val="0012615B"/>
    <w:rsid w:val="001263F2"/>
    <w:rsid w:val="0012719C"/>
    <w:rsid w:val="001311AA"/>
    <w:rsid w:val="00131565"/>
    <w:rsid w:val="00132567"/>
    <w:rsid w:val="00133C5A"/>
    <w:rsid w:val="00133D19"/>
    <w:rsid w:val="001342CB"/>
    <w:rsid w:val="001350FD"/>
    <w:rsid w:val="00135F5C"/>
    <w:rsid w:val="00136739"/>
    <w:rsid w:val="001367A0"/>
    <w:rsid w:val="001367EF"/>
    <w:rsid w:val="001378AE"/>
    <w:rsid w:val="001403EA"/>
    <w:rsid w:val="00141B3C"/>
    <w:rsid w:val="00141ED8"/>
    <w:rsid w:val="00142B1D"/>
    <w:rsid w:val="00143E0B"/>
    <w:rsid w:val="0014430D"/>
    <w:rsid w:val="00147C2E"/>
    <w:rsid w:val="00150259"/>
    <w:rsid w:val="00152570"/>
    <w:rsid w:val="001525E3"/>
    <w:rsid w:val="001542DC"/>
    <w:rsid w:val="0015479B"/>
    <w:rsid w:val="00155394"/>
    <w:rsid w:val="001558F5"/>
    <w:rsid w:val="00155AE2"/>
    <w:rsid w:val="00156B3E"/>
    <w:rsid w:val="001570CB"/>
    <w:rsid w:val="0015746F"/>
    <w:rsid w:val="001577AC"/>
    <w:rsid w:val="00157871"/>
    <w:rsid w:val="00160712"/>
    <w:rsid w:val="00161371"/>
    <w:rsid w:val="001620BC"/>
    <w:rsid w:val="001626D7"/>
    <w:rsid w:val="001638D9"/>
    <w:rsid w:val="00165108"/>
    <w:rsid w:val="0016545D"/>
    <w:rsid w:val="00165BD3"/>
    <w:rsid w:val="00166017"/>
    <w:rsid w:val="001660A4"/>
    <w:rsid w:val="001663D0"/>
    <w:rsid w:val="001667B3"/>
    <w:rsid w:val="00166F63"/>
    <w:rsid w:val="0016779B"/>
    <w:rsid w:val="001693CF"/>
    <w:rsid w:val="0017192E"/>
    <w:rsid w:val="00172DD5"/>
    <w:rsid w:val="001733AE"/>
    <w:rsid w:val="001735E1"/>
    <w:rsid w:val="00174B29"/>
    <w:rsid w:val="00175BBC"/>
    <w:rsid w:val="00180CC7"/>
    <w:rsid w:val="00182566"/>
    <w:rsid w:val="00182727"/>
    <w:rsid w:val="00183FF1"/>
    <w:rsid w:val="00184441"/>
    <w:rsid w:val="00184BC5"/>
    <w:rsid w:val="00184E83"/>
    <w:rsid w:val="00186F6C"/>
    <w:rsid w:val="00191693"/>
    <w:rsid w:val="00191A0D"/>
    <w:rsid w:val="00192984"/>
    <w:rsid w:val="00192F0E"/>
    <w:rsid w:val="00193A88"/>
    <w:rsid w:val="00194583"/>
    <w:rsid w:val="00194D27"/>
    <w:rsid w:val="00194D63"/>
    <w:rsid w:val="00195909"/>
    <w:rsid w:val="00195EEE"/>
    <w:rsid w:val="001973F4"/>
    <w:rsid w:val="001A09BD"/>
    <w:rsid w:val="001A14E0"/>
    <w:rsid w:val="001A2878"/>
    <w:rsid w:val="001A3D91"/>
    <w:rsid w:val="001A41B7"/>
    <w:rsid w:val="001A4643"/>
    <w:rsid w:val="001A4DEF"/>
    <w:rsid w:val="001A5DC3"/>
    <w:rsid w:val="001A5DF4"/>
    <w:rsid w:val="001A714D"/>
    <w:rsid w:val="001A7A47"/>
    <w:rsid w:val="001A7F01"/>
    <w:rsid w:val="001B0860"/>
    <w:rsid w:val="001B1267"/>
    <w:rsid w:val="001B1D5C"/>
    <w:rsid w:val="001B1E78"/>
    <w:rsid w:val="001B2217"/>
    <w:rsid w:val="001B26BE"/>
    <w:rsid w:val="001B343A"/>
    <w:rsid w:val="001B41C7"/>
    <w:rsid w:val="001B696B"/>
    <w:rsid w:val="001C03C2"/>
    <w:rsid w:val="001C09F3"/>
    <w:rsid w:val="001C1DCE"/>
    <w:rsid w:val="001C1E27"/>
    <w:rsid w:val="001C2876"/>
    <w:rsid w:val="001C3568"/>
    <w:rsid w:val="001C3A9A"/>
    <w:rsid w:val="001C3FB2"/>
    <w:rsid w:val="001C4427"/>
    <w:rsid w:val="001C4E66"/>
    <w:rsid w:val="001C5241"/>
    <w:rsid w:val="001C5B32"/>
    <w:rsid w:val="001C72F3"/>
    <w:rsid w:val="001C7D82"/>
    <w:rsid w:val="001D0E8B"/>
    <w:rsid w:val="001D2299"/>
    <w:rsid w:val="001D2DA9"/>
    <w:rsid w:val="001D60F5"/>
    <w:rsid w:val="001E0AFE"/>
    <w:rsid w:val="001E15FE"/>
    <w:rsid w:val="001E1646"/>
    <w:rsid w:val="001E2869"/>
    <w:rsid w:val="001E362C"/>
    <w:rsid w:val="001E44B1"/>
    <w:rsid w:val="001E5221"/>
    <w:rsid w:val="001E7C04"/>
    <w:rsid w:val="001E7C76"/>
    <w:rsid w:val="001E7D9A"/>
    <w:rsid w:val="001F0EC6"/>
    <w:rsid w:val="001F0F6A"/>
    <w:rsid w:val="001F20CC"/>
    <w:rsid w:val="001F302F"/>
    <w:rsid w:val="001F46B7"/>
    <w:rsid w:val="001F58F1"/>
    <w:rsid w:val="001F7956"/>
    <w:rsid w:val="001F7AEA"/>
    <w:rsid w:val="001F7B54"/>
    <w:rsid w:val="0020079A"/>
    <w:rsid w:val="00201743"/>
    <w:rsid w:val="002036AD"/>
    <w:rsid w:val="002036E4"/>
    <w:rsid w:val="00204296"/>
    <w:rsid w:val="002070FA"/>
    <w:rsid w:val="002074D5"/>
    <w:rsid w:val="002079BE"/>
    <w:rsid w:val="00207DD8"/>
    <w:rsid w:val="002105C3"/>
    <w:rsid w:val="00210C9E"/>
    <w:rsid w:val="0021288C"/>
    <w:rsid w:val="00212CBA"/>
    <w:rsid w:val="002133E8"/>
    <w:rsid w:val="00213B65"/>
    <w:rsid w:val="00214783"/>
    <w:rsid w:val="0021761D"/>
    <w:rsid w:val="00220E99"/>
    <w:rsid w:val="00221088"/>
    <w:rsid w:val="00222825"/>
    <w:rsid w:val="002246F9"/>
    <w:rsid w:val="002251CE"/>
    <w:rsid w:val="00225450"/>
    <w:rsid w:val="00225CBD"/>
    <w:rsid w:val="0022654D"/>
    <w:rsid w:val="00226D61"/>
    <w:rsid w:val="002274DA"/>
    <w:rsid w:val="00227C7A"/>
    <w:rsid w:val="00230197"/>
    <w:rsid w:val="00231159"/>
    <w:rsid w:val="002315A3"/>
    <w:rsid w:val="00231917"/>
    <w:rsid w:val="00231A2D"/>
    <w:rsid w:val="00231D4A"/>
    <w:rsid w:val="0023272D"/>
    <w:rsid w:val="002331A3"/>
    <w:rsid w:val="0023342D"/>
    <w:rsid w:val="0023390F"/>
    <w:rsid w:val="00234D9F"/>
    <w:rsid w:val="002353B7"/>
    <w:rsid w:val="00236266"/>
    <w:rsid w:val="00236926"/>
    <w:rsid w:val="002371EA"/>
    <w:rsid w:val="002409D2"/>
    <w:rsid w:val="00241BAB"/>
    <w:rsid w:val="00242223"/>
    <w:rsid w:val="002437C5"/>
    <w:rsid w:val="0024465A"/>
    <w:rsid w:val="0024527E"/>
    <w:rsid w:val="00245FA1"/>
    <w:rsid w:val="00246EFA"/>
    <w:rsid w:val="002473F2"/>
    <w:rsid w:val="00250E9E"/>
    <w:rsid w:val="0025143A"/>
    <w:rsid w:val="00253043"/>
    <w:rsid w:val="00253396"/>
    <w:rsid w:val="00253844"/>
    <w:rsid w:val="00255AEA"/>
    <w:rsid w:val="00257728"/>
    <w:rsid w:val="00257B64"/>
    <w:rsid w:val="002603E6"/>
    <w:rsid w:val="00260691"/>
    <w:rsid w:val="002607C6"/>
    <w:rsid w:val="0026128E"/>
    <w:rsid w:val="00261FF8"/>
    <w:rsid w:val="002628F5"/>
    <w:rsid w:val="00264EA4"/>
    <w:rsid w:val="002659C0"/>
    <w:rsid w:val="002659FC"/>
    <w:rsid w:val="00266421"/>
    <w:rsid w:val="0026700A"/>
    <w:rsid w:val="002711B6"/>
    <w:rsid w:val="00271B83"/>
    <w:rsid w:val="00272084"/>
    <w:rsid w:val="00272567"/>
    <w:rsid w:val="00272818"/>
    <w:rsid w:val="00273504"/>
    <w:rsid w:val="00275E26"/>
    <w:rsid w:val="00275EBA"/>
    <w:rsid w:val="00276167"/>
    <w:rsid w:val="0027674D"/>
    <w:rsid w:val="00276CD1"/>
    <w:rsid w:val="0027714C"/>
    <w:rsid w:val="002774D9"/>
    <w:rsid w:val="002807E0"/>
    <w:rsid w:val="00283DB2"/>
    <w:rsid w:val="00283DF0"/>
    <w:rsid w:val="0028447B"/>
    <w:rsid w:val="00284687"/>
    <w:rsid w:val="002856DC"/>
    <w:rsid w:val="00291F3B"/>
    <w:rsid w:val="00292B03"/>
    <w:rsid w:val="00293673"/>
    <w:rsid w:val="00293826"/>
    <w:rsid w:val="002944FA"/>
    <w:rsid w:val="0029487B"/>
    <w:rsid w:val="00295DA8"/>
    <w:rsid w:val="00296AEF"/>
    <w:rsid w:val="002A0446"/>
    <w:rsid w:val="002A12C5"/>
    <w:rsid w:val="002A29D6"/>
    <w:rsid w:val="002A3548"/>
    <w:rsid w:val="002A3584"/>
    <w:rsid w:val="002A3F6A"/>
    <w:rsid w:val="002A41F3"/>
    <w:rsid w:val="002A59D1"/>
    <w:rsid w:val="002A6087"/>
    <w:rsid w:val="002A6EDB"/>
    <w:rsid w:val="002B246D"/>
    <w:rsid w:val="002B2EE8"/>
    <w:rsid w:val="002B3854"/>
    <w:rsid w:val="002B4089"/>
    <w:rsid w:val="002B6B76"/>
    <w:rsid w:val="002B73FD"/>
    <w:rsid w:val="002B7E29"/>
    <w:rsid w:val="002C03EE"/>
    <w:rsid w:val="002C174C"/>
    <w:rsid w:val="002C1EE7"/>
    <w:rsid w:val="002C1F69"/>
    <w:rsid w:val="002C21F9"/>
    <w:rsid w:val="002C2502"/>
    <w:rsid w:val="002C32EE"/>
    <w:rsid w:val="002C34D5"/>
    <w:rsid w:val="002C520E"/>
    <w:rsid w:val="002C6858"/>
    <w:rsid w:val="002C69A2"/>
    <w:rsid w:val="002C7352"/>
    <w:rsid w:val="002C735A"/>
    <w:rsid w:val="002D06DF"/>
    <w:rsid w:val="002D1B5B"/>
    <w:rsid w:val="002D22AA"/>
    <w:rsid w:val="002D49C5"/>
    <w:rsid w:val="002D4D49"/>
    <w:rsid w:val="002D5F96"/>
    <w:rsid w:val="002D6D87"/>
    <w:rsid w:val="002D70F5"/>
    <w:rsid w:val="002D79BE"/>
    <w:rsid w:val="002D7E09"/>
    <w:rsid w:val="002E0041"/>
    <w:rsid w:val="002E2746"/>
    <w:rsid w:val="002E27F7"/>
    <w:rsid w:val="002E3047"/>
    <w:rsid w:val="002E34ED"/>
    <w:rsid w:val="002E3615"/>
    <w:rsid w:val="002E3A51"/>
    <w:rsid w:val="002E5B6B"/>
    <w:rsid w:val="002E5E1F"/>
    <w:rsid w:val="002E6B64"/>
    <w:rsid w:val="002E7996"/>
    <w:rsid w:val="002F0C0B"/>
    <w:rsid w:val="002F1025"/>
    <w:rsid w:val="002F1287"/>
    <w:rsid w:val="002F1FF7"/>
    <w:rsid w:val="002F2165"/>
    <w:rsid w:val="002F289D"/>
    <w:rsid w:val="002F2B87"/>
    <w:rsid w:val="002F3562"/>
    <w:rsid w:val="002F3C5E"/>
    <w:rsid w:val="002F4235"/>
    <w:rsid w:val="002F433F"/>
    <w:rsid w:val="002F536A"/>
    <w:rsid w:val="002F57B1"/>
    <w:rsid w:val="002F64F1"/>
    <w:rsid w:val="002F6CED"/>
    <w:rsid w:val="00300456"/>
    <w:rsid w:val="003005A3"/>
    <w:rsid w:val="00301A01"/>
    <w:rsid w:val="00302728"/>
    <w:rsid w:val="003030C7"/>
    <w:rsid w:val="00303767"/>
    <w:rsid w:val="00303800"/>
    <w:rsid w:val="00303B85"/>
    <w:rsid w:val="0030409B"/>
    <w:rsid w:val="003050BE"/>
    <w:rsid w:val="00305F3B"/>
    <w:rsid w:val="0030FDC9"/>
    <w:rsid w:val="003100FE"/>
    <w:rsid w:val="003102EC"/>
    <w:rsid w:val="0031054B"/>
    <w:rsid w:val="003107EB"/>
    <w:rsid w:val="00310F2C"/>
    <w:rsid w:val="0031159F"/>
    <w:rsid w:val="00311640"/>
    <w:rsid w:val="00312A43"/>
    <w:rsid w:val="00312B61"/>
    <w:rsid w:val="00312EA4"/>
    <w:rsid w:val="0031323C"/>
    <w:rsid w:val="00313C44"/>
    <w:rsid w:val="003175EC"/>
    <w:rsid w:val="003176A4"/>
    <w:rsid w:val="00317712"/>
    <w:rsid w:val="00320003"/>
    <w:rsid w:val="00320F02"/>
    <w:rsid w:val="003219A8"/>
    <w:rsid w:val="00322045"/>
    <w:rsid w:val="003220D4"/>
    <w:rsid w:val="00323D58"/>
    <w:rsid w:val="00326BD7"/>
    <w:rsid w:val="00330508"/>
    <w:rsid w:val="00330582"/>
    <w:rsid w:val="00330588"/>
    <w:rsid w:val="0033071F"/>
    <w:rsid w:val="003319AF"/>
    <w:rsid w:val="003319F4"/>
    <w:rsid w:val="003340AF"/>
    <w:rsid w:val="00334F99"/>
    <w:rsid w:val="003350E8"/>
    <w:rsid w:val="003355AE"/>
    <w:rsid w:val="00335AC1"/>
    <w:rsid w:val="00335C86"/>
    <w:rsid w:val="00335F71"/>
    <w:rsid w:val="00335FEC"/>
    <w:rsid w:val="003363AC"/>
    <w:rsid w:val="00337762"/>
    <w:rsid w:val="00337B1A"/>
    <w:rsid w:val="0034182B"/>
    <w:rsid w:val="003428EF"/>
    <w:rsid w:val="00342CAB"/>
    <w:rsid w:val="00343610"/>
    <w:rsid w:val="00343C7D"/>
    <w:rsid w:val="00344248"/>
    <w:rsid w:val="00344527"/>
    <w:rsid w:val="00345193"/>
    <w:rsid w:val="00346864"/>
    <w:rsid w:val="00346DAB"/>
    <w:rsid w:val="003500FF"/>
    <w:rsid w:val="00350D31"/>
    <w:rsid w:val="00350EDD"/>
    <w:rsid w:val="00351AC9"/>
    <w:rsid w:val="00351E3B"/>
    <w:rsid w:val="0035255D"/>
    <w:rsid w:val="00353217"/>
    <w:rsid w:val="00353ED1"/>
    <w:rsid w:val="00354734"/>
    <w:rsid w:val="00354A06"/>
    <w:rsid w:val="00354E8C"/>
    <w:rsid w:val="00355394"/>
    <w:rsid w:val="003554D1"/>
    <w:rsid w:val="00355AD0"/>
    <w:rsid w:val="00356E9B"/>
    <w:rsid w:val="00357500"/>
    <w:rsid w:val="003579A0"/>
    <w:rsid w:val="00360B83"/>
    <w:rsid w:val="00360F74"/>
    <w:rsid w:val="00361105"/>
    <w:rsid w:val="00361A42"/>
    <w:rsid w:val="00361E71"/>
    <w:rsid w:val="003622DF"/>
    <w:rsid w:val="00363355"/>
    <w:rsid w:val="0036441E"/>
    <w:rsid w:val="00364E1E"/>
    <w:rsid w:val="0036509B"/>
    <w:rsid w:val="0036645B"/>
    <w:rsid w:val="00367512"/>
    <w:rsid w:val="003676E0"/>
    <w:rsid w:val="00370E49"/>
    <w:rsid w:val="00371926"/>
    <w:rsid w:val="00372368"/>
    <w:rsid w:val="0037292D"/>
    <w:rsid w:val="00373C87"/>
    <w:rsid w:val="00375706"/>
    <w:rsid w:val="00375BBC"/>
    <w:rsid w:val="00375BC2"/>
    <w:rsid w:val="00376107"/>
    <w:rsid w:val="00376DCF"/>
    <w:rsid w:val="00376FAF"/>
    <w:rsid w:val="00377DC1"/>
    <w:rsid w:val="0038023C"/>
    <w:rsid w:val="00380306"/>
    <w:rsid w:val="00380454"/>
    <w:rsid w:val="00380795"/>
    <w:rsid w:val="00381487"/>
    <w:rsid w:val="003814B7"/>
    <w:rsid w:val="003821DC"/>
    <w:rsid w:val="003826AA"/>
    <w:rsid w:val="00382744"/>
    <w:rsid w:val="0038311D"/>
    <w:rsid w:val="0038451C"/>
    <w:rsid w:val="0038458A"/>
    <w:rsid w:val="003845EC"/>
    <w:rsid w:val="00385CA0"/>
    <w:rsid w:val="0038763F"/>
    <w:rsid w:val="0038775B"/>
    <w:rsid w:val="00387B33"/>
    <w:rsid w:val="00387C21"/>
    <w:rsid w:val="003906C3"/>
    <w:rsid w:val="003917A3"/>
    <w:rsid w:val="0039234D"/>
    <w:rsid w:val="0039293B"/>
    <w:rsid w:val="00393172"/>
    <w:rsid w:val="003932C5"/>
    <w:rsid w:val="00393569"/>
    <w:rsid w:val="00394873"/>
    <w:rsid w:val="00395EFD"/>
    <w:rsid w:val="00396260"/>
    <w:rsid w:val="00396B82"/>
    <w:rsid w:val="00396D31"/>
    <w:rsid w:val="00396D7C"/>
    <w:rsid w:val="003977E7"/>
    <w:rsid w:val="00397D34"/>
    <w:rsid w:val="003A0001"/>
    <w:rsid w:val="003A076C"/>
    <w:rsid w:val="003A0F79"/>
    <w:rsid w:val="003A10EE"/>
    <w:rsid w:val="003A137E"/>
    <w:rsid w:val="003A2023"/>
    <w:rsid w:val="003A2E7E"/>
    <w:rsid w:val="003A3FC8"/>
    <w:rsid w:val="003A4CD7"/>
    <w:rsid w:val="003A4DDD"/>
    <w:rsid w:val="003A4E53"/>
    <w:rsid w:val="003A56A4"/>
    <w:rsid w:val="003A5EE8"/>
    <w:rsid w:val="003A61E5"/>
    <w:rsid w:val="003A67E1"/>
    <w:rsid w:val="003A743E"/>
    <w:rsid w:val="003A74C9"/>
    <w:rsid w:val="003B1A39"/>
    <w:rsid w:val="003B1B0E"/>
    <w:rsid w:val="003B1BB2"/>
    <w:rsid w:val="003B2A8A"/>
    <w:rsid w:val="003B37A3"/>
    <w:rsid w:val="003B4860"/>
    <w:rsid w:val="003B5219"/>
    <w:rsid w:val="003B56B4"/>
    <w:rsid w:val="003B5862"/>
    <w:rsid w:val="003B5D43"/>
    <w:rsid w:val="003B7968"/>
    <w:rsid w:val="003C18E4"/>
    <w:rsid w:val="003C2418"/>
    <w:rsid w:val="003C3D59"/>
    <w:rsid w:val="003C3DBE"/>
    <w:rsid w:val="003C413C"/>
    <w:rsid w:val="003C4D5A"/>
    <w:rsid w:val="003C7CF3"/>
    <w:rsid w:val="003D0C1F"/>
    <w:rsid w:val="003D0D46"/>
    <w:rsid w:val="003D11F3"/>
    <w:rsid w:val="003D1235"/>
    <w:rsid w:val="003D2207"/>
    <w:rsid w:val="003D2485"/>
    <w:rsid w:val="003D28E4"/>
    <w:rsid w:val="003D2C26"/>
    <w:rsid w:val="003D48EB"/>
    <w:rsid w:val="003D4C1C"/>
    <w:rsid w:val="003D4EB8"/>
    <w:rsid w:val="003D6D4B"/>
    <w:rsid w:val="003D7B1B"/>
    <w:rsid w:val="003E1334"/>
    <w:rsid w:val="003E20D4"/>
    <w:rsid w:val="003E2561"/>
    <w:rsid w:val="003E27BC"/>
    <w:rsid w:val="003E2B97"/>
    <w:rsid w:val="003E3419"/>
    <w:rsid w:val="003E4BC6"/>
    <w:rsid w:val="003E60CD"/>
    <w:rsid w:val="003E71EC"/>
    <w:rsid w:val="003E7AA2"/>
    <w:rsid w:val="003F2C72"/>
    <w:rsid w:val="003F325C"/>
    <w:rsid w:val="003F4F7F"/>
    <w:rsid w:val="003F56A6"/>
    <w:rsid w:val="003F5FD1"/>
    <w:rsid w:val="003F6E2A"/>
    <w:rsid w:val="003F6E9E"/>
    <w:rsid w:val="003F7C14"/>
    <w:rsid w:val="0040108F"/>
    <w:rsid w:val="0040119F"/>
    <w:rsid w:val="00401A94"/>
    <w:rsid w:val="004021A8"/>
    <w:rsid w:val="00402352"/>
    <w:rsid w:val="004028E3"/>
    <w:rsid w:val="004029E0"/>
    <w:rsid w:val="00402B1E"/>
    <w:rsid w:val="004038F5"/>
    <w:rsid w:val="004041FF"/>
    <w:rsid w:val="00404682"/>
    <w:rsid w:val="00404B2D"/>
    <w:rsid w:val="00405558"/>
    <w:rsid w:val="00406323"/>
    <w:rsid w:val="0041000C"/>
    <w:rsid w:val="00411971"/>
    <w:rsid w:val="00411C76"/>
    <w:rsid w:val="00412349"/>
    <w:rsid w:val="004124D1"/>
    <w:rsid w:val="00415218"/>
    <w:rsid w:val="004170E3"/>
    <w:rsid w:val="00420443"/>
    <w:rsid w:val="00421B43"/>
    <w:rsid w:val="00421F4B"/>
    <w:rsid w:val="00422A2E"/>
    <w:rsid w:val="00422FBB"/>
    <w:rsid w:val="00424D0F"/>
    <w:rsid w:val="00426888"/>
    <w:rsid w:val="004269D8"/>
    <w:rsid w:val="00431B16"/>
    <w:rsid w:val="00431FD8"/>
    <w:rsid w:val="004341BF"/>
    <w:rsid w:val="00434312"/>
    <w:rsid w:val="0043586C"/>
    <w:rsid w:val="0043622E"/>
    <w:rsid w:val="00436DFB"/>
    <w:rsid w:val="00437D60"/>
    <w:rsid w:val="0044037D"/>
    <w:rsid w:val="004412BA"/>
    <w:rsid w:val="0044181F"/>
    <w:rsid w:val="00442115"/>
    <w:rsid w:val="0044388A"/>
    <w:rsid w:val="00443AAC"/>
    <w:rsid w:val="00443B81"/>
    <w:rsid w:val="00444095"/>
    <w:rsid w:val="004456A8"/>
    <w:rsid w:val="00445AF9"/>
    <w:rsid w:val="0044605C"/>
    <w:rsid w:val="00446D14"/>
    <w:rsid w:val="00452456"/>
    <w:rsid w:val="004524CE"/>
    <w:rsid w:val="004527C2"/>
    <w:rsid w:val="00453416"/>
    <w:rsid w:val="00453656"/>
    <w:rsid w:val="00453C6C"/>
    <w:rsid w:val="00454A8F"/>
    <w:rsid w:val="00454B6E"/>
    <w:rsid w:val="00455BB8"/>
    <w:rsid w:val="00455D55"/>
    <w:rsid w:val="00455D5D"/>
    <w:rsid w:val="00455F28"/>
    <w:rsid w:val="00455FAC"/>
    <w:rsid w:val="00456347"/>
    <w:rsid w:val="004567E9"/>
    <w:rsid w:val="004568B8"/>
    <w:rsid w:val="004571B9"/>
    <w:rsid w:val="0045739D"/>
    <w:rsid w:val="00460797"/>
    <w:rsid w:val="00463057"/>
    <w:rsid w:val="0046449D"/>
    <w:rsid w:val="00465750"/>
    <w:rsid w:val="0046695A"/>
    <w:rsid w:val="00467066"/>
    <w:rsid w:val="00471311"/>
    <w:rsid w:val="00471785"/>
    <w:rsid w:val="00472863"/>
    <w:rsid w:val="00474DC8"/>
    <w:rsid w:val="004759E9"/>
    <w:rsid w:val="00475A8E"/>
    <w:rsid w:val="004766DD"/>
    <w:rsid w:val="004769F1"/>
    <w:rsid w:val="00477519"/>
    <w:rsid w:val="00480E42"/>
    <w:rsid w:val="004812F7"/>
    <w:rsid w:val="0048243C"/>
    <w:rsid w:val="0048299F"/>
    <w:rsid w:val="00483370"/>
    <w:rsid w:val="004853CA"/>
    <w:rsid w:val="004860C4"/>
    <w:rsid w:val="004878C9"/>
    <w:rsid w:val="00487E7E"/>
    <w:rsid w:val="00490EE2"/>
    <w:rsid w:val="0049152A"/>
    <w:rsid w:val="00492836"/>
    <w:rsid w:val="00495BB4"/>
    <w:rsid w:val="004966B7"/>
    <w:rsid w:val="004968F9"/>
    <w:rsid w:val="004975EB"/>
    <w:rsid w:val="00497FD3"/>
    <w:rsid w:val="004A05DB"/>
    <w:rsid w:val="004A0C10"/>
    <w:rsid w:val="004A1292"/>
    <w:rsid w:val="004A134C"/>
    <w:rsid w:val="004A1F06"/>
    <w:rsid w:val="004A2258"/>
    <w:rsid w:val="004A2832"/>
    <w:rsid w:val="004A2939"/>
    <w:rsid w:val="004A2977"/>
    <w:rsid w:val="004A2F0E"/>
    <w:rsid w:val="004A39FE"/>
    <w:rsid w:val="004A4298"/>
    <w:rsid w:val="004A49DA"/>
    <w:rsid w:val="004A4A64"/>
    <w:rsid w:val="004A4CDA"/>
    <w:rsid w:val="004A51F2"/>
    <w:rsid w:val="004A53F6"/>
    <w:rsid w:val="004A6556"/>
    <w:rsid w:val="004B040E"/>
    <w:rsid w:val="004B39D2"/>
    <w:rsid w:val="004B3A56"/>
    <w:rsid w:val="004B4A0C"/>
    <w:rsid w:val="004B60C3"/>
    <w:rsid w:val="004B61F4"/>
    <w:rsid w:val="004C06D8"/>
    <w:rsid w:val="004C0D8E"/>
    <w:rsid w:val="004C1447"/>
    <w:rsid w:val="004C1660"/>
    <w:rsid w:val="004C1866"/>
    <w:rsid w:val="004C2367"/>
    <w:rsid w:val="004C335E"/>
    <w:rsid w:val="004C406F"/>
    <w:rsid w:val="004C4D53"/>
    <w:rsid w:val="004C7348"/>
    <w:rsid w:val="004D24B5"/>
    <w:rsid w:val="004D396F"/>
    <w:rsid w:val="004D4EF4"/>
    <w:rsid w:val="004D52CC"/>
    <w:rsid w:val="004D56AC"/>
    <w:rsid w:val="004D57AF"/>
    <w:rsid w:val="004D6BA8"/>
    <w:rsid w:val="004D6BFA"/>
    <w:rsid w:val="004D6CAB"/>
    <w:rsid w:val="004D7079"/>
    <w:rsid w:val="004D7593"/>
    <w:rsid w:val="004D7C3F"/>
    <w:rsid w:val="004D7E88"/>
    <w:rsid w:val="004E0BD4"/>
    <w:rsid w:val="004E0CDE"/>
    <w:rsid w:val="004E0E9E"/>
    <w:rsid w:val="004E17EE"/>
    <w:rsid w:val="004E188D"/>
    <w:rsid w:val="004E27FE"/>
    <w:rsid w:val="004E46B3"/>
    <w:rsid w:val="004E4EF3"/>
    <w:rsid w:val="004E5364"/>
    <w:rsid w:val="004E6C18"/>
    <w:rsid w:val="004E7727"/>
    <w:rsid w:val="004E7C42"/>
    <w:rsid w:val="004F0AA2"/>
    <w:rsid w:val="004F4154"/>
    <w:rsid w:val="004F439B"/>
    <w:rsid w:val="004F7C1A"/>
    <w:rsid w:val="004F7C7A"/>
    <w:rsid w:val="005001F6"/>
    <w:rsid w:val="0050080F"/>
    <w:rsid w:val="00500E69"/>
    <w:rsid w:val="0050157D"/>
    <w:rsid w:val="005017A7"/>
    <w:rsid w:val="00501BCD"/>
    <w:rsid w:val="00501C58"/>
    <w:rsid w:val="0050245A"/>
    <w:rsid w:val="005031D5"/>
    <w:rsid w:val="00503EE9"/>
    <w:rsid w:val="00504BB1"/>
    <w:rsid w:val="005053A6"/>
    <w:rsid w:val="00505CB1"/>
    <w:rsid w:val="005076EE"/>
    <w:rsid w:val="00510B1C"/>
    <w:rsid w:val="005110DB"/>
    <w:rsid w:val="00511B4A"/>
    <w:rsid w:val="005125B9"/>
    <w:rsid w:val="00513501"/>
    <w:rsid w:val="00513A57"/>
    <w:rsid w:val="00513D1F"/>
    <w:rsid w:val="00514DCB"/>
    <w:rsid w:val="005160F2"/>
    <w:rsid w:val="00516CBC"/>
    <w:rsid w:val="00516EDA"/>
    <w:rsid w:val="005178E8"/>
    <w:rsid w:val="0052193E"/>
    <w:rsid w:val="00522677"/>
    <w:rsid w:val="00522E7C"/>
    <w:rsid w:val="005231B2"/>
    <w:rsid w:val="0052511D"/>
    <w:rsid w:val="005251DE"/>
    <w:rsid w:val="00525CB3"/>
    <w:rsid w:val="00525E3D"/>
    <w:rsid w:val="0052678C"/>
    <w:rsid w:val="00527DB0"/>
    <w:rsid w:val="00527EE2"/>
    <w:rsid w:val="0053078C"/>
    <w:rsid w:val="0053096B"/>
    <w:rsid w:val="005318EF"/>
    <w:rsid w:val="00531DC6"/>
    <w:rsid w:val="00533644"/>
    <w:rsid w:val="0053373E"/>
    <w:rsid w:val="00533C47"/>
    <w:rsid w:val="00534EB0"/>
    <w:rsid w:val="00535173"/>
    <w:rsid w:val="005356B2"/>
    <w:rsid w:val="00535E99"/>
    <w:rsid w:val="0053657C"/>
    <w:rsid w:val="00536641"/>
    <w:rsid w:val="005375D4"/>
    <w:rsid w:val="00537E5E"/>
    <w:rsid w:val="00540492"/>
    <w:rsid w:val="00540F1C"/>
    <w:rsid w:val="005417CC"/>
    <w:rsid w:val="00542F1B"/>
    <w:rsid w:val="00543902"/>
    <w:rsid w:val="00544449"/>
    <w:rsid w:val="00544CB9"/>
    <w:rsid w:val="0054602A"/>
    <w:rsid w:val="0054720A"/>
    <w:rsid w:val="0054786A"/>
    <w:rsid w:val="00547A15"/>
    <w:rsid w:val="00547F08"/>
    <w:rsid w:val="005505F9"/>
    <w:rsid w:val="00551988"/>
    <w:rsid w:val="0055282B"/>
    <w:rsid w:val="00552D49"/>
    <w:rsid w:val="00555447"/>
    <w:rsid w:val="005554EE"/>
    <w:rsid w:val="005556D6"/>
    <w:rsid w:val="00555751"/>
    <w:rsid w:val="005567C2"/>
    <w:rsid w:val="005569D1"/>
    <w:rsid w:val="0055738B"/>
    <w:rsid w:val="0055739C"/>
    <w:rsid w:val="005608A0"/>
    <w:rsid w:val="005635A7"/>
    <w:rsid w:val="005657E1"/>
    <w:rsid w:val="00566C69"/>
    <w:rsid w:val="005714C3"/>
    <w:rsid w:val="005718DE"/>
    <w:rsid w:val="005719A1"/>
    <w:rsid w:val="00571F52"/>
    <w:rsid w:val="00572793"/>
    <w:rsid w:val="00572DFB"/>
    <w:rsid w:val="00572E37"/>
    <w:rsid w:val="00573576"/>
    <w:rsid w:val="005735D2"/>
    <w:rsid w:val="005738A5"/>
    <w:rsid w:val="005740EA"/>
    <w:rsid w:val="00574F0D"/>
    <w:rsid w:val="00575434"/>
    <w:rsid w:val="00575D9E"/>
    <w:rsid w:val="0057609F"/>
    <w:rsid w:val="00577202"/>
    <w:rsid w:val="005779E6"/>
    <w:rsid w:val="005788F9"/>
    <w:rsid w:val="00580A07"/>
    <w:rsid w:val="005811DC"/>
    <w:rsid w:val="00581AD9"/>
    <w:rsid w:val="00581DFE"/>
    <w:rsid w:val="00583BED"/>
    <w:rsid w:val="0058436D"/>
    <w:rsid w:val="0058590A"/>
    <w:rsid w:val="00586856"/>
    <w:rsid w:val="0058711E"/>
    <w:rsid w:val="00587180"/>
    <w:rsid w:val="00587C99"/>
    <w:rsid w:val="00590EF2"/>
    <w:rsid w:val="00591738"/>
    <w:rsid w:val="00591B84"/>
    <w:rsid w:val="0059289D"/>
    <w:rsid w:val="00593448"/>
    <w:rsid w:val="005943FB"/>
    <w:rsid w:val="00595BA1"/>
    <w:rsid w:val="0059607B"/>
    <w:rsid w:val="00597CEC"/>
    <w:rsid w:val="005A0BE9"/>
    <w:rsid w:val="005A3EAA"/>
    <w:rsid w:val="005A4EFE"/>
    <w:rsid w:val="005A5312"/>
    <w:rsid w:val="005A55FC"/>
    <w:rsid w:val="005A5F46"/>
    <w:rsid w:val="005A6BC4"/>
    <w:rsid w:val="005A6F3D"/>
    <w:rsid w:val="005A73A5"/>
    <w:rsid w:val="005A7DB8"/>
    <w:rsid w:val="005B015B"/>
    <w:rsid w:val="005B08DC"/>
    <w:rsid w:val="005B116D"/>
    <w:rsid w:val="005B1DBA"/>
    <w:rsid w:val="005B4CC8"/>
    <w:rsid w:val="005B5172"/>
    <w:rsid w:val="005B6710"/>
    <w:rsid w:val="005B7F97"/>
    <w:rsid w:val="005C0AC5"/>
    <w:rsid w:val="005C0E21"/>
    <w:rsid w:val="005C1BDE"/>
    <w:rsid w:val="005C2639"/>
    <w:rsid w:val="005C2917"/>
    <w:rsid w:val="005C3B54"/>
    <w:rsid w:val="005C4478"/>
    <w:rsid w:val="005C47EF"/>
    <w:rsid w:val="005C66D9"/>
    <w:rsid w:val="005C7F34"/>
    <w:rsid w:val="005D0800"/>
    <w:rsid w:val="005D107B"/>
    <w:rsid w:val="005D1CFD"/>
    <w:rsid w:val="005D20D6"/>
    <w:rsid w:val="005D22B7"/>
    <w:rsid w:val="005D2819"/>
    <w:rsid w:val="005D3442"/>
    <w:rsid w:val="005D360A"/>
    <w:rsid w:val="005D5787"/>
    <w:rsid w:val="005D7025"/>
    <w:rsid w:val="005D704D"/>
    <w:rsid w:val="005D70B3"/>
    <w:rsid w:val="005E002F"/>
    <w:rsid w:val="005E0363"/>
    <w:rsid w:val="005E060B"/>
    <w:rsid w:val="005E065F"/>
    <w:rsid w:val="005E09BE"/>
    <w:rsid w:val="005E0ED6"/>
    <w:rsid w:val="005E1407"/>
    <w:rsid w:val="005E3A9A"/>
    <w:rsid w:val="005E4300"/>
    <w:rsid w:val="005E46B4"/>
    <w:rsid w:val="005E5F91"/>
    <w:rsid w:val="005E65BE"/>
    <w:rsid w:val="005E66D1"/>
    <w:rsid w:val="005E6A4E"/>
    <w:rsid w:val="005E6B7E"/>
    <w:rsid w:val="005E71C5"/>
    <w:rsid w:val="005E7CD7"/>
    <w:rsid w:val="005E7E0B"/>
    <w:rsid w:val="005E7E10"/>
    <w:rsid w:val="005F028B"/>
    <w:rsid w:val="005F0DD5"/>
    <w:rsid w:val="005F3C6E"/>
    <w:rsid w:val="005F41CD"/>
    <w:rsid w:val="005F43D7"/>
    <w:rsid w:val="005F4454"/>
    <w:rsid w:val="005F4785"/>
    <w:rsid w:val="005F4789"/>
    <w:rsid w:val="005F4DCB"/>
    <w:rsid w:val="005F55FE"/>
    <w:rsid w:val="00600AD3"/>
    <w:rsid w:val="006010E2"/>
    <w:rsid w:val="00601706"/>
    <w:rsid w:val="00601B40"/>
    <w:rsid w:val="0060254D"/>
    <w:rsid w:val="00602BE6"/>
    <w:rsid w:val="00604033"/>
    <w:rsid w:val="006045DD"/>
    <w:rsid w:val="006051F7"/>
    <w:rsid w:val="00606583"/>
    <w:rsid w:val="006066D4"/>
    <w:rsid w:val="00610943"/>
    <w:rsid w:val="00610E11"/>
    <w:rsid w:val="00611214"/>
    <w:rsid w:val="00613501"/>
    <w:rsid w:val="00613646"/>
    <w:rsid w:val="006140FE"/>
    <w:rsid w:val="0061518A"/>
    <w:rsid w:val="00615537"/>
    <w:rsid w:val="00616004"/>
    <w:rsid w:val="00617010"/>
    <w:rsid w:val="0061766A"/>
    <w:rsid w:val="0062041F"/>
    <w:rsid w:val="006220E2"/>
    <w:rsid w:val="00622DF8"/>
    <w:rsid w:val="006231D1"/>
    <w:rsid w:val="006244A3"/>
    <w:rsid w:val="00624A9D"/>
    <w:rsid w:val="006250F5"/>
    <w:rsid w:val="0062762E"/>
    <w:rsid w:val="006303E0"/>
    <w:rsid w:val="00631723"/>
    <w:rsid w:val="0063195C"/>
    <w:rsid w:val="00631B3B"/>
    <w:rsid w:val="00631C3B"/>
    <w:rsid w:val="006322E1"/>
    <w:rsid w:val="00632BB1"/>
    <w:rsid w:val="00632D04"/>
    <w:rsid w:val="0063680E"/>
    <w:rsid w:val="00637295"/>
    <w:rsid w:val="006372E4"/>
    <w:rsid w:val="006406C9"/>
    <w:rsid w:val="00640926"/>
    <w:rsid w:val="0064168F"/>
    <w:rsid w:val="00642739"/>
    <w:rsid w:val="00642E00"/>
    <w:rsid w:val="00643F99"/>
    <w:rsid w:val="0064485D"/>
    <w:rsid w:val="00645A26"/>
    <w:rsid w:val="0064744F"/>
    <w:rsid w:val="00647BD7"/>
    <w:rsid w:val="006505D3"/>
    <w:rsid w:val="006513D2"/>
    <w:rsid w:val="00653729"/>
    <w:rsid w:val="006550D0"/>
    <w:rsid w:val="00656C4D"/>
    <w:rsid w:val="006578A4"/>
    <w:rsid w:val="00661A37"/>
    <w:rsid w:val="0066246E"/>
    <w:rsid w:val="0066265E"/>
    <w:rsid w:val="00662A0E"/>
    <w:rsid w:val="00662D9B"/>
    <w:rsid w:val="00663C1B"/>
    <w:rsid w:val="00664237"/>
    <w:rsid w:val="0066514D"/>
    <w:rsid w:val="00665198"/>
    <w:rsid w:val="0066595D"/>
    <w:rsid w:val="006659C0"/>
    <w:rsid w:val="006667C2"/>
    <w:rsid w:val="00670656"/>
    <w:rsid w:val="00671253"/>
    <w:rsid w:val="0067255E"/>
    <w:rsid w:val="00673793"/>
    <w:rsid w:val="00673E40"/>
    <w:rsid w:val="00675218"/>
    <w:rsid w:val="006778A5"/>
    <w:rsid w:val="00681A67"/>
    <w:rsid w:val="006823C8"/>
    <w:rsid w:val="00684683"/>
    <w:rsid w:val="00684BD2"/>
    <w:rsid w:val="00685A45"/>
    <w:rsid w:val="006866F5"/>
    <w:rsid w:val="00687FA9"/>
    <w:rsid w:val="00690117"/>
    <w:rsid w:val="00690AEA"/>
    <w:rsid w:val="00691541"/>
    <w:rsid w:val="00691A6D"/>
    <w:rsid w:val="0069257E"/>
    <w:rsid w:val="006927A6"/>
    <w:rsid w:val="006930E7"/>
    <w:rsid w:val="006948E7"/>
    <w:rsid w:val="006956AD"/>
    <w:rsid w:val="00695893"/>
    <w:rsid w:val="00695D05"/>
    <w:rsid w:val="00696872"/>
    <w:rsid w:val="00696C54"/>
    <w:rsid w:val="00697A6A"/>
    <w:rsid w:val="006A09BC"/>
    <w:rsid w:val="006A1007"/>
    <w:rsid w:val="006A1334"/>
    <w:rsid w:val="006A1A8C"/>
    <w:rsid w:val="006A3598"/>
    <w:rsid w:val="006A5422"/>
    <w:rsid w:val="006A5680"/>
    <w:rsid w:val="006A65A1"/>
    <w:rsid w:val="006B004F"/>
    <w:rsid w:val="006B0A2D"/>
    <w:rsid w:val="006B0AFE"/>
    <w:rsid w:val="006B1C9A"/>
    <w:rsid w:val="006B79F4"/>
    <w:rsid w:val="006C0A13"/>
    <w:rsid w:val="006C0A84"/>
    <w:rsid w:val="006C1169"/>
    <w:rsid w:val="006C18AB"/>
    <w:rsid w:val="006C1D90"/>
    <w:rsid w:val="006C366A"/>
    <w:rsid w:val="006C6038"/>
    <w:rsid w:val="006D1A51"/>
    <w:rsid w:val="006D20F9"/>
    <w:rsid w:val="006D483F"/>
    <w:rsid w:val="006D6484"/>
    <w:rsid w:val="006D651D"/>
    <w:rsid w:val="006D6CD0"/>
    <w:rsid w:val="006D774D"/>
    <w:rsid w:val="006D7C84"/>
    <w:rsid w:val="006E2B79"/>
    <w:rsid w:val="006E2F9F"/>
    <w:rsid w:val="006E314A"/>
    <w:rsid w:val="006E5601"/>
    <w:rsid w:val="006E5C27"/>
    <w:rsid w:val="006F0541"/>
    <w:rsid w:val="006F0E36"/>
    <w:rsid w:val="006F189E"/>
    <w:rsid w:val="006F1CC8"/>
    <w:rsid w:val="006F1D6F"/>
    <w:rsid w:val="006F1EF6"/>
    <w:rsid w:val="006F2339"/>
    <w:rsid w:val="006F244B"/>
    <w:rsid w:val="006F49CF"/>
    <w:rsid w:val="006F6B8E"/>
    <w:rsid w:val="006F6E48"/>
    <w:rsid w:val="0070051D"/>
    <w:rsid w:val="0070149E"/>
    <w:rsid w:val="00701992"/>
    <w:rsid w:val="00701E17"/>
    <w:rsid w:val="00701EB8"/>
    <w:rsid w:val="007029A6"/>
    <w:rsid w:val="007037CA"/>
    <w:rsid w:val="00706063"/>
    <w:rsid w:val="00706A89"/>
    <w:rsid w:val="00706CC5"/>
    <w:rsid w:val="00706DF4"/>
    <w:rsid w:val="00706E5D"/>
    <w:rsid w:val="00706FBD"/>
    <w:rsid w:val="00707C3A"/>
    <w:rsid w:val="00710D0F"/>
    <w:rsid w:val="00711005"/>
    <w:rsid w:val="0071131F"/>
    <w:rsid w:val="0071245B"/>
    <w:rsid w:val="00713B20"/>
    <w:rsid w:val="0071423A"/>
    <w:rsid w:val="00714B7A"/>
    <w:rsid w:val="00715644"/>
    <w:rsid w:val="00715A01"/>
    <w:rsid w:val="0071654D"/>
    <w:rsid w:val="00716E08"/>
    <w:rsid w:val="00720310"/>
    <w:rsid w:val="007203A1"/>
    <w:rsid w:val="00721E48"/>
    <w:rsid w:val="00724439"/>
    <w:rsid w:val="0072474C"/>
    <w:rsid w:val="007250BB"/>
    <w:rsid w:val="00727F0C"/>
    <w:rsid w:val="007315F1"/>
    <w:rsid w:val="00732B14"/>
    <w:rsid w:val="007339F1"/>
    <w:rsid w:val="00733A04"/>
    <w:rsid w:val="00734557"/>
    <w:rsid w:val="0073460E"/>
    <w:rsid w:val="00734DCF"/>
    <w:rsid w:val="007359C8"/>
    <w:rsid w:val="00735DF5"/>
    <w:rsid w:val="007362B5"/>
    <w:rsid w:val="00736FA3"/>
    <w:rsid w:val="00737285"/>
    <w:rsid w:val="007374B6"/>
    <w:rsid w:val="00737C53"/>
    <w:rsid w:val="007405D6"/>
    <w:rsid w:val="00740CB9"/>
    <w:rsid w:val="00741369"/>
    <w:rsid w:val="00741E68"/>
    <w:rsid w:val="00744788"/>
    <w:rsid w:val="00745F47"/>
    <w:rsid w:val="00746043"/>
    <w:rsid w:val="007469A0"/>
    <w:rsid w:val="00747435"/>
    <w:rsid w:val="00747849"/>
    <w:rsid w:val="00747A25"/>
    <w:rsid w:val="00747C78"/>
    <w:rsid w:val="00750DB0"/>
    <w:rsid w:val="007515F7"/>
    <w:rsid w:val="00752039"/>
    <w:rsid w:val="00752167"/>
    <w:rsid w:val="007525EA"/>
    <w:rsid w:val="007526C0"/>
    <w:rsid w:val="00752EF5"/>
    <w:rsid w:val="007560D9"/>
    <w:rsid w:val="007569F8"/>
    <w:rsid w:val="00757248"/>
    <w:rsid w:val="0076001C"/>
    <w:rsid w:val="007612AD"/>
    <w:rsid w:val="007617CF"/>
    <w:rsid w:val="00761D43"/>
    <w:rsid w:val="00761DB8"/>
    <w:rsid w:val="007630FC"/>
    <w:rsid w:val="007639C7"/>
    <w:rsid w:val="00763CA9"/>
    <w:rsid w:val="0076488C"/>
    <w:rsid w:val="007659EE"/>
    <w:rsid w:val="00766490"/>
    <w:rsid w:val="00770DBD"/>
    <w:rsid w:val="0077121F"/>
    <w:rsid w:val="00772AD6"/>
    <w:rsid w:val="00773522"/>
    <w:rsid w:val="00775106"/>
    <w:rsid w:val="00775162"/>
    <w:rsid w:val="00775323"/>
    <w:rsid w:val="00775E0F"/>
    <w:rsid w:val="00777A46"/>
    <w:rsid w:val="0078075B"/>
    <w:rsid w:val="00783169"/>
    <w:rsid w:val="00784E14"/>
    <w:rsid w:val="00785050"/>
    <w:rsid w:val="0078519B"/>
    <w:rsid w:val="00785740"/>
    <w:rsid w:val="00786220"/>
    <w:rsid w:val="00786F5F"/>
    <w:rsid w:val="00787362"/>
    <w:rsid w:val="00790376"/>
    <w:rsid w:val="00790A45"/>
    <w:rsid w:val="00791240"/>
    <w:rsid w:val="007915CB"/>
    <w:rsid w:val="00791742"/>
    <w:rsid w:val="007919AF"/>
    <w:rsid w:val="00791E95"/>
    <w:rsid w:val="00793B47"/>
    <w:rsid w:val="00793EFA"/>
    <w:rsid w:val="0079406A"/>
    <w:rsid w:val="007944EA"/>
    <w:rsid w:val="00794863"/>
    <w:rsid w:val="0079557E"/>
    <w:rsid w:val="007955E8"/>
    <w:rsid w:val="007A04AB"/>
    <w:rsid w:val="007A1C2A"/>
    <w:rsid w:val="007A3DA0"/>
    <w:rsid w:val="007A3EF1"/>
    <w:rsid w:val="007A448B"/>
    <w:rsid w:val="007A49F6"/>
    <w:rsid w:val="007A50A6"/>
    <w:rsid w:val="007A51F0"/>
    <w:rsid w:val="007A53BD"/>
    <w:rsid w:val="007A7F42"/>
    <w:rsid w:val="007B011F"/>
    <w:rsid w:val="007B182F"/>
    <w:rsid w:val="007B2550"/>
    <w:rsid w:val="007B3A43"/>
    <w:rsid w:val="007B420A"/>
    <w:rsid w:val="007B436F"/>
    <w:rsid w:val="007B4AFE"/>
    <w:rsid w:val="007B5027"/>
    <w:rsid w:val="007B5796"/>
    <w:rsid w:val="007B7470"/>
    <w:rsid w:val="007C20B4"/>
    <w:rsid w:val="007C23D2"/>
    <w:rsid w:val="007C2FA1"/>
    <w:rsid w:val="007C439A"/>
    <w:rsid w:val="007C44AC"/>
    <w:rsid w:val="007C5235"/>
    <w:rsid w:val="007C54B6"/>
    <w:rsid w:val="007C5A23"/>
    <w:rsid w:val="007C6A00"/>
    <w:rsid w:val="007C6D4D"/>
    <w:rsid w:val="007C7BD5"/>
    <w:rsid w:val="007D0536"/>
    <w:rsid w:val="007D147E"/>
    <w:rsid w:val="007D168C"/>
    <w:rsid w:val="007D1A40"/>
    <w:rsid w:val="007D213D"/>
    <w:rsid w:val="007D21A1"/>
    <w:rsid w:val="007D3BEA"/>
    <w:rsid w:val="007D4901"/>
    <w:rsid w:val="007D529E"/>
    <w:rsid w:val="007D5E5A"/>
    <w:rsid w:val="007D6CD0"/>
    <w:rsid w:val="007D7398"/>
    <w:rsid w:val="007D77DD"/>
    <w:rsid w:val="007E015A"/>
    <w:rsid w:val="007E0758"/>
    <w:rsid w:val="007E12C1"/>
    <w:rsid w:val="007E2027"/>
    <w:rsid w:val="007E2526"/>
    <w:rsid w:val="007E2DE5"/>
    <w:rsid w:val="007E46D4"/>
    <w:rsid w:val="007E5068"/>
    <w:rsid w:val="007E5265"/>
    <w:rsid w:val="007E7DB4"/>
    <w:rsid w:val="007F0227"/>
    <w:rsid w:val="007F04B8"/>
    <w:rsid w:val="007F0619"/>
    <w:rsid w:val="007F07EE"/>
    <w:rsid w:val="007F09B6"/>
    <w:rsid w:val="007F19F3"/>
    <w:rsid w:val="007F2EC7"/>
    <w:rsid w:val="007F2F84"/>
    <w:rsid w:val="007F40EB"/>
    <w:rsid w:val="007F622B"/>
    <w:rsid w:val="007F6CD6"/>
    <w:rsid w:val="007F7546"/>
    <w:rsid w:val="00800159"/>
    <w:rsid w:val="00802B3D"/>
    <w:rsid w:val="008032E2"/>
    <w:rsid w:val="00803592"/>
    <w:rsid w:val="008047F7"/>
    <w:rsid w:val="008055AC"/>
    <w:rsid w:val="00805B94"/>
    <w:rsid w:val="008066DD"/>
    <w:rsid w:val="00807207"/>
    <w:rsid w:val="0080779D"/>
    <w:rsid w:val="008106DC"/>
    <w:rsid w:val="00811A7D"/>
    <w:rsid w:val="00812A71"/>
    <w:rsid w:val="00813C18"/>
    <w:rsid w:val="008144D1"/>
    <w:rsid w:val="00814DFB"/>
    <w:rsid w:val="0081598A"/>
    <w:rsid w:val="00815AFB"/>
    <w:rsid w:val="0081611A"/>
    <w:rsid w:val="008163F8"/>
    <w:rsid w:val="008166CE"/>
    <w:rsid w:val="00817A7A"/>
    <w:rsid w:val="00820A7B"/>
    <w:rsid w:val="00820FEB"/>
    <w:rsid w:val="00821539"/>
    <w:rsid w:val="00821BCD"/>
    <w:rsid w:val="0082219D"/>
    <w:rsid w:val="00822E98"/>
    <w:rsid w:val="00823186"/>
    <w:rsid w:val="00823789"/>
    <w:rsid w:val="008261A9"/>
    <w:rsid w:val="008265E1"/>
    <w:rsid w:val="008272B9"/>
    <w:rsid w:val="00830312"/>
    <w:rsid w:val="00830FE2"/>
    <w:rsid w:val="008316CB"/>
    <w:rsid w:val="0083191C"/>
    <w:rsid w:val="0083213D"/>
    <w:rsid w:val="00832E52"/>
    <w:rsid w:val="00833FE7"/>
    <w:rsid w:val="008362CE"/>
    <w:rsid w:val="0084037F"/>
    <w:rsid w:val="008413E0"/>
    <w:rsid w:val="008426E8"/>
    <w:rsid w:val="00842825"/>
    <w:rsid w:val="00844937"/>
    <w:rsid w:val="00844C61"/>
    <w:rsid w:val="00846644"/>
    <w:rsid w:val="008468EE"/>
    <w:rsid w:val="00846F48"/>
    <w:rsid w:val="00847124"/>
    <w:rsid w:val="00850740"/>
    <w:rsid w:val="008507BA"/>
    <w:rsid w:val="008507D1"/>
    <w:rsid w:val="0085199F"/>
    <w:rsid w:val="00851F8A"/>
    <w:rsid w:val="008520E4"/>
    <w:rsid w:val="00853A46"/>
    <w:rsid w:val="00854DC1"/>
    <w:rsid w:val="008558A9"/>
    <w:rsid w:val="00856904"/>
    <w:rsid w:val="00856F7A"/>
    <w:rsid w:val="008579CB"/>
    <w:rsid w:val="008617E2"/>
    <w:rsid w:val="00861B3E"/>
    <w:rsid w:val="00861F5A"/>
    <w:rsid w:val="008633E3"/>
    <w:rsid w:val="00864AD0"/>
    <w:rsid w:val="00867215"/>
    <w:rsid w:val="0087071F"/>
    <w:rsid w:val="00871049"/>
    <w:rsid w:val="00871B62"/>
    <w:rsid w:val="00871EBE"/>
    <w:rsid w:val="00872FD1"/>
    <w:rsid w:val="00873E8E"/>
    <w:rsid w:val="008748DE"/>
    <w:rsid w:val="00875E38"/>
    <w:rsid w:val="0087616E"/>
    <w:rsid w:val="00876516"/>
    <w:rsid w:val="00876A03"/>
    <w:rsid w:val="00876E04"/>
    <w:rsid w:val="008776E3"/>
    <w:rsid w:val="008779B6"/>
    <w:rsid w:val="008805D4"/>
    <w:rsid w:val="00880B76"/>
    <w:rsid w:val="00882537"/>
    <w:rsid w:val="00882BAE"/>
    <w:rsid w:val="0088439F"/>
    <w:rsid w:val="00884650"/>
    <w:rsid w:val="00884D9C"/>
    <w:rsid w:val="008863DA"/>
    <w:rsid w:val="00887792"/>
    <w:rsid w:val="00890EC0"/>
    <w:rsid w:val="00891741"/>
    <w:rsid w:val="008927EA"/>
    <w:rsid w:val="008929A5"/>
    <w:rsid w:val="00892C1F"/>
    <w:rsid w:val="00893607"/>
    <w:rsid w:val="00893881"/>
    <w:rsid w:val="00893BE4"/>
    <w:rsid w:val="00896578"/>
    <w:rsid w:val="00897527"/>
    <w:rsid w:val="00897D34"/>
    <w:rsid w:val="008A06E5"/>
    <w:rsid w:val="008A0869"/>
    <w:rsid w:val="008A0E0B"/>
    <w:rsid w:val="008A1191"/>
    <w:rsid w:val="008A1D00"/>
    <w:rsid w:val="008A23A6"/>
    <w:rsid w:val="008A344E"/>
    <w:rsid w:val="008A3C18"/>
    <w:rsid w:val="008A3F4A"/>
    <w:rsid w:val="008A4051"/>
    <w:rsid w:val="008A4C51"/>
    <w:rsid w:val="008A5DE6"/>
    <w:rsid w:val="008A719B"/>
    <w:rsid w:val="008A775F"/>
    <w:rsid w:val="008A7F63"/>
    <w:rsid w:val="008A7FCE"/>
    <w:rsid w:val="008B00CE"/>
    <w:rsid w:val="008B2632"/>
    <w:rsid w:val="008B445D"/>
    <w:rsid w:val="008B51B8"/>
    <w:rsid w:val="008B5624"/>
    <w:rsid w:val="008B59C8"/>
    <w:rsid w:val="008B5FB3"/>
    <w:rsid w:val="008B63BE"/>
    <w:rsid w:val="008B6DB7"/>
    <w:rsid w:val="008C01A7"/>
    <w:rsid w:val="008C0FEB"/>
    <w:rsid w:val="008C1917"/>
    <w:rsid w:val="008C302F"/>
    <w:rsid w:val="008C451C"/>
    <w:rsid w:val="008C46C0"/>
    <w:rsid w:val="008C5C18"/>
    <w:rsid w:val="008C719A"/>
    <w:rsid w:val="008C71A1"/>
    <w:rsid w:val="008C7775"/>
    <w:rsid w:val="008C7918"/>
    <w:rsid w:val="008D046F"/>
    <w:rsid w:val="008D0B07"/>
    <w:rsid w:val="008D0D09"/>
    <w:rsid w:val="008D1138"/>
    <w:rsid w:val="008D12D8"/>
    <w:rsid w:val="008D1BF4"/>
    <w:rsid w:val="008D1F66"/>
    <w:rsid w:val="008D1FA4"/>
    <w:rsid w:val="008D29F4"/>
    <w:rsid w:val="008D3B23"/>
    <w:rsid w:val="008D3CB9"/>
    <w:rsid w:val="008D46FA"/>
    <w:rsid w:val="008D488C"/>
    <w:rsid w:val="008D5005"/>
    <w:rsid w:val="008D7F16"/>
    <w:rsid w:val="008E0031"/>
    <w:rsid w:val="008E02F4"/>
    <w:rsid w:val="008E0409"/>
    <w:rsid w:val="008E0A9E"/>
    <w:rsid w:val="008E0B64"/>
    <w:rsid w:val="008E0CB0"/>
    <w:rsid w:val="008E0D05"/>
    <w:rsid w:val="008E2759"/>
    <w:rsid w:val="008E294F"/>
    <w:rsid w:val="008E3273"/>
    <w:rsid w:val="008E3327"/>
    <w:rsid w:val="008E3A73"/>
    <w:rsid w:val="008E515A"/>
    <w:rsid w:val="008E6503"/>
    <w:rsid w:val="008E7F80"/>
    <w:rsid w:val="008F1CBC"/>
    <w:rsid w:val="008F23C4"/>
    <w:rsid w:val="008F24E0"/>
    <w:rsid w:val="008F2DAE"/>
    <w:rsid w:val="008F300B"/>
    <w:rsid w:val="008F320C"/>
    <w:rsid w:val="008F5A31"/>
    <w:rsid w:val="008F5ACF"/>
    <w:rsid w:val="008F5B14"/>
    <w:rsid w:val="008F6021"/>
    <w:rsid w:val="008F61CD"/>
    <w:rsid w:val="008F7779"/>
    <w:rsid w:val="00900148"/>
    <w:rsid w:val="009016B5"/>
    <w:rsid w:val="00901D62"/>
    <w:rsid w:val="0090216B"/>
    <w:rsid w:val="009024CB"/>
    <w:rsid w:val="009031EF"/>
    <w:rsid w:val="00903E2E"/>
    <w:rsid w:val="00904674"/>
    <w:rsid w:val="00907AFF"/>
    <w:rsid w:val="00910042"/>
    <w:rsid w:val="0091085C"/>
    <w:rsid w:val="00910942"/>
    <w:rsid w:val="0091196B"/>
    <w:rsid w:val="00911E3A"/>
    <w:rsid w:val="00912108"/>
    <w:rsid w:val="00912282"/>
    <w:rsid w:val="0091377F"/>
    <w:rsid w:val="0091380E"/>
    <w:rsid w:val="00914865"/>
    <w:rsid w:val="00914F24"/>
    <w:rsid w:val="00915021"/>
    <w:rsid w:val="00915A93"/>
    <w:rsid w:val="00915AD5"/>
    <w:rsid w:val="00915CAE"/>
    <w:rsid w:val="00916885"/>
    <w:rsid w:val="0092140D"/>
    <w:rsid w:val="00921BA2"/>
    <w:rsid w:val="009229C9"/>
    <w:rsid w:val="00922D02"/>
    <w:rsid w:val="0092425F"/>
    <w:rsid w:val="00925995"/>
    <w:rsid w:val="00926907"/>
    <w:rsid w:val="00927295"/>
    <w:rsid w:val="0092A758"/>
    <w:rsid w:val="0093054A"/>
    <w:rsid w:val="009313F3"/>
    <w:rsid w:val="00931FA1"/>
    <w:rsid w:val="00933668"/>
    <w:rsid w:val="00933CDE"/>
    <w:rsid w:val="00933ED1"/>
    <w:rsid w:val="009350E9"/>
    <w:rsid w:val="00935CDE"/>
    <w:rsid w:val="009361FC"/>
    <w:rsid w:val="00936E6F"/>
    <w:rsid w:val="00940890"/>
    <w:rsid w:val="00940E61"/>
    <w:rsid w:val="009410A9"/>
    <w:rsid w:val="00941F9D"/>
    <w:rsid w:val="0094214D"/>
    <w:rsid w:val="009426D1"/>
    <w:rsid w:val="009428BF"/>
    <w:rsid w:val="009428C4"/>
    <w:rsid w:val="009441C2"/>
    <w:rsid w:val="009442A5"/>
    <w:rsid w:val="009453C0"/>
    <w:rsid w:val="00945B7B"/>
    <w:rsid w:val="00946B47"/>
    <w:rsid w:val="00947165"/>
    <w:rsid w:val="00951660"/>
    <w:rsid w:val="00951770"/>
    <w:rsid w:val="00951825"/>
    <w:rsid w:val="009521C7"/>
    <w:rsid w:val="009525E6"/>
    <w:rsid w:val="009526D4"/>
    <w:rsid w:val="00952C82"/>
    <w:rsid w:val="009535BD"/>
    <w:rsid w:val="00953DBD"/>
    <w:rsid w:val="00953F4C"/>
    <w:rsid w:val="00954678"/>
    <w:rsid w:val="00954895"/>
    <w:rsid w:val="00955058"/>
    <w:rsid w:val="00955A6D"/>
    <w:rsid w:val="00955C37"/>
    <w:rsid w:val="00956438"/>
    <w:rsid w:val="00956C2A"/>
    <w:rsid w:val="009576A0"/>
    <w:rsid w:val="00960C3A"/>
    <w:rsid w:val="00960DCA"/>
    <w:rsid w:val="009619B6"/>
    <w:rsid w:val="00961E05"/>
    <w:rsid w:val="00961E46"/>
    <w:rsid w:val="00962373"/>
    <w:rsid w:val="00962C06"/>
    <w:rsid w:val="00964D78"/>
    <w:rsid w:val="0096506E"/>
    <w:rsid w:val="0097100C"/>
    <w:rsid w:val="00972875"/>
    <w:rsid w:val="00973333"/>
    <w:rsid w:val="009738A0"/>
    <w:rsid w:val="0097473F"/>
    <w:rsid w:val="0097506E"/>
    <w:rsid w:val="00980540"/>
    <w:rsid w:val="009806E2"/>
    <w:rsid w:val="00980B38"/>
    <w:rsid w:val="00982468"/>
    <w:rsid w:val="009824B3"/>
    <w:rsid w:val="00982909"/>
    <w:rsid w:val="00985926"/>
    <w:rsid w:val="00986C2C"/>
    <w:rsid w:val="009879B4"/>
    <w:rsid w:val="0099041A"/>
    <w:rsid w:val="009917A9"/>
    <w:rsid w:val="00991E72"/>
    <w:rsid w:val="009928C7"/>
    <w:rsid w:val="00992B33"/>
    <w:rsid w:val="009950B3"/>
    <w:rsid w:val="0099711F"/>
    <w:rsid w:val="00997F4B"/>
    <w:rsid w:val="009A0DC4"/>
    <w:rsid w:val="009A20BF"/>
    <w:rsid w:val="009A2DA0"/>
    <w:rsid w:val="009A2EFC"/>
    <w:rsid w:val="009A31ED"/>
    <w:rsid w:val="009A36BB"/>
    <w:rsid w:val="009A4B8B"/>
    <w:rsid w:val="009A5245"/>
    <w:rsid w:val="009A59AF"/>
    <w:rsid w:val="009A5CFA"/>
    <w:rsid w:val="009A63F7"/>
    <w:rsid w:val="009A78D4"/>
    <w:rsid w:val="009A7EE3"/>
    <w:rsid w:val="009B04DA"/>
    <w:rsid w:val="009B08FF"/>
    <w:rsid w:val="009B0ADA"/>
    <w:rsid w:val="009B0DF7"/>
    <w:rsid w:val="009B1B38"/>
    <w:rsid w:val="009B1C3F"/>
    <w:rsid w:val="009B1ECC"/>
    <w:rsid w:val="009B1FC5"/>
    <w:rsid w:val="009B2DB3"/>
    <w:rsid w:val="009B3561"/>
    <w:rsid w:val="009B4AD6"/>
    <w:rsid w:val="009B5EFE"/>
    <w:rsid w:val="009B626E"/>
    <w:rsid w:val="009B6849"/>
    <w:rsid w:val="009B6C81"/>
    <w:rsid w:val="009B6FCA"/>
    <w:rsid w:val="009C0886"/>
    <w:rsid w:val="009C107C"/>
    <w:rsid w:val="009C126E"/>
    <w:rsid w:val="009C3148"/>
    <w:rsid w:val="009C35B0"/>
    <w:rsid w:val="009C3D10"/>
    <w:rsid w:val="009C3DFA"/>
    <w:rsid w:val="009C3E98"/>
    <w:rsid w:val="009C4958"/>
    <w:rsid w:val="009C5D62"/>
    <w:rsid w:val="009D17BD"/>
    <w:rsid w:val="009D1981"/>
    <w:rsid w:val="009D1F14"/>
    <w:rsid w:val="009D2172"/>
    <w:rsid w:val="009D33EE"/>
    <w:rsid w:val="009D7BA7"/>
    <w:rsid w:val="009E0341"/>
    <w:rsid w:val="009E133E"/>
    <w:rsid w:val="009E1E1E"/>
    <w:rsid w:val="009E1E6A"/>
    <w:rsid w:val="009E270A"/>
    <w:rsid w:val="009E3B4B"/>
    <w:rsid w:val="009E59FB"/>
    <w:rsid w:val="009E5A7F"/>
    <w:rsid w:val="009E6302"/>
    <w:rsid w:val="009E77F3"/>
    <w:rsid w:val="009E7A1F"/>
    <w:rsid w:val="009F060A"/>
    <w:rsid w:val="009F1E22"/>
    <w:rsid w:val="009F5B6C"/>
    <w:rsid w:val="009F6BC7"/>
    <w:rsid w:val="009F736B"/>
    <w:rsid w:val="009F7E89"/>
    <w:rsid w:val="00A00A3D"/>
    <w:rsid w:val="00A00EDA"/>
    <w:rsid w:val="00A018CA"/>
    <w:rsid w:val="00A02AC1"/>
    <w:rsid w:val="00A02E7C"/>
    <w:rsid w:val="00A02E92"/>
    <w:rsid w:val="00A0490A"/>
    <w:rsid w:val="00A04D78"/>
    <w:rsid w:val="00A05F5D"/>
    <w:rsid w:val="00A07103"/>
    <w:rsid w:val="00A10508"/>
    <w:rsid w:val="00A1119C"/>
    <w:rsid w:val="00A13706"/>
    <w:rsid w:val="00A137E6"/>
    <w:rsid w:val="00A13B15"/>
    <w:rsid w:val="00A16455"/>
    <w:rsid w:val="00A1729E"/>
    <w:rsid w:val="00A179C7"/>
    <w:rsid w:val="00A203DB"/>
    <w:rsid w:val="00A21186"/>
    <w:rsid w:val="00A21865"/>
    <w:rsid w:val="00A23F77"/>
    <w:rsid w:val="00A24CA2"/>
    <w:rsid w:val="00A24D63"/>
    <w:rsid w:val="00A2552B"/>
    <w:rsid w:val="00A25BDB"/>
    <w:rsid w:val="00A261D8"/>
    <w:rsid w:val="00A263D1"/>
    <w:rsid w:val="00A26709"/>
    <w:rsid w:val="00A27799"/>
    <w:rsid w:val="00A3032E"/>
    <w:rsid w:val="00A30D02"/>
    <w:rsid w:val="00A31D24"/>
    <w:rsid w:val="00A31E82"/>
    <w:rsid w:val="00A32C62"/>
    <w:rsid w:val="00A3475C"/>
    <w:rsid w:val="00A34856"/>
    <w:rsid w:val="00A34B1E"/>
    <w:rsid w:val="00A34DB2"/>
    <w:rsid w:val="00A35105"/>
    <w:rsid w:val="00A351B1"/>
    <w:rsid w:val="00A357F2"/>
    <w:rsid w:val="00A35899"/>
    <w:rsid w:val="00A35F65"/>
    <w:rsid w:val="00A36545"/>
    <w:rsid w:val="00A374B4"/>
    <w:rsid w:val="00A375A3"/>
    <w:rsid w:val="00A37900"/>
    <w:rsid w:val="00A421F8"/>
    <w:rsid w:val="00A44250"/>
    <w:rsid w:val="00A443F5"/>
    <w:rsid w:val="00A44576"/>
    <w:rsid w:val="00A4477C"/>
    <w:rsid w:val="00A44F57"/>
    <w:rsid w:val="00A450D4"/>
    <w:rsid w:val="00A46398"/>
    <w:rsid w:val="00A51E51"/>
    <w:rsid w:val="00A52DB9"/>
    <w:rsid w:val="00A53043"/>
    <w:rsid w:val="00A5375A"/>
    <w:rsid w:val="00A54F00"/>
    <w:rsid w:val="00A5589A"/>
    <w:rsid w:val="00A5623D"/>
    <w:rsid w:val="00A57D41"/>
    <w:rsid w:val="00A607C0"/>
    <w:rsid w:val="00A619A7"/>
    <w:rsid w:val="00A61D23"/>
    <w:rsid w:val="00A62359"/>
    <w:rsid w:val="00A62B63"/>
    <w:rsid w:val="00A632E0"/>
    <w:rsid w:val="00A635E5"/>
    <w:rsid w:val="00A637AB"/>
    <w:rsid w:val="00A63800"/>
    <w:rsid w:val="00A65D92"/>
    <w:rsid w:val="00A66C4D"/>
    <w:rsid w:val="00A66E97"/>
    <w:rsid w:val="00A674B3"/>
    <w:rsid w:val="00A71057"/>
    <w:rsid w:val="00A71136"/>
    <w:rsid w:val="00A71A4A"/>
    <w:rsid w:val="00A71BA0"/>
    <w:rsid w:val="00A71CC8"/>
    <w:rsid w:val="00A72583"/>
    <w:rsid w:val="00A73101"/>
    <w:rsid w:val="00A7381A"/>
    <w:rsid w:val="00A7523C"/>
    <w:rsid w:val="00A76E3C"/>
    <w:rsid w:val="00A77681"/>
    <w:rsid w:val="00A805BD"/>
    <w:rsid w:val="00A805CE"/>
    <w:rsid w:val="00A80934"/>
    <w:rsid w:val="00A80C25"/>
    <w:rsid w:val="00A825BB"/>
    <w:rsid w:val="00A82A17"/>
    <w:rsid w:val="00A8301A"/>
    <w:rsid w:val="00A83377"/>
    <w:rsid w:val="00A8376F"/>
    <w:rsid w:val="00A85706"/>
    <w:rsid w:val="00A85B08"/>
    <w:rsid w:val="00A85B30"/>
    <w:rsid w:val="00A86896"/>
    <w:rsid w:val="00A900B6"/>
    <w:rsid w:val="00A91FD2"/>
    <w:rsid w:val="00A937F4"/>
    <w:rsid w:val="00A94448"/>
    <w:rsid w:val="00A946B5"/>
    <w:rsid w:val="00A948B2"/>
    <w:rsid w:val="00A94F8C"/>
    <w:rsid w:val="00A950CC"/>
    <w:rsid w:val="00A95FD2"/>
    <w:rsid w:val="00A977A6"/>
    <w:rsid w:val="00A97BA0"/>
    <w:rsid w:val="00AA0A64"/>
    <w:rsid w:val="00AA0BFA"/>
    <w:rsid w:val="00AA0FA5"/>
    <w:rsid w:val="00AA191A"/>
    <w:rsid w:val="00AA1CD5"/>
    <w:rsid w:val="00AA25E2"/>
    <w:rsid w:val="00AA3330"/>
    <w:rsid w:val="00AB0FD8"/>
    <w:rsid w:val="00AB1133"/>
    <w:rsid w:val="00AB23FF"/>
    <w:rsid w:val="00AB25EB"/>
    <w:rsid w:val="00AB4324"/>
    <w:rsid w:val="00AB6AE8"/>
    <w:rsid w:val="00AB79CC"/>
    <w:rsid w:val="00AB7AC7"/>
    <w:rsid w:val="00AC118D"/>
    <w:rsid w:val="00AC1410"/>
    <w:rsid w:val="00AC1C70"/>
    <w:rsid w:val="00AC2032"/>
    <w:rsid w:val="00AC2F93"/>
    <w:rsid w:val="00AC39AF"/>
    <w:rsid w:val="00AC3E7B"/>
    <w:rsid w:val="00AC46D8"/>
    <w:rsid w:val="00AC4A0D"/>
    <w:rsid w:val="00AC4DD7"/>
    <w:rsid w:val="00AC55F0"/>
    <w:rsid w:val="00AC5A9B"/>
    <w:rsid w:val="00AC5B77"/>
    <w:rsid w:val="00AC7622"/>
    <w:rsid w:val="00AC76F3"/>
    <w:rsid w:val="00AD0459"/>
    <w:rsid w:val="00AD06A9"/>
    <w:rsid w:val="00AD2533"/>
    <w:rsid w:val="00AD31C4"/>
    <w:rsid w:val="00AD3B91"/>
    <w:rsid w:val="00AD46CC"/>
    <w:rsid w:val="00AD487C"/>
    <w:rsid w:val="00AD48C6"/>
    <w:rsid w:val="00AD4964"/>
    <w:rsid w:val="00AD4AD9"/>
    <w:rsid w:val="00AD50A8"/>
    <w:rsid w:val="00AD52FF"/>
    <w:rsid w:val="00AD589A"/>
    <w:rsid w:val="00AD624A"/>
    <w:rsid w:val="00AD75D9"/>
    <w:rsid w:val="00AE5A8D"/>
    <w:rsid w:val="00AF04C2"/>
    <w:rsid w:val="00AF09C4"/>
    <w:rsid w:val="00AF124B"/>
    <w:rsid w:val="00AF1359"/>
    <w:rsid w:val="00AF173F"/>
    <w:rsid w:val="00AF2429"/>
    <w:rsid w:val="00AF3C9B"/>
    <w:rsid w:val="00AF3F68"/>
    <w:rsid w:val="00AF41B8"/>
    <w:rsid w:val="00AF46B1"/>
    <w:rsid w:val="00AF4DE4"/>
    <w:rsid w:val="00AF5C0E"/>
    <w:rsid w:val="00AF6151"/>
    <w:rsid w:val="00AF62BE"/>
    <w:rsid w:val="00B0023B"/>
    <w:rsid w:val="00B003A4"/>
    <w:rsid w:val="00B01114"/>
    <w:rsid w:val="00B01EB1"/>
    <w:rsid w:val="00B035A6"/>
    <w:rsid w:val="00B03F76"/>
    <w:rsid w:val="00B04C32"/>
    <w:rsid w:val="00B05406"/>
    <w:rsid w:val="00B07298"/>
    <w:rsid w:val="00B10942"/>
    <w:rsid w:val="00B134BB"/>
    <w:rsid w:val="00B15D11"/>
    <w:rsid w:val="00B163DC"/>
    <w:rsid w:val="00B167BE"/>
    <w:rsid w:val="00B168CD"/>
    <w:rsid w:val="00B17642"/>
    <w:rsid w:val="00B17BCB"/>
    <w:rsid w:val="00B20115"/>
    <w:rsid w:val="00B2157C"/>
    <w:rsid w:val="00B22858"/>
    <w:rsid w:val="00B228A7"/>
    <w:rsid w:val="00B22AFC"/>
    <w:rsid w:val="00B24867"/>
    <w:rsid w:val="00B25447"/>
    <w:rsid w:val="00B25461"/>
    <w:rsid w:val="00B257F3"/>
    <w:rsid w:val="00B2716C"/>
    <w:rsid w:val="00B2785A"/>
    <w:rsid w:val="00B279DB"/>
    <w:rsid w:val="00B30B4A"/>
    <w:rsid w:val="00B30D0C"/>
    <w:rsid w:val="00B32491"/>
    <w:rsid w:val="00B32786"/>
    <w:rsid w:val="00B33D3C"/>
    <w:rsid w:val="00B342D8"/>
    <w:rsid w:val="00B347E3"/>
    <w:rsid w:val="00B34E09"/>
    <w:rsid w:val="00B357AC"/>
    <w:rsid w:val="00B36696"/>
    <w:rsid w:val="00B36BF4"/>
    <w:rsid w:val="00B36E14"/>
    <w:rsid w:val="00B36F52"/>
    <w:rsid w:val="00B3795E"/>
    <w:rsid w:val="00B4017E"/>
    <w:rsid w:val="00B4164E"/>
    <w:rsid w:val="00B418B5"/>
    <w:rsid w:val="00B41C7B"/>
    <w:rsid w:val="00B41E3D"/>
    <w:rsid w:val="00B4246B"/>
    <w:rsid w:val="00B42AF0"/>
    <w:rsid w:val="00B43456"/>
    <w:rsid w:val="00B4366D"/>
    <w:rsid w:val="00B436FD"/>
    <w:rsid w:val="00B438E7"/>
    <w:rsid w:val="00B44046"/>
    <w:rsid w:val="00B444F5"/>
    <w:rsid w:val="00B45088"/>
    <w:rsid w:val="00B455DD"/>
    <w:rsid w:val="00B460FB"/>
    <w:rsid w:val="00B463D0"/>
    <w:rsid w:val="00B466FE"/>
    <w:rsid w:val="00B4722F"/>
    <w:rsid w:val="00B50141"/>
    <w:rsid w:val="00B5057F"/>
    <w:rsid w:val="00B513B0"/>
    <w:rsid w:val="00B5204B"/>
    <w:rsid w:val="00B53E7B"/>
    <w:rsid w:val="00B5408A"/>
    <w:rsid w:val="00B541AE"/>
    <w:rsid w:val="00B54CAD"/>
    <w:rsid w:val="00B5506F"/>
    <w:rsid w:val="00B55330"/>
    <w:rsid w:val="00B5747D"/>
    <w:rsid w:val="00B60196"/>
    <w:rsid w:val="00B6071B"/>
    <w:rsid w:val="00B61586"/>
    <w:rsid w:val="00B61ED2"/>
    <w:rsid w:val="00B626EE"/>
    <w:rsid w:val="00B6284D"/>
    <w:rsid w:val="00B62AC1"/>
    <w:rsid w:val="00B635D0"/>
    <w:rsid w:val="00B63B3F"/>
    <w:rsid w:val="00B647C7"/>
    <w:rsid w:val="00B64FA0"/>
    <w:rsid w:val="00B64FD7"/>
    <w:rsid w:val="00B673B4"/>
    <w:rsid w:val="00B68B57"/>
    <w:rsid w:val="00B70012"/>
    <w:rsid w:val="00B70AB3"/>
    <w:rsid w:val="00B71A4B"/>
    <w:rsid w:val="00B71C72"/>
    <w:rsid w:val="00B725DD"/>
    <w:rsid w:val="00B73983"/>
    <w:rsid w:val="00B7489F"/>
    <w:rsid w:val="00B74B22"/>
    <w:rsid w:val="00B754D7"/>
    <w:rsid w:val="00B763F6"/>
    <w:rsid w:val="00B76631"/>
    <w:rsid w:val="00B767FC"/>
    <w:rsid w:val="00B76867"/>
    <w:rsid w:val="00B775C4"/>
    <w:rsid w:val="00B80BDE"/>
    <w:rsid w:val="00B80E42"/>
    <w:rsid w:val="00B81C0D"/>
    <w:rsid w:val="00B82C3D"/>
    <w:rsid w:val="00B82E64"/>
    <w:rsid w:val="00B83524"/>
    <w:rsid w:val="00B83646"/>
    <w:rsid w:val="00B85402"/>
    <w:rsid w:val="00B8579F"/>
    <w:rsid w:val="00B85A21"/>
    <w:rsid w:val="00B86D72"/>
    <w:rsid w:val="00B86E41"/>
    <w:rsid w:val="00B8745F"/>
    <w:rsid w:val="00B9095C"/>
    <w:rsid w:val="00B90C54"/>
    <w:rsid w:val="00B90D33"/>
    <w:rsid w:val="00B91A94"/>
    <w:rsid w:val="00B9201F"/>
    <w:rsid w:val="00B92A52"/>
    <w:rsid w:val="00B9314F"/>
    <w:rsid w:val="00B93221"/>
    <w:rsid w:val="00B93CD8"/>
    <w:rsid w:val="00B94DD8"/>
    <w:rsid w:val="00B96619"/>
    <w:rsid w:val="00B968D7"/>
    <w:rsid w:val="00B96D33"/>
    <w:rsid w:val="00B9737D"/>
    <w:rsid w:val="00B9740F"/>
    <w:rsid w:val="00B97632"/>
    <w:rsid w:val="00B97D2C"/>
    <w:rsid w:val="00B97E3F"/>
    <w:rsid w:val="00BA1ED9"/>
    <w:rsid w:val="00BA2789"/>
    <w:rsid w:val="00BA6EC6"/>
    <w:rsid w:val="00BA70D6"/>
    <w:rsid w:val="00BA7965"/>
    <w:rsid w:val="00BB01A9"/>
    <w:rsid w:val="00BB06A2"/>
    <w:rsid w:val="00BB09F8"/>
    <w:rsid w:val="00BB179B"/>
    <w:rsid w:val="00BB1D97"/>
    <w:rsid w:val="00BB1E1C"/>
    <w:rsid w:val="00BB283E"/>
    <w:rsid w:val="00BB364B"/>
    <w:rsid w:val="00BB3E85"/>
    <w:rsid w:val="00BB5E02"/>
    <w:rsid w:val="00BB703D"/>
    <w:rsid w:val="00BB7375"/>
    <w:rsid w:val="00BC136E"/>
    <w:rsid w:val="00BC18AD"/>
    <w:rsid w:val="00BC23FD"/>
    <w:rsid w:val="00BC331B"/>
    <w:rsid w:val="00BC407E"/>
    <w:rsid w:val="00BC4602"/>
    <w:rsid w:val="00BC6B61"/>
    <w:rsid w:val="00BC6C8E"/>
    <w:rsid w:val="00BC6D39"/>
    <w:rsid w:val="00BC74AD"/>
    <w:rsid w:val="00BC78C2"/>
    <w:rsid w:val="00BD0739"/>
    <w:rsid w:val="00BD0DB7"/>
    <w:rsid w:val="00BD0E60"/>
    <w:rsid w:val="00BD1B57"/>
    <w:rsid w:val="00BD3563"/>
    <w:rsid w:val="00BD3572"/>
    <w:rsid w:val="00BD3A51"/>
    <w:rsid w:val="00BD48FC"/>
    <w:rsid w:val="00BD5292"/>
    <w:rsid w:val="00BD6850"/>
    <w:rsid w:val="00BD6B59"/>
    <w:rsid w:val="00BD7366"/>
    <w:rsid w:val="00BD73F8"/>
    <w:rsid w:val="00BD766E"/>
    <w:rsid w:val="00BD79F9"/>
    <w:rsid w:val="00BE0B1C"/>
    <w:rsid w:val="00BE2998"/>
    <w:rsid w:val="00BE339C"/>
    <w:rsid w:val="00BE3B39"/>
    <w:rsid w:val="00BE48D4"/>
    <w:rsid w:val="00BE57BC"/>
    <w:rsid w:val="00BE5ED0"/>
    <w:rsid w:val="00BE64D2"/>
    <w:rsid w:val="00BE66B0"/>
    <w:rsid w:val="00BF0B31"/>
    <w:rsid w:val="00BF0B70"/>
    <w:rsid w:val="00BF1DDE"/>
    <w:rsid w:val="00BF2E2B"/>
    <w:rsid w:val="00BF3C20"/>
    <w:rsid w:val="00BF3CE0"/>
    <w:rsid w:val="00BF3F98"/>
    <w:rsid w:val="00BF4AE2"/>
    <w:rsid w:val="00BF4FF0"/>
    <w:rsid w:val="00BF748C"/>
    <w:rsid w:val="00BF7DFD"/>
    <w:rsid w:val="00C0005C"/>
    <w:rsid w:val="00C05D04"/>
    <w:rsid w:val="00C063C5"/>
    <w:rsid w:val="00C06DA1"/>
    <w:rsid w:val="00C105A7"/>
    <w:rsid w:val="00C10664"/>
    <w:rsid w:val="00C10D29"/>
    <w:rsid w:val="00C10DDF"/>
    <w:rsid w:val="00C1120F"/>
    <w:rsid w:val="00C12A1A"/>
    <w:rsid w:val="00C12D26"/>
    <w:rsid w:val="00C130CF"/>
    <w:rsid w:val="00C13177"/>
    <w:rsid w:val="00C13351"/>
    <w:rsid w:val="00C15878"/>
    <w:rsid w:val="00C15DEF"/>
    <w:rsid w:val="00C16AEF"/>
    <w:rsid w:val="00C17797"/>
    <w:rsid w:val="00C17951"/>
    <w:rsid w:val="00C20560"/>
    <w:rsid w:val="00C21FCA"/>
    <w:rsid w:val="00C22056"/>
    <w:rsid w:val="00C222C0"/>
    <w:rsid w:val="00C24283"/>
    <w:rsid w:val="00C2430C"/>
    <w:rsid w:val="00C24A27"/>
    <w:rsid w:val="00C24CF1"/>
    <w:rsid w:val="00C24E9E"/>
    <w:rsid w:val="00C26A00"/>
    <w:rsid w:val="00C27A0D"/>
    <w:rsid w:val="00C27E25"/>
    <w:rsid w:val="00C30383"/>
    <w:rsid w:val="00C308E6"/>
    <w:rsid w:val="00C30DAC"/>
    <w:rsid w:val="00C32B36"/>
    <w:rsid w:val="00C32C04"/>
    <w:rsid w:val="00C32D82"/>
    <w:rsid w:val="00C33889"/>
    <w:rsid w:val="00C35FC3"/>
    <w:rsid w:val="00C3670B"/>
    <w:rsid w:val="00C37314"/>
    <w:rsid w:val="00C37799"/>
    <w:rsid w:val="00C40720"/>
    <w:rsid w:val="00C40B4A"/>
    <w:rsid w:val="00C4185C"/>
    <w:rsid w:val="00C42111"/>
    <w:rsid w:val="00C43B97"/>
    <w:rsid w:val="00C43E5C"/>
    <w:rsid w:val="00C44656"/>
    <w:rsid w:val="00C4518B"/>
    <w:rsid w:val="00C45722"/>
    <w:rsid w:val="00C45EAB"/>
    <w:rsid w:val="00C4645C"/>
    <w:rsid w:val="00C46E93"/>
    <w:rsid w:val="00C504E5"/>
    <w:rsid w:val="00C50C1A"/>
    <w:rsid w:val="00C51302"/>
    <w:rsid w:val="00C518C2"/>
    <w:rsid w:val="00C522AB"/>
    <w:rsid w:val="00C528B0"/>
    <w:rsid w:val="00C529A4"/>
    <w:rsid w:val="00C52F20"/>
    <w:rsid w:val="00C52F67"/>
    <w:rsid w:val="00C53A83"/>
    <w:rsid w:val="00C53C52"/>
    <w:rsid w:val="00C5414F"/>
    <w:rsid w:val="00C54697"/>
    <w:rsid w:val="00C54AD9"/>
    <w:rsid w:val="00C56B23"/>
    <w:rsid w:val="00C60D73"/>
    <w:rsid w:val="00C60EF7"/>
    <w:rsid w:val="00C613F6"/>
    <w:rsid w:val="00C62EFA"/>
    <w:rsid w:val="00C631A1"/>
    <w:rsid w:val="00C63246"/>
    <w:rsid w:val="00C6355D"/>
    <w:rsid w:val="00C6399D"/>
    <w:rsid w:val="00C63EB7"/>
    <w:rsid w:val="00C65711"/>
    <w:rsid w:val="00C665B5"/>
    <w:rsid w:val="00C6721A"/>
    <w:rsid w:val="00C67842"/>
    <w:rsid w:val="00C70F96"/>
    <w:rsid w:val="00C715A9"/>
    <w:rsid w:val="00C73188"/>
    <w:rsid w:val="00C7372D"/>
    <w:rsid w:val="00C737AF"/>
    <w:rsid w:val="00C740D8"/>
    <w:rsid w:val="00C74121"/>
    <w:rsid w:val="00C75335"/>
    <w:rsid w:val="00C75F6D"/>
    <w:rsid w:val="00C778A5"/>
    <w:rsid w:val="00C77DE0"/>
    <w:rsid w:val="00C8140D"/>
    <w:rsid w:val="00C8205A"/>
    <w:rsid w:val="00C82681"/>
    <w:rsid w:val="00C82A30"/>
    <w:rsid w:val="00C82C2D"/>
    <w:rsid w:val="00C83134"/>
    <w:rsid w:val="00C83D06"/>
    <w:rsid w:val="00C84084"/>
    <w:rsid w:val="00C842DE"/>
    <w:rsid w:val="00C84D05"/>
    <w:rsid w:val="00C85894"/>
    <w:rsid w:val="00C86100"/>
    <w:rsid w:val="00C87417"/>
    <w:rsid w:val="00C90D90"/>
    <w:rsid w:val="00C91661"/>
    <w:rsid w:val="00C91BF9"/>
    <w:rsid w:val="00C9260C"/>
    <w:rsid w:val="00C9303B"/>
    <w:rsid w:val="00C93194"/>
    <w:rsid w:val="00C935B4"/>
    <w:rsid w:val="00C9408F"/>
    <w:rsid w:val="00C95023"/>
    <w:rsid w:val="00C9695A"/>
    <w:rsid w:val="00C970D5"/>
    <w:rsid w:val="00C971A5"/>
    <w:rsid w:val="00C97951"/>
    <w:rsid w:val="00CA077B"/>
    <w:rsid w:val="00CA0C33"/>
    <w:rsid w:val="00CA1A94"/>
    <w:rsid w:val="00CA5144"/>
    <w:rsid w:val="00CA5E69"/>
    <w:rsid w:val="00CB010D"/>
    <w:rsid w:val="00CB069D"/>
    <w:rsid w:val="00CB1085"/>
    <w:rsid w:val="00CB11ED"/>
    <w:rsid w:val="00CB1E4D"/>
    <w:rsid w:val="00CB20C0"/>
    <w:rsid w:val="00CB245A"/>
    <w:rsid w:val="00CB24A7"/>
    <w:rsid w:val="00CB325B"/>
    <w:rsid w:val="00CB4F45"/>
    <w:rsid w:val="00CB5C9B"/>
    <w:rsid w:val="00CB5F52"/>
    <w:rsid w:val="00CC02F3"/>
    <w:rsid w:val="00CC0EE8"/>
    <w:rsid w:val="00CC47A5"/>
    <w:rsid w:val="00CC4A2F"/>
    <w:rsid w:val="00CC5152"/>
    <w:rsid w:val="00CC5E34"/>
    <w:rsid w:val="00CC721D"/>
    <w:rsid w:val="00CC7B64"/>
    <w:rsid w:val="00CD099A"/>
    <w:rsid w:val="00CD13DF"/>
    <w:rsid w:val="00CD1B91"/>
    <w:rsid w:val="00CD1C7D"/>
    <w:rsid w:val="00CD1F2E"/>
    <w:rsid w:val="00CD455D"/>
    <w:rsid w:val="00CD5454"/>
    <w:rsid w:val="00CD56F6"/>
    <w:rsid w:val="00CD7185"/>
    <w:rsid w:val="00CD74F8"/>
    <w:rsid w:val="00CE1257"/>
    <w:rsid w:val="00CE163D"/>
    <w:rsid w:val="00CE1765"/>
    <w:rsid w:val="00CE2405"/>
    <w:rsid w:val="00CE29B5"/>
    <w:rsid w:val="00CE2CBD"/>
    <w:rsid w:val="00CE2F6B"/>
    <w:rsid w:val="00CE454D"/>
    <w:rsid w:val="00CE539F"/>
    <w:rsid w:val="00CE6EDB"/>
    <w:rsid w:val="00CE71DD"/>
    <w:rsid w:val="00CE7E01"/>
    <w:rsid w:val="00CF105D"/>
    <w:rsid w:val="00CF1309"/>
    <w:rsid w:val="00CF14F6"/>
    <w:rsid w:val="00CF19B0"/>
    <w:rsid w:val="00CF3035"/>
    <w:rsid w:val="00CF3AF7"/>
    <w:rsid w:val="00CF3C81"/>
    <w:rsid w:val="00CF413E"/>
    <w:rsid w:val="00CF4381"/>
    <w:rsid w:val="00CF44DF"/>
    <w:rsid w:val="00CF5A35"/>
    <w:rsid w:val="00CF7A68"/>
    <w:rsid w:val="00D001B3"/>
    <w:rsid w:val="00D01C52"/>
    <w:rsid w:val="00D026BC"/>
    <w:rsid w:val="00D02CE9"/>
    <w:rsid w:val="00D045E3"/>
    <w:rsid w:val="00D046C7"/>
    <w:rsid w:val="00D049B4"/>
    <w:rsid w:val="00D04EF3"/>
    <w:rsid w:val="00D05298"/>
    <w:rsid w:val="00D053FD"/>
    <w:rsid w:val="00D05729"/>
    <w:rsid w:val="00D05CF4"/>
    <w:rsid w:val="00D06F7C"/>
    <w:rsid w:val="00D07771"/>
    <w:rsid w:val="00D07B82"/>
    <w:rsid w:val="00D0C246"/>
    <w:rsid w:val="00D108C6"/>
    <w:rsid w:val="00D118D4"/>
    <w:rsid w:val="00D12491"/>
    <w:rsid w:val="00D12642"/>
    <w:rsid w:val="00D12A86"/>
    <w:rsid w:val="00D13061"/>
    <w:rsid w:val="00D13F53"/>
    <w:rsid w:val="00D1473E"/>
    <w:rsid w:val="00D147A5"/>
    <w:rsid w:val="00D14B32"/>
    <w:rsid w:val="00D15F9B"/>
    <w:rsid w:val="00D162CE"/>
    <w:rsid w:val="00D17043"/>
    <w:rsid w:val="00D22122"/>
    <w:rsid w:val="00D22CAE"/>
    <w:rsid w:val="00D238A9"/>
    <w:rsid w:val="00D23D79"/>
    <w:rsid w:val="00D2419E"/>
    <w:rsid w:val="00D24801"/>
    <w:rsid w:val="00D254C5"/>
    <w:rsid w:val="00D26C02"/>
    <w:rsid w:val="00D27147"/>
    <w:rsid w:val="00D273D6"/>
    <w:rsid w:val="00D314D4"/>
    <w:rsid w:val="00D3189E"/>
    <w:rsid w:val="00D31C91"/>
    <w:rsid w:val="00D31F49"/>
    <w:rsid w:val="00D324F9"/>
    <w:rsid w:val="00D33659"/>
    <w:rsid w:val="00D33A82"/>
    <w:rsid w:val="00D3404A"/>
    <w:rsid w:val="00D34220"/>
    <w:rsid w:val="00D36654"/>
    <w:rsid w:val="00D367C9"/>
    <w:rsid w:val="00D36E3C"/>
    <w:rsid w:val="00D373BD"/>
    <w:rsid w:val="00D40870"/>
    <w:rsid w:val="00D41AAC"/>
    <w:rsid w:val="00D41D54"/>
    <w:rsid w:val="00D42A10"/>
    <w:rsid w:val="00D43654"/>
    <w:rsid w:val="00D436E1"/>
    <w:rsid w:val="00D439B8"/>
    <w:rsid w:val="00D448C7"/>
    <w:rsid w:val="00D456CA"/>
    <w:rsid w:val="00D456EA"/>
    <w:rsid w:val="00D466D3"/>
    <w:rsid w:val="00D47F18"/>
    <w:rsid w:val="00D5021C"/>
    <w:rsid w:val="00D50CFA"/>
    <w:rsid w:val="00D51D0B"/>
    <w:rsid w:val="00D52037"/>
    <w:rsid w:val="00D525EC"/>
    <w:rsid w:val="00D52A17"/>
    <w:rsid w:val="00D52C05"/>
    <w:rsid w:val="00D53F61"/>
    <w:rsid w:val="00D542AF"/>
    <w:rsid w:val="00D5483C"/>
    <w:rsid w:val="00D5547B"/>
    <w:rsid w:val="00D55C93"/>
    <w:rsid w:val="00D56266"/>
    <w:rsid w:val="00D5679C"/>
    <w:rsid w:val="00D56E9F"/>
    <w:rsid w:val="00D57186"/>
    <w:rsid w:val="00D61C72"/>
    <w:rsid w:val="00D6494D"/>
    <w:rsid w:val="00D657AF"/>
    <w:rsid w:val="00D65A68"/>
    <w:rsid w:val="00D661C0"/>
    <w:rsid w:val="00D661DA"/>
    <w:rsid w:val="00D66645"/>
    <w:rsid w:val="00D66961"/>
    <w:rsid w:val="00D67039"/>
    <w:rsid w:val="00D67C19"/>
    <w:rsid w:val="00D70024"/>
    <w:rsid w:val="00D70BA3"/>
    <w:rsid w:val="00D70ECF"/>
    <w:rsid w:val="00D71744"/>
    <w:rsid w:val="00D71C2C"/>
    <w:rsid w:val="00D71C36"/>
    <w:rsid w:val="00D71F6D"/>
    <w:rsid w:val="00D724DA"/>
    <w:rsid w:val="00D7374F"/>
    <w:rsid w:val="00D73A61"/>
    <w:rsid w:val="00D73CC6"/>
    <w:rsid w:val="00D74BDA"/>
    <w:rsid w:val="00D75345"/>
    <w:rsid w:val="00D75470"/>
    <w:rsid w:val="00D756E7"/>
    <w:rsid w:val="00D75932"/>
    <w:rsid w:val="00D76437"/>
    <w:rsid w:val="00D76F9B"/>
    <w:rsid w:val="00D80984"/>
    <w:rsid w:val="00D80FDB"/>
    <w:rsid w:val="00D81468"/>
    <w:rsid w:val="00D81E5C"/>
    <w:rsid w:val="00D82759"/>
    <w:rsid w:val="00D8385A"/>
    <w:rsid w:val="00D83915"/>
    <w:rsid w:val="00D83F97"/>
    <w:rsid w:val="00D875D9"/>
    <w:rsid w:val="00D90B42"/>
    <w:rsid w:val="00D91D8A"/>
    <w:rsid w:val="00D91DC5"/>
    <w:rsid w:val="00D92745"/>
    <w:rsid w:val="00D92CB2"/>
    <w:rsid w:val="00D9367F"/>
    <w:rsid w:val="00D94782"/>
    <w:rsid w:val="00D94896"/>
    <w:rsid w:val="00D948CD"/>
    <w:rsid w:val="00D95949"/>
    <w:rsid w:val="00DA0D0C"/>
    <w:rsid w:val="00DA19F7"/>
    <w:rsid w:val="00DA2042"/>
    <w:rsid w:val="00DA255C"/>
    <w:rsid w:val="00DA348B"/>
    <w:rsid w:val="00DA3E41"/>
    <w:rsid w:val="00DA3ED8"/>
    <w:rsid w:val="00DA4F04"/>
    <w:rsid w:val="00DA50B8"/>
    <w:rsid w:val="00DA51A5"/>
    <w:rsid w:val="00DA5381"/>
    <w:rsid w:val="00DA6307"/>
    <w:rsid w:val="00DA6659"/>
    <w:rsid w:val="00DA6F7E"/>
    <w:rsid w:val="00DA72EF"/>
    <w:rsid w:val="00DB0228"/>
    <w:rsid w:val="00DB0482"/>
    <w:rsid w:val="00DB112E"/>
    <w:rsid w:val="00DB11C1"/>
    <w:rsid w:val="00DB29B8"/>
    <w:rsid w:val="00DB3073"/>
    <w:rsid w:val="00DB386F"/>
    <w:rsid w:val="00DB5062"/>
    <w:rsid w:val="00DB5084"/>
    <w:rsid w:val="00DB5617"/>
    <w:rsid w:val="00DB5B06"/>
    <w:rsid w:val="00DB68EC"/>
    <w:rsid w:val="00DB6E92"/>
    <w:rsid w:val="00DB6EDB"/>
    <w:rsid w:val="00DB76D0"/>
    <w:rsid w:val="00DB7728"/>
    <w:rsid w:val="00DC078F"/>
    <w:rsid w:val="00DC15AF"/>
    <w:rsid w:val="00DC3558"/>
    <w:rsid w:val="00DC3577"/>
    <w:rsid w:val="00DC3827"/>
    <w:rsid w:val="00DC4FDD"/>
    <w:rsid w:val="00DC5FF2"/>
    <w:rsid w:val="00DC62F2"/>
    <w:rsid w:val="00DC63AB"/>
    <w:rsid w:val="00DC640E"/>
    <w:rsid w:val="00DC65F2"/>
    <w:rsid w:val="00DC7903"/>
    <w:rsid w:val="00DC7FF4"/>
    <w:rsid w:val="00DD0482"/>
    <w:rsid w:val="00DD0710"/>
    <w:rsid w:val="00DD171C"/>
    <w:rsid w:val="00DD3F9C"/>
    <w:rsid w:val="00DD441F"/>
    <w:rsid w:val="00DD4677"/>
    <w:rsid w:val="00DD4BA0"/>
    <w:rsid w:val="00DD6478"/>
    <w:rsid w:val="00DD6A10"/>
    <w:rsid w:val="00DE25E1"/>
    <w:rsid w:val="00DE28B1"/>
    <w:rsid w:val="00DE2FAC"/>
    <w:rsid w:val="00DE3120"/>
    <w:rsid w:val="00DE34BD"/>
    <w:rsid w:val="00DE38DC"/>
    <w:rsid w:val="00DE3BAA"/>
    <w:rsid w:val="00DE4340"/>
    <w:rsid w:val="00DE4A8D"/>
    <w:rsid w:val="00DE4F5F"/>
    <w:rsid w:val="00DE66B9"/>
    <w:rsid w:val="00DE760F"/>
    <w:rsid w:val="00DE7963"/>
    <w:rsid w:val="00DF032A"/>
    <w:rsid w:val="00DF04CF"/>
    <w:rsid w:val="00DF0A30"/>
    <w:rsid w:val="00DF1FA8"/>
    <w:rsid w:val="00DF544C"/>
    <w:rsid w:val="00DF58F8"/>
    <w:rsid w:val="00DF61D9"/>
    <w:rsid w:val="00DF63A4"/>
    <w:rsid w:val="00DF656B"/>
    <w:rsid w:val="00DF66E6"/>
    <w:rsid w:val="00E00691"/>
    <w:rsid w:val="00E0072C"/>
    <w:rsid w:val="00E010D3"/>
    <w:rsid w:val="00E018BD"/>
    <w:rsid w:val="00E01DA9"/>
    <w:rsid w:val="00E01E5F"/>
    <w:rsid w:val="00E03474"/>
    <w:rsid w:val="00E03842"/>
    <w:rsid w:val="00E052B6"/>
    <w:rsid w:val="00E05D6B"/>
    <w:rsid w:val="00E0646C"/>
    <w:rsid w:val="00E06488"/>
    <w:rsid w:val="00E07655"/>
    <w:rsid w:val="00E10529"/>
    <w:rsid w:val="00E109A9"/>
    <w:rsid w:val="00E10F04"/>
    <w:rsid w:val="00E114E0"/>
    <w:rsid w:val="00E11ED0"/>
    <w:rsid w:val="00E12E23"/>
    <w:rsid w:val="00E144CB"/>
    <w:rsid w:val="00E14692"/>
    <w:rsid w:val="00E1521D"/>
    <w:rsid w:val="00E15450"/>
    <w:rsid w:val="00E15775"/>
    <w:rsid w:val="00E15C7E"/>
    <w:rsid w:val="00E169C6"/>
    <w:rsid w:val="00E2040B"/>
    <w:rsid w:val="00E21513"/>
    <w:rsid w:val="00E21BC7"/>
    <w:rsid w:val="00E21E25"/>
    <w:rsid w:val="00E21E54"/>
    <w:rsid w:val="00E22137"/>
    <w:rsid w:val="00E226A2"/>
    <w:rsid w:val="00E22FB4"/>
    <w:rsid w:val="00E23682"/>
    <w:rsid w:val="00E245BB"/>
    <w:rsid w:val="00E24BAF"/>
    <w:rsid w:val="00E24D1E"/>
    <w:rsid w:val="00E25E73"/>
    <w:rsid w:val="00E2660D"/>
    <w:rsid w:val="00E26A45"/>
    <w:rsid w:val="00E27C38"/>
    <w:rsid w:val="00E302A0"/>
    <w:rsid w:val="00E30828"/>
    <w:rsid w:val="00E31665"/>
    <w:rsid w:val="00E330EC"/>
    <w:rsid w:val="00E356D0"/>
    <w:rsid w:val="00E35C6F"/>
    <w:rsid w:val="00E36450"/>
    <w:rsid w:val="00E36EBF"/>
    <w:rsid w:val="00E374AF"/>
    <w:rsid w:val="00E41C51"/>
    <w:rsid w:val="00E438ED"/>
    <w:rsid w:val="00E450D4"/>
    <w:rsid w:val="00E45914"/>
    <w:rsid w:val="00E47AE9"/>
    <w:rsid w:val="00E522EE"/>
    <w:rsid w:val="00E543FE"/>
    <w:rsid w:val="00E54511"/>
    <w:rsid w:val="00E546FE"/>
    <w:rsid w:val="00E55791"/>
    <w:rsid w:val="00E557C5"/>
    <w:rsid w:val="00E5603F"/>
    <w:rsid w:val="00E563F7"/>
    <w:rsid w:val="00E56819"/>
    <w:rsid w:val="00E56931"/>
    <w:rsid w:val="00E576C3"/>
    <w:rsid w:val="00E611BB"/>
    <w:rsid w:val="00E617F8"/>
    <w:rsid w:val="00E6200B"/>
    <w:rsid w:val="00E639C0"/>
    <w:rsid w:val="00E64950"/>
    <w:rsid w:val="00E64B14"/>
    <w:rsid w:val="00E64D11"/>
    <w:rsid w:val="00E6636E"/>
    <w:rsid w:val="00E671B2"/>
    <w:rsid w:val="00E67D27"/>
    <w:rsid w:val="00E70405"/>
    <w:rsid w:val="00E70C5E"/>
    <w:rsid w:val="00E717FB"/>
    <w:rsid w:val="00E72229"/>
    <w:rsid w:val="00E72621"/>
    <w:rsid w:val="00E7315F"/>
    <w:rsid w:val="00E7346F"/>
    <w:rsid w:val="00E74709"/>
    <w:rsid w:val="00E74962"/>
    <w:rsid w:val="00E74D23"/>
    <w:rsid w:val="00E768A8"/>
    <w:rsid w:val="00E76C48"/>
    <w:rsid w:val="00E76DCD"/>
    <w:rsid w:val="00E800F7"/>
    <w:rsid w:val="00E8055A"/>
    <w:rsid w:val="00E80B14"/>
    <w:rsid w:val="00E829EA"/>
    <w:rsid w:val="00E83F75"/>
    <w:rsid w:val="00E83FA4"/>
    <w:rsid w:val="00E84519"/>
    <w:rsid w:val="00E8692B"/>
    <w:rsid w:val="00E86E00"/>
    <w:rsid w:val="00E900A9"/>
    <w:rsid w:val="00E90685"/>
    <w:rsid w:val="00E92A9F"/>
    <w:rsid w:val="00E9359A"/>
    <w:rsid w:val="00E93CDB"/>
    <w:rsid w:val="00E9513C"/>
    <w:rsid w:val="00E955AB"/>
    <w:rsid w:val="00E95A63"/>
    <w:rsid w:val="00E963DB"/>
    <w:rsid w:val="00E96662"/>
    <w:rsid w:val="00E96FE4"/>
    <w:rsid w:val="00E97024"/>
    <w:rsid w:val="00EA067B"/>
    <w:rsid w:val="00EA0A0C"/>
    <w:rsid w:val="00EA13DC"/>
    <w:rsid w:val="00EA14BD"/>
    <w:rsid w:val="00EA158A"/>
    <w:rsid w:val="00EA28C3"/>
    <w:rsid w:val="00EA3E0F"/>
    <w:rsid w:val="00EA3F4C"/>
    <w:rsid w:val="00EA4588"/>
    <w:rsid w:val="00EA52A7"/>
    <w:rsid w:val="00EA6CAD"/>
    <w:rsid w:val="00EB056F"/>
    <w:rsid w:val="00EB115A"/>
    <w:rsid w:val="00EB19DC"/>
    <w:rsid w:val="00EB2D99"/>
    <w:rsid w:val="00EB5835"/>
    <w:rsid w:val="00EB6A56"/>
    <w:rsid w:val="00EB70AB"/>
    <w:rsid w:val="00EB7B71"/>
    <w:rsid w:val="00EC043F"/>
    <w:rsid w:val="00EC1C96"/>
    <w:rsid w:val="00EC1E66"/>
    <w:rsid w:val="00EC2B46"/>
    <w:rsid w:val="00EC372D"/>
    <w:rsid w:val="00EC48AA"/>
    <w:rsid w:val="00EC511D"/>
    <w:rsid w:val="00EC5141"/>
    <w:rsid w:val="00EC5589"/>
    <w:rsid w:val="00EC7982"/>
    <w:rsid w:val="00ED0C4C"/>
    <w:rsid w:val="00ED173D"/>
    <w:rsid w:val="00ED1747"/>
    <w:rsid w:val="00ED1E67"/>
    <w:rsid w:val="00ED2908"/>
    <w:rsid w:val="00ED2EAB"/>
    <w:rsid w:val="00ED3D2C"/>
    <w:rsid w:val="00ED7DAA"/>
    <w:rsid w:val="00EE1175"/>
    <w:rsid w:val="00EE1DB7"/>
    <w:rsid w:val="00EE1E65"/>
    <w:rsid w:val="00EE230F"/>
    <w:rsid w:val="00EE3754"/>
    <w:rsid w:val="00EE37C8"/>
    <w:rsid w:val="00EE47D1"/>
    <w:rsid w:val="00EE588A"/>
    <w:rsid w:val="00EE59B2"/>
    <w:rsid w:val="00EE63DE"/>
    <w:rsid w:val="00EE651B"/>
    <w:rsid w:val="00EE6C76"/>
    <w:rsid w:val="00EED7FD"/>
    <w:rsid w:val="00EF043D"/>
    <w:rsid w:val="00EF2A14"/>
    <w:rsid w:val="00EF3FEF"/>
    <w:rsid w:val="00EF4D82"/>
    <w:rsid w:val="00EF539E"/>
    <w:rsid w:val="00EF55C4"/>
    <w:rsid w:val="00F01087"/>
    <w:rsid w:val="00F01662"/>
    <w:rsid w:val="00F01A73"/>
    <w:rsid w:val="00F01AAE"/>
    <w:rsid w:val="00F01DAC"/>
    <w:rsid w:val="00F02A2D"/>
    <w:rsid w:val="00F05E26"/>
    <w:rsid w:val="00F077CC"/>
    <w:rsid w:val="00F10E86"/>
    <w:rsid w:val="00F11895"/>
    <w:rsid w:val="00F11D27"/>
    <w:rsid w:val="00F138F3"/>
    <w:rsid w:val="00F1403D"/>
    <w:rsid w:val="00F14717"/>
    <w:rsid w:val="00F15ABC"/>
    <w:rsid w:val="00F16B2C"/>
    <w:rsid w:val="00F17867"/>
    <w:rsid w:val="00F17F04"/>
    <w:rsid w:val="00F20263"/>
    <w:rsid w:val="00F21778"/>
    <w:rsid w:val="00F2359B"/>
    <w:rsid w:val="00F23F31"/>
    <w:rsid w:val="00F24279"/>
    <w:rsid w:val="00F24B13"/>
    <w:rsid w:val="00F251CF"/>
    <w:rsid w:val="00F25491"/>
    <w:rsid w:val="00F2712C"/>
    <w:rsid w:val="00F2777D"/>
    <w:rsid w:val="00F30EAA"/>
    <w:rsid w:val="00F31474"/>
    <w:rsid w:val="00F318C9"/>
    <w:rsid w:val="00F31E73"/>
    <w:rsid w:val="00F325C3"/>
    <w:rsid w:val="00F32A98"/>
    <w:rsid w:val="00F33E3B"/>
    <w:rsid w:val="00F34CFF"/>
    <w:rsid w:val="00F3577F"/>
    <w:rsid w:val="00F357A9"/>
    <w:rsid w:val="00F35A91"/>
    <w:rsid w:val="00F35C26"/>
    <w:rsid w:val="00F36375"/>
    <w:rsid w:val="00F36C90"/>
    <w:rsid w:val="00F40864"/>
    <w:rsid w:val="00F4154B"/>
    <w:rsid w:val="00F4221D"/>
    <w:rsid w:val="00F43FD5"/>
    <w:rsid w:val="00F448EB"/>
    <w:rsid w:val="00F449D4"/>
    <w:rsid w:val="00F46E6C"/>
    <w:rsid w:val="00F47149"/>
    <w:rsid w:val="00F50E12"/>
    <w:rsid w:val="00F5265B"/>
    <w:rsid w:val="00F53A6C"/>
    <w:rsid w:val="00F53DC7"/>
    <w:rsid w:val="00F56AC5"/>
    <w:rsid w:val="00F57DC7"/>
    <w:rsid w:val="00F61E4F"/>
    <w:rsid w:val="00F63D55"/>
    <w:rsid w:val="00F644BF"/>
    <w:rsid w:val="00F64B15"/>
    <w:rsid w:val="00F652F8"/>
    <w:rsid w:val="00F66A17"/>
    <w:rsid w:val="00F675E7"/>
    <w:rsid w:val="00F67C6E"/>
    <w:rsid w:val="00F67FE7"/>
    <w:rsid w:val="00F71ECC"/>
    <w:rsid w:val="00F7368B"/>
    <w:rsid w:val="00F7548D"/>
    <w:rsid w:val="00F75902"/>
    <w:rsid w:val="00F759D2"/>
    <w:rsid w:val="00F76004"/>
    <w:rsid w:val="00F77487"/>
    <w:rsid w:val="00F77FAB"/>
    <w:rsid w:val="00F80741"/>
    <w:rsid w:val="00F811B3"/>
    <w:rsid w:val="00F814E7"/>
    <w:rsid w:val="00F814FB"/>
    <w:rsid w:val="00F824BE"/>
    <w:rsid w:val="00F8457C"/>
    <w:rsid w:val="00F85971"/>
    <w:rsid w:val="00F86C5D"/>
    <w:rsid w:val="00F87A26"/>
    <w:rsid w:val="00F87B03"/>
    <w:rsid w:val="00F9174A"/>
    <w:rsid w:val="00F92211"/>
    <w:rsid w:val="00F9260B"/>
    <w:rsid w:val="00F93E55"/>
    <w:rsid w:val="00F93F5B"/>
    <w:rsid w:val="00F93F9B"/>
    <w:rsid w:val="00F94002"/>
    <w:rsid w:val="00F94489"/>
    <w:rsid w:val="00F945DB"/>
    <w:rsid w:val="00F94EFE"/>
    <w:rsid w:val="00F9535E"/>
    <w:rsid w:val="00F95866"/>
    <w:rsid w:val="00F95B2E"/>
    <w:rsid w:val="00F95BBD"/>
    <w:rsid w:val="00F96F03"/>
    <w:rsid w:val="00F97818"/>
    <w:rsid w:val="00FA13CA"/>
    <w:rsid w:val="00FA16C7"/>
    <w:rsid w:val="00FA1D38"/>
    <w:rsid w:val="00FA21C3"/>
    <w:rsid w:val="00FA2954"/>
    <w:rsid w:val="00FA2DF2"/>
    <w:rsid w:val="00FA2E21"/>
    <w:rsid w:val="00FA309A"/>
    <w:rsid w:val="00FA3211"/>
    <w:rsid w:val="00FA3722"/>
    <w:rsid w:val="00FA4D2B"/>
    <w:rsid w:val="00FA52B5"/>
    <w:rsid w:val="00FA59B7"/>
    <w:rsid w:val="00FA6515"/>
    <w:rsid w:val="00FA6751"/>
    <w:rsid w:val="00FA67BC"/>
    <w:rsid w:val="00FA6B70"/>
    <w:rsid w:val="00FAA5EF"/>
    <w:rsid w:val="00FB134D"/>
    <w:rsid w:val="00FB3350"/>
    <w:rsid w:val="00FB59EA"/>
    <w:rsid w:val="00FB6AD2"/>
    <w:rsid w:val="00FB6C39"/>
    <w:rsid w:val="00FC02E8"/>
    <w:rsid w:val="00FC032C"/>
    <w:rsid w:val="00FC0F9A"/>
    <w:rsid w:val="00FC103A"/>
    <w:rsid w:val="00FC2864"/>
    <w:rsid w:val="00FC4387"/>
    <w:rsid w:val="00FC513A"/>
    <w:rsid w:val="00FC5357"/>
    <w:rsid w:val="00FC5746"/>
    <w:rsid w:val="00FC5A49"/>
    <w:rsid w:val="00FC6BEF"/>
    <w:rsid w:val="00FC6FEA"/>
    <w:rsid w:val="00FC7264"/>
    <w:rsid w:val="00FC7828"/>
    <w:rsid w:val="00FD2381"/>
    <w:rsid w:val="00FD25CE"/>
    <w:rsid w:val="00FD2F4D"/>
    <w:rsid w:val="00FD4285"/>
    <w:rsid w:val="00FD4573"/>
    <w:rsid w:val="00FD46E0"/>
    <w:rsid w:val="00FD4E12"/>
    <w:rsid w:val="00FD76B7"/>
    <w:rsid w:val="00FE0860"/>
    <w:rsid w:val="00FE1549"/>
    <w:rsid w:val="00FE2B23"/>
    <w:rsid w:val="00FE3236"/>
    <w:rsid w:val="00FE4E78"/>
    <w:rsid w:val="00FE5815"/>
    <w:rsid w:val="00FE7AB2"/>
    <w:rsid w:val="00FE7C21"/>
    <w:rsid w:val="00FF08A2"/>
    <w:rsid w:val="00FF1BC3"/>
    <w:rsid w:val="00FF277B"/>
    <w:rsid w:val="00FF2BB1"/>
    <w:rsid w:val="00FF3B35"/>
    <w:rsid w:val="00FF3FB2"/>
    <w:rsid w:val="00FF58FD"/>
    <w:rsid w:val="0108030B"/>
    <w:rsid w:val="010C08FF"/>
    <w:rsid w:val="0150FFEE"/>
    <w:rsid w:val="0151E52D"/>
    <w:rsid w:val="0175469C"/>
    <w:rsid w:val="018C2234"/>
    <w:rsid w:val="01CDB2DD"/>
    <w:rsid w:val="01CDF01E"/>
    <w:rsid w:val="01EEE310"/>
    <w:rsid w:val="020F5486"/>
    <w:rsid w:val="021D540A"/>
    <w:rsid w:val="02284850"/>
    <w:rsid w:val="024581AE"/>
    <w:rsid w:val="02465B70"/>
    <w:rsid w:val="02608491"/>
    <w:rsid w:val="026DA113"/>
    <w:rsid w:val="028CBA16"/>
    <w:rsid w:val="02C1F362"/>
    <w:rsid w:val="02D00C55"/>
    <w:rsid w:val="02D53D0B"/>
    <w:rsid w:val="02E99408"/>
    <w:rsid w:val="02EB34E8"/>
    <w:rsid w:val="0314310B"/>
    <w:rsid w:val="035EA048"/>
    <w:rsid w:val="03BE2212"/>
    <w:rsid w:val="03C1E368"/>
    <w:rsid w:val="03E1C218"/>
    <w:rsid w:val="03E6DA3B"/>
    <w:rsid w:val="03EE5781"/>
    <w:rsid w:val="0404B1B7"/>
    <w:rsid w:val="043805DD"/>
    <w:rsid w:val="043AAB03"/>
    <w:rsid w:val="044F5F8A"/>
    <w:rsid w:val="04561E20"/>
    <w:rsid w:val="046131D9"/>
    <w:rsid w:val="047D143F"/>
    <w:rsid w:val="04A23FD9"/>
    <w:rsid w:val="04A8E358"/>
    <w:rsid w:val="04AF53CF"/>
    <w:rsid w:val="04B83203"/>
    <w:rsid w:val="04B94DE6"/>
    <w:rsid w:val="04C11CEB"/>
    <w:rsid w:val="04C4ADFA"/>
    <w:rsid w:val="04CA305A"/>
    <w:rsid w:val="04E8129D"/>
    <w:rsid w:val="04F24D23"/>
    <w:rsid w:val="04FA3D7F"/>
    <w:rsid w:val="051B895D"/>
    <w:rsid w:val="05390AE3"/>
    <w:rsid w:val="054CD6D5"/>
    <w:rsid w:val="054EE363"/>
    <w:rsid w:val="054EE8FA"/>
    <w:rsid w:val="055B8091"/>
    <w:rsid w:val="055DB3C9"/>
    <w:rsid w:val="0561F721"/>
    <w:rsid w:val="0565D594"/>
    <w:rsid w:val="05CD4450"/>
    <w:rsid w:val="05D75045"/>
    <w:rsid w:val="05FC38EC"/>
    <w:rsid w:val="05FF32D8"/>
    <w:rsid w:val="062448D8"/>
    <w:rsid w:val="0627B476"/>
    <w:rsid w:val="064059D1"/>
    <w:rsid w:val="06498936"/>
    <w:rsid w:val="06613A63"/>
    <w:rsid w:val="066D3F0B"/>
    <w:rsid w:val="069F39E6"/>
    <w:rsid w:val="06E35DB2"/>
    <w:rsid w:val="06E37BCD"/>
    <w:rsid w:val="0729C16A"/>
    <w:rsid w:val="072A5E05"/>
    <w:rsid w:val="073C5D16"/>
    <w:rsid w:val="0779F7A7"/>
    <w:rsid w:val="0799CBC1"/>
    <w:rsid w:val="07F9E3F6"/>
    <w:rsid w:val="08293395"/>
    <w:rsid w:val="082F0245"/>
    <w:rsid w:val="0839184D"/>
    <w:rsid w:val="08480441"/>
    <w:rsid w:val="085AED53"/>
    <w:rsid w:val="08658C59"/>
    <w:rsid w:val="0870BE66"/>
    <w:rsid w:val="0887D2FC"/>
    <w:rsid w:val="0898C2D2"/>
    <w:rsid w:val="08A0E6E7"/>
    <w:rsid w:val="08BCDDB1"/>
    <w:rsid w:val="08D79D70"/>
    <w:rsid w:val="08DC2BD6"/>
    <w:rsid w:val="08F5919B"/>
    <w:rsid w:val="08F7832F"/>
    <w:rsid w:val="09262273"/>
    <w:rsid w:val="0928786F"/>
    <w:rsid w:val="092C2320"/>
    <w:rsid w:val="09306B8F"/>
    <w:rsid w:val="0953858A"/>
    <w:rsid w:val="0987E93B"/>
    <w:rsid w:val="098C3319"/>
    <w:rsid w:val="09C02934"/>
    <w:rsid w:val="09C4EAC9"/>
    <w:rsid w:val="0A348866"/>
    <w:rsid w:val="0A36AC69"/>
    <w:rsid w:val="0A3E01ED"/>
    <w:rsid w:val="0A54BDFC"/>
    <w:rsid w:val="0A8CF8CB"/>
    <w:rsid w:val="0A8F787D"/>
    <w:rsid w:val="0AE7E44A"/>
    <w:rsid w:val="0B2153E1"/>
    <w:rsid w:val="0B21EA5E"/>
    <w:rsid w:val="0B28037A"/>
    <w:rsid w:val="0B29C1B9"/>
    <w:rsid w:val="0B2D6E51"/>
    <w:rsid w:val="0B32B23E"/>
    <w:rsid w:val="0B4414E4"/>
    <w:rsid w:val="0B51DD38"/>
    <w:rsid w:val="0B76534D"/>
    <w:rsid w:val="0B849E27"/>
    <w:rsid w:val="0B99BB30"/>
    <w:rsid w:val="0BBA15E0"/>
    <w:rsid w:val="0BDD2587"/>
    <w:rsid w:val="0BF1CD3B"/>
    <w:rsid w:val="0C06E2D4"/>
    <w:rsid w:val="0C48DE7E"/>
    <w:rsid w:val="0C64FFBA"/>
    <w:rsid w:val="0C782D36"/>
    <w:rsid w:val="0C814C87"/>
    <w:rsid w:val="0C85F800"/>
    <w:rsid w:val="0C9594AA"/>
    <w:rsid w:val="0CB20F8E"/>
    <w:rsid w:val="0CB2B278"/>
    <w:rsid w:val="0CB719CA"/>
    <w:rsid w:val="0CCD19FE"/>
    <w:rsid w:val="0CCF201C"/>
    <w:rsid w:val="0CD40AC0"/>
    <w:rsid w:val="0CDE43C2"/>
    <w:rsid w:val="0CEE8DA1"/>
    <w:rsid w:val="0CF4068D"/>
    <w:rsid w:val="0D0AE766"/>
    <w:rsid w:val="0D18D39E"/>
    <w:rsid w:val="0D22021F"/>
    <w:rsid w:val="0D2628A3"/>
    <w:rsid w:val="0D399E48"/>
    <w:rsid w:val="0D48B971"/>
    <w:rsid w:val="0D67A507"/>
    <w:rsid w:val="0D6EDE0E"/>
    <w:rsid w:val="0D82213D"/>
    <w:rsid w:val="0D984180"/>
    <w:rsid w:val="0D9A3863"/>
    <w:rsid w:val="0DDA4D4F"/>
    <w:rsid w:val="0DE15684"/>
    <w:rsid w:val="0DE3802C"/>
    <w:rsid w:val="0DE95FA7"/>
    <w:rsid w:val="0DE9FFB8"/>
    <w:rsid w:val="0E0702D0"/>
    <w:rsid w:val="0E0CD615"/>
    <w:rsid w:val="0E0E559B"/>
    <w:rsid w:val="0E3736F8"/>
    <w:rsid w:val="0E3B72BE"/>
    <w:rsid w:val="0E513C50"/>
    <w:rsid w:val="0E5C8078"/>
    <w:rsid w:val="0E6CA650"/>
    <w:rsid w:val="0E8EC652"/>
    <w:rsid w:val="0E8F39EE"/>
    <w:rsid w:val="0EA6F0E2"/>
    <w:rsid w:val="0EB24AD7"/>
    <w:rsid w:val="0EBD2105"/>
    <w:rsid w:val="0F232AE8"/>
    <w:rsid w:val="0F385B7A"/>
    <w:rsid w:val="0F3FF6D5"/>
    <w:rsid w:val="0F4BEC9D"/>
    <w:rsid w:val="0F548411"/>
    <w:rsid w:val="0F6823DF"/>
    <w:rsid w:val="0F74C9EE"/>
    <w:rsid w:val="0F835E5E"/>
    <w:rsid w:val="0F8D74D3"/>
    <w:rsid w:val="0FB0F99B"/>
    <w:rsid w:val="1032DDA6"/>
    <w:rsid w:val="105CD3B1"/>
    <w:rsid w:val="10629401"/>
    <w:rsid w:val="106D2195"/>
    <w:rsid w:val="1079C54C"/>
    <w:rsid w:val="107A7CA6"/>
    <w:rsid w:val="107FB6EB"/>
    <w:rsid w:val="108E9690"/>
    <w:rsid w:val="1096DE25"/>
    <w:rsid w:val="10A06670"/>
    <w:rsid w:val="10C5B003"/>
    <w:rsid w:val="10D4D88B"/>
    <w:rsid w:val="11369966"/>
    <w:rsid w:val="1136FB9E"/>
    <w:rsid w:val="113B55CA"/>
    <w:rsid w:val="114ABE02"/>
    <w:rsid w:val="118FA6E9"/>
    <w:rsid w:val="11909565"/>
    <w:rsid w:val="119744FE"/>
    <w:rsid w:val="119C7F4E"/>
    <w:rsid w:val="11E8B30D"/>
    <w:rsid w:val="11EF9FEA"/>
    <w:rsid w:val="11F4CCBA"/>
    <w:rsid w:val="11F6ABD4"/>
    <w:rsid w:val="12093146"/>
    <w:rsid w:val="120B7D18"/>
    <w:rsid w:val="1212A4DE"/>
    <w:rsid w:val="1219EA4C"/>
    <w:rsid w:val="121E26C6"/>
    <w:rsid w:val="127E7207"/>
    <w:rsid w:val="129B2F63"/>
    <w:rsid w:val="12C6E8F3"/>
    <w:rsid w:val="12CAA61E"/>
    <w:rsid w:val="12CEAB21"/>
    <w:rsid w:val="12FA1607"/>
    <w:rsid w:val="13003192"/>
    <w:rsid w:val="131D6603"/>
    <w:rsid w:val="13284B77"/>
    <w:rsid w:val="1332B682"/>
    <w:rsid w:val="134D9023"/>
    <w:rsid w:val="137F4878"/>
    <w:rsid w:val="139651B2"/>
    <w:rsid w:val="13B154FC"/>
    <w:rsid w:val="13BB643B"/>
    <w:rsid w:val="13CD1162"/>
    <w:rsid w:val="13E553FC"/>
    <w:rsid w:val="13F1C976"/>
    <w:rsid w:val="13F4BFC4"/>
    <w:rsid w:val="140C2599"/>
    <w:rsid w:val="141680EF"/>
    <w:rsid w:val="141875C9"/>
    <w:rsid w:val="14265C80"/>
    <w:rsid w:val="1460FF29"/>
    <w:rsid w:val="148FEBE2"/>
    <w:rsid w:val="14B50217"/>
    <w:rsid w:val="14B840E6"/>
    <w:rsid w:val="14B944C5"/>
    <w:rsid w:val="14BA66C1"/>
    <w:rsid w:val="14C19437"/>
    <w:rsid w:val="14EA472E"/>
    <w:rsid w:val="14EBF6DE"/>
    <w:rsid w:val="15115701"/>
    <w:rsid w:val="152BD61C"/>
    <w:rsid w:val="153C05FF"/>
    <w:rsid w:val="153F97BE"/>
    <w:rsid w:val="154566A1"/>
    <w:rsid w:val="1545AE8B"/>
    <w:rsid w:val="15A0FFBD"/>
    <w:rsid w:val="15A1C114"/>
    <w:rsid w:val="15B4F053"/>
    <w:rsid w:val="15BFB18B"/>
    <w:rsid w:val="15C30643"/>
    <w:rsid w:val="15C4FE6A"/>
    <w:rsid w:val="15CC3802"/>
    <w:rsid w:val="15CC70D6"/>
    <w:rsid w:val="15CD1E79"/>
    <w:rsid w:val="15D1B052"/>
    <w:rsid w:val="15E15581"/>
    <w:rsid w:val="15F1181E"/>
    <w:rsid w:val="15FBED43"/>
    <w:rsid w:val="15FE9617"/>
    <w:rsid w:val="160421CF"/>
    <w:rsid w:val="163109D9"/>
    <w:rsid w:val="1646E78D"/>
    <w:rsid w:val="16658889"/>
    <w:rsid w:val="166A54DA"/>
    <w:rsid w:val="167F0D93"/>
    <w:rsid w:val="16897607"/>
    <w:rsid w:val="1694D061"/>
    <w:rsid w:val="16C05E71"/>
    <w:rsid w:val="16C29513"/>
    <w:rsid w:val="16C8689D"/>
    <w:rsid w:val="16F7D5A1"/>
    <w:rsid w:val="17014A4B"/>
    <w:rsid w:val="17391472"/>
    <w:rsid w:val="175E07EC"/>
    <w:rsid w:val="175ED6A4"/>
    <w:rsid w:val="178193E2"/>
    <w:rsid w:val="179948EA"/>
    <w:rsid w:val="1804178B"/>
    <w:rsid w:val="18070154"/>
    <w:rsid w:val="1808BF93"/>
    <w:rsid w:val="184A3727"/>
    <w:rsid w:val="1854EC80"/>
    <w:rsid w:val="1858DBC5"/>
    <w:rsid w:val="185907A4"/>
    <w:rsid w:val="186A427B"/>
    <w:rsid w:val="1878B7E4"/>
    <w:rsid w:val="188093D4"/>
    <w:rsid w:val="18856044"/>
    <w:rsid w:val="1893D36F"/>
    <w:rsid w:val="18A89928"/>
    <w:rsid w:val="18AEF169"/>
    <w:rsid w:val="18B7797B"/>
    <w:rsid w:val="18CF4E6C"/>
    <w:rsid w:val="18DB60BC"/>
    <w:rsid w:val="18F70AAD"/>
    <w:rsid w:val="1911ED33"/>
    <w:rsid w:val="19167DCF"/>
    <w:rsid w:val="192AF484"/>
    <w:rsid w:val="192D8ED8"/>
    <w:rsid w:val="192E2F2F"/>
    <w:rsid w:val="193724E8"/>
    <w:rsid w:val="194E32F5"/>
    <w:rsid w:val="19508EC6"/>
    <w:rsid w:val="195246B3"/>
    <w:rsid w:val="196DACCF"/>
    <w:rsid w:val="19743841"/>
    <w:rsid w:val="19DFA11F"/>
    <w:rsid w:val="19EA8D9A"/>
    <w:rsid w:val="19F99E5D"/>
    <w:rsid w:val="19FF71E7"/>
    <w:rsid w:val="1A0FD672"/>
    <w:rsid w:val="1A10B9F7"/>
    <w:rsid w:val="1A114BB5"/>
    <w:rsid w:val="1A1EF53B"/>
    <w:rsid w:val="1A4F9D52"/>
    <w:rsid w:val="1A5260CF"/>
    <w:rsid w:val="1A5A690A"/>
    <w:rsid w:val="1A6D0156"/>
    <w:rsid w:val="1A728C6D"/>
    <w:rsid w:val="1A8862BC"/>
    <w:rsid w:val="1ABECA96"/>
    <w:rsid w:val="1AEFDAFC"/>
    <w:rsid w:val="1B17AD5E"/>
    <w:rsid w:val="1B2BE992"/>
    <w:rsid w:val="1B3D661D"/>
    <w:rsid w:val="1B70E726"/>
    <w:rsid w:val="1B8A8339"/>
    <w:rsid w:val="1B997BE0"/>
    <w:rsid w:val="1BAE498B"/>
    <w:rsid w:val="1C100C28"/>
    <w:rsid w:val="1C2CA7E8"/>
    <w:rsid w:val="1C2E06C2"/>
    <w:rsid w:val="1C4E6D72"/>
    <w:rsid w:val="1C57A22D"/>
    <w:rsid w:val="1C5CC4B2"/>
    <w:rsid w:val="1C61C2DA"/>
    <w:rsid w:val="1C836359"/>
    <w:rsid w:val="1C93C6FA"/>
    <w:rsid w:val="1CA6B9C9"/>
    <w:rsid w:val="1CE22503"/>
    <w:rsid w:val="1CF3183A"/>
    <w:rsid w:val="1CF47094"/>
    <w:rsid w:val="1D049CB7"/>
    <w:rsid w:val="1D21198D"/>
    <w:rsid w:val="1D483488"/>
    <w:rsid w:val="1D65C88B"/>
    <w:rsid w:val="1DABACFB"/>
    <w:rsid w:val="1DC28E20"/>
    <w:rsid w:val="1DC8B2C7"/>
    <w:rsid w:val="1DDC60A2"/>
    <w:rsid w:val="1DE36427"/>
    <w:rsid w:val="1DEFC5BC"/>
    <w:rsid w:val="1DF49EFE"/>
    <w:rsid w:val="1DF9B8B2"/>
    <w:rsid w:val="1E0CCB3C"/>
    <w:rsid w:val="1E19A37B"/>
    <w:rsid w:val="1E3995ED"/>
    <w:rsid w:val="1E3DAB38"/>
    <w:rsid w:val="1E59C177"/>
    <w:rsid w:val="1E5EADCA"/>
    <w:rsid w:val="1E637277"/>
    <w:rsid w:val="1E6551EE"/>
    <w:rsid w:val="1E6988C7"/>
    <w:rsid w:val="1E75C806"/>
    <w:rsid w:val="1E799F46"/>
    <w:rsid w:val="1E7F64EB"/>
    <w:rsid w:val="1E8F8B89"/>
    <w:rsid w:val="1E91FEB3"/>
    <w:rsid w:val="1E9A05CE"/>
    <w:rsid w:val="1E9E03C7"/>
    <w:rsid w:val="1EC014B3"/>
    <w:rsid w:val="1ED8EE67"/>
    <w:rsid w:val="1EEC5368"/>
    <w:rsid w:val="1F06905A"/>
    <w:rsid w:val="1F4D0A56"/>
    <w:rsid w:val="1F4E6FFF"/>
    <w:rsid w:val="1F551F6B"/>
    <w:rsid w:val="1F58EE8C"/>
    <w:rsid w:val="1F59A8BF"/>
    <w:rsid w:val="1F6F9D0E"/>
    <w:rsid w:val="1F756BFA"/>
    <w:rsid w:val="1F81C43E"/>
    <w:rsid w:val="1F9365AD"/>
    <w:rsid w:val="1F9B167A"/>
    <w:rsid w:val="1FAB51EC"/>
    <w:rsid w:val="1FCF1A95"/>
    <w:rsid w:val="1FD4A90C"/>
    <w:rsid w:val="1FD9F9D5"/>
    <w:rsid w:val="1FDB9137"/>
    <w:rsid w:val="200BB21C"/>
    <w:rsid w:val="2014CF60"/>
    <w:rsid w:val="203FCDB2"/>
    <w:rsid w:val="20403782"/>
    <w:rsid w:val="20512CD7"/>
    <w:rsid w:val="2058C867"/>
    <w:rsid w:val="209725C7"/>
    <w:rsid w:val="20A6A496"/>
    <w:rsid w:val="20B081CE"/>
    <w:rsid w:val="20B16994"/>
    <w:rsid w:val="20BFB673"/>
    <w:rsid w:val="20BFFCA2"/>
    <w:rsid w:val="20CA866D"/>
    <w:rsid w:val="20D1250A"/>
    <w:rsid w:val="20D57682"/>
    <w:rsid w:val="20E77870"/>
    <w:rsid w:val="211B5513"/>
    <w:rsid w:val="2122F677"/>
    <w:rsid w:val="21585DC9"/>
    <w:rsid w:val="216751E6"/>
    <w:rsid w:val="21BD08DA"/>
    <w:rsid w:val="2209B291"/>
    <w:rsid w:val="224FACC1"/>
    <w:rsid w:val="2251383B"/>
    <w:rsid w:val="22525D0A"/>
    <w:rsid w:val="22605A2D"/>
    <w:rsid w:val="226E5E96"/>
    <w:rsid w:val="2276EDFC"/>
    <w:rsid w:val="2291E0F9"/>
    <w:rsid w:val="22B0C0ED"/>
    <w:rsid w:val="22B72574"/>
    <w:rsid w:val="22BFF18F"/>
    <w:rsid w:val="22FFFB19"/>
    <w:rsid w:val="23057F2C"/>
    <w:rsid w:val="232B3A09"/>
    <w:rsid w:val="232BC009"/>
    <w:rsid w:val="232E4EC9"/>
    <w:rsid w:val="234C1F76"/>
    <w:rsid w:val="234C79EC"/>
    <w:rsid w:val="2378A194"/>
    <w:rsid w:val="237D0439"/>
    <w:rsid w:val="238E5AC0"/>
    <w:rsid w:val="238FA0FE"/>
    <w:rsid w:val="23AA2331"/>
    <w:rsid w:val="23AC15A9"/>
    <w:rsid w:val="23E3F6E8"/>
    <w:rsid w:val="23F34D71"/>
    <w:rsid w:val="23FFED29"/>
    <w:rsid w:val="2408DB5D"/>
    <w:rsid w:val="240A590F"/>
    <w:rsid w:val="240FA7F5"/>
    <w:rsid w:val="2436A2CB"/>
    <w:rsid w:val="2442632E"/>
    <w:rsid w:val="24593A26"/>
    <w:rsid w:val="246197DA"/>
    <w:rsid w:val="24626991"/>
    <w:rsid w:val="2466FFB9"/>
    <w:rsid w:val="246AA3AA"/>
    <w:rsid w:val="247ADDD0"/>
    <w:rsid w:val="248A7561"/>
    <w:rsid w:val="249EC844"/>
    <w:rsid w:val="24C8C592"/>
    <w:rsid w:val="24DE31B8"/>
    <w:rsid w:val="24E80CE4"/>
    <w:rsid w:val="24F41224"/>
    <w:rsid w:val="24F6143E"/>
    <w:rsid w:val="24FAC43E"/>
    <w:rsid w:val="250CF238"/>
    <w:rsid w:val="2522A296"/>
    <w:rsid w:val="2527D56A"/>
    <w:rsid w:val="25545384"/>
    <w:rsid w:val="2568C185"/>
    <w:rsid w:val="25AB2677"/>
    <w:rsid w:val="25C868AB"/>
    <w:rsid w:val="25DD830D"/>
    <w:rsid w:val="25FF15A8"/>
    <w:rsid w:val="260F2852"/>
    <w:rsid w:val="261B0EE7"/>
    <w:rsid w:val="261DC40A"/>
    <w:rsid w:val="267AD6F1"/>
    <w:rsid w:val="269A7977"/>
    <w:rsid w:val="26FBEA90"/>
    <w:rsid w:val="270AFE5D"/>
    <w:rsid w:val="27213C97"/>
    <w:rsid w:val="272353E4"/>
    <w:rsid w:val="27445EFD"/>
    <w:rsid w:val="27753A3B"/>
    <w:rsid w:val="279142F2"/>
    <w:rsid w:val="279C0666"/>
    <w:rsid w:val="27DDED27"/>
    <w:rsid w:val="27E7008E"/>
    <w:rsid w:val="27E77B60"/>
    <w:rsid w:val="27FD8727"/>
    <w:rsid w:val="2801826F"/>
    <w:rsid w:val="280381EF"/>
    <w:rsid w:val="2816C401"/>
    <w:rsid w:val="281D70C3"/>
    <w:rsid w:val="2823A8BA"/>
    <w:rsid w:val="282C0035"/>
    <w:rsid w:val="2842B168"/>
    <w:rsid w:val="28442E53"/>
    <w:rsid w:val="285FE8D5"/>
    <w:rsid w:val="2863C629"/>
    <w:rsid w:val="288EEA28"/>
    <w:rsid w:val="28926934"/>
    <w:rsid w:val="28B536F0"/>
    <w:rsid w:val="28B96CA3"/>
    <w:rsid w:val="28CD7C90"/>
    <w:rsid w:val="28D0A280"/>
    <w:rsid w:val="28D93AA3"/>
    <w:rsid w:val="28DF4559"/>
    <w:rsid w:val="29309EA2"/>
    <w:rsid w:val="29527C5C"/>
    <w:rsid w:val="2967F9AF"/>
    <w:rsid w:val="297349BF"/>
    <w:rsid w:val="2977DFE7"/>
    <w:rsid w:val="2986532A"/>
    <w:rsid w:val="298CB12B"/>
    <w:rsid w:val="2991221B"/>
    <w:rsid w:val="299D4B45"/>
    <w:rsid w:val="29AADCF3"/>
    <w:rsid w:val="29C6B6A5"/>
    <w:rsid w:val="29C7F1F5"/>
    <w:rsid w:val="29CCA00B"/>
    <w:rsid w:val="29D9E203"/>
    <w:rsid w:val="29E66606"/>
    <w:rsid w:val="29EDB84E"/>
    <w:rsid w:val="29EF11E6"/>
    <w:rsid w:val="29F40554"/>
    <w:rsid w:val="29F4105E"/>
    <w:rsid w:val="2A1D00EF"/>
    <w:rsid w:val="2A1D33C0"/>
    <w:rsid w:val="2A32E287"/>
    <w:rsid w:val="2A39BFB9"/>
    <w:rsid w:val="2A3F2C65"/>
    <w:rsid w:val="2A4211E6"/>
    <w:rsid w:val="2A434C02"/>
    <w:rsid w:val="2A4AB680"/>
    <w:rsid w:val="2A52A8D3"/>
    <w:rsid w:val="2A64F0FD"/>
    <w:rsid w:val="2A672251"/>
    <w:rsid w:val="2A883DD7"/>
    <w:rsid w:val="2A888038"/>
    <w:rsid w:val="2A918C14"/>
    <w:rsid w:val="2AAD852A"/>
    <w:rsid w:val="2B01E6E6"/>
    <w:rsid w:val="2B89C565"/>
    <w:rsid w:val="2BAB7EFE"/>
    <w:rsid w:val="2BC07D92"/>
    <w:rsid w:val="2BCEBC54"/>
    <w:rsid w:val="2BDB6E3C"/>
    <w:rsid w:val="2BF6D7D3"/>
    <w:rsid w:val="2BF8D38C"/>
    <w:rsid w:val="2BFC5BA6"/>
    <w:rsid w:val="2C035462"/>
    <w:rsid w:val="2C29B377"/>
    <w:rsid w:val="2C2E0076"/>
    <w:rsid w:val="2C655C1A"/>
    <w:rsid w:val="2C9DE124"/>
    <w:rsid w:val="2CA8D59D"/>
    <w:rsid w:val="2CC60DB1"/>
    <w:rsid w:val="2CCCE526"/>
    <w:rsid w:val="2CDCBE32"/>
    <w:rsid w:val="2CE8DF0C"/>
    <w:rsid w:val="2CFB33A4"/>
    <w:rsid w:val="2D0C42DD"/>
    <w:rsid w:val="2D1B897C"/>
    <w:rsid w:val="2D2D1DAA"/>
    <w:rsid w:val="2D3F7D8C"/>
    <w:rsid w:val="2D403FAC"/>
    <w:rsid w:val="2D5A2837"/>
    <w:rsid w:val="2D6088A2"/>
    <w:rsid w:val="2D73FAC5"/>
    <w:rsid w:val="2DAAB0A2"/>
    <w:rsid w:val="2DAADE0F"/>
    <w:rsid w:val="2DC2E4F4"/>
    <w:rsid w:val="2DC4D474"/>
    <w:rsid w:val="2DC8CBC9"/>
    <w:rsid w:val="2DE1A476"/>
    <w:rsid w:val="2DE3BB36"/>
    <w:rsid w:val="2DE3DE62"/>
    <w:rsid w:val="2DFE0AA5"/>
    <w:rsid w:val="2E118BF6"/>
    <w:rsid w:val="2E43770E"/>
    <w:rsid w:val="2E6A4250"/>
    <w:rsid w:val="2E7C322F"/>
    <w:rsid w:val="2E7F0BE5"/>
    <w:rsid w:val="2E8F9868"/>
    <w:rsid w:val="2E977DC5"/>
    <w:rsid w:val="2E9CB8E9"/>
    <w:rsid w:val="2EA0B5E6"/>
    <w:rsid w:val="2EBAFB25"/>
    <w:rsid w:val="2ED1E773"/>
    <w:rsid w:val="2EF856F6"/>
    <w:rsid w:val="2EFDA642"/>
    <w:rsid w:val="2F06F48E"/>
    <w:rsid w:val="2F38ECB4"/>
    <w:rsid w:val="2F42D038"/>
    <w:rsid w:val="2F4824E4"/>
    <w:rsid w:val="2F5B4346"/>
    <w:rsid w:val="2F7FCCE5"/>
    <w:rsid w:val="2F8B6BD4"/>
    <w:rsid w:val="2F94F5B1"/>
    <w:rsid w:val="2F9993B2"/>
    <w:rsid w:val="2FB1028D"/>
    <w:rsid w:val="2FB4CE35"/>
    <w:rsid w:val="2FD37F01"/>
    <w:rsid w:val="2FF183AE"/>
    <w:rsid w:val="2FF6F3B9"/>
    <w:rsid w:val="301FA81A"/>
    <w:rsid w:val="3034EFBD"/>
    <w:rsid w:val="3060D85C"/>
    <w:rsid w:val="306115F1"/>
    <w:rsid w:val="307154A9"/>
    <w:rsid w:val="30741826"/>
    <w:rsid w:val="30786351"/>
    <w:rsid w:val="3092CE38"/>
    <w:rsid w:val="30A20D67"/>
    <w:rsid w:val="30A39646"/>
    <w:rsid w:val="30B1C4E6"/>
    <w:rsid w:val="30CEF26C"/>
    <w:rsid w:val="30DC0FB2"/>
    <w:rsid w:val="30E27ED1"/>
    <w:rsid w:val="30E65038"/>
    <w:rsid w:val="30EE9A3C"/>
    <w:rsid w:val="30F387D2"/>
    <w:rsid w:val="31150161"/>
    <w:rsid w:val="311598D9"/>
    <w:rsid w:val="31245B0C"/>
    <w:rsid w:val="3184AB5D"/>
    <w:rsid w:val="31914AD5"/>
    <w:rsid w:val="319950EB"/>
    <w:rsid w:val="319C5C70"/>
    <w:rsid w:val="319DD43B"/>
    <w:rsid w:val="31A4C3A9"/>
    <w:rsid w:val="31A5B1B4"/>
    <w:rsid w:val="31AD0D80"/>
    <w:rsid w:val="31AD2EFA"/>
    <w:rsid w:val="31FA8872"/>
    <w:rsid w:val="31FAE991"/>
    <w:rsid w:val="31FD9DBA"/>
    <w:rsid w:val="32306501"/>
    <w:rsid w:val="323DDDC8"/>
    <w:rsid w:val="323DFDD8"/>
    <w:rsid w:val="32480364"/>
    <w:rsid w:val="32714923"/>
    <w:rsid w:val="3271544E"/>
    <w:rsid w:val="3281685E"/>
    <w:rsid w:val="32822099"/>
    <w:rsid w:val="3282F4C7"/>
    <w:rsid w:val="32C54CEB"/>
    <w:rsid w:val="32DDCAA5"/>
    <w:rsid w:val="32E2A514"/>
    <w:rsid w:val="32F2C233"/>
    <w:rsid w:val="3303F07B"/>
    <w:rsid w:val="330676A8"/>
    <w:rsid w:val="33109382"/>
    <w:rsid w:val="3313B7D7"/>
    <w:rsid w:val="331EF775"/>
    <w:rsid w:val="331FC866"/>
    <w:rsid w:val="3330D035"/>
    <w:rsid w:val="33385F94"/>
    <w:rsid w:val="333F2ED9"/>
    <w:rsid w:val="334763F0"/>
    <w:rsid w:val="335CA6E8"/>
    <w:rsid w:val="33943035"/>
    <w:rsid w:val="339658D3"/>
    <w:rsid w:val="33A983EF"/>
    <w:rsid w:val="33CAFD80"/>
    <w:rsid w:val="3407AB34"/>
    <w:rsid w:val="3423E2C1"/>
    <w:rsid w:val="3425A386"/>
    <w:rsid w:val="3427EDDC"/>
    <w:rsid w:val="344F01E8"/>
    <w:rsid w:val="346994B4"/>
    <w:rsid w:val="3488AF6D"/>
    <w:rsid w:val="34A7BBC7"/>
    <w:rsid w:val="34B11A63"/>
    <w:rsid w:val="34B70EB0"/>
    <w:rsid w:val="35083A45"/>
    <w:rsid w:val="351505C3"/>
    <w:rsid w:val="352DBA7C"/>
    <w:rsid w:val="3556E36F"/>
    <w:rsid w:val="355B474D"/>
    <w:rsid w:val="356AD2E2"/>
    <w:rsid w:val="357F9653"/>
    <w:rsid w:val="358C8BEF"/>
    <w:rsid w:val="359310AF"/>
    <w:rsid w:val="35A4130D"/>
    <w:rsid w:val="35A5F399"/>
    <w:rsid w:val="35B88D65"/>
    <w:rsid w:val="35D833CC"/>
    <w:rsid w:val="35FDAA65"/>
    <w:rsid w:val="35FDAE17"/>
    <w:rsid w:val="35FF52F3"/>
    <w:rsid w:val="36273E3A"/>
    <w:rsid w:val="362C0543"/>
    <w:rsid w:val="363E2BE2"/>
    <w:rsid w:val="3641D2BB"/>
    <w:rsid w:val="3643DC9E"/>
    <w:rsid w:val="36440E9A"/>
    <w:rsid w:val="36523D03"/>
    <w:rsid w:val="367A7207"/>
    <w:rsid w:val="367F243A"/>
    <w:rsid w:val="36A8AAE5"/>
    <w:rsid w:val="36BBA1DC"/>
    <w:rsid w:val="36BDEDAE"/>
    <w:rsid w:val="36DB9DFF"/>
    <w:rsid w:val="36F2A8FF"/>
    <w:rsid w:val="36F8268E"/>
    <w:rsid w:val="37089E61"/>
    <w:rsid w:val="370FA946"/>
    <w:rsid w:val="3729678E"/>
    <w:rsid w:val="3788BBC0"/>
    <w:rsid w:val="37A00DBA"/>
    <w:rsid w:val="37A09DFE"/>
    <w:rsid w:val="37AA4FFB"/>
    <w:rsid w:val="37C7D5A4"/>
    <w:rsid w:val="37C85A5B"/>
    <w:rsid w:val="37D2C682"/>
    <w:rsid w:val="37DF0832"/>
    <w:rsid w:val="37FE0A93"/>
    <w:rsid w:val="3838F20F"/>
    <w:rsid w:val="384F1894"/>
    <w:rsid w:val="385CF87F"/>
    <w:rsid w:val="38622F60"/>
    <w:rsid w:val="3872D76F"/>
    <w:rsid w:val="38962568"/>
    <w:rsid w:val="389BB912"/>
    <w:rsid w:val="38A76596"/>
    <w:rsid w:val="38AFFE14"/>
    <w:rsid w:val="38D8635F"/>
    <w:rsid w:val="38EDC387"/>
    <w:rsid w:val="38F3D71B"/>
    <w:rsid w:val="38FBD0AD"/>
    <w:rsid w:val="3900D8C0"/>
    <w:rsid w:val="391D4EB1"/>
    <w:rsid w:val="397E0732"/>
    <w:rsid w:val="39ACE00F"/>
    <w:rsid w:val="39B4E087"/>
    <w:rsid w:val="39F2AB26"/>
    <w:rsid w:val="39F67FF7"/>
    <w:rsid w:val="3A01FEB0"/>
    <w:rsid w:val="3A127478"/>
    <w:rsid w:val="3A254405"/>
    <w:rsid w:val="3A4C6070"/>
    <w:rsid w:val="3A52B0A2"/>
    <w:rsid w:val="3A5D631A"/>
    <w:rsid w:val="3A6E734D"/>
    <w:rsid w:val="3A9B70CF"/>
    <w:rsid w:val="3AACD3DF"/>
    <w:rsid w:val="3AB11E6A"/>
    <w:rsid w:val="3AE64E09"/>
    <w:rsid w:val="3AE913FA"/>
    <w:rsid w:val="3AF866FA"/>
    <w:rsid w:val="3B096931"/>
    <w:rsid w:val="3B0F2726"/>
    <w:rsid w:val="3B3B5449"/>
    <w:rsid w:val="3B3F8461"/>
    <w:rsid w:val="3B4F7781"/>
    <w:rsid w:val="3B562F8A"/>
    <w:rsid w:val="3B5956F8"/>
    <w:rsid w:val="3BC42FDD"/>
    <w:rsid w:val="3BDA5E5D"/>
    <w:rsid w:val="3BF628A1"/>
    <w:rsid w:val="3BFC20A7"/>
    <w:rsid w:val="3BFE0EEF"/>
    <w:rsid w:val="3C0F96E1"/>
    <w:rsid w:val="3C2D585B"/>
    <w:rsid w:val="3C324F14"/>
    <w:rsid w:val="3C60C78C"/>
    <w:rsid w:val="3C7B7881"/>
    <w:rsid w:val="3C92F804"/>
    <w:rsid w:val="3C9B46C7"/>
    <w:rsid w:val="3CE953A9"/>
    <w:rsid w:val="3D0669F1"/>
    <w:rsid w:val="3D1C8523"/>
    <w:rsid w:val="3D24C688"/>
    <w:rsid w:val="3D34AC7E"/>
    <w:rsid w:val="3D5E5C74"/>
    <w:rsid w:val="3D7405A0"/>
    <w:rsid w:val="3D8CB89A"/>
    <w:rsid w:val="3D8E7B8A"/>
    <w:rsid w:val="3D94C754"/>
    <w:rsid w:val="3DA20DD8"/>
    <w:rsid w:val="3DD03436"/>
    <w:rsid w:val="3E04B749"/>
    <w:rsid w:val="3E104178"/>
    <w:rsid w:val="3E164641"/>
    <w:rsid w:val="3E371728"/>
    <w:rsid w:val="3E3816B1"/>
    <w:rsid w:val="3E3C349E"/>
    <w:rsid w:val="3E4BBA9B"/>
    <w:rsid w:val="3E6A7108"/>
    <w:rsid w:val="3E6C5324"/>
    <w:rsid w:val="3E799070"/>
    <w:rsid w:val="3E907B29"/>
    <w:rsid w:val="3E96F0B4"/>
    <w:rsid w:val="3EACD841"/>
    <w:rsid w:val="3EBD3AAE"/>
    <w:rsid w:val="3EC6644A"/>
    <w:rsid w:val="3ECBC2E7"/>
    <w:rsid w:val="3ECC8139"/>
    <w:rsid w:val="3ECE9930"/>
    <w:rsid w:val="3EE26D0A"/>
    <w:rsid w:val="3F25F1FB"/>
    <w:rsid w:val="3F3C62EC"/>
    <w:rsid w:val="3F6B4B85"/>
    <w:rsid w:val="3F7D4FAA"/>
    <w:rsid w:val="3F813D43"/>
    <w:rsid w:val="3F9D03CC"/>
    <w:rsid w:val="3FAC7E45"/>
    <w:rsid w:val="3FD8C78C"/>
    <w:rsid w:val="3FEEB256"/>
    <w:rsid w:val="400D81FF"/>
    <w:rsid w:val="400EC56C"/>
    <w:rsid w:val="4022418C"/>
    <w:rsid w:val="4026AA5C"/>
    <w:rsid w:val="40437DA3"/>
    <w:rsid w:val="4054E259"/>
    <w:rsid w:val="40561CC2"/>
    <w:rsid w:val="4060167D"/>
    <w:rsid w:val="40702C46"/>
    <w:rsid w:val="4073707D"/>
    <w:rsid w:val="40764BFF"/>
    <w:rsid w:val="40816416"/>
    <w:rsid w:val="408995AD"/>
    <w:rsid w:val="409AB71B"/>
    <w:rsid w:val="40BF382B"/>
    <w:rsid w:val="4124FC02"/>
    <w:rsid w:val="41592A5F"/>
    <w:rsid w:val="4178ABC6"/>
    <w:rsid w:val="4193834F"/>
    <w:rsid w:val="41D49103"/>
    <w:rsid w:val="41DAA86B"/>
    <w:rsid w:val="41F83D40"/>
    <w:rsid w:val="420B531E"/>
    <w:rsid w:val="421907E6"/>
    <w:rsid w:val="423294D6"/>
    <w:rsid w:val="423A47BF"/>
    <w:rsid w:val="423B8FC3"/>
    <w:rsid w:val="42563CDF"/>
    <w:rsid w:val="42624B76"/>
    <w:rsid w:val="4265B427"/>
    <w:rsid w:val="426D96F8"/>
    <w:rsid w:val="427009F2"/>
    <w:rsid w:val="42A5EB3C"/>
    <w:rsid w:val="42B3B74B"/>
    <w:rsid w:val="42C7A0EF"/>
    <w:rsid w:val="42D167E0"/>
    <w:rsid w:val="42D310F7"/>
    <w:rsid w:val="42F90898"/>
    <w:rsid w:val="4305B475"/>
    <w:rsid w:val="431BD124"/>
    <w:rsid w:val="4336DB94"/>
    <w:rsid w:val="43480558"/>
    <w:rsid w:val="4376E5FF"/>
    <w:rsid w:val="438D92C4"/>
    <w:rsid w:val="43A556F1"/>
    <w:rsid w:val="43A9C318"/>
    <w:rsid w:val="43BF35DB"/>
    <w:rsid w:val="43E6A880"/>
    <w:rsid w:val="44080867"/>
    <w:rsid w:val="442F7A0F"/>
    <w:rsid w:val="443689EB"/>
    <w:rsid w:val="445C44C0"/>
    <w:rsid w:val="449B8FB5"/>
    <w:rsid w:val="44A16286"/>
    <w:rsid w:val="44A78C34"/>
    <w:rsid w:val="44B15A7A"/>
    <w:rsid w:val="44C9F2C6"/>
    <w:rsid w:val="44DC08A6"/>
    <w:rsid w:val="44EB84DB"/>
    <w:rsid w:val="44F7B4F1"/>
    <w:rsid w:val="44FA1B7F"/>
    <w:rsid w:val="4514FDCE"/>
    <w:rsid w:val="451540DE"/>
    <w:rsid w:val="452B919D"/>
    <w:rsid w:val="45650130"/>
    <w:rsid w:val="45B11B5C"/>
    <w:rsid w:val="45B61020"/>
    <w:rsid w:val="45B8C099"/>
    <w:rsid w:val="45DB9CD2"/>
    <w:rsid w:val="460DA75B"/>
    <w:rsid w:val="4635D931"/>
    <w:rsid w:val="4668EC3C"/>
    <w:rsid w:val="466C1E76"/>
    <w:rsid w:val="4690145E"/>
    <w:rsid w:val="469C3B7B"/>
    <w:rsid w:val="469E31AB"/>
    <w:rsid w:val="46C0322D"/>
    <w:rsid w:val="46D4E5EA"/>
    <w:rsid w:val="46EDAA13"/>
    <w:rsid w:val="46F08C51"/>
    <w:rsid w:val="46F2E634"/>
    <w:rsid w:val="47114DB2"/>
    <w:rsid w:val="4712DDDF"/>
    <w:rsid w:val="472C063C"/>
    <w:rsid w:val="475D0337"/>
    <w:rsid w:val="4763B63A"/>
    <w:rsid w:val="476695BA"/>
    <w:rsid w:val="476B8E21"/>
    <w:rsid w:val="4772F8D3"/>
    <w:rsid w:val="4787B4E7"/>
    <w:rsid w:val="4792D44A"/>
    <w:rsid w:val="479FC384"/>
    <w:rsid w:val="47A3EC38"/>
    <w:rsid w:val="47ACF7B4"/>
    <w:rsid w:val="47BBB434"/>
    <w:rsid w:val="47F8C269"/>
    <w:rsid w:val="4813294A"/>
    <w:rsid w:val="483047BF"/>
    <w:rsid w:val="4876C7AD"/>
    <w:rsid w:val="487E5739"/>
    <w:rsid w:val="4883CA1E"/>
    <w:rsid w:val="49054DDD"/>
    <w:rsid w:val="490C6314"/>
    <w:rsid w:val="490DB24A"/>
    <w:rsid w:val="493B213C"/>
    <w:rsid w:val="49420C05"/>
    <w:rsid w:val="494BE44F"/>
    <w:rsid w:val="4957FAFD"/>
    <w:rsid w:val="49655182"/>
    <w:rsid w:val="4972772B"/>
    <w:rsid w:val="497B04A3"/>
    <w:rsid w:val="4999F7CF"/>
    <w:rsid w:val="49B9D692"/>
    <w:rsid w:val="49E69F6E"/>
    <w:rsid w:val="49E9BC5E"/>
    <w:rsid w:val="4A0FF22D"/>
    <w:rsid w:val="4A18F102"/>
    <w:rsid w:val="4A23ABA7"/>
    <w:rsid w:val="4A28339B"/>
    <w:rsid w:val="4A2A4A2D"/>
    <w:rsid w:val="4A8E4A0A"/>
    <w:rsid w:val="4AAE27E5"/>
    <w:rsid w:val="4ACA750C"/>
    <w:rsid w:val="4ADB3EFB"/>
    <w:rsid w:val="4ADEBA54"/>
    <w:rsid w:val="4AE7E42B"/>
    <w:rsid w:val="4AFC8EEE"/>
    <w:rsid w:val="4AFDFAFC"/>
    <w:rsid w:val="4B3376FB"/>
    <w:rsid w:val="4B5033F3"/>
    <w:rsid w:val="4B573A8A"/>
    <w:rsid w:val="4B60BDE4"/>
    <w:rsid w:val="4B947C12"/>
    <w:rsid w:val="4B954012"/>
    <w:rsid w:val="4B9B9C01"/>
    <w:rsid w:val="4BA01DC5"/>
    <w:rsid w:val="4BAE5948"/>
    <w:rsid w:val="4BB1FEDC"/>
    <w:rsid w:val="4BD0517F"/>
    <w:rsid w:val="4BD464C3"/>
    <w:rsid w:val="4BD9F83C"/>
    <w:rsid w:val="4BDD36F1"/>
    <w:rsid w:val="4BF0DC56"/>
    <w:rsid w:val="4C02E845"/>
    <w:rsid w:val="4C0EEF38"/>
    <w:rsid w:val="4C21DA1F"/>
    <w:rsid w:val="4C3EF9B7"/>
    <w:rsid w:val="4C49F261"/>
    <w:rsid w:val="4C4D3C38"/>
    <w:rsid w:val="4C6C443B"/>
    <w:rsid w:val="4C6C5292"/>
    <w:rsid w:val="4C8164A6"/>
    <w:rsid w:val="4C89B85B"/>
    <w:rsid w:val="4CB404B6"/>
    <w:rsid w:val="4CBF8C25"/>
    <w:rsid w:val="4D020488"/>
    <w:rsid w:val="4D2653ED"/>
    <w:rsid w:val="4D3C88EA"/>
    <w:rsid w:val="4D4127ED"/>
    <w:rsid w:val="4D441267"/>
    <w:rsid w:val="4D491715"/>
    <w:rsid w:val="4D8D2156"/>
    <w:rsid w:val="4DA07CBB"/>
    <w:rsid w:val="4DD6597F"/>
    <w:rsid w:val="4E153AC1"/>
    <w:rsid w:val="4E212686"/>
    <w:rsid w:val="4E33F767"/>
    <w:rsid w:val="4E40298A"/>
    <w:rsid w:val="4E57313D"/>
    <w:rsid w:val="4E5A3FBB"/>
    <w:rsid w:val="4E6BA856"/>
    <w:rsid w:val="4E7463AD"/>
    <w:rsid w:val="4E8C105E"/>
    <w:rsid w:val="4E8ECBDF"/>
    <w:rsid w:val="4E9409FE"/>
    <w:rsid w:val="4E9A9115"/>
    <w:rsid w:val="4EA71D3F"/>
    <w:rsid w:val="4EDD1AB5"/>
    <w:rsid w:val="4EF816F1"/>
    <w:rsid w:val="4EF8CBDB"/>
    <w:rsid w:val="4F0078E2"/>
    <w:rsid w:val="4F0559E2"/>
    <w:rsid w:val="4F0A5655"/>
    <w:rsid w:val="4F0B76C5"/>
    <w:rsid w:val="4F1D3377"/>
    <w:rsid w:val="4F20D25B"/>
    <w:rsid w:val="4F4F8E9F"/>
    <w:rsid w:val="4F5475F1"/>
    <w:rsid w:val="4F6C998E"/>
    <w:rsid w:val="4F75C567"/>
    <w:rsid w:val="4F778A68"/>
    <w:rsid w:val="4F7B985B"/>
    <w:rsid w:val="4F8BED81"/>
    <w:rsid w:val="4FA17204"/>
    <w:rsid w:val="4FCFB38F"/>
    <w:rsid w:val="4FD36E3C"/>
    <w:rsid w:val="4FD77D10"/>
    <w:rsid w:val="4FF56578"/>
    <w:rsid w:val="5015D07C"/>
    <w:rsid w:val="50185FA5"/>
    <w:rsid w:val="502323C9"/>
    <w:rsid w:val="50329D43"/>
    <w:rsid w:val="5062EF5B"/>
    <w:rsid w:val="50719ADA"/>
    <w:rsid w:val="507B9015"/>
    <w:rsid w:val="50A6EE29"/>
    <w:rsid w:val="50AFD9F7"/>
    <w:rsid w:val="50B691D0"/>
    <w:rsid w:val="50B875D7"/>
    <w:rsid w:val="50B9C025"/>
    <w:rsid w:val="50C123FC"/>
    <w:rsid w:val="50CDFE60"/>
    <w:rsid w:val="50DB09D4"/>
    <w:rsid w:val="50EFE331"/>
    <w:rsid w:val="511B66F0"/>
    <w:rsid w:val="51256002"/>
    <w:rsid w:val="51599AA1"/>
    <w:rsid w:val="515C3AD6"/>
    <w:rsid w:val="516A551E"/>
    <w:rsid w:val="516A820D"/>
    <w:rsid w:val="516B29CF"/>
    <w:rsid w:val="516B5CB2"/>
    <w:rsid w:val="517C5A4A"/>
    <w:rsid w:val="5181524E"/>
    <w:rsid w:val="5183F5DA"/>
    <w:rsid w:val="519394D7"/>
    <w:rsid w:val="519A04B4"/>
    <w:rsid w:val="51A9BE05"/>
    <w:rsid w:val="51E3A85F"/>
    <w:rsid w:val="51EEE609"/>
    <w:rsid w:val="51F6A0BE"/>
    <w:rsid w:val="5207FBDE"/>
    <w:rsid w:val="520C81DD"/>
    <w:rsid w:val="52166A42"/>
    <w:rsid w:val="52203888"/>
    <w:rsid w:val="52296732"/>
    <w:rsid w:val="5237C2DC"/>
    <w:rsid w:val="524787B6"/>
    <w:rsid w:val="524A2F85"/>
    <w:rsid w:val="5285EFA0"/>
    <w:rsid w:val="52891DAE"/>
    <w:rsid w:val="52AE0667"/>
    <w:rsid w:val="52AE1AA4"/>
    <w:rsid w:val="52B3391D"/>
    <w:rsid w:val="52B4AF5B"/>
    <w:rsid w:val="52B9AEB7"/>
    <w:rsid w:val="52E8747E"/>
    <w:rsid w:val="530E2F8D"/>
    <w:rsid w:val="53203BC8"/>
    <w:rsid w:val="53509C71"/>
    <w:rsid w:val="53511987"/>
    <w:rsid w:val="535AF062"/>
    <w:rsid w:val="535B25BE"/>
    <w:rsid w:val="536A0B83"/>
    <w:rsid w:val="539757D9"/>
    <w:rsid w:val="539EF131"/>
    <w:rsid w:val="53BA900E"/>
    <w:rsid w:val="53BF1CFE"/>
    <w:rsid w:val="53C36AB0"/>
    <w:rsid w:val="53C97E44"/>
    <w:rsid w:val="53EEE0D2"/>
    <w:rsid w:val="53F40413"/>
    <w:rsid w:val="53FA402C"/>
    <w:rsid w:val="541C4F0E"/>
    <w:rsid w:val="5438FDB7"/>
    <w:rsid w:val="546613C9"/>
    <w:rsid w:val="54719F3C"/>
    <w:rsid w:val="54731CA8"/>
    <w:rsid w:val="54AB2EDE"/>
    <w:rsid w:val="54CF48CF"/>
    <w:rsid w:val="54D5B8C9"/>
    <w:rsid w:val="54EE231F"/>
    <w:rsid w:val="54FCD7B5"/>
    <w:rsid w:val="55016DDD"/>
    <w:rsid w:val="551A47E7"/>
    <w:rsid w:val="551CFD01"/>
    <w:rsid w:val="552CEE36"/>
    <w:rsid w:val="5544BF67"/>
    <w:rsid w:val="55492A28"/>
    <w:rsid w:val="554F3815"/>
    <w:rsid w:val="555993F8"/>
    <w:rsid w:val="555F4E5A"/>
    <w:rsid w:val="5567FF61"/>
    <w:rsid w:val="557DEEAF"/>
    <w:rsid w:val="55818829"/>
    <w:rsid w:val="55854827"/>
    <w:rsid w:val="55C36A55"/>
    <w:rsid w:val="55CC0483"/>
    <w:rsid w:val="55D38C67"/>
    <w:rsid w:val="55D91122"/>
    <w:rsid w:val="55E1D3D7"/>
    <w:rsid w:val="5618E7FD"/>
    <w:rsid w:val="56686370"/>
    <w:rsid w:val="566E5075"/>
    <w:rsid w:val="568B013D"/>
    <w:rsid w:val="56998531"/>
    <w:rsid w:val="569D839E"/>
    <w:rsid w:val="56A3492C"/>
    <w:rsid w:val="56AF95B1"/>
    <w:rsid w:val="56DE516B"/>
    <w:rsid w:val="5711ECD6"/>
    <w:rsid w:val="571EA7FE"/>
    <w:rsid w:val="573BA1AB"/>
    <w:rsid w:val="575386C3"/>
    <w:rsid w:val="57743E5F"/>
    <w:rsid w:val="57A39CEB"/>
    <w:rsid w:val="57B3027E"/>
    <w:rsid w:val="57D3F9A3"/>
    <w:rsid w:val="57E06081"/>
    <w:rsid w:val="5809FEAB"/>
    <w:rsid w:val="5818AB2C"/>
    <w:rsid w:val="582ECE7E"/>
    <w:rsid w:val="58362CD1"/>
    <w:rsid w:val="586CCA96"/>
    <w:rsid w:val="5873C12D"/>
    <w:rsid w:val="58AFA926"/>
    <w:rsid w:val="58CF0C0E"/>
    <w:rsid w:val="58CFFE1E"/>
    <w:rsid w:val="5905A591"/>
    <w:rsid w:val="590CCC53"/>
    <w:rsid w:val="590E72AB"/>
    <w:rsid w:val="5915A820"/>
    <w:rsid w:val="594C3032"/>
    <w:rsid w:val="594F2147"/>
    <w:rsid w:val="59628084"/>
    <w:rsid w:val="59827F6A"/>
    <w:rsid w:val="59B5777A"/>
    <w:rsid w:val="5A137CAC"/>
    <w:rsid w:val="5A48AD4F"/>
    <w:rsid w:val="5A571844"/>
    <w:rsid w:val="5A59FA99"/>
    <w:rsid w:val="5A5DE600"/>
    <w:rsid w:val="5A688FF1"/>
    <w:rsid w:val="5A7765D1"/>
    <w:rsid w:val="5A9D1490"/>
    <w:rsid w:val="5A9EC555"/>
    <w:rsid w:val="5ABB88F4"/>
    <w:rsid w:val="5ABE4B02"/>
    <w:rsid w:val="5ACFFFF8"/>
    <w:rsid w:val="5AEFBDB7"/>
    <w:rsid w:val="5AF17EC4"/>
    <w:rsid w:val="5AF2B405"/>
    <w:rsid w:val="5AF9C472"/>
    <w:rsid w:val="5B09EF65"/>
    <w:rsid w:val="5B0F58FE"/>
    <w:rsid w:val="5B1058DF"/>
    <w:rsid w:val="5B237665"/>
    <w:rsid w:val="5B2412BB"/>
    <w:rsid w:val="5B3BB6C5"/>
    <w:rsid w:val="5B418C74"/>
    <w:rsid w:val="5B4340B2"/>
    <w:rsid w:val="5B47F34E"/>
    <w:rsid w:val="5B59D2C1"/>
    <w:rsid w:val="5B88750C"/>
    <w:rsid w:val="5B89EA4D"/>
    <w:rsid w:val="5B9E40AE"/>
    <w:rsid w:val="5BADE251"/>
    <w:rsid w:val="5BB9E7BF"/>
    <w:rsid w:val="5BBAD946"/>
    <w:rsid w:val="5BCE9643"/>
    <w:rsid w:val="5BDB360A"/>
    <w:rsid w:val="5BEDE809"/>
    <w:rsid w:val="5C19B795"/>
    <w:rsid w:val="5C40F306"/>
    <w:rsid w:val="5C5FA37B"/>
    <w:rsid w:val="5C692A78"/>
    <w:rsid w:val="5C694A52"/>
    <w:rsid w:val="5C6B55EF"/>
    <w:rsid w:val="5C75DC60"/>
    <w:rsid w:val="5C892CE7"/>
    <w:rsid w:val="5C8B6F03"/>
    <w:rsid w:val="5CBEAA4F"/>
    <w:rsid w:val="5CBF834A"/>
    <w:rsid w:val="5CC406E6"/>
    <w:rsid w:val="5CCFDB00"/>
    <w:rsid w:val="5CD57CD0"/>
    <w:rsid w:val="5CD8860B"/>
    <w:rsid w:val="5CF035BF"/>
    <w:rsid w:val="5CF41ED1"/>
    <w:rsid w:val="5D021610"/>
    <w:rsid w:val="5D0F7C92"/>
    <w:rsid w:val="5D2BFC91"/>
    <w:rsid w:val="5D66C121"/>
    <w:rsid w:val="5D77EA54"/>
    <w:rsid w:val="5D7B9265"/>
    <w:rsid w:val="5D9F8A03"/>
    <w:rsid w:val="5DA7932B"/>
    <w:rsid w:val="5DB5211B"/>
    <w:rsid w:val="5DC39DF3"/>
    <w:rsid w:val="5DDD875D"/>
    <w:rsid w:val="5E0C82BD"/>
    <w:rsid w:val="5E43552A"/>
    <w:rsid w:val="5E54815F"/>
    <w:rsid w:val="5E734B54"/>
    <w:rsid w:val="5E75A3C4"/>
    <w:rsid w:val="5E84D022"/>
    <w:rsid w:val="5E898302"/>
    <w:rsid w:val="5EA9165F"/>
    <w:rsid w:val="5EB07110"/>
    <w:rsid w:val="5EB7BDCB"/>
    <w:rsid w:val="5EC9AA6B"/>
    <w:rsid w:val="5ECEE0DE"/>
    <w:rsid w:val="5EEAEF5A"/>
    <w:rsid w:val="5EEFA97F"/>
    <w:rsid w:val="5F147F1E"/>
    <w:rsid w:val="5F15E6FD"/>
    <w:rsid w:val="5F1645E4"/>
    <w:rsid w:val="5F334C7D"/>
    <w:rsid w:val="5F5D3BF2"/>
    <w:rsid w:val="5F5FDA76"/>
    <w:rsid w:val="5F620D2F"/>
    <w:rsid w:val="5F7ADEE7"/>
    <w:rsid w:val="5F98A1F9"/>
    <w:rsid w:val="5F98C10E"/>
    <w:rsid w:val="5FA033C2"/>
    <w:rsid w:val="5FC82708"/>
    <w:rsid w:val="5FCB60F7"/>
    <w:rsid w:val="5FDEE8A3"/>
    <w:rsid w:val="60031519"/>
    <w:rsid w:val="60070A20"/>
    <w:rsid w:val="60214E26"/>
    <w:rsid w:val="6027B125"/>
    <w:rsid w:val="605D8E41"/>
    <w:rsid w:val="605E68D6"/>
    <w:rsid w:val="607F9F48"/>
    <w:rsid w:val="609B6BD5"/>
    <w:rsid w:val="609E8178"/>
    <w:rsid w:val="60C30D38"/>
    <w:rsid w:val="60E95EE5"/>
    <w:rsid w:val="60F2D91C"/>
    <w:rsid w:val="60F4B8D7"/>
    <w:rsid w:val="611542EF"/>
    <w:rsid w:val="61340C9F"/>
    <w:rsid w:val="614FFAF1"/>
    <w:rsid w:val="6176251E"/>
    <w:rsid w:val="6176E27D"/>
    <w:rsid w:val="619AAE5E"/>
    <w:rsid w:val="619AB877"/>
    <w:rsid w:val="619BEBD6"/>
    <w:rsid w:val="619EFDFC"/>
    <w:rsid w:val="61B26C0B"/>
    <w:rsid w:val="61B42856"/>
    <w:rsid w:val="61D2505E"/>
    <w:rsid w:val="61F9B55F"/>
    <w:rsid w:val="6208EA78"/>
    <w:rsid w:val="62274A41"/>
    <w:rsid w:val="62295081"/>
    <w:rsid w:val="62346704"/>
    <w:rsid w:val="62447BB4"/>
    <w:rsid w:val="626F08C7"/>
    <w:rsid w:val="62768690"/>
    <w:rsid w:val="627F228B"/>
    <w:rsid w:val="628225AF"/>
    <w:rsid w:val="628F041F"/>
    <w:rsid w:val="6290BEBD"/>
    <w:rsid w:val="62B0B8D2"/>
    <w:rsid w:val="62C560A4"/>
    <w:rsid w:val="62E2ACEA"/>
    <w:rsid w:val="62EB62BA"/>
    <w:rsid w:val="62EF19D3"/>
    <w:rsid w:val="62EFE10B"/>
    <w:rsid w:val="62F7405D"/>
    <w:rsid w:val="6309CD7D"/>
    <w:rsid w:val="63288965"/>
    <w:rsid w:val="634AA1D6"/>
    <w:rsid w:val="634C6ED6"/>
    <w:rsid w:val="634F90F6"/>
    <w:rsid w:val="6350B961"/>
    <w:rsid w:val="63727EB8"/>
    <w:rsid w:val="63770E78"/>
    <w:rsid w:val="6390752D"/>
    <w:rsid w:val="639DC23E"/>
    <w:rsid w:val="63A6F860"/>
    <w:rsid w:val="63AF2495"/>
    <w:rsid w:val="63C24603"/>
    <w:rsid w:val="63C45E9A"/>
    <w:rsid w:val="63C46A51"/>
    <w:rsid w:val="63D0968A"/>
    <w:rsid w:val="63DBC0B7"/>
    <w:rsid w:val="63E05DB9"/>
    <w:rsid w:val="63E9D8A3"/>
    <w:rsid w:val="63F84218"/>
    <w:rsid w:val="64042BAD"/>
    <w:rsid w:val="645BE577"/>
    <w:rsid w:val="6463FDA5"/>
    <w:rsid w:val="6464AA4D"/>
    <w:rsid w:val="6476FCBD"/>
    <w:rsid w:val="6477DE1E"/>
    <w:rsid w:val="64948221"/>
    <w:rsid w:val="6497059F"/>
    <w:rsid w:val="64A7127C"/>
    <w:rsid w:val="64C12030"/>
    <w:rsid w:val="64EA0CCD"/>
    <w:rsid w:val="650F3167"/>
    <w:rsid w:val="652DEAF7"/>
    <w:rsid w:val="653C2978"/>
    <w:rsid w:val="655FC84C"/>
    <w:rsid w:val="656767D8"/>
    <w:rsid w:val="656B4741"/>
    <w:rsid w:val="656BD204"/>
    <w:rsid w:val="656F8734"/>
    <w:rsid w:val="65733F59"/>
    <w:rsid w:val="6574B001"/>
    <w:rsid w:val="6599A29D"/>
    <w:rsid w:val="65A10594"/>
    <w:rsid w:val="65EE2E9F"/>
    <w:rsid w:val="65F6AB96"/>
    <w:rsid w:val="6600D3A8"/>
    <w:rsid w:val="661E8D37"/>
    <w:rsid w:val="6625DB1C"/>
    <w:rsid w:val="663E8131"/>
    <w:rsid w:val="663F4288"/>
    <w:rsid w:val="664442AD"/>
    <w:rsid w:val="6651898C"/>
    <w:rsid w:val="666C88BF"/>
    <w:rsid w:val="6676D43B"/>
    <w:rsid w:val="6676D549"/>
    <w:rsid w:val="66854AAA"/>
    <w:rsid w:val="668636AC"/>
    <w:rsid w:val="66A93473"/>
    <w:rsid w:val="66AFDE2A"/>
    <w:rsid w:val="66EF8F43"/>
    <w:rsid w:val="66F9DB52"/>
    <w:rsid w:val="670AD5EB"/>
    <w:rsid w:val="67111911"/>
    <w:rsid w:val="6720485E"/>
    <w:rsid w:val="6722D0AB"/>
    <w:rsid w:val="672FA1DF"/>
    <w:rsid w:val="674C7C15"/>
    <w:rsid w:val="676038BD"/>
    <w:rsid w:val="67770C4C"/>
    <w:rsid w:val="67A27F99"/>
    <w:rsid w:val="67AA1639"/>
    <w:rsid w:val="67AADD11"/>
    <w:rsid w:val="67C227D6"/>
    <w:rsid w:val="67D4AFF2"/>
    <w:rsid w:val="67E4B722"/>
    <w:rsid w:val="67FFFA01"/>
    <w:rsid w:val="681C9A86"/>
    <w:rsid w:val="6822D235"/>
    <w:rsid w:val="682A8E10"/>
    <w:rsid w:val="683E5C39"/>
    <w:rsid w:val="68486062"/>
    <w:rsid w:val="684EABD7"/>
    <w:rsid w:val="686C94BA"/>
    <w:rsid w:val="688D0AA8"/>
    <w:rsid w:val="68BE400E"/>
    <w:rsid w:val="68D79CD0"/>
    <w:rsid w:val="68E1DE62"/>
    <w:rsid w:val="68F3E449"/>
    <w:rsid w:val="68FA7A8F"/>
    <w:rsid w:val="69033163"/>
    <w:rsid w:val="6917ED77"/>
    <w:rsid w:val="69232CEC"/>
    <w:rsid w:val="6924EFCD"/>
    <w:rsid w:val="692B7EC6"/>
    <w:rsid w:val="6930938C"/>
    <w:rsid w:val="69482852"/>
    <w:rsid w:val="695D2357"/>
    <w:rsid w:val="6997CAE9"/>
    <w:rsid w:val="69C0593B"/>
    <w:rsid w:val="69CBE2FA"/>
    <w:rsid w:val="69CED763"/>
    <w:rsid w:val="69D33C2E"/>
    <w:rsid w:val="69EAB55C"/>
    <w:rsid w:val="69F0A5FA"/>
    <w:rsid w:val="69F6456A"/>
    <w:rsid w:val="69F6F6CC"/>
    <w:rsid w:val="6A13FDFC"/>
    <w:rsid w:val="6A15B8E3"/>
    <w:rsid w:val="6A29F8A6"/>
    <w:rsid w:val="6A329F8E"/>
    <w:rsid w:val="6A339918"/>
    <w:rsid w:val="6A38484A"/>
    <w:rsid w:val="6A422EC1"/>
    <w:rsid w:val="6A484D49"/>
    <w:rsid w:val="6A6363B9"/>
    <w:rsid w:val="6A75463E"/>
    <w:rsid w:val="6A90EE1B"/>
    <w:rsid w:val="6AA92187"/>
    <w:rsid w:val="6ABE7FA4"/>
    <w:rsid w:val="6AC186D6"/>
    <w:rsid w:val="6AE8F724"/>
    <w:rsid w:val="6AE9C696"/>
    <w:rsid w:val="6B0E9CE3"/>
    <w:rsid w:val="6B25772D"/>
    <w:rsid w:val="6B2988FF"/>
    <w:rsid w:val="6B2A8DD1"/>
    <w:rsid w:val="6B40FB2F"/>
    <w:rsid w:val="6B47394D"/>
    <w:rsid w:val="6B5621EA"/>
    <w:rsid w:val="6B647D70"/>
    <w:rsid w:val="6B65A432"/>
    <w:rsid w:val="6B8C38F2"/>
    <w:rsid w:val="6B91D098"/>
    <w:rsid w:val="6B9CA903"/>
    <w:rsid w:val="6BA8D85A"/>
    <w:rsid w:val="6BA8F67F"/>
    <w:rsid w:val="6BC913AC"/>
    <w:rsid w:val="6BD202DA"/>
    <w:rsid w:val="6BD89E93"/>
    <w:rsid w:val="6BE7A7AB"/>
    <w:rsid w:val="6C00C328"/>
    <w:rsid w:val="6C120288"/>
    <w:rsid w:val="6C4C2B0B"/>
    <w:rsid w:val="6C7174C2"/>
    <w:rsid w:val="6C7A8249"/>
    <w:rsid w:val="6C82AD2F"/>
    <w:rsid w:val="6C8DCEBB"/>
    <w:rsid w:val="6C950007"/>
    <w:rsid w:val="6C9BBD95"/>
    <w:rsid w:val="6C9FA242"/>
    <w:rsid w:val="6CA8C71D"/>
    <w:rsid w:val="6CC3481A"/>
    <w:rsid w:val="6CC48D32"/>
    <w:rsid w:val="6CC4C003"/>
    <w:rsid w:val="6CC78FEA"/>
    <w:rsid w:val="6CCA510D"/>
    <w:rsid w:val="6CD9B59B"/>
    <w:rsid w:val="6CF716F0"/>
    <w:rsid w:val="6CF906C9"/>
    <w:rsid w:val="6CFCB9AA"/>
    <w:rsid w:val="6D06601E"/>
    <w:rsid w:val="6D0FE04E"/>
    <w:rsid w:val="6D153BE3"/>
    <w:rsid w:val="6D30FC95"/>
    <w:rsid w:val="6D31877D"/>
    <w:rsid w:val="6D4AD9C3"/>
    <w:rsid w:val="6D6AED84"/>
    <w:rsid w:val="6D75D277"/>
    <w:rsid w:val="6D91E596"/>
    <w:rsid w:val="6D993741"/>
    <w:rsid w:val="6DB23688"/>
    <w:rsid w:val="6DB54349"/>
    <w:rsid w:val="6DCA1787"/>
    <w:rsid w:val="6DE4835E"/>
    <w:rsid w:val="6DF29C81"/>
    <w:rsid w:val="6E3DE7E5"/>
    <w:rsid w:val="6E3EADCB"/>
    <w:rsid w:val="6E405162"/>
    <w:rsid w:val="6E5C9EED"/>
    <w:rsid w:val="6E89018D"/>
    <w:rsid w:val="6EC0D4EC"/>
    <w:rsid w:val="6ED52019"/>
    <w:rsid w:val="6EE98951"/>
    <w:rsid w:val="6EEFD83A"/>
    <w:rsid w:val="6F0C8527"/>
    <w:rsid w:val="6F17B832"/>
    <w:rsid w:val="6F303345"/>
    <w:rsid w:val="6F4CD2A1"/>
    <w:rsid w:val="6F4E42A7"/>
    <w:rsid w:val="6F5CD75A"/>
    <w:rsid w:val="6F69993A"/>
    <w:rsid w:val="6F8F6482"/>
    <w:rsid w:val="6FA5B42D"/>
    <w:rsid w:val="6FA7A122"/>
    <w:rsid w:val="7015C08D"/>
    <w:rsid w:val="701B4419"/>
    <w:rsid w:val="702C5B36"/>
    <w:rsid w:val="704DCDE1"/>
    <w:rsid w:val="7051AE68"/>
    <w:rsid w:val="705411FE"/>
    <w:rsid w:val="70541A8F"/>
    <w:rsid w:val="705AEF50"/>
    <w:rsid w:val="70827A85"/>
    <w:rsid w:val="7088566B"/>
    <w:rsid w:val="708A5F03"/>
    <w:rsid w:val="709BA2E2"/>
    <w:rsid w:val="70AA3F61"/>
    <w:rsid w:val="70D9BDE2"/>
    <w:rsid w:val="7118CE44"/>
    <w:rsid w:val="71208267"/>
    <w:rsid w:val="714A1DC9"/>
    <w:rsid w:val="714C8DC6"/>
    <w:rsid w:val="715F03E3"/>
    <w:rsid w:val="716F7E2F"/>
    <w:rsid w:val="7179814C"/>
    <w:rsid w:val="717EE992"/>
    <w:rsid w:val="717FA041"/>
    <w:rsid w:val="71821A23"/>
    <w:rsid w:val="7187DD55"/>
    <w:rsid w:val="71945B6C"/>
    <w:rsid w:val="71DA0450"/>
    <w:rsid w:val="720801B6"/>
    <w:rsid w:val="7214DF41"/>
    <w:rsid w:val="7224D827"/>
    <w:rsid w:val="7237B19F"/>
    <w:rsid w:val="72488640"/>
    <w:rsid w:val="724AE62E"/>
    <w:rsid w:val="724FAB0C"/>
    <w:rsid w:val="725687E0"/>
    <w:rsid w:val="725F921A"/>
    <w:rsid w:val="72602EA6"/>
    <w:rsid w:val="726556B9"/>
    <w:rsid w:val="7287B9A6"/>
    <w:rsid w:val="72D15301"/>
    <w:rsid w:val="72EDA8D7"/>
    <w:rsid w:val="734BFA81"/>
    <w:rsid w:val="736E4869"/>
    <w:rsid w:val="739271B9"/>
    <w:rsid w:val="73B33F58"/>
    <w:rsid w:val="73D6A42F"/>
    <w:rsid w:val="73E6FB70"/>
    <w:rsid w:val="73E877D5"/>
    <w:rsid w:val="740AF1D3"/>
    <w:rsid w:val="741BFB79"/>
    <w:rsid w:val="74558EAB"/>
    <w:rsid w:val="745642C5"/>
    <w:rsid w:val="74691980"/>
    <w:rsid w:val="74866EB0"/>
    <w:rsid w:val="74B1A9CB"/>
    <w:rsid w:val="74C1CA39"/>
    <w:rsid w:val="74D32054"/>
    <w:rsid w:val="74DC7BF1"/>
    <w:rsid w:val="74FE6A2E"/>
    <w:rsid w:val="7506F19C"/>
    <w:rsid w:val="750B93CC"/>
    <w:rsid w:val="750F4399"/>
    <w:rsid w:val="7517C005"/>
    <w:rsid w:val="7519EA9F"/>
    <w:rsid w:val="752003CE"/>
    <w:rsid w:val="75233F12"/>
    <w:rsid w:val="75389CC3"/>
    <w:rsid w:val="7541BD67"/>
    <w:rsid w:val="754A4E03"/>
    <w:rsid w:val="75531BCD"/>
    <w:rsid w:val="7564D84F"/>
    <w:rsid w:val="757AE03C"/>
    <w:rsid w:val="7583643F"/>
    <w:rsid w:val="75A9F30B"/>
    <w:rsid w:val="75B8CE4B"/>
    <w:rsid w:val="75BBE83A"/>
    <w:rsid w:val="75CDC29A"/>
    <w:rsid w:val="75D07D71"/>
    <w:rsid w:val="75E28BF4"/>
    <w:rsid w:val="76099D1A"/>
    <w:rsid w:val="76242CCA"/>
    <w:rsid w:val="7665A31C"/>
    <w:rsid w:val="767B9CB6"/>
    <w:rsid w:val="76977ADF"/>
    <w:rsid w:val="76A0ED93"/>
    <w:rsid w:val="76A76C6B"/>
    <w:rsid w:val="76AA074B"/>
    <w:rsid w:val="76BEA3EF"/>
    <w:rsid w:val="76C32FBE"/>
    <w:rsid w:val="76D2D830"/>
    <w:rsid w:val="76DE0550"/>
    <w:rsid w:val="76FBF049"/>
    <w:rsid w:val="771E04BA"/>
    <w:rsid w:val="7720B40C"/>
    <w:rsid w:val="7736B245"/>
    <w:rsid w:val="773B3BE9"/>
    <w:rsid w:val="773BA508"/>
    <w:rsid w:val="773ED1A1"/>
    <w:rsid w:val="774BB65A"/>
    <w:rsid w:val="774BFE5B"/>
    <w:rsid w:val="7763C4F7"/>
    <w:rsid w:val="77800309"/>
    <w:rsid w:val="77AACB4A"/>
    <w:rsid w:val="77B15B63"/>
    <w:rsid w:val="77B9C4E7"/>
    <w:rsid w:val="77BF20C5"/>
    <w:rsid w:val="77F4CBBE"/>
    <w:rsid w:val="7801737D"/>
    <w:rsid w:val="7801FB83"/>
    <w:rsid w:val="7818EAEA"/>
    <w:rsid w:val="7833CFC2"/>
    <w:rsid w:val="785AC0A3"/>
    <w:rsid w:val="785BF0DE"/>
    <w:rsid w:val="785FF141"/>
    <w:rsid w:val="78A8EE4B"/>
    <w:rsid w:val="78C25EA7"/>
    <w:rsid w:val="78CA269E"/>
    <w:rsid w:val="78D2005E"/>
    <w:rsid w:val="78D24F9B"/>
    <w:rsid w:val="78E0DE50"/>
    <w:rsid w:val="78EAFE13"/>
    <w:rsid w:val="792FF502"/>
    <w:rsid w:val="79538B73"/>
    <w:rsid w:val="796B0F58"/>
    <w:rsid w:val="799C116D"/>
    <w:rsid w:val="799F6E3A"/>
    <w:rsid w:val="79A7D597"/>
    <w:rsid w:val="79A954B1"/>
    <w:rsid w:val="79AF62F5"/>
    <w:rsid w:val="79B3D012"/>
    <w:rsid w:val="79CA8A13"/>
    <w:rsid w:val="79E5A867"/>
    <w:rsid w:val="79F86FDD"/>
    <w:rsid w:val="7A098B50"/>
    <w:rsid w:val="7A1934E5"/>
    <w:rsid w:val="7A295CCB"/>
    <w:rsid w:val="7A322B1D"/>
    <w:rsid w:val="7A7EA904"/>
    <w:rsid w:val="7A85997B"/>
    <w:rsid w:val="7A98A42D"/>
    <w:rsid w:val="7AA27D32"/>
    <w:rsid w:val="7AB6BF20"/>
    <w:rsid w:val="7AC4E640"/>
    <w:rsid w:val="7AC73CFE"/>
    <w:rsid w:val="7AF9A949"/>
    <w:rsid w:val="7B24D4EB"/>
    <w:rsid w:val="7B27893E"/>
    <w:rsid w:val="7B2C2ED3"/>
    <w:rsid w:val="7B3C1688"/>
    <w:rsid w:val="7B422C25"/>
    <w:rsid w:val="7B4B8B25"/>
    <w:rsid w:val="7B51741B"/>
    <w:rsid w:val="7B57C9DF"/>
    <w:rsid w:val="7B59AC32"/>
    <w:rsid w:val="7B9699CD"/>
    <w:rsid w:val="7BC677F4"/>
    <w:rsid w:val="7BCC3406"/>
    <w:rsid w:val="7BD3157A"/>
    <w:rsid w:val="7BED9610"/>
    <w:rsid w:val="7C165CD1"/>
    <w:rsid w:val="7C259061"/>
    <w:rsid w:val="7C54B0B5"/>
    <w:rsid w:val="7C5529E5"/>
    <w:rsid w:val="7C585A58"/>
    <w:rsid w:val="7C72DC3A"/>
    <w:rsid w:val="7C752820"/>
    <w:rsid w:val="7C7A68BC"/>
    <w:rsid w:val="7C9163EF"/>
    <w:rsid w:val="7CA95D5C"/>
    <w:rsid w:val="7CD67784"/>
    <w:rsid w:val="7CE4D429"/>
    <w:rsid w:val="7CEE217A"/>
    <w:rsid w:val="7D1B09CC"/>
    <w:rsid w:val="7D1DE3A7"/>
    <w:rsid w:val="7D23321A"/>
    <w:rsid w:val="7D2C8E95"/>
    <w:rsid w:val="7D4689E2"/>
    <w:rsid w:val="7D46E2C5"/>
    <w:rsid w:val="7D56A327"/>
    <w:rsid w:val="7D60FD8D"/>
    <w:rsid w:val="7D6FAA1D"/>
    <w:rsid w:val="7D83607A"/>
    <w:rsid w:val="7DAEA06C"/>
    <w:rsid w:val="7DB71C92"/>
    <w:rsid w:val="7DBD6AEE"/>
    <w:rsid w:val="7E0B7B56"/>
    <w:rsid w:val="7E0FB74D"/>
    <w:rsid w:val="7E13677D"/>
    <w:rsid w:val="7E1766E9"/>
    <w:rsid w:val="7E17EBBC"/>
    <w:rsid w:val="7E5F8F5F"/>
    <w:rsid w:val="7E970965"/>
    <w:rsid w:val="7EBF745B"/>
    <w:rsid w:val="7EC4F47A"/>
    <w:rsid w:val="7ED9A6ED"/>
    <w:rsid w:val="7EDCB472"/>
    <w:rsid w:val="7EDE10CB"/>
    <w:rsid w:val="7EF7DC61"/>
    <w:rsid w:val="7F4D2A6E"/>
    <w:rsid w:val="7F6ED6DC"/>
    <w:rsid w:val="7F76BD88"/>
    <w:rsid w:val="7F81AD73"/>
    <w:rsid w:val="7F8EDB28"/>
    <w:rsid w:val="7F9EFC87"/>
    <w:rsid w:val="7FA439E4"/>
    <w:rsid w:val="7FCF2240"/>
    <w:rsid w:val="7FD5887F"/>
    <w:rsid w:val="7FE65F43"/>
    <w:rsid w:val="7FF3D3C6"/>
    <w:rsid w:val="7FF88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7F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tabs>
        <w:tab w:val="clear" w:pos="851"/>
        <w:tab w:val="num" w:pos="1702"/>
      </w:tabs>
      <w:ind w:left="1702"/>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qFormat/>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1"/>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1"/>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FollowedHyperlink">
    <w:name w:val="FollowedHyperlink"/>
    <w:basedOn w:val="DefaultParagraphFont"/>
    <w:uiPriority w:val="99"/>
    <w:semiHidden/>
    <w:unhideWhenUsed/>
    <w:rsid w:val="00555751"/>
    <w:rPr>
      <w:color w:val="954F72" w:themeColor="followedHyperlink"/>
      <w:u w:val="single"/>
    </w:rPr>
  </w:style>
  <w:style w:type="paragraph" w:customStyle="1" w:styleId="Default">
    <w:name w:val="Default"/>
    <w:rsid w:val="00EA158A"/>
    <w:pPr>
      <w:autoSpaceDE w:val="0"/>
      <w:autoSpaceDN w:val="0"/>
      <w:adjustRightInd w:val="0"/>
      <w:spacing w:after="0" w:line="240" w:lineRule="auto"/>
      <w:jc w:val="left"/>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13646"/>
    <w:rPr>
      <w:sz w:val="16"/>
      <w:szCs w:val="16"/>
    </w:rPr>
  </w:style>
  <w:style w:type="paragraph" w:styleId="CommentText">
    <w:name w:val="annotation text"/>
    <w:basedOn w:val="Normal"/>
    <w:link w:val="CommentTextChar"/>
    <w:uiPriority w:val="99"/>
    <w:unhideWhenUsed/>
    <w:rsid w:val="00613646"/>
    <w:pPr>
      <w:spacing w:line="240" w:lineRule="auto"/>
    </w:pPr>
    <w:rPr>
      <w:sz w:val="20"/>
      <w:szCs w:val="20"/>
    </w:rPr>
  </w:style>
  <w:style w:type="character" w:customStyle="1" w:styleId="CommentTextChar">
    <w:name w:val="Comment Text Char"/>
    <w:basedOn w:val="DefaultParagraphFont"/>
    <w:link w:val="CommentText"/>
    <w:uiPriority w:val="99"/>
    <w:rsid w:val="00613646"/>
    <w:rPr>
      <w:sz w:val="20"/>
      <w:szCs w:val="20"/>
    </w:rPr>
  </w:style>
  <w:style w:type="paragraph" w:styleId="CommentSubject">
    <w:name w:val="annotation subject"/>
    <w:basedOn w:val="CommentText"/>
    <w:next w:val="CommentText"/>
    <w:link w:val="CommentSubjectChar"/>
    <w:uiPriority w:val="99"/>
    <w:semiHidden/>
    <w:unhideWhenUsed/>
    <w:rsid w:val="00613646"/>
    <w:rPr>
      <w:b/>
      <w:bCs/>
    </w:rPr>
  </w:style>
  <w:style w:type="character" w:customStyle="1" w:styleId="CommentSubjectChar">
    <w:name w:val="Comment Subject Char"/>
    <w:basedOn w:val="CommentTextChar"/>
    <w:link w:val="CommentSubject"/>
    <w:uiPriority w:val="99"/>
    <w:semiHidden/>
    <w:rsid w:val="00613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8683">
      <w:bodyDiv w:val="1"/>
      <w:marLeft w:val="0"/>
      <w:marRight w:val="0"/>
      <w:marTop w:val="0"/>
      <w:marBottom w:val="0"/>
      <w:divBdr>
        <w:top w:val="none" w:sz="0" w:space="0" w:color="auto"/>
        <w:left w:val="none" w:sz="0" w:space="0" w:color="auto"/>
        <w:bottom w:val="none" w:sz="0" w:space="0" w:color="auto"/>
        <w:right w:val="none" w:sz="0" w:space="0" w:color="auto"/>
      </w:divBdr>
    </w:div>
    <w:div w:id="394402116">
      <w:bodyDiv w:val="1"/>
      <w:marLeft w:val="0"/>
      <w:marRight w:val="0"/>
      <w:marTop w:val="0"/>
      <w:marBottom w:val="0"/>
      <w:divBdr>
        <w:top w:val="none" w:sz="0" w:space="0" w:color="auto"/>
        <w:left w:val="none" w:sz="0" w:space="0" w:color="auto"/>
        <w:bottom w:val="none" w:sz="0" w:space="0" w:color="auto"/>
        <w:right w:val="none" w:sz="0" w:space="0" w:color="auto"/>
      </w:divBdr>
    </w:div>
    <w:div w:id="1351445400">
      <w:bodyDiv w:val="1"/>
      <w:marLeft w:val="0"/>
      <w:marRight w:val="0"/>
      <w:marTop w:val="0"/>
      <w:marBottom w:val="0"/>
      <w:divBdr>
        <w:top w:val="none" w:sz="0" w:space="0" w:color="auto"/>
        <w:left w:val="none" w:sz="0" w:space="0" w:color="auto"/>
        <w:bottom w:val="none" w:sz="0" w:space="0" w:color="auto"/>
        <w:right w:val="none" w:sz="0" w:space="0" w:color="auto"/>
      </w:divBdr>
    </w:div>
    <w:div w:id="1736119755">
      <w:bodyDiv w:val="1"/>
      <w:marLeft w:val="0"/>
      <w:marRight w:val="0"/>
      <w:marTop w:val="0"/>
      <w:marBottom w:val="0"/>
      <w:divBdr>
        <w:top w:val="none" w:sz="0" w:space="0" w:color="auto"/>
        <w:left w:val="none" w:sz="0" w:space="0" w:color="auto"/>
        <w:bottom w:val="none" w:sz="0" w:space="0" w:color="auto"/>
        <w:right w:val="none" w:sz="0" w:space="0" w:color="auto"/>
      </w:divBdr>
    </w:div>
    <w:div w:id="1773672288">
      <w:bodyDiv w:val="1"/>
      <w:marLeft w:val="0"/>
      <w:marRight w:val="0"/>
      <w:marTop w:val="0"/>
      <w:marBottom w:val="0"/>
      <w:divBdr>
        <w:top w:val="none" w:sz="0" w:space="0" w:color="auto"/>
        <w:left w:val="none" w:sz="0" w:space="0" w:color="auto"/>
        <w:bottom w:val="none" w:sz="0" w:space="0" w:color="auto"/>
        <w:right w:val="none" w:sz="0" w:space="0" w:color="auto"/>
      </w:divBdr>
    </w:div>
    <w:div w:id="21142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440/R*&amp;Language=English&amp;Context=ScriptedSearches&amp;languageUIChanged=true" TargetMode="External"/><Relationship Id="rId13" Type="http://schemas.openxmlformats.org/officeDocument/2006/relationships/hyperlink" Target="https://docs.wto.org/dol2fe/Pages/FE_Search/FE_S_S006.aspx?DataSource=Cat&amp;query=@Symbol=WT/DS414/R*&amp;Language=English&amp;Context=ScriptedSearches&amp;languageUIChanged=true" TargetMode="External"/><Relationship Id="rId18" Type="http://schemas.openxmlformats.org/officeDocument/2006/relationships/hyperlink" Target="https://docs.wto.org/dol2fe/Pages/FE_Search/FE_S_S006.aspx?DataSource=Cat&amp;query=@Symbol=WT/DS219/R&amp;Language=English&amp;Context=ScriptedSearches&amp;languageUIChanged=true" TargetMode="External"/><Relationship Id="rId26" Type="http://schemas.openxmlformats.org/officeDocument/2006/relationships/hyperlink" Target="https://docs.wto.org/dol2fe/Pages/FE_Search/FE_S_S006.aspx?DataSource=Cat&amp;query=@Symbol=WT/DS479/AB/R*%20&amp;Language=English&amp;Context=ScriptedSearches&amp;languageUIChanged=true" TargetMode="External"/><Relationship Id="rId3" Type="http://schemas.openxmlformats.org/officeDocument/2006/relationships/styles" Target="styles.xml"/><Relationship Id="rId21" Type="http://schemas.openxmlformats.org/officeDocument/2006/relationships/hyperlink" Target="https://docs.wto.org/dol2fe/Pages/FE_Search/FE_S_S006.aspx?DataSource=Cat&amp;query=@Symbol=WT/DS312/R&amp;Language=English&amp;Context=ScriptedSearches&amp;languageUIChanged=tru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WT/DS414/AB/R&amp;Language=English&amp;Context=ScriptedSearches&amp;languageUIChanged=true" TargetMode="External"/><Relationship Id="rId17" Type="http://schemas.openxmlformats.org/officeDocument/2006/relationships/hyperlink" Target="https://docs.wto.org/dol2fe/Pages/FE_Search/FE_S_S006.aspx?DataSource=Cat&amp;query=@Symbol=WT/DS219/AB/R&amp;Language=English&amp;Context=ScriptedSearches&amp;languageUIChanged=true" TargetMode="External"/><Relationship Id="rId25" Type="http://schemas.openxmlformats.org/officeDocument/2006/relationships/hyperlink" Target="https://docs.wto.org/dol2fe/Pages/FE_Search/FE_S_S006.aspx?DataSource=Cat&amp;query=@Symbol=WT/DS538/R*&amp;Language=English&amp;Context=ScriptedSearches&amp;languageUIChanged=tru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337/R*&amp;Language=English&amp;Context=ScriptedSearches&amp;languageUIChanged=true" TargetMode="External"/><Relationship Id="rId20" Type="http://schemas.openxmlformats.org/officeDocument/2006/relationships/hyperlink" Target="https://docs.wto.org/dol2fe/Pages/FE_Search/FE_S_S006.aspx?DataSource=Cat&amp;query=@Symbol=WT/DS486/AB/R*&amp;Language=English&amp;Context=ScriptedSearches&amp;languageUIChanged=true" TargetMode="External"/><Relationship Id="rId29" Type="http://schemas.openxmlformats.org/officeDocument/2006/relationships/hyperlink" Target="https://docs.wto.org/dol2fe/Pages/FE_Search/FE_S_S006.aspx?DataSource=Cat&amp;query=@Symbol=WT/DS493/R*&amp;Language=English&amp;Context=ScriptedSearches&amp;languageUIChange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460/AB/R*&amp;Language=English&amp;Context=ScriptedSearches&amp;languageUIChanged=true" TargetMode="External"/><Relationship Id="rId24" Type="http://schemas.openxmlformats.org/officeDocument/2006/relationships/hyperlink" Target="https://docs.wto.org/dol2fe/Pages/FE_Search/FE_S_S006.aspx?DataSource=Cat&amp;query=@Symbol=WT/DS331/R&amp;Language=English&amp;Context=ScriptedSearches&amp;languageUIChanged=true" TargetMode="External"/><Relationship Id="rId32" Type="http://schemas.openxmlformats.org/officeDocument/2006/relationships/hyperlink" Target="https://docs.wto.org/dol2fe/Pages/FE_Search/FE_S_S006.aspx?DataSource=Cat&amp;query=@Symbol=WT/DS166/R&amp;Language=English&amp;Context=ScriptedSearches&amp;languageUIChanged=tru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WT/DS397/AB/R&amp;Language=English&amp;Context=ScriptedSearches&amp;languageUIChanged=true" TargetMode="External"/><Relationship Id="rId23" Type="http://schemas.openxmlformats.org/officeDocument/2006/relationships/hyperlink" Target="https://docs.wto.org/dol2fe/Pages/FE_Search/FE_S_S006.aspx?DataSource=Cat&amp;query=@Symbol=WT/DS132/R*&amp;Language=English&amp;Context=ScriptedSearches&amp;languageUIChanged=true" TargetMode="External"/><Relationship Id="rId28" Type="http://schemas.openxmlformats.org/officeDocument/2006/relationships/hyperlink" Target="https://docs.wto.org/dol2fe/Pages/FE_Search/FE_S_S006.aspx?DataSource=Cat&amp;query=@Symbol=WT/DS122/R&amp;Language=English&amp;Context=ScriptedSearches&amp;languageUIChanged=true" TargetMode="External"/><Relationship Id="rId36" Type="http://schemas.openxmlformats.org/officeDocument/2006/relationships/footer" Target="footer2.xml"/><Relationship Id="rId10" Type="http://schemas.openxmlformats.org/officeDocument/2006/relationships/hyperlink" Target="https://docs.wto.org/dol2fe/Pages/FE_Search/FE_S_S006.aspx?DataSource=Cat&amp;query=@Symbol=WT/DS454/AB/R*&amp;Language=English&amp;Context=ScriptedSearches&amp;languageUIChanged=true" TargetMode="External"/><Relationship Id="rId19" Type="http://schemas.openxmlformats.org/officeDocument/2006/relationships/hyperlink" Target="https://docs.wto.org/dol2fe/Pages/FE_Search/FE_S_S006.aspx?DataSource=Cat&amp;query=@Symbol=WT/DS405/R&amp;Language=English&amp;Context=ScriptedSearches&amp;languageUIChanged=true" TargetMode="External"/><Relationship Id="rId31" Type="http://schemas.openxmlformats.org/officeDocument/2006/relationships/hyperlink" Target="https://docs.wto.org/dol2fe/Pages/FE_Search/FE_S_S006.aspx?DataSource=Cat&amp;query=@Symbol=WT/DS268/RW&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427/R*&amp;Language=English&amp;Context=ScriptedSearches&amp;languageUIChanged=true" TargetMode="External"/><Relationship Id="rId14" Type="http://schemas.openxmlformats.org/officeDocument/2006/relationships/hyperlink" Target="https://docs.wto.org/dol2fe/Pages/FE_Search/FE_S_S006.aspx?DataSource=Cat&amp;query=@Symbol=WT/DS425/R*&amp;Language=English&amp;Context=ScriptedSearches&amp;languageUIChanged=true" TargetMode="External"/><Relationship Id="rId22" Type="http://schemas.openxmlformats.org/officeDocument/2006/relationships/hyperlink" Target="https://docs.wto.org/dol2fe/Pages/FE_Search/FE_S_S006.aspx?DataSource=Cat&amp;query=@Symbol=WT/DS504/R*&amp;Language=English&amp;Context=ScriptedSearches&amp;languageUIChanged=true" TargetMode="External"/><Relationship Id="rId27" Type="http://schemas.openxmlformats.org/officeDocument/2006/relationships/hyperlink" Target="https://docs.wto.org/dol2fe/Pages/FE_Search/FE_S_S006.aspx?DataSource=Cat&amp;query=@Symbol=WT/DS122/AB/R&amp;Language=English&amp;Context=ScriptedSearches&amp;languageUIChanged=true" TargetMode="External"/><Relationship Id="rId30" Type="http://schemas.openxmlformats.org/officeDocument/2006/relationships/hyperlink" Target="https://docs.wto.org/dol2fe/Pages/FE_Search/FE_S_S006.aspx?DataSource=Cat&amp;query=@Symbol=WT/DS184/AB/R&amp;Language=English&amp;Context=ScriptedSearches&amp;languageUIChanged=true"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0AFB-2D47-43E8-B9F8-F47F0B03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7148</Words>
  <Characters>41035</Characters>
  <Application>Microsoft Office Word</Application>
  <DocSecurity>0</DocSecurity>
  <Lines>719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2022-05-23T03:30:00Z</dcterms:created>
  <dcterms:modified xsi:type="dcterms:W3CDTF">2022-05-23T03:34:00Z</dcterms:modified>
  <cp:category/>
</cp:coreProperties>
</file>