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7782" w14:textId="77777777" w:rsidR="00354A06" w:rsidRPr="0007327B" w:rsidRDefault="00354A06" w:rsidP="005714C3">
      <w:pPr>
        <w:pStyle w:val="BTNSSBodyTextNoSpacingSmall"/>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07327B" w14:paraId="733E8D7A" w14:textId="77777777" w:rsidTr="008A4C51">
        <w:trPr>
          <w:trHeight w:val="4365"/>
        </w:trPr>
        <w:tc>
          <w:tcPr>
            <w:tcW w:w="9060" w:type="dxa"/>
          </w:tcPr>
          <w:p w14:paraId="2CBC62A9" w14:textId="77777777" w:rsidR="005714C3" w:rsidRPr="0007327B" w:rsidRDefault="005714C3" w:rsidP="005714C3">
            <w:pPr>
              <w:pStyle w:val="BTBodyText"/>
              <w:spacing w:after="240"/>
              <w:jc w:val="center"/>
              <w:rPr>
                <w:b/>
                <w:bCs/>
                <w:sz w:val="32"/>
                <w:szCs w:val="32"/>
              </w:rPr>
            </w:pPr>
            <w:r w:rsidRPr="0007327B">
              <w:rPr>
                <w:b/>
                <w:bCs/>
                <w:sz w:val="32"/>
                <w:szCs w:val="32"/>
              </w:rPr>
              <w:t>Before the World Trade Organization</w:t>
            </w:r>
          </w:p>
          <w:p w14:paraId="5221BC38" w14:textId="77777777" w:rsidR="005714C3" w:rsidRPr="0007327B" w:rsidRDefault="005714C3" w:rsidP="005714C3">
            <w:pPr>
              <w:pStyle w:val="BTBodyText"/>
              <w:spacing w:after="240"/>
              <w:jc w:val="center"/>
              <w:rPr>
                <w:b/>
                <w:bCs/>
                <w:sz w:val="32"/>
                <w:szCs w:val="32"/>
              </w:rPr>
            </w:pPr>
            <w:r w:rsidRPr="0007327B">
              <w:rPr>
                <w:b/>
                <w:bCs/>
                <w:sz w:val="32"/>
                <w:szCs w:val="32"/>
              </w:rPr>
              <w:t>Panel Proceedings</w:t>
            </w:r>
          </w:p>
        </w:tc>
      </w:tr>
      <w:tr w:rsidR="005714C3" w:rsidRPr="0007327B" w14:paraId="761EF21D" w14:textId="77777777" w:rsidTr="00BE0B1C">
        <w:trPr>
          <w:trHeight w:val="737"/>
        </w:trPr>
        <w:tc>
          <w:tcPr>
            <w:tcW w:w="9060" w:type="dxa"/>
          </w:tcPr>
          <w:p w14:paraId="41C6790E" w14:textId="6A3A77CF" w:rsidR="005714C3" w:rsidRPr="0007327B" w:rsidRDefault="00C40A36" w:rsidP="00DA5381">
            <w:pPr>
              <w:pStyle w:val="WTODTWTODisputeTitle"/>
            </w:pPr>
            <w:r>
              <w:t>China – Measures Concerning Trade in Goods</w:t>
            </w:r>
          </w:p>
        </w:tc>
      </w:tr>
      <w:tr w:rsidR="005714C3" w:rsidRPr="0007327B" w14:paraId="258DE03D" w14:textId="77777777" w:rsidTr="008A4C51">
        <w:trPr>
          <w:trHeight w:val="3175"/>
        </w:trPr>
        <w:tc>
          <w:tcPr>
            <w:tcW w:w="9060" w:type="dxa"/>
          </w:tcPr>
          <w:p w14:paraId="1C3B2F2F" w14:textId="115C66D8" w:rsidR="005714C3" w:rsidRPr="0007327B" w:rsidRDefault="005714C3" w:rsidP="00DA5381">
            <w:pPr>
              <w:pStyle w:val="DSNDSNumber"/>
            </w:pPr>
            <w:r w:rsidRPr="0007327B">
              <w:t>(DS</w:t>
            </w:r>
            <w:r w:rsidR="00DE6A67">
              <w:t>610</w:t>
            </w:r>
            <w:r w:rsidRPr="0007327B">
              <w:t>)</w:t>
            </w:r>
          </w:p>
        </w:tc>
      </w:tr>
      <w:tr w:rsidR="005714C3" w:rsidRPr="0007327B" w14:paraId="0CFF4027" w14:textId="77777777" w:rsidTr="00DD4BA0">
        <w:trPr>
          <w:trHeight w:val="3798"/>
        </w:trPr>
        <w:tc>
          <w:tcPr>
            <w:tcW w:w="9060" w:type="dxa"/>
          </w:tcPr>
          <w:p w14:paraId="4EE0468C" w14:textId="5767AC11" w:rsidR="005714C3" w:rsidRPr="0007327B" w:rsidRDefault="00DE6A67" w:rsidP="00DA5381">
            <w:pPr>
              <w:pStyle w:val="DTDocumentTitle"/>
            </w:pPr>
            <w:r>
              <w:t xml:space="preserve">Australia's Comments on China's Request for a Preliminary Ruling </w:t>
            </w:r>
          </w:p>
        </w:tc>
      </w:tr>
      <w:tr w:rsidR="005714C3" w:rsidRPr="0007327B" w14:paraId="1BB10223" w14:textId="77777777" w:rsidTr="00BE0B1C">
        <w:trPr>
          <w:trHeight w:val="624"/>
        </w:trPr>
        <w:tc>
          <w:tcPr>
            <w:tcW w:w="9060" w:type="dxa"/>
          </w:tcPr>
          <w:p w14:paraId="374CE319" w14:textId="21E99E4C" w:rsidR="005714C3" w:rsidRPr="0007327B" w:rsidRDefault="00DE6A67" w:rsidP="00DA5381">
            <w:pPr>
              <w:pStyle w:val="DDDocumentDate"/>
            </w:pPr>
            <w:r>
              <w:t>22 September 2023</w:t>
            </w:r>
          </w:p>
        </w:tc>
      </w:tr>
    </w:tbl>
    <w:p w14:paraId="70ABBA33" w14:textId="77777777" w:rsidR="005714C3" w:rsidRPr="0007327B" w:rsidRDefault="005714C3" w:rsidP="00BE0B1C">
      <w:pPr>
        <w:pStyle w:val="BTNSSBodyTextNoSpacingSmall"/>
      </w:pPr>
    </w:p>
    <w:p w14:paraId="07132D4B" w14:textId="77777777" w:rsidR="00006269" w:rsidRPr="0007327B" w:rsidRDefault="00006269" w:rsidP="00BE0B1C">
      <w:pPr>
        <w:pStyle w:val="BTNSSBodyTextNoSpacingSmall"/>
      </w:pPr>
      <w:r w:rsidRPr="0007327B">
        <w:br w:type="page"/>
      </w:r>
    </w:p>
    <w:p w14:paraId="05BD45FB" w14:textId="77777777" w:rsidR="00F01A73" w:rsidRPr="0007327B" w:rsidRDefault="00F01A73" w:rsidP="00F01A73">
      <w:pPr>
        <w:pStyle w:val="BTNSSBodyTextNoSpacingSmall"/>
        <w:rPr>
          <w:sz w:val="2"/>
          <w:szCs w:val="2"/>
        </w:rPr>
      </w:pPr>
    </w:p>
    <w:sdt>
      <w:sdtPr>
        <w:rPr>
          <w:b w:val="0"/>
          <w:caps w:val="0"/>
          <w:sz w:val="8"/>
          <w:szCs w:val="8"/>
          <w:lang w:val="en-AU"/>
        </w:rPr>
        <w:id w:val="-1730524273"/>
        <w:docPartObj>
          <w:docPartGallery w:val="Table of Contents"/>
          <w:docPartUnique/>
        </w:docPartObj>
      </w:sdtPr>
      <w:sdtEndPr>
        <w:rPr>
          <w:bCs/>
        </w:rPr>
      </w:sdtEndPr>
      <w:sdtContent>
        <w:p w14:paraId="49325658" w14:textId="77777777" w:rsidR="00D47F18" w:rsidRPr="0007327B" w:rsidRDefault="00D47F18">
          <w:pPr>
            <w:pStyle w:val="TOCHeading"/>
            <w:rPr>
              <w:lang w:val="en-AU"/>
            </w:rPr>
          </w:pPr>
          <w:r w:rsidRPr="0007327B">
            <w:rPr>
              <w:lang w:val="en-AU"/>
            </w:rPr>
            <w:t>Table of Contents</w:t>
          </w:r>
        </w:p>
        <w:p w14:paraId="74B8AAC9" w14:textId="3632C9B3" w:rsidR="00CC610A" w:rsidRDefault="00F945DB">
          <w:pPr>
            <w:pStyle w:val="TOC1"/>
            <w:rPr>
              <w:rFonts w:asciiTheme="minorHAnsi" w:eastAsiaTheme="minorEastAsia" w:hAnsiTheme="minorHAnsi"/>
              <w:b w:val="0"/>
              <w:caps w:val="0"/>
              <w:noProof/>
              <w:sz w:val="22"/>
              <w:szCs w:val="22"/>
              <w:lang w:eastAsia="en-AU"/>
            </w:rPr>
          </w:pPr>
          <w:r w:rsidRPr="0007327B">
            <w:fldChar w:fldCharType="begin"/>
          </w:r>
          <w:r w:rsidRPr="0007327B">
            <w:instrText xml:space="preserve"> TOC \o "1-5" \h \z \u </w:instrText>
          </w:r>
          <w:r w:rsidRPr="0007327B">
            <w:fldChar w:fldCharType="separate"/>
          </w:r>
          <w:hyperlink w:anchor="_Toc146289487" w:history="1">
            <w:r w:rsidR="00CC610A" w:rsidRPr="00A97FF8">
              <w:rPr>
                <w:rStyle w:val="Hyperlink"/>
                <w:noProof/>
              </w:rPr>
              <w:t>Table of Cases</w:t>
            </w:r>
            <w:r w:rsidR="00CC610A">
              <w:rPr>
                <w:noProof/>
                <w:webHidden/>
              </w:rPr>
              <w:tab/>
            </w:r>
            <w:r w:rsidR="00CC610A">
              <w:rPr>
                <w:noProof/>
                <w:webHidden/>
              </w:rPr>
              <w:fldChar w:fldCharType="begin"/>
            </w:r>
            <w:r w:rsidR="00CC610A">
              <w:rPr>
                <w:noProof/>
                <w:webHidden/>
              </w:rPr>
              <w:instrText xml:space="preserve"> PAGEREF _Toc146289487 \h </w:instrText>
            </w:r>
            <w:r w:rsidR="00CC610A">
              <w:rPr>
                <w:noProof/>
                <w:webHidden/>
              </w:rPr>
            </w:r>
            <w:r w:rsidR="00CC610A">
              <w:rPr>
                <w:noProof/>
                <w:webHidden/>
              </w:rPr>
              <w:fldChar w:fldCharType="separate"/>
            </w:r>
            <w:r w:rsidR="00CC610A">
              <w:rPr>
                <w:noProof/>
                <w:webHidden/>
              </w:rPr>
              <w:t>2</w:t>
            </w:r>
            <w:r w:rsidR="00CC610A">
              <w:rPr>
                <w:noProof/>
                <w:webHidden/>
              </w:rPr>
              <w:fldChar w:fldCharType="end"/>
            </w:r>
          </w:hyperlink>
        </w:p>
        <w:p w14:paraId="6B7CD694" w14:textId="11D4D7E1" w:rsidR="00CC610A" w:rsidRDefault="00EC0407">
          <w:pPr>
            <w:pStyle w:val="TOC1"/>
            <w:rPr>
              <w:rFonts w:asciiTheme="minorHAnsi" w:eastAsiaTheme="minorEastAsia" w:hAnsiTheme="minorHAnsi"/>
              <w:b w:val="0"/>
              <w:caps w:val="0"/>
              <w:noProof/>
              <w:sz w:val="22"/>
              <w:szCs w:val="22"/>
              <w:lang w:eastAsia="en-AU"/>
            </w:rPr>
          </w:pPr>
          <w:hyperlink w:anchor="_Toc146289488" w:history="1">
            <w:r w:rsidR="00CC610A" w:rsidRPr="00A97FF8">
              <w:rPr>
                <w:rStyle w:val="Hyperlink"/>
                <w:noProof/>
              </w:rPr>
              <w:t>List of Acronyms, Abbreviations and Short Forms</w:t>
            </w:r>
            <w:r w:rsidR="00CC610A">
              <w:rPr>
                <w:noProof/>
                <w:webHidden/>
              </w:rPr>
              <w:tab/>
            </w:r>
            <w:r w:rsidR="00CC610A">
              <w:rPr>
                <w:noProof/>
                <w:webHidden/>
              </w:rPr>
              <w:fldChar w:fldCharType="begin"/>
            </w:r>
            <w:r w:rsidR="00CC610A">
              <w:rPr>
                <w:noProof/>
                <w:webHidden/>
              </w:rPr>
              <w:instrText xml:space="preserve"> PAGEREF _Toc146289488 \h </w:instrText>
            </w:r>
            <w:r w:rsidR="00CC610A">
              <w:rPr>
                <w:noProof/>
                <w:webHidden/>
              </w:rPr>
            </w:r>
            <w:r w:rsidR="00CC610A">
              <w:rPr>
                <w:noProof/>
                <w:webHidden/>
              </w:rPr>
              <w:fldChar w:fldCharType="separate"/>
            </w:r>
            <w:r w:rsidR="00CC610A">
              <w:rPr>
                <w:noProof/>
                <w:webHidden/>
              </w:rPr>
              <w:t>4</w:t>
            </w:r>
            <w:r w:rsidR="00CC610A">
              <w:rPr>
                <w:noProof/>
                <w:webHidden/>
              </w:rPr>
              <w:fldChar w:fldCharType="end"/>
            </w:r>
          </w:hyperlink>
        </w:p>
        <w:p w14:paraId="2F40EBD2" w14:textId="3975B08A" w:rsidR="00CC610A" w:rsidRDefault="00EC0407">
          <w:pPr>
            <w:pStyle w:val="TOC1"/>
            <w:rPr>
              <w:rFonts w:asciiTheme="minorHAnsi" w:eastAsiaTheme="minorEastAsia" w:hAnsiTheme="minorHAnsi"/>
              <w:b w:val="0"/>
              <w:caps w:val="0"/>
              <w:noProof/>
              <w:sz w:val="22"/>
              <w:szCs w:val="22"/>
              <w:lang w:eastAsia="en-AU"/>
            </w:rPr>
          </w:pPr>
          <w:hyperlink w:anchor="_Toc146289489" w:history="1">
            <w:r w:rsidR="00CC610A" w:rsidRPr="00A97FF8">
              <w:rPr>
                <w:rStyle w:val="Hyperlink"/>
                <w:noProof/>
              </w:rPr>
              <w:t>I.</w:t>
            </w:r>
            <w:r w:rsidR="00CC610A">
              <w:rPr>
                <w:rFonts w:asciiTheme="minorHAnsi" w:eastAsiaTheme="minorEastAsia" w:hAnsiTheme="minorHAnsi"/>
                <w:b w:val="0"/>
                <w:caps w:val="0"/>
                <w:noProof/>
                <w:sz w:val="22"/>
                <w:szCs w:val="22"/>
                <w:lang w:eastAsia="en-AU"/>
              </w:rPr>
              <w:tab/>
            </w:r>
            <w:r w:rsidR="00CC610A" w:rsidRPr="00A97FF8">
              <w:rPr>
                <w:rStyle w:val="Hyperlink"/>
                <w:noProof/>
              </w:rPr>
              <w:t>Introduction</w:t>
            </w:r>
            <w:r w:rsidR="00CC610A">
              <w:rPr>
                <w:noProof/>
                <w:webHidden/>
              </w:rPr>
              <w:tab/>
            </w:r>
            <w:r w:rsidR="00CC610A">
              <w:rPr>
                <w:noProof/>
                <w:webHidden/>
              </w:rPr>
              <w:fldChar w:fldCharType="begin"/>
            </w:r>
            <w:r w:rsidR="00CC610A">
              <w:rPr>
                <w:noProof/>
                <w:webHidden/>
              </w:rPr>
              <w:instrText xml:space="preserve"> PAGEREF _Toc146289489 \h </w:instrText>
            </w:r>
            <w:r w:rsidR="00CC610A">
              <w:rPr>
                <w:noProof/>
                <w:webHidden/>
              </w:rPr>
            </w:r>
            <w:r w:rsidR="00CC610A">
              <w:rPr>
                <w:noProof/>
                <w:webHidden/>
              </w:rPr>
              <w:fldChar w:fldCharType="separate"/>
            </w:r>
            <w:r w:rsidR="00CC610A">
              <w:rPr>
                <w:noProof/>
                <w:webHidden/>
              </w:rPr>
              <w:t>5</w:t>
            </w:r>
            <w:r w:rsidR="00CC610A">
              <w:rPr>
                <w:noProof/>
                <w:webHidden/>
              </w:rPr>
              <w:fldChar w:fldCharType="end"/>
            </w:r>
          </w:hyperlink>
        </w:p>
        <w:p w14:paraId="68A39B19" w14:textId="379E4EB7" w:rsidR="00CC610A" w:rsidRDefault="00EC0407">
          <w:pPr>
            <w:pStyle w:val="TOC1"/>
            <w:rPr>
              <w:rFonts w:asciiTheme="minorHAnsi" w:eastAsiaTheme="minorEastAsia" w:hAnsiTheme="minorHAnsi"/>
              <w:b w:val="0"/>
              <w:caps w:val="0"/>
              <w:noProof/>
              <w:sz w:val="22"/>
              <w:szCs w:val="22"/>
              <w:lang w:eastAsia="en-AU"/>
            </w:rPr>
          </w:pPr>
          <w:hyperlink w:anchor="_Toc146289490" w:history="1">
            <w:r w:rsidR="00CC610A" w:rsidRPr="00A97FF8">
              <w:rPr>
                <w:rStyle w:val="Hyperlink"/>
                <w:noProof/>
              </w:rPr>
              <w:t>II.</w:t>
            </w:r>
            <w:r w:rsidR="00CC610A">
              <w:rPr>
                <w:rFonts w:asciiTheme="minorHAnsi" w:eastAsiaTheme="minorEastAsia" w:hAnsiTheme="minorHAnsi"/>
                <w:b w:val="0"/>
                <w:caps w:val="0"/>
                <w:noProof/>
                <w:sz w:val="22"/>
                <w:szCs w:val="22"/>
                <w:lang w:eastAsia="en-AU"/>
              </w:rPr>
              <w:tab/>
            </w:r>
            <w:r w:rsidR="00CC610A" w:rsidRPr="00A97FF8">
              <w:rPr>
                <w:rStyle w:val="Hyperlink"/>
                <w:noProof/>
              </w:rPr>
              <w:t>Arguments of the parties</w:t>
            </w:r>
            <w:r w:rsidR="00CC610A">
              <w:rPr>
                <w:noProof/>
                <w:webHidden/>
              </w:rPr>
              <w:tab/>
            </w:r>
            <w:r w:rsidR="00CC610A">
              <w:rPr>
                <w:noProof/>
                <w:webHidden/>
              </w:rPr>
              <w:fldChar w:fldCharType="begin"/>
            </w:r>
            <w:r w:rsidR="00CC610A">
              <w:rPr>
                <w:noProof/>
                <w:webHidden/>
              </w:rPr>
              <w:instrText xml:space="preserve"> PAGEREF _Toc146289490 \h </w:instrText>
            </w:r>
            <w:r w:rsidR="00CC610A">
              <w:rPr>
                <w:noProof/>
                <w:webHidden/>
              </w:rPr>
            </w:r>
            <w:r w:rsidR="00CC610A">
              <w:rPr>
                <w:noProof/>
                <w:webHidden/>
              </w:rPr>
              <w:fldChar w:fldCharType="separate"/>
            </w:r>
            <w:r w:rsidR="00CC610A">
              <w:rPr>
                <w:noProof/>
                <w:webHidden/>
              </w:rPr>
              <w:t>5</w:t>
            </w:r>
            <w:r w:rsidR="00CC610A">
              <w:rPr>
                <w:noProof/>
                <w:webHidden/>
              </w:rPr>
              <w:fldChar w:fldCharType="end"/>
            </w:r>
          </w:hyperlink>
        </w:p>
        <w:p w14:paraId="6781F6AE" w14:textId="499948CD" w:rsidR="00CC610A" w:rsidRDefault="00EC0407">
          <w:pPr>
            <w:pStyle w:val="TOC1"/>
            <w:rPr>
              <w:rFonts w:asciiTheme="minorHAnsi" w:eastAsiaTheme="minorEastAsia" w:hAnsiTheme="minorHAnsi"/>
              <w:b w:val="0"/>
              <w:caps w:val="0"/>
              <w:noProof/>
              <w:sz w:val="22"/>
              <w:szCs w:val="22"/>
              <w:lang w:eastAsia="en-AU"/>
            </w:rPr>
          </w:pPr>
          <w:hyperlink w:anchor="_Toc146289491" w:history="1">
            <w:r w:rsidR="00CC610A" w:rsidRPr="00A97FF8">
              <w:rPr>
                <w:rStyle w:val="Hyperlink"/>
                <w:noProof/>
              </w:rPr>
              <w:t>III.</w:t>
            </w:r>
            <w:r w:rsidR="00CC610A">
              <w:rPr>
                <w:rFonts w:asciiTheme="minorHAnsi" w:eastAsiaTheme="minorEastAsia" w:hAnsiTheme="minorHAnsi"/>
                <w:b w:val="0"/>
                <w:caps w:val="0"/>
                <w:noProof/>
                <w:sz w:val="22"/>
                <w:szCs w:val="22"/>
                <w:lang w:eastAsia="en-AU"/>
              </w:rPr>
              <w:tab/>
            </w:r>
            <w:r w:rsidR="00CC610A" w:rsidRPr="00A97FF8">
              <w:rPr>
                <w:rStyle w:val="Hyperlink"/>
                <w:noProof/>
              </w:rPr>
              <w:t>Ascertaining the "measure at issue"</w:t>
            </w:r>
            <w:r w:rsidR="00CC610A">
              <w:rPr>
                <w:noProof/>
                <w:webHidden/>
              </w:rPr>
              <w:tab/>
            </w:r>
            <w:r w:rsidR="00CC610A">
              <w:rPr>
                <w:noProof/>
                <w:webHidden/>
              </w:rPr>
              <w:fldChar w:fldCharType="begin"/>
            </w:r>
            <w:r w:rsidR="00CC610A">
              <w:rPr>
                <w:noProof/>
                <w:webHidden/>
              </w:rPr>
              <w:instrText xml:space="preserve"> PAGEREF _Toc146289491 \h </w:instrText>
            </w:r>
            <w:r w:rsidR="00CC610A">
              <w:rPr>
                <w:noProof/>
                <w:webHidden/>
              </w:rPr>
            </w:r>
            <w:r w:rsidR="00CC610A">
              <w:rPr>
                <w:noProof/>
                <w:webHidden/>
              </w:rPr>
              <w:fldChar w:fldCharType="separate"/>
            </w:r>
            <w:r w:rsidR="00CC610A">
              <w:rPr>
                <w:noProof/>
                <w:webHidden/>
              </w:rPr>
              <w:t>7</w:t>
            </w:r>
            <w:r w:rsidR="00CC610A">
              <w:rPr>
                <w:noProof/>
                <w:webHidden/>
              </w:rPr>
              <w:fldChar w:fldCharType="end"/>
            </w:r>
          </w:hyperlink>
        </w:p>
        <w:p w14:paraId="7FE160ED" w14:textId="434ADC60" w:rsidR="00CC610A" w:rsidRDefault="00EC0407">
          <w:pPr>
            <w:pStyle w:val="TOC1"/>
            <w:rPr>
              <w:rFonts w:asciiTheme="minorHAnsi" w:eastAsiaTheme="minorEastAsia" w:hAnsiTheme="minorHAnsi"/>
              <w:b w:val="0"/>
              <w:caps w:val="0"/>
              <w:noProof/>
              <w:sz w:val="22"/>
              <w:szCs w:val="22"/>
              <w:lang w:eastAsia="en-AU"/>
            </w:rPr>
          </w:pPr>
          <w:hyperlink w:anchor="_Toc146289492" w:history="1">
            <w:r w:rsidR="00CC610A" w:rsidRPr="00A97FF8">
              <w:rPr>
                <w:rStyle w:val="Hyperlink"/>
                <w:noProof/>
              </w:rPr>
              <w:t>IV.</w:t>
            </w:r>
            <w:r w:rsidR="00CC610A">
              <w:rPr>
                <w:rFonts w:asciiTheme="minorHAnsi" w:eastAsiaTheme="minorEastAsia" w:hAnsiTheme="minorHAnsi"/>
                <w:b w:val="0"/>
                <w:caps w:val="0"/>
                <w:noProof/>
                <w:sz w:val="22"/>
                <w:szCs w:val="22"/>
                <w:lang w:eastAsia="en-AU"/>
              </w:rPr>
              <w:tab/>
            </w:r>
            <w:r w:rsidR="00CC610A" w:rsidRPr="00A97FF8">
              <w:rPr>
                <w:rStyle w:val="Hyperlink"/>
                <w:noProof/>
              </w:rPr>
              <w:t>The proper interpretation of Article 6.2 of the DSU</w:t>
            </w:r>
            <w:r w:rsidR="00CC610A">
              <w:rPr>
                <w:noProof/>
                <w:webHidden/>
              </w:rPr>
              <w:tab/>
            </w:r>
            <w:r w:rsidR="00CC610A">
              <w:rPr>
                <w:noProof/>
                <w:webHidden/>
              </w:rPr>
              <w:fldChar w:fldCharType="begin"/>
            </w:r>
            <w:r w:rsidR="00CC610A">
              <w:rPr>
                <w:noProof/>
                <w:webHidden/>
              </w:rPr>
              <w:instrText xml:space="preserve"> PAGEREF _Toc146289492 \h </w:instrText>
            </w:r>
            <w:r w:rsidR="00CC610A">
              <w:rPr>
                <w:noProof/>
                <w:webHidden/>
              </w:rPr>
            </w:r>
            <w:r w:rsidR="00CC610A">
              <w:rPr>
                <w:noProof/>
                <w:webHidden/>
              </w:rPr>
              <w:fldChar w:fldCharType="separate"/>
            </w:r>
            <w:r w:rsidR="00CC610A">
              <w:rPr>
                <w:noProof/>
                <w:webHidden/>
              </w:rPr>
              <w:t>9</w:t>
            </w:r>
            <w:r w:rsidR="00CC610A">
              <w:rPr>
                <w:noProof/>
                <w:webHidden/>
              </w:rPr>
              <w:fldChar w:fldCharType="end"/>
            </w:r>
          </w:hyperlink>
        </w:p>
        <w:p w14:paraId="05163C3E" w14:textId="04505DA3" w:rsidR="00D47F18" w:rsidRPr="0007327B" w:rsidRDefault="00F945DB" w:rsidP="00F01A73">
          <w:pPr>
            <w:pStyle w:val="BTNSSBodyTextNoSpacingSmall"/>
          </w:pPr>
          <w:r w:rsidRPr="0007327B">
            <w:rPr>
              <w:rFonts w:eastAsiaTheme="majorEastAsia" w:cstheme="majorBidi"/>
              <w:sz w:val="24"/>
              <w:szCs w:val="32"/>
            </w:rPr>
            <w:fldChar w:fldCharType="end"/>
          </w:r>
        </w:p>
      </w:sdtContent>
    </w:sdt>
    <w:p w14:paraId="4111C069" w14:textId="77777777" w:rsidR="004D7079" w:rsidRPr="0007327B" w:rsidRDefault="004D7079" w:rsidP="004D7079">
      <w:pPr>
        <w:pStyle w:val="BTNSSBodyTextNoSpacingSmall"/>
      </w:pPr>
    </w:p>
    <w:p w14:paraId="440A82FB" w14:textId="77777777" w:rsidR="00F945DB" w:rsidRPr="0007327B" w:rsidRDefault="00F945DB" w:rsidP="00C73188">
      <w:pPr>
        <w:pStyle w:val="SHSectionHeading"/>
      </w:pPr>
      <w:bookmarkStart w:id="0" w:name="_Toc146289487"/>
      <w:r w:rsidRPr="0007327B">
        <w:t>Table of Cases</w:t>
      </w:r>
      <w:bookmarkEnd w:id="0"/>
    </w:p>
    <w:tbl>
      <w:tblPr>
        <w:tblStyle w:val="TableGrid"/>
        <w:tblW w:w="5000" w:type="pct"/>
        <w:tblLook w:val="04A0" w:firstRow="1" w:lastRow="0" w:firstColumn="1" w:lastColumn="0" w:noHBand="0" w:noVBand="1"/>
      </w:tblPr>
      <w:tblGrid>
        <w:gridCol w:w="2265"/>
        <w:gridCol w:w="6795"/>
      </w:tblGrid>
      <w:tr w:rsidR="008A1191" w:rsidRPr="0007327B" w14:paraId="6837E84D" w14:textId="77777777" w:rsidTr="008A4C51">
        <w:trPr>
          <w:cantSplit/>
          <w:trHeight w:val="397"/>
          <w:tblHeader/>
        </w:trPr>
        <w:tc>
          <w:tcPr>
            <w:tcW w:w="2265" w:type="dxa"/>
            <w:shd w:val="clear" w:color="auto" w:fill="D9D9D9" w:themeFill="background1" w:themeFillShade="D9"/>
          </w:tcPr>
          <w:p w14:paraId="624FAE79" w14:textId="77777777" w:rsidR="008A1191" w:rsidRPr="0007327B" w:rsidRDefault="008A1191" w:rsidP="008A4C51">
            <w:pPr>
              <w:pStyle w:val="THTableHeading"/>
              <w:jc w:val="center"/>
            </w:pPr>
            <w:r w:rsidRPr="0007327B">
              <w:t>Short Title</w:t>
            </w:r>
          </w:p>
        </w:tc>
        <w:tc>
          <w:tcPr>
            <w:tcW w:w="6795" w:type="dxa"/>
            <w:shd w:val="clear" w:color="auto" w:fill="D9D9D9" w:themeFill="background1" w:themeFillShade="D9"/>
          </w:tcPr>
          <w:p w14:paraId="25E54940" w14:textId="77777777" w:rsidR="008A1191" w:rsidRPr="0007327B" w:rsidRDefault="008A1191" w:rsidP="008A4C51">
            <w:pPr>
              <w:pStyle w:val="THTableHeading"/>
              <w:jc w:val="center"/>
            </w:pPr>
            <w:r w:rsidRPr="0007327B">
              <w:t>Full Case Title and Citation</w:t>
            </w:r>
          </w:p>
        </w:tc>
      </w:tr>
      <w:tr w:rsidR="00BF4C09" w:rsidRPr="0007327B" w14:paraId="795B494C" w14:textId="77777777" w:rsidTr="008A4C51">
        <w:trPr>
          <w:cantSplit/>
          <w:trHeight w:val="397"/>
        </w:trPr>
        <w:tc>
          <w:tcPr>
            <w:tcW w:w="2265" w:type="dxa"/>
          </w:tcPr>
          <w:p w14:paraId="03756277" w14:textId="73DCE701" w:rsidR="00BF4C09" w:rsidRPr="00F6259F" w:rsidRDefault="00266808" w:rsidP="008A4C51">
            <w:pPr>
              <w:pStyle w:val="TTTableText"/>
              <w:rPr>
                <w:i/>
                <w:color w:val="000000" w:themeColor="text1"/>
                <w:lang w:val="en-GB"/>
              </w:rPr>
            </w:pPr>
            <w:r w:rsidRPr="00F6259F">
              <w:rPr>
                <w:i/>
                <w:color w:val="000000" w:themeColor="text1"/>
                <w:lang w:val="fr-CH"/>
              </w:rPr>
              <w:t>China – HP</w:t>
            </w:r>
            <w:r w:rsidRPr="00F6259F">
              <w:rPr>
                <w:i/>
                <w:color w:val="000000" w:themeColor="text1"/>
                <w:lang w:val="fr-CH"/>
              </w:rPr>
              <w:noBreakHyphen/>
              <w:t>SSST (EU)</w:t>
            </w:r>
          </w:p>
        </w:tc>
        <w:tc>
          <w:tcPr>
            <w:tcW w:w="6795" w:type="dxa"/>
          </w:tcPr>
          <w:p w14:paraId="494F1166" w14:textId="45072818" w:rsidR="00BF4C09" w:rsidRPr="00F6259F" w:rsidRDefault="00A137E7" w:rsidP="008A4C51">
            <w:pPr>
              <w:pStyle w:val="TTTableText"/>
              <w:rPr>
                <w:color w:val="000000" w:themeColor="text1"/>
                <w:lang w:val="en-GB"/>
              </w:rPr>
            </w:pPr>
            <w:r w:rsidRPr="00F6259F">
              <w:rPr>
                <w:color w:val="000000" w:themeColor="text1"/>
                <w:lang w:val="en-GB"/>
              </w:rPr>
              <w:t xml:space="preserve">Appellate Body Reports, </w:t>
            </w:r>
            <w:r w:rsidRPr="00F6259F">
              <w:rPr>
                <w:i/>
                <w:color w:val="000000" w:themeColor="text1"/>
                <w:lang w:val="en-GB"/>
              </w:rPr>
              <w:t>China – Measures Imposing Anti-Dumping Duties on High-Performance Stainless Steel Seamless Tubes ("HP</w:t>
            </w:r>
            <w:r w:rsidRPr="00F6259F">
              <w:rPr>
                <w:i/>
                <w:color w:val="000000" w:themeColor="text1"/>
                <w:lang w:val="en-GB"/>
              </w:rPr>
              <w:noBreakHyphen/>
              <w:t>SSST") from Japan / China – Measures Imposing Anti-Dumping Duties on High-Performance Stainless Steel Seamless Tubes ("HP</w:t>
            </w:r>
            <w:r w:rsidRPr="00F6259F">
              <w:rPr>
                <w:i/>
                <w:color w:val="000000" w:themeColor="text1"/>
                <w:lang w:val="en-GB"/>
              </w:rPr>
              <w:noBreakHyphen/>
              <w:t>SSST") from the European Union</w:t>
            </w:r>
            <w:r w:rsidRPr="00F6259F">
              <w:rPr>
                <w:color w:val="000000" w:themeColor="text1"/>
                <w:lang w:val="en-GB"/>
              </w:rPr>
              <w:t>, WT/DS454/AB/R and Add.1 / WT/DS460/AB/R and Add.1, adopted 28 October 2015, DSR </w:t>
            </w:r>
            <w:proofErr w:type="gramStart"/>
            <w:r w:rsidRPr="00F6259F">
              <w:rPr>
                <w:color w:val="000000" w:themeColor="text1"/>
                <w:lang w:val="en-GB"/>
              </w:rPr>
              <w:t>2015:IX</w:t>
            </w:r>
            <w:proofErr w:type="gramEnd"/>
            <w:r w:rsidRPr="00F6259F">
              <w:rPr>
                <w:color w:val="000000" w:themeColor="text1"/>
                <w:lang w:val="en-GB"/>
              </w:rPr>
              <w:t>, p. 4573</w:t>
            </w:r>
          </w:p>
        </w:tc>
      </w:tr>
      <w:tr w:rsidR="00C85248" w:rsidRPr="0007327B" w14:paraId="39E86D42" w14:textId="77777777" w:rsidTr="008A4C51">
        <w:trPr>
          <w:cantSplit/>
          <w:trHeight w:val="397"/>
        </w:trPr>
        <w:tc>
          <w:tcPr>
            <w:tcW w:w="2265" w:type="dxa"/>
          </w:tcPr>
          <w:p w14:paraId="6741B0B2" w14:textId="3849B927" w:rsidR="00C85248" w:rsidRPr="00F6259F" w:rsidRDefault="007633A0" w:rsidP="008A4C51">
            <w:pPr>
              <w:pStyle w:val="TTTableText"/>
              <w:rPr>
                <w:i/>
                <w:color w:val="000000" w:themeColor="text1"/>
                <w:lang w:val="fr-CH"/>
              </w:rPr>
            </w:pPr>
            <w:r w:rsidRPr="00F6259F">
              <w:rPr>
                <w:i/>
                <w:color w:val="000000" w:themeColor="text1"/>
                <w:lang w:val="en-GB"/>
              </w:rPr>
              <w:t>EC – Chicken Cuts</w:t>
            </w:r>
          </w:p>
        </w:tc>
        <w:tc>
          <w:tcPr>
            <w:tcW w:w="6795" w:type="dxa"/>
          </w:tcPr>
          <w:p w14:paraId="5E2483FD" w14:textId="64594F13" w:rsidR="00C85248" w:rsidRPr="00F6259F" w:rsidRDefault="00C727D1" w:rsidP="008A4C51">
            <w:pPr>
              <w:pStyle w:val="TTTableText"/>
              <w:rPr>
                <w:color w:val="000000" w:themeColor="text1"/>
                <w:lang w:val="en-GB"/>
              </w:rPr>
            </w:pPr>
            <w:r w:rsidRPr="00F6259F">
              <w:rPr>
                <w:color w:val="000000" w:themeColor="text1"/>
                <w:lang w:val="en-GB"/>
              </w:rPr>
              <w:t xml:space="preserve">Appellate Body Report, </w:t>
            </w:r>
            <w:r w:rsidRPr="00F6259F">
              <w:rPr>
                <w:i/>
                <w:color w:val="000000" w:themeColor="text1"/>
                <w:lang w:val="en-GB"/>
              </w:rPr>
              <w:t>European</w:t>
            </w:r>
            <w:r w:rsidRPr="00F6259F">
              <w:rPr>
                <w:color w:val="000000" w:themeColor="text1"/>
                <w:lang w:val="en-GB"/>
              </w:rPr>
              <w:t> </w:t>
            </w:r>
            <w:r w:rsidRPr="00F6259F">
              <w:rPr>
                <w:i/>
                <w:color w:val="000000" w:themeColor="text1"/>
                <w:lang w:val="en-GB"/>
              </w:rPr>
              <w:t>Communities – Customs Classification of Frozen Boneless Chicken Cuts</w:t>
            </w:r>
            <w:r w:rsidRPr="00F6259F">
              <w:rPr>
                <w:color w:val="000000" w:themeColor="text1"/>
                <w:lang w:val="en-GB"/>
              </w:rPr>
              <w:t xml:space="preserve">, WT/DS269/AB/R, WT/DS286/AB/R, adopted 27 September 2005, and Corr.1, DSR </w:t>
            </w:r>
            <w:proofErr w:type="gramStart"/>
            <w:r w:rsidRPr="00F6259F">
              <w:rPr>
                <w:color w:val="000000" w:themeColor="text1"/>
                <w:lang w:val="en-GB"/>
              </w:rPr>
              <w:t>2005:XIX</w:t>
            </w:r>
            <w:proofErr w:type="gramEnd"/>
            <w:r w:rsidRPr="00F6259F">
              <w:rPr>
                <w:color w:val="000000" w:themeColor="text1"/>
                <w:lang w:val="en-GB"/>
              </w:rPr>
              <w:t>, p. 9157</w:t>
            </w:r>
          </w:p>
        </w:tc>
      </w:tr>
      <w:tr w:rsidR="001747E5" w:rsidRPr="0007327B" w14:paraId="648E887D" w14:textId="77777777" w:rsidTr="008A4C51">
        <w:trPr>
          <w:cantSplit/>
          <w:trHeight w:val="397"/>
        </w:trPr>
        <w:tc>
          <w:tcPr>
            <w:tcW w:w="2265" w:type="dxa"/>
          </w:tcPr>
          <w:p w14:paraId="74A3B43A" w14:textId="0683DECD" w:rsidR="001747E5" w:rsidRPr="00F6259F" w:rsidRDefault="001747E5" w:rsidP="008A4C51">
            <w:pPr>
              <w:pStyle w:val="TTTableText"/>
              <w:rPr>
                <w:i/>
                <w:iCs/>
                <w:color w:val="000000" w:themeColor="text1"/>
                <w:lang w:val="en-GB"/>
              </w:rPr>
            </w:pPr>
            <w:r w:rsidRPr="00F6259F">
              <w:rPr>
                <w:i/>
                <w:iCs/>
                <w:color w:val="000000" w:themeColor="text1"/>
                <w:lang w:val="en-GB"/>
              </w:rPr>
              <w:t>EC – Computer Equipment</w:t>
            </w:r>
          </w:p>
        </w:tc>
        <w:tc>
          <w:tcPr>
            <w:tcW w:w="6795" w:type="dxa"/>
          </w:tcPr>
          <w:p w14:paraId="47460730" w14:textId="51775087" w:rsidR="001747E5" w:rsidRPr="00F6259F" w:rsidRDefault="001747E5" w:rsidP="008A4C51">
            <w:pPr>
              <w:pStyle w:val="TTTableText"/>
              <w:rPr>
                <w:color w:val="000000" w:themeColor="text1"/>
                <w:lang w:val="en-GB"/>
              </w:rPr>
            </w:pPr>
            <w:r w:rsidRPr="00F6259F">
              <w:rPr>
                <w:color w:val="000000" w:themeColor="text1"/>
              </w:rPr>
              <w:t xml:space="preserve">Appellate Body Report, </w:t>
            </w:r>
            <w:r w:rsidRPr="00F6259F">
              <w:rPr>
                <w:i/>
                <w:color w:val="000000" w:themeColor="text1"/>
              </w:rPr>
              <w:t>European Communities – Customs Classification of Certain Computer Equipment</w:t>
            </w:r>
            <w:r w:rsidRPr="00F6259F">
              <w:rPr>
                <w:color w:val="000000" w:themeColor="text1"/>
              </w:rPr>
              <w:t>, WT/DS62/AB/R, WT/DS67/AB/R, WT/DS68/AB/R, adopted 22 June 1998, DSR </w:t>
            </w:r>
            <w:proofErr w:type="gramStart"/>
            <w:r w:rsidRPr="00F6259F">
              <w:rPr>
                <w:color w:val="000000" w:themeColor="text1"/>
              </w:rPr>
              <w:t>1998:V</w:t>
            </w:r>
            <w:proofErr w:type="gramEnd"/>
            <w:r w:rsidRPr="00F6259F">
              <w:rPr>
                <w:color w:val="000000" w:themeColor="text1"/>
              </w:rPr>
              <w:t>, p. 1851</w:t>
            </w:r>
          </w:p>
        </w:tc>
      </w:tr>
      <w:tr w:rsidR="00415A62" w:rsidRPr="0007327B" w14:paraId="372A1A15" w14:textId="77777777" w:rsidTr="008A4C51">
        <w:trPr>
          <w:cantSplit/>
          <w:trHeight w:val="397"/>
        </w:trPr>
        <w:tc>
          <w:tcPr>
            <w:tcW w:w="2265" w:type="dxa"/>
          </w:tcPr>
          <w:p w14:paraId="2F44E0D6" w14:textId="27F021E8" w:rsidR="00415A62" w:rsidRPr="00F6259F" w:rsidRDefault="00C3176F" w:rsidP="008A4C51">
            <w:pPr>
              <w:pStyle w:val="TTTableText"/>
              <w:rPr>
                <w:i/>
                <w:color w:val="000000" w:themeColor="text1"/>
                <w:lang w:val="en-GB"/>
              </w:rPr>
            </w:pPr>
            <w:r w:rsidRPr="00F6259F">
              <w:rPr>
                <w:i/>
                <w:color w:val="000000" w:themeColor="text1"/>
                <w:lang w:val="en-GB"/>
              </w:rPr>
              <w:t>EC – Selected Customs Matters</w:t>
            </w:r>
          </w:p>
        </w:tc>
        <w:tc>
          <w:tcPr>
            <w:tcW w:w="6795" w:type="dxa"/>
          </w:tcPr>
          <w:p w14:paraId="00722CB7" w14:textId="12ECED85" w:rsidR="00415A62" w:rsidRPr="00F6259F" w:rsidRDefault="00BF4C09" w:rsidP="008A4C51">
            <w:pPr>
              <w:pStyle w:val="TTTableText"/>
              <w:rPr>
                <w:color w:val="000000" w:themeColor="text1"/>
                <w:lang w:val="en-GB"/>
              </w:rPr>
            </w:pPr>
            <w:r w:rsidRPr="00F6259F">
              <w:rPr>
                <w:color w:val="000000" w:themeColor="text1"/>
                <w:lang w:val="en-GB"/>
              </w:rPr>
              <w:t xml:space="preserve">Appellate Body Report, </w:t>
            </w:r>
            <w:r w:rsidRPr="00F6259F">
              <w:rPr>
                <w:i/>
                <w:color w:val="000000" w:themeColor="text1"/>
                <w:lang w:val="en-GB"/>
              </w:rPr>
              <w:t>European Communities – Selected Customs Matters</w:t>
            </w:r>
            <w:r w:rsidRPr="00F6259F">
              <w:rPr>
                <w:color w:val="000000" w:themeColor="text1"/>
                <w:lang w:val="en-GB"/>
              </w:rPr>
              <w:t>, WT/DS315/AB/R, adopted 11 December 2006, DSR </w:t>
            </w:r>
            <w:proofErr w:type="gramStart"/>
            <w:r w:rsidRPr="00F6259F">
              <w:rPr>
                <w:color w:val="000000" w:themeColor="text1"/>
                <w:lang w:val="en-GB"/>
              </w:rPr>
              <w:t>2006:IX</w:t>
            </w:r>
            <w:proofErr w:type="gramEnd"/>
            <w:r w:rsidRPr="00F6259F">
              <w:rPr>
                <w:color w:val="000000" w:themeColor="text1"/>
                <w:lang w:val="en-GB"/>
              </w:rPr>
              <w:t>, p. 3791</w:t>
            </w:r>
          </w:p>
        </w:tc>
      </w:tr>
      <w:tr w:rsidR="001747E5" w:rsidRPr="0007327B" w14:paraId="16B24AE1" w14:textId="77777777" w:rsidTr="008A4C51">
        <w:trPr>
          <w:cantSplit/>
          <w:trHeight w:val="397"/>
        </w:trPr>
        <w:tc>
          <w:tcPr>
            <w:tcW w:w="2265" w:type="dxa"/>
          </w:tcPr>
          <w:p w14:paraId="05213FA5" w14:textId="07B9C6C5" w:rsidR="001747E5" w:rsidRPr="00F6259F" w:rsidRDefault="001747E5" w:rsidP="001747E5">
            <w:pPr>
              <w:pStyle w:val="TTTableText"/>
              <w:rPr>
                <w:i/>
                <w:color w:val="000000" w:themeColor="text1"/>
                <w:lang w:val="en-GB"/>
              </w:rPr>
            </w:pPr>
            <w:r w:rsidRPr="00F6259F">
              <w:rPr>
                <w:i/>
                <w:iCs/>
                <w:color w:val="000000" w:themeColor="text1"/>
                <w:lang w:val="en-GB"/>
              </w:rPr>
              <w:t>EC and certain member States – Large Civil Aircraft</w:t>
            </w:r>
          </w:p>
        </w:tc>
        <w:tc>
          <w:tcPr>
            <w:tcW w:w="6795" w:type="dxa"/>
          </w:tcPr>
          <w:p w14:paraId="67933DAF" w14:textId="64482105" w:rsidR="001747E5" w:rsidRPr="00F6259F" w:rsidRDefault="001747E5" w:rsidP="001747E5">
            <w:pPr>
              <w:pStyle w:val="TTTableText"/>
              <w:rPr>
                <w:color w:val="000000" w:themeColor="text1"/>
                <w:lang w:val="en-GB"/>
              </w:rPr>
            </w:pPr>
            <w:r w:rsidRPr="00F6259F">
              <w:rPr>
                <w:color w:val="000000" w:themeColor="text1"/>
                <w:lang w:val="en-GB"/>
              </w:rPr>
              <w:t xml:space="preserve">Appellate Body Report, </w:t>
            </w:r>
            <w:r w:rsidRPr="00F6259F">
              <w:rPr>
                <w:i/>
                <w:iCs/>
                <w:color w:val="000000" w:themeColor="text1"/>
                <w:lang w:val="en-GB"/>
              </w:rPr>
              <w:t>European Communities and Certain Member States – Measures Affecting Trade in Large Civil Aircraft</w:t>
            </w:r>
            <w:r w:rsidRPr="00F6259F">
              <w:rPr>
                <w:color w:val="000000" w:themeColor="text1"/>
                <w:lang w:val="en-GB"/>
              </w:rPr>
              <w:t xml:space="preserve">, WT/DS316/AB/R, adopted 1 June 2011, DSR </w:t>
            </w:r>
            <w:proofErr w:type="gramStart"/>
            <w:r w:rsidRPr="00F6259F">
              <w:rPr>
                <w:color w:val="000000" w:themeColor="text1"/>
                <w:lang w:val="en-GB"/>
              </w:rPr>
              <w:t>2011:I</w:t>
            </w:r>
            <w:proofErr w:type="gramEnd"/>
            <w:r w:rsidRPr="00F6259F">
              <w:rPr>
                <w:color w:val="000000" w:themeColor="text1"/>
                <w:lang w:val="en-GB"/>
              </w:rPr>
              <w:t>, p. 7</w:t>
            </w:r>
          </w:p>
        </w:tc>
      </w:tr>
      <w:tr w:rsidR="0067020C" w:rsidRPr="0007327B" w14:paraId="0A7A57B8" w14:textId="77777777" w:rsidTr="008A4C51">
        <w:trPr>
          <w:cantSplit/>
          <w:trHeight w:val="397"/>
        </w:trPr>
        <w:tc>
          <w:tcPr>
            <w:tcW w:w="2265" w:type="dxa"/>
          </w:tcPr>
          <w:p w14:paraId="2AB135D7" w14:textId="738DE9DF" w:rsidR="0067020C" w:rsidRPr="00F6259F" w:rsidRDefault="003D689C" w:rsidP="008A4C51">
            <w:pPr>
              <w:pStyle w:val="TTTableText"/>
              <w:rPr>
                <w:i/>
                <w:color w:val="000000" w:themeColor="text1"/>
                <w:lang w:val="en-GB"/>
              </w:rPr>
            </w:pPr>
            <w:r w:rsidRPr="00F6259F">
              <w:rPr>
                <w:i/>
                <w:color w:val="000000" w:themeColor="text1"/>
                <w:lang w:val="en-GB"/>
              </w:rPr>
              <w:t>Korea – Alcoholic Beverages</w:t>
            </w:r>
          </w:p>
        </w:tc>
        <w:tc>
          <w:tcPr>
            <w:tcW w:w="6795" w:type="dxa"/>
          </w:tcPr>
          <w:p w14:paraId="6B6B326C" w14:textId="5AF27C9C" w:rsidR="0067020C" w:rsidRPr="00F6259F" w:rsidRDefault="00415A62" w:rsidP="008A4C51">
            <w:pPr>
              <w:pStyle w:val="TTTableText"/>
              <w:rPr>
                <w:color w:val="000000" w:themeColor="text1"/>
                <w:lang w:val="en-GB"/>
              </w:rPr>
            </w:pPr>
            <w:r w:rsidRPr="00F6259F">
              <w:rPr>
                <w:color w:val="000000" w:themeColor="text1"/>
                <w:lang w:val="en-GB"/>
              </w:rPr>
              <w:t xml:space="preserve">Panel Report, </w:t>
            </w:r>
            <w:r w:rsidRPr="00F6259F">
              <w:rPr>
                <w:i/>
                <w:color w:val="000000" w:themeColor="text1"/>
                <w:lang w:val="en-GB"/>
              </w:rPr>
              <w:t>Korea – Taxes on Alcoholic Beverages</w:t>
            </w:r>
            <w:r w:rsidRPr="00F6259F">
              <w:rPr>
                <w:color w:val="000000" w:themeColor="text1"/>
                <w:lang w:val="en-GB"/>
              </w:rPr>
              <w:t>, WT/DS75/R, WT/DS84/R, adopted 17 February 1999, as modified by Appellate Body Report WT/DS75/AB/R, WT/DS84/AB/R, DSR </w:t>
            </w:r>
            <w:proofErr w:type="gramStart"/>
            <w:r w:rsidRPr="00F6259F">
              <w:rPr>
                <w:color w:val="000000" w:themeColor="text1"/>
                <w:lang w:val="en-GB"/>
              </w:rPr>
              <w:t>1999:I</w:t>
            </w:r>
            <w:proofErr w:type="gramEnd"/>
            <w:r w:rsidRPr="00F6259F">
              <w:rPr>
                <w:color w:val="000000" w:themeColor="text1"/>
                <w:lang w:val="en-GB"/>
              </w:rPr>
              <w:t>, p. 44</w:t>
            </w:r>
          </w:p>
        </w:tc>
      </w:tr>
      <w:tr w:rsidR="00394B3E" w:rsidRPr="0007327B" w14:paraId="7FE43DE2" w14:textId="77777777" w:rsidTr="008A4C51">
        <w:trPr>
          <w:cantSplit/>
          <w:trHeight w:val="397"/>
        </w:trPr>
        <w:tc>
          <w:tcPr>
            <w:tcW w:w="2265" w:type="dxa"/>
          </w:tcPr>
          <w:p w14:paraId="58D9240A" w14:textId="4B8AFD47" w:rsidR="00394B3E" w:rsidRPr="00F6259F" w:rsidRDefault="00150F8B" w:rsidP="008A4C51">
            <w:pPr>
              <w:pStyle w:val="TTTableText"/>
              <w:rPr>
                <w:i/>
                <w:color w:val="000000" w:themeColor="text1"/>
                <w:lang w:val="en-GB"/>
              </w:rPr>
            </w:pPr>
            <w:r w:rsidRPr="00F6259F">
              <w:rPr>
                <w:i/>
                <w:color w:val="000000" w:themeColor="text1"/>
                <w:lang w:val="en-GB"/>
              </w:rPr>
              <w:t>Korea – Dairy</w:t>
            </w:r>
          </w:p>
        </w:tc>
        <w:tc>
          <w:tcPr>
            <w:tcW w:w="6795" w:type="dxa"/>
          </w:tcPr>
          <w:p w14:paraId="1D487604" w14:textId="4BEEA275" w:rsidR="00394B3E" w:rsidRPr="00F6259F" w:rsidRDefault="00A95B9F" w:rsidP="008A4C51">
            <w:pPr>
              <w:pStyle w:val="TTTableText"/>
              <w:rPr>
                <w:color w:val="000000" w:themeColor="text1"/>
                <w:lang w:val="en-GB"/>
              </w:rPr>
            </w:pPr>
            <w:r w:rsidRPr="00F6259F">
              <w:rPr>
                <w:color w:val="000000" w:themeColor="text1"/>
                <w:lang w:val="en-GB"/>
              </w:rPr>
              <w:t xml:space="preserve">Appellate Body Report, </w:t>
            </w:r>
            <w:r w:rsidRPr="00F6259F">
              <w:rPr>
                <w:i/>
                <w:color w:val="000000" w:themeColor="text1"/>
                <w:lang w:val="en-GB"/>
              </w:rPr>
              <w:t>Korea – Definitive Safeguard Measure on Imports of Certain Dairy Products</w:t>
            </w:r>
            <w:r w:rsidRPr="00F6259F">
              <w:rPr>
                <w:color w:val="000000" w:themeColor="text1"/>
                <w:lang w:val="en-GB"/>
              </w:rPr>
              <w:t xml:space="preserve">, WT/DS98/AB/R, adopted 12 January 2000, DSR </w:t>
            </w:r>
            <w:proofErr w:type="gramStart"/>
            <w:r w:rsidRPr="00F6259F">
              <w:rPr>
                <w:color w:val="000000" w:themeColor="text1"/>
                <w:lang w:val="en-GB"/>
              </w:rPr>
              <w:t>2000:I</w:t>
            </w:r>
            <w:proofErr w:type="gramEnd"/>
            <w:r w:rsidRPr="00F6259F">
              <w:rPr>
                <w:color w:val="000000" w:themeColor="text1"/>
                <w:lang w:val="en-GB"/>
              </w:rPr>
              <w:t>, p. 3</w:t>
            </w:r>
          </w:p>
        </w:tc>
      </w:tr>
      <w:tr w:rsidR="00B459F9" w:rsidRPr="0007327B" w14:paraId="06237E37" w14:textId="77777777" w:rsidTr="008A4C51">
        <w:trPr>
          <w:cantSplit/>
          <w:trHeight w:val="397"/>
        </w:trPr>
        <w:tc>
          <w:tcPr>
            <w:tcW w:w="2265" w:type="dxa"/>
          </w:tcPr>
          <w:p w14:paraId="6731A912" w14:textId="423A7BF4" w:rsidR="00B459F9" w:rsidRPr="00F6259F" w:rsidRDefault="005F00ED" w:rsidP="008A4C51">
            <w:pPr>
              <w:pStyle w:val="TTTableText"/>
              <w:rPr>
                <w:i/>
                <w:color w:val="000000" w:themeColor="text1"/>
                <w:lang w:val="en-GB"/>
              </w:rPr>
            </w:pPr>
            <w:r w:rsidRPr="00F6259F">
              <w:rPr>
                <w:i/>
                <w:color w:val="000000" w:themeColor="text1"/>
                <w:lang w:val="en-GB"/>
              </w:rPr>
              <w:lastRenderedPageBreak/>
              <w:t>Russia – Railway Equipment</w:t>
            </w:r>
          </w:p>
        </w:tc>
        <w:tc>
          <w:tcPr>
            <w:tcW w:w="6795" w:type="dxa"/>
          </w:tcPr>
          <w:p w14:paraId="772FF6FF" w14:textId="2A071F20" w:rsidR="00B459F9" w:rsidRPr="00F6259F" w:rsidRDefault="004E18C5" w:rsidP="008A4C51">
            <w:pPr>
              <w:pStyle w:val="TTTableText"/>
              <w:rPr>
                <w:color w:val="000000" w:themeColor="text1"/>
                <w:lang w:val="en-GB"/>
              </w:rPr>
            </w:pPr>
            <w:r w:rsidRPr="00F6259F">
              <w:rPr>
                <w:color w:val="000000" w:themeColor="text1"/>
                <w:lang w:val="en-GB"/>
              </w:rPr>
              <w:t xml:space="preserve">Appellate Body Report, </w:t>
            </w:r>
            <w:r w:rsidRPr="00F6259F">
              <w:rPr>
                <w:i/>
                <w:color w:val="000000" w:themeColor="text1"/>
                <w:lang w:val="en-GB"/>
              </w:rPr>
              <w:t>Russia – Measures Affecting the Importation of Railway Equipment and Parts Thereof</w:t>
            </w:r>
            <w:r w:rsidRPr="00F6259F">
              <w:rPr>
                <w:color w:val="000000" w:themeColor="text1"/>
                <w:lang w:val="en-GB"/>
              </w:rPr>
              <w:t>, WT/DS499/AB/R a</w:t>
            </w:r>
            <w:r w:rsidRPr="00F6259F">
              <w:rPr>
                <w:iCs/>
                <w:color w:val="000000" w:themeColor="text1"/>
                <w:lang w:val="en-GB"/>
              </w:rPr>
              <w:t>nd Add.1, adopted 5 March 2020</w:t>
            </w:r>
          </w:p>
        </w:tc>
      </w:tr>
      <w:tr w:rsidR="00B052D8" w:rsidRPr="0007327B" w14:paraId="6A46B9FB" w14:textId="77777777" w:rsidTr="008A4C51">
        <w:trPr>
          <w:cantSplit/>
          <w:trHeight w:val="397"/>
        </w:trPr>
        <w:tc>
          <w:tcPr>
            <w:tcW w:w="2265" w:type="dxa"/>
          </w:tcPr>
          <w:p w14:paraId="6BBBEF98" w14:textId="26F68E93" w:rsidR="00B052D8" w:rsidRPr="00F6259F" w:rsidRDefault="00CC34B3" w:rsidP="008A4C51">
            <w:pPr>
              <w:pStyle w:val="TTTableText"/>
              <w:rPr>
                <w:i/>
                <w:color w:val="000000" w:themeColor="text1"/>
                <w:lang w:val="en-GB"/>
              </w:rPr>
            </w:pPr>
            <w:r w:rsidRPr="00F6259F">
              <w:rPr>
                <w:i/>
                <w:color w:val="000000" w:themeColor="text1"/>
                <w:lang w:val="en-GB"/>
              </w:rPr>
              <w:t>Thailand – H-Beams</w:t>
            </w:r>
          </w:p>
        </w:tc>
        <w:tc>
          <w:tcPr>
            <w:tcW w:w="6795" w:type="dxa"/>
          </w:tcPr>
          <w:p w14:paraId="23E383DF" w14:textId="287BB52B" w:rsidR="00B052D8" w:rsidRPr="00F6259F" w:rsidRDefault="00FE5803" w:rsidP="008A4C51">
            <w:pPr>
              <w:pStyle w:val="TTTableText"/>
              <w:rPr>
                <w:color w:val="000000" w:themeColor="text1"/>
                <w:lang w:val="en-GB"/>
              </w:rPr>
            </w:pPr>
            <w:r w:rsidRPr="00F6259F">
              <w:rPr>
                <w:color w:val="000000" w:themeColor="text1"/>
                <w:lang w:val="en-GB"/>
              </w:rPr>
              <w:t xml:space="preserve">Appellate Body Report, </w:t>
            </w:r>
            <w:r w:rsidRPr="00F6259F">
              <w:rPr>
                <w:i/>
                <w:color w:val="000000" w:themeColor="text1"/>
                <w:lang w:val="en-GB"/>
              </w:rPr>
              <w:t>Thailand – Anti-Dumping Duties on Angles, Shapes and Sections of Iron or Non-Alloy Steel and H</w:t>
            </w:r>
            <w:r w:rsidRPr="00F6259F">
              <w:rPr>
                <w:i/>
                <w:color w:val="000000" w:themeColor="text1"/>
                <w:lang w:val="en-GB"/>
              </w:rPr>
              <w:noBreakHyphen/>
              <w:t>Beams from Poland</w:t>
            </w:r>
            <w:r w:rsidRPr="00F6259F">
              <w:rPr>
                <w:color w:val="000000" w:themeColor="text1"/>
                <w:lang w:val="en-GB"/>
              </w:rPr>
              <w:t>, WT/DS122/AB/R, adopted 5 April 2001, DSR </w:t>
            </w:r>
            <w:proofErr w:type="gramStart"/>
            <w:r w:rsidRPr="00F6259F">
              <w:rPr>
                <w:color w:val="000000" w:themeColor="text1"/>
                <w:lang w:val="en-GB"/>
              </w:rPr>
              <w:t>2001:VII</w:t>
            </w:r>
            <w:proofErr w:type="gramEnd"/>
            <w:r w:rsidRPr="00F6259F">
              <w:rPr>
                <w:color w:val="000000" w:themeColor="text1"/>
                <w:lang w:val="en-GB"/>
              </w:rPr>
              <w:t>, p. 2701</w:t>
            </w:r>
          </w:p>
        </w:tc>
      </w:tr>
      <w:tr w:rsidR="00F465AC" w:rsidRPr="0007327B" w14:paraId="7F9A0A07" w14:textId="77777777" w:rsidTr="008A4C51">
        <w:trPr>
          <w:cantSplit/>
          <w:trHeight w:val="397"/>
        </w:trPr>
        <w:tc>
          <w:tcPr>
            <w:tcW w:w="2265" w:type="dxa"/>
          </w:tcPr>
          <w:p w14:paraId="3401FAAB" w14:textId="32C1BB5D" w:rsidR="00F465AC" w:rsidRPr="00F6259F" w:rsidRDefault="00F465AC" w:rsidP="008A4C51">
            <w:pPr>
              <w:pStyle w:val="TTTableText"/>
              <w:rPr>
                <w:i/>
                <w:color w:val="000000" w:themeColor="text1"/>
                <w:lang w:val="en-GB"/>
              </w:rPr>
            </w:pPr>
            <w:r w:rsidRPr="00F6259F">
              <w:rPr>
                <w:i/>
                <w:color w:val="000000" w:themeColor="text1"/>
                <w:lang w:val="en-GB"/>
              </w:rPr>
              <w:t>US – Carbon Steel</w:t>
            </w:r>
          </w:p>
        </w:tc>
        <w:tc>
          <w:tcPr>
            <w:tcW w:w="6795" w:type="dxa"/>
          </w:tcPr>
          <w:p w14:paraId="4AFA4E48" w14:textId="52B7C0BD" w:rsidR="00F465AC" w:rsidRPr="00F6259F" w:rsidRDefault="00C865D5" w:rsidP="008A4C51">
            <w:pPr>
              <w:pStyle w:val="TTTableText"/>
              <w:rPr>
                <w:color w:val="000000" w:themeColor="text1"/>
                <w:lang w:val="en-GB"/>
              </w:rPr>
            </w:pPr>
            <w:r w:rsidRPr="00F6259F">
              <w:rPr>
                <w:color w:val="000000" w:themeColor="text1"/>
                <w:lang w:val="en-GB"/>
              </w:rPr>
              <w:t xml:space="preserve">Appellate Body Report, </w:t>
            </w:r>
            <w:r w:rsidRPr="00F6259F">
              <w:rPr>
                <w:i/>
                <w:color w:val="000000" w:themeColor="text1"/>
                <w:lang w:val="en-GB"/>
              </w:rPr>
              <w:t>United States – Countervailing Duties on Certain Corrosion-Resistant Carbon Steel Flat Products from Germany</w:t>
            </w:r>
            <w:r w:rsidRPr="00F6259F">
              <w:rPr>
                <w:color w:val="000000" w:themeColor="text1"/>
                <w:lang w:val="en-GB"/>
              </w:rPr>
              <w:t>, WT/DS213/AB/R and Corr.1, adopted 19 December 2002, DSR </w:t>
            </w:r>
            <w:proofErr w:type="gramStart"/>
            <w:r w:rsidRPr="00F6259F">
              <w:rPr>
                <w:color w:val="000000" w:themeColor="text1"/>
                <w:lang w:val="en-GB"/>
              </w:rPr>
              <w:t>2002:IX</w:t>
            </w:r>
            <w:proofErr w:type="gramEnd"/>
            <w:r w:rsidRPr="00F6259F">
              <w:rPr>
                <w:color w:val="000000" w:themeColor="text1"/>
                <w:lang w:val="en-GB"/>
              </w:rPr>
              <w:t>, p. 3779</w:t>
            </w:r>
          </w:p>
        </w:tc>
      </w:tr>
      <w:tr w:rsidR="008044BA" w:rsidRPr="0007327B" w14:paraId="33B215C7" w14:textId="77777777" w:rsidTr="008A4C51">
        <w:trPr>
          <w:cantSplit/>
          <w:trHeight w:val="397"/>
        </w:trPr>
        <w:tc>
          <w:tcPr>
            <w:tcW w:w="2265" w:type="dxa"/>
          </w:tcPr>
          <w:p w14:paraId="33B67522" w14:textId="7193EEA4" w:rsidR="008044BA" w:rsidRPr="00F6259F" w:rsidRDefault="008F2B0F" w:rsidP="008A4C51">
            <w:pPr>
              <w:pStyle w:val="TTTableText"/>
              <w:rPr>
                <w:i/>
                <w:color w:val="000000" w:themeColor="text1"/>
                <w:lang w:val="en-GB"/>
              </w:rPr>
            </w:pPr>
            <w:r w:rsidRPr="00F6259F">
              <w:rPr>
                <w:i/>
                <w:color w:val="000000" w:themeColor="text1"/>
                <w:lang w:val="en-GB"/>
              </w:rPr>
              <w:t>US – Continued Zeroing</w:t>
            </w:r>
          </w:p>
        </w:tc>
        <w:tc>
          <w:tcPr>
            <w:tcW w:w="6795" w:type="dxa"/>
          </w:tcPr>
          <w:p w14:paraId="79B8701E" w14:textId="3DFDDDDC" w:rsidR="008044BA" w:rsidRPr="00F6259F" w:rsidRDefault="00F01A60" w:rsidP="008A4C51">
            <w:pPr>
              <w:pStyle w:val="TTTableText"/>
              <w:rPr>
                <w:color w:val="000000" w:themeColor="text1"/>
                <w:lang w:val="en-GB"/>
              </w:rPr>
            </w:pPr>
            <w:r w:rsidRPr="00F6259F">
              <w:rPr>
                <w:color w:val="000000" w:themeColor="text1"/>
                <w:lang w:val="en-GB"/>
              </w:rPr>
              <w:t xml:space="preserve">Appellate Body Report, </w:t>
            </w:r>
            <w:r w:rsidRPr="00F6259F">
              <w:rPr>
                <w:i/>
                <w:color w:val="000000" w:themeColor="text1"/>
                <w:lang w:val="en-GB"/>
              </w:rPr>
              <w:t>United States – Continued Existence and Application of Zeroing Methodology</w:t>
            </w:r>
            <w:r w:rsidRPr="00F6259F">
              <w:rPr>
                <w:color w:val="000000" w:themeColor="text1"/>
                <w:lang w:val="en-GB"/>
              </w:rPr>
              <w:t>, WT/DS350/AB/R, adopted 19 February 2009, DSR </w:t>
            </w:r>
            <w:proofErr w:type="gramStart"/>
            <w:r w:rsidRPr="00F6259F">
              <w:rPr>
                <w:color w:val="000000" w:themeColor="text1"/>
                <w:lang w:val="en-GB"/>
              </w:rPr>
              <w:t>2009:III</w:t>
            </w:r>
            <w:proofErr w:type="gramEnd"/>
            <w:r w:rsidRPr="00F6259F">
              <w:rPr>
                <w:color w:val="000000" w:themeColor="text1"/>
                <w:lang w:val="en-GB"/>
              </w:rPr>
              <w:t>, p. 1291</w:t>
            </w:r>
          </w:p>
        </w:tc>
      </w:tr>
      <w:tr w:rsidR="00F20597" w:rsidRPr="0007327B" w14:paraId="497A08B8" w14:textId="77777777" w:rsidTr="008A4C51">
        <w:trPr>
          <w:cantSplit/>
          <w:trHeight w:val="397"/>
        </w:trPr>
        <w:tc>
          <w:tcPr>
            <w:tcW w:w="2265" w:type="dxa"/>
          </w:tcPr>
          <w:p w14:paraId="0BC34625" w14:textId="496392B9" w:rsidR="00F20597" w:rsidRPr="00F6259F" w:rsidRDefault="00F20597" w:rsidP="00003DCD">
            <w:pPr>
              <w:pStyle w:val="TTTableText"/>
              <w:rPr>
                <w:i/>
                <w:iCs/>
                <w:color w:val="000000" w:themeColor="text1"/>
                <w:lang w:val="en-GB"/>
              </w:rPr>
            </w:pPr>
            <w:r w:rsidRPr="00F6259F">
              <w:rPr>
                <w:i/>
                <w:iCs/>
                <w:color w:val="000000" w:themeColor="text1"/>
              </w:rPr>
              <w:t>US – Corrosion-Resistant Steel Sunset Review</w:t>
            </w:r>
          </w:p>
        </w:tc>
        <w:tc>
          <w:tcPr>
            <w:tcW w:w="6795" w:type="dxa"/>
          </w:tcPr>
          <w:p w14:paraId="5D66BD53" w14:textId="7AD2BB60" w:rsidR="00F20597" w:rsidRPr="00F6259F" w:rsidRDefault="00F20597" w:rsidP="00003DCD">
            <w:pPr>
              <w:pStyle w:val="TTTableText"/>
              <w:rPr>
                <w:color w:val="000000" w:themeColor="text1"/>
                <w:lang w:val="en-GB"/>
              </w:rPr>
            </w:pPr>
            <w:r w:rsidRPr="00F6259F">
              <w:rPr>
                <w:color w:val="000000" w:themeColor="text1"/>
              </w:rPr>
              <w:t xml:space="preserve">Appellate Body Report, </w:t>
            </w:r>
            <w:r w:rsidRPr="00F6259F">
              <w:rPr>
                <w:i/>
                <w:color w:val="000000" w:themeColor="text1"/>
              </w:rPr>
              <w:t>United States – Sunset Review of Anti-Dumping Duties on Corrosion</w:t>
            </w:r>
            <w:r w:rsidRPr="00F6259F">
              <w:rPr>
                <w:i/>
                <w:color w:val="000000" w:themeColor="text1"/>
              </w:rPr>
              <w:noBreakHyphen/>
              <w:t>Resistant Carbon Steel Flat Products from Japan</w:t>
            </w:r>
            <w:r w:rsidRPr="00F6259F">
              <w:rPr>
                <w:color w:val="000000" w:themeColor="text1"/>
              </w:rPr>
              <w:t xml:space="preserve">, WT/DS244/AB/R, adopted 9 January 2004, DSR </w:t>
            </w:r>
            <w:proofErr w:type="gramStart"/>
            <w:r w:rsidRPr="00F6259F">
              <w:rPr>
                <w:color w:val="000000" w:themeColor="text1"/>
              </w:rPr>
              <w:t>2004:I</w:t>
            </w:r>
            <w:proofErr w:type="gramEnd"/>
            <w:r w:rsidRPr="00F6259F">
              <w:rPr>
                <w:color w:val="000000" w:themeColor="text1"/>
              </w:rPr>
              <w:t>, p. 3</w:t>
            </w:r>
          </w:p>
        </w:tc>
      </w:tr>
      <w:tr w:rsidR="00003DCD" w:rsidRPr="0007327B" w14:paraId="76EA4107" w14:textId="77777777" w:rsidTr="008A4C51">
        <w:trPr>
          <w:cantSplit/>
          <w:trHeight w:val="397"/>
        </w:trPr>
        <w:tc>
          <w:tcPr>
            <w:tcW w:w="2265" w:type="dxa"/>
          </w:tcPr>
          <w:p w14:paraId="59CA26E0" w14:textId="6C2313A6" w:rsidR="00003DCD" w:rsidRPr="00F6259F" w:rsidRDefault="00003DCD" w:rsidP="00003DCD">
            <w:pPr>
              <w:pStyle w:val="TTTableText"/>
              <w:rPr>
                <w:i/>
                <w:color w:val="000000" w:themeColor="text1"/>
              </w:rPr>
            </w:pPr>
            <w:r w:rsidRPr="00F6259F">
              <w:rPr>
                <w:i/>
                <w:color w:val="000000" w:themeColor="text1"/>
                <w:lang w:val="en-GB"/>
              </w:rPr>
              <w:t>US – Oil Country Tubular Goods Sunset Reviews</w:t>
            </w:r>
          </w:p>
        </w:tc>
        <w:tc>
          <w:tcPr>
            <w:tcW w:w="6795" w:type="dxa"/>
          </w:tcPr>
          <w:p w14:paraId="3B423B50" w14:textId="612F4745" w:rsidR="00003DCD" w:rsidRPr="00F6259F" w:rsidRDefault="00003DCD" w:rsidP="00003DCD">
            <w:pPr>
              <w:pStyle w:val="TTTableText"/>
              <w:rPr>
                <w:color w:val="000000" w:themeColor="text1"/>
              </w:rPr>
            </w:pPr>
            <w:r w:rsidRPr="00F6259F">
              <w:rPr>
                <w:color w:val="000000" w:themeColor="text1"/>
                <w:lang w:val="en-GB"/>
              </w:rPr>
              <w:t xml:space="preserve">Appellate Body Report, </w:t>
            </w:r>
            <w:r w:rsidRPr="00F6259F">
              <w:rPr>
                <w:i/>
                <w:color w:val="000000" w:themeColor="text1"/>
                <w:lang w:val="en-GB"/>
              </w:rPr>
              <w:t>United States – Sunset Reviews of Anti-Dumping Measures on Oil Country Tubular Goods from Argentina</w:t>
            </w:r>
            <w:r w:rsidRPr="00F6259F">
              <w:rPr>
                <w:color w:val="000000" w:themeColor="text1"/>
                <w:lang w:val="en-GB"/>
              </w:rPr>
              <w:t>, WT/DS268/AB/R, adopted 17 December 2004, DSR </w:t>
            </w:r>
            <w:proofErr w:type="gramStart"/>
            <w:r w:rsidRPr="00F6259F">
              <w:rPr>
                <w:color w:val="000000" w:themeColor="text1"/>
                <w:lang w:val="en-GB"/>
              </w:rPr>
              <w:t>2004:VII</w:t>
            </w:r>
            <w:proofErr w:type="gramEnd"/>
            <w:r w:rsidRPr="00F6259F">
              <w:rPr>
                <w:color w:val="000000" w:themeColor="text1"/>
                <w:lang w:val="en-GB"/>
              </w:rPr>
              <w:t>, p. 3257</w:t>
            </w:r>
          </w:p>
        </w:tc>
      </w:tr>
    </w:tbl>
    <w:p w14:paraId="6CCCAC94" w14:textId="77777777" w:rsidR="004D7079" w:rsidRPr="0007327B" w:rsidRDefault="004D7079" w:rsidP="004D7079">
      <w:pPr>
        <w:pStyle w:val="BTNSSBodyTextNoSpacingSmall"/>
      </w:pPr>
    </w:p>
    <w:p w14:paraId="1AD08FDB" w14:textId="77777777" w:rsidR="00EE46EA" w:rsidRDefault="00EE46EA" w:rsidP="004524CE">
      <w:pPr>
        <w:pStyle w:val="SHSectionHeading"/>
      </w:pPr>
      <w:r>
        <w:br w:type="page"/>
      </w:r>
    </w:p>
    <w:p w14:paraId="03059584" w14:textId="5D0EC60C" w:rsidR="008A1191" w:rsidRPr="0007327B" w:rsidRDefault="004524CE" w:rsidP="004524CE">
      <w:pPr>
        <w:pStyle w:val="SHSectionHeading"/>
      </w:pPr>
      <w:bookmarkStart w:id="1" w:name="_Toc146289488"/>
      <w:r w:rsidRPr="0007327B">
        <w:lastRenderedPageBreak/>
        <w:t>List of Acronyms, Abbreviations and Short Forms</w:t>
      </w:r>
      <w:bookmarkEnd w:id="1"/>
    </w:p>
    <w:tbl>
      <w:tblPr>
        <w:tblStyle w:val="TableGrid"/>
        <w:tblW w:w="5000" w:type="pct"/>
        <w:tblLook w:val="04A0" w:firstRow="1" w:lastRow="0" w:firstColumn="1" w:lastColumn="0" w:noHBand="0" w:noVBand="1"/>
      </w:tblPr>
      <w:tblGrid>
        <w:gridCol w:w="1696"/>
        <w:gridCol w:w="7364"/>
      </w:tblGrid>
      <w:tr w:rsidR="008A1191" w:rsidRPr="0007327B" w14:paraId="61A6B0DD" w14:textId="77777777" w:rsidTr="008A1191">
        <w:trPr>
          <w:cantSplit/>
          <w:trHeight w:val="397"/>
          <w:tblHeader/>
        </w:trPr>
        <w:tc>
          <w:tcPr>
            <w:tcW w:w="1696" w:type="dxa"/>
            <w:shd w:val="clear" w:color="auto" w:fill="D9D9D9" w:themeFill="background1" w:themeFillShade="D9"/>
          </w:tcPr>
          <w:p w14:paraId="0845A43A" w14:textId="77777777" w:rsidR="008A1191" w:rsidRPr="0007327B" w:rsidRDefault="008A1191" w:rsidP="008A4C51">
            <w:pPr>
              <w:pStyle w:val="THTableHeading"/>
              <w:jc w:val="center"/>
            </w:pPr>
            <w:r w:rsidRPr="0007327B">
              <w:t>Abbreviation</w:t>
            </w:r>
          </w:p>
        </w:tc>
        <w:tc>
          <w:tcPr>
            <w:tcW w:w="7364" w:type="dxa"/>
            <w:shd w:val="clear" w:color="auto" w:fill="D9D9D9" w:themeFill="background1" w:themeFillShade="D9"/>
          </w:tcPr>
          <w:p w14:paraId="72B9EC2F" w14:textId="77777777" w:rsidR="008A1191" w:rsidRPr="0007327B" w:rsidRDefault="008A1191" w:rsidP="008A4C51">
            <w:pPr>
              <w:pStyle w:val="THTableHeading"/>
              <w:jc w:val="center"/>
            </w:pPr>
            <w:r w:rsidRPr="0007327B">
              <w:t>Full Form or Description</w:t>
            </w:r>
          </w:p>
        </w:tc>
      </w:tr>
      <w:tr w:rsidR="001747E5" w:rsidRPr="0007327B" w14:paraId="72F31E8F" w14:textId="77777777" w:rsidTr="008A1191">
        <w:trPr>
          <w:cantSplit/>
          <w:trHeight w:val="397"/>
        </w:trPr>
        <w:tc>
          <w:tcPr>
            <w:tcW w:w="1696" w:type="dxa"/>
          </w:tcPr>
          <w:p w14:paraId="5B852BAB" w14:textId="3E556BB6" w:rsidR="001747E5" w:rsidRDefault="001747E5" w:rsidP="008A4C51">
            <w:pPr>
              <w:pStyle w:val="TTTableText"/>
            </w:pPr>
            <w:r>
              <w:t>DSB</w:t>
            </w:r>
          </w:p>
        </w:tc>
        <w:tc>
          <w:tcPr>
            <w:tcW w:w="7364" w:type="dxa"/>
          </w:tcPr>
          <w:p w14:paraId="1EE9306A" w14:textId="59D1929A" w:rsidR="001747E5" w:rsidRDefault="001747E5" w:rsidP="008A4C51">
            <w:pPr>
              <w:pStyle w:val="TTTableText"/>
            </w:pPr>
            <w:r>
              <w:t>Dispute Settlement Body</w:t>
            </w:r>
          </w:p>
        </w:tc>
      </w:tr>
      <w:tr w:rsidR="00D03238" w:rsidRPr="0007327B" w14:paraId="47A4F61E" w14:textId="77777777" w:rsidTr="008A1191">
        <w:trPr>
          <w:cantSplit/>
          <w:trHeight w:val="397"/>
        </w:trPr>
        <w:tc>
          <w:tcPr>
            <w:tcW w:w="1696" w:type="dxa"/>
          </w:tcPr>
          <w:p w14:paraId="76FD78D7" w14:textId="0BE8EBB1" w:rsidR="00D03238" w:rsidRDefault="00D03238" w:rsidP="008A4C51">
            <w:pPr>
              <w:pStyle w:val="TTTableText"/>
            </w:pPr>
            <w:r>
              <w:t>DSU</w:t>
            </w:r>
          </w:p>
        </w:tc>
        <w:tc>
          <w:tcPr>
            <w:tcW w:w="7364" w:type="dxa"/>
          </w:tcPr>
          <w:p w14:paraId="7511D1A7" w14:textId="7A0998E9" w:rsidR="00D03238" w:rsidRPr="0007327B" w:rsidRDefault="00654EB8" w:rsidP="008A4C51">
            <w:pPr>
              <w:pStyle w:val="TTTableText"/>
            </w:pPr>
            <w:r>
              <w:t>Understanding on Rules and Procedures Governing the Settlement of Disputes</w:t>
            </w:r>
          </w:p>
        </w:tc>
      </w:tr>
      <w:tr w:rsidR="00EC30B4" w:rsidRPr="0007327B" w14:paraId="259D58B7" w14:textId="77777777" w:rsidTr="008A1191">
        <w:trPr>
          <w:cantSplit/>
          <w:trHeight w:val="397"/>
        </w:trPr>
        <w:tc>
          <w:tcPr>
            <w:tcW w:w="1696" w:type="dxa"/>
          </w:tcPr>
          <w:p w14:paraId="0D1AC445" w14:textId="1B35BAF8" w:rsidR="00EC30B4" w:rsidRDefault="00EC30B4" w:rsidP="008A4C51">
            <w:pPr>
              <w:pStyle w:val="TTTableText"/>
            </w:pPr>
            <w:r>
              <w:t>WTO</w:t>
            </w:r>
          </w:p>
        </w:tc>
        <w:tc>
          <w:tcPr>
            <w:tcW w:w="7364" w:type="dxa"/>
          </w:tcPr>
          <w:p w14:paraId="56E83746" w14:textId="33EC7208" w:rsidR="00EC30B4" w:rsidRPr="0007327B" w:rsidRDefault="00EC30B4" w:rsidP="008A4C51">
            <w:pPr>
              <w:pStyle w:val="TTTableText"/>
            </w:pPr>
            <w:r>
              <w:t>World Trade Organization</w:t>
            </w:r>
          </w:p>
        </w:tc>
      </w:tr>
    </w:tbl>
    <w:p w14:paraId="1EB6ECBE" w14:textId="77777777" w:rsidR="004D7079" w:rsidRPr="0007327B" w:rsidRDefault="004D7079" w:rsidP="004D7079">
      <w:pPr>
        <w:pStyle w:val="BTNSSBodyTextNoSpacingSmall"/>
      </w:pPr>
    </w:p>
    <w:p w14:paraId="13AECE11" w14:textId="75EDFE77" w:rsidR="00646876" w:rsidRDefault="00646876" w:rsidP="007A3EF1">
      <w:pPr>
        <w:pStyle w:val="BTBodyText"/>
      </w:pPr>
      <w:r>
        <w:br w:type="page"/>
      </w:r>
    </w:p>
    <w:p w14:paraId="519B0BF9" w14:textId="382A8B32" w:rsidR="00D52A17" w:rsidRPr="0007327B" w:rsidRDefault="00D03238" w:rsidP="00D52A17">
      <w:pPr>
        <w:pStyle w:val="HL1HeadingLevel1"/>
      </w:pPr>
      <w:bookmarkStart w:id="2" w:name="_Toc146289489"/>
      <w:r>
        <w:lastRenderedPageBreak/>
        <w:t>I</w:t>
      </w:r>
      <w:r w:rsidR="00695EC0">
        <w:t>ntroduction</w:t>
      </w:r>
      <w:bookmarkEnd w:id="2"/>
    </w:p>
    <w:p w14:paraId="44272B65" w14:textId="661533DE" w:rsidR="00D52A17" w:rsidRDefault="00D03238" w:rsidP="00D52A17">
      <w:pPr>
        <w:pStyle w:val="P1-N1Paragraph1-Number1"/>
      </w:pPr>
      <w:r>
        <w:t xml:space="preserve">Australia welcomes this opportunity to provide its views as a third party on China's </w:t>
      </w:r>
      <w:r w:rsidR="00A60461">
        <w:t>preliminary ruling request</w:t>
      </w:r>
      <w:r w:rsidR="009B371A">
        <w:t xml:space="preserve"> and </w:t>
      </w:r>
      <w:r w:rsidR="00EE46EA">
        <w:t xml:space="preserve">on </w:t>
      </w:r>
      <w:r w:rsidR="009B371A">
        <w:t>the European Union's response</w:t>
      </w:r>
      <w:r w:rsidR="00FC0DFA">
        <w:t>.</w:t>
      </w:r>
      <w:r>
        <w:t xml:space="preserve"> </w:t>
      </w:r>
      <w:r w:rsidR="00FC0DFA">
        <w:t>Australia</w:t>
      </w:r>
      <w:r w:rsidR="008F6134">
        <w:t xml:space="preserve"> exercises its right to participate because of its </w:t>
      </w:r>
      <w:r>
        <w:t>systemic interest in the correct and consistent interpretation</w:t>
      </w:r>
      <w:r w:rsidR="009B371A">
        <w:t>,</w:t>
      </w:r>
      <w:r>
        <w:t xml:space="preserve"> and application</w:t>
      </w:r>
      <w:r w:rsidR="009B371A">
        <w:t>,</w:t>
      </w:r>
      <w:r>
        <w:t xml:space="preserve"> of key </w:t>
      </w:r>
      <w:r w:rsidR="008F6134">
        <w:t>requirements</w:t>
      </w:r>
      <w:r>
        <w:t xml:space="preserve"> of </w:t>
      </w:r>
      <w:r w:rsidR="008F6134">
        <w:t xml:space="preserve">the </w:t>
      </w:r>
      <w:r w:rsidR="00915F7B">
        <w:t>DSU.</w:t>
      </w:r>
    </w:p>
    <w:p w14:paraId="4CF6BAC3" w14:textId="4865B724" w:rsidR="00D03238" w:rsidRDefault="008F6134" w:rsidP="008F6134">
      <w:pPr>
        <w:pStyle w:val="P1-N1Paragraph1-Number1"/>
      </w:pPr>
      <w:r>
        <w:t xml:space="preserve">Australia presents its views on the proper interpretation of Article 6.2 of the DSU, as relevant to China's </w:t>
      </w:r>
      <w:r w:rsidR="0036366F">
        <w:t>preliminary ruling request</w:t>
      </w:r>
      <w:r>
        <w:t xml:space="preserve">. </w:t>
      </w:r>
      <w:proofErr w:type="gramStart"/>
      <w:r>
        <w:t>In particular, Australia</w:t>
      </w:r>
      <w:proofErr w:type="gramEnd"/>
      <w:r>
        <w:t xml:space="preserve"> will address the legal standard and analysis applicable to the requirement to identify the </w:t>
      </w:r>
      <w:r w:rsidR="108F6A3B">
        <w:t>"</w:t>
      </w:r>
      <w:r>
        <w:t>specific measures at issue" in a request for the establishment of a panel</w:t>
      </w:r>
      <w:r w:rsidR="00CB6127">
        <w:t>, as relevant to the</w:t>
      </w:r>
      <w:r w:rsidR="00EB4927">
        <w:t xml:space="preserve"> </w:t>
      </w:r>
      <w:r w:rsidR="00CB6127">
        <w:t>"unwritten measures"</w:t>
      </w:r>
      <w:r>
        <w:t>.</w:t>
      </w:r>
      <w:r w:rsidR="00CB6127">
        <w:rPr>
          <w:rStyle w:val="FootnoteReference"/>
        </w:rPr>
        <w:footnoteReference w:id="2"/>
      </w:r>
      <w:r>
        <w:t xml:space="preserve"> </w:t>
      </w:r>
      <w:r w:rsidR="00D03238">
        <w:t xml:space="preserve">Australia does not </w:t>
      </w:r>
      <w:r>
        <w:t>present any</w:t>
      </w:r>
      <w:r w:rsidR="00D03238">
        <w:t xml:space="preserve"> position on the facts of thi</w:t>
      </w:r>
      <w:r w:rsidR="003D1B01">
        <w:t>s</w:t>
      </w:r>
      <w:r w:rsidR="00D03238">
        <w:t xml:space="preserve"> d</w:t>
      </w:r>
      <w:r w:rsidR="003D1B01">
        <w:t>is</w:t>
      </w:r>
      <w:r w:rsidR="00D03238">
        <w:t>pute</w:t>
      </w:r>
      <w:r>
        <w:t xml:space="preserve">. </w:t>
      </w:r>
    </w:p>
    <w:p w14:paraId="42F679D1" w14:textId="41CF0BDB" w:rsidR="00D03238" w:rsidRDefault="00D03238" w:rsidP="00D03238">
      <w:pPr>
        <w:pStyle w:val="HL1HeadingLevel1"/>
      </w:pPr>
      <w:bookmarkStart w:id="3" w:name="_Toc146289490"/>
      <w:r>
        <w:t>Arguments of the parties</w:t>
      </w:r>
      <w:bookmarkEnd w:id="3"/>
    </w:p>
    <w:p w14:paraId="21AB870B" w14:textId="700242F7" w:rsidR="003D1B01" w:rsidRDefault="000B3880" w:rsidP="00617B8B">
      <w:pPr>
        <w:pStyle w:val="P1-N1Paragraph1-Number1"/>
      </w:pPr>
      <w:r>
        <w:t xml:space="preserve">China </w:t>
      </w:r>
      <w:r w:rsidR="00B22FA4">
        <w:t>contends that both unwritten measures</w:t>
      </w:r>
      <w:r w:rsidR="00F67C2A">
        <w:t xml:space="preserve"> (an unwritten import restriction and an unwritten overarching measure)</w:t>
      </w:r>
      <w:r w:rsidR="00F67C2A">
        <w:rPr>
          <w:rStyle w:val="FootnoteReference"/>
        </w:rPr>
        <w:t xml:space="preserve"> </w:t>
      </w:r>
      <w:r w:rsidR="00FC0DFA">
        <w:t xml:space="preserve">identified by the </w:t>
      </w:r>
      <w:r w:rsidR="0036366F">
        <w:t xml:space="preserve">European Union </w:t>
      </w:r>
      <w:r w:rsidR="00B22FA4">
        <w:t xml:space="preserve">are outside the </w:t>
      </w:r>
      <w:r w:rsidR="00F6259F">
        <w:t>P</w:t>
      </w:r>
      <w:r w:rsidR="00B22FA4">
        <w:t xml:space="preserve">anel's terms of reference. </w:t>
      </w:r>
      <w:r w:rsidR="002904C2">
        <w:t>Relevantly,</w:t>
      </w:r>
      <w:r w:rsidR="00E05D90">
        <w:t xml:space="preserve"> according to China, the </w:t>
      </w:r>
      <w:r w:rsidR="0036366F">
        <w:t xml:space="preserve">European Union's </w:t>
      </w:r>
      <w:r w:rsidR="002904C2">
        <w:t>panel request "fails to identify […] these measures to the standard required in Article 6.2 of the DSU</w:t>
      </w:r>
      <w:r w:rsidR="007A3AC1">
        <w:t>"</w:t>
      </w:r>
      <w:r w:rsidR="002904C2">
        <w:t>.</w:t>
      </w:r>
      <w:r w:rsidR="002904C2">
        <w:rPr>
          <w:rStyle w:val="FootnoteReference"/>
        </w:rPr>
        <w:footnoteReference w:id="3"/>
      </w:r>
      <w:r w:rsidR="00E05D90">
        <w:t xml:space="preserve"> </w:t>
      </w:r>
    </w:p>
    <w:p w14:paraId="3E57131C" w14:textId="3D6F6A9D" w:rsidR="002746D3" w:rsidRDefault="00B22FA4" w:rsidP="003D1B01">
      <w:pPr>
        <w:pStyle w:val="P1-N1Paragraph1-Number1"/>
      </w:pPr>
      <w:r>
        <w:t>China argues that the</w:t>
      </w:r>
      <w:r w:rsidR="003D1B01">
        <w:t xml:space="preserve"> unwritten import restriction</w:t>
      </w:r>
      <w:r w:rsidR="00115C8B">
        <w:t xml:space="preserve"> in th</w:t>
      </w:r>
      <w:r w:rsidR="00C55A4C">
        <w:t xml:space="preserve">e </w:t>
      </w:r>
      <w:r w:rsidR="0036366F">
        <w:t xml:space="preserve">European Union's </w:t>
      </w:r>
      <w:r w:rsidR="00C55A4C">
        <w:t xml:space="preserve">first written </w:t>
      </w:r>
      <w:r w:rsidR="00115C8B">
        <w:t>submission is "not the same</w:t>
      </w:r>
      <w:r w:rsidR="00F47E54">
        <w:t xml:space="preserve"> as the</w:t>
      </w:r>
      <w:r w:rsidR="00115C8B">
        <w:t xml:space="preserve"> measure identified in its panel request"</w:t>
      </w:r>
      <w:r w:rsidR="00C55A4C">
        <w:t xml:space="preserve"> because </w:t>
      </w:r>
      <w:r w:rsidR="00AB2B1F">
        <w:t>of an alleged inconsistency in the product scope between the two documents</w:t>
      </w:r>
      <w:r w:rsidR="00115C8B">
        <w:t>.</w:t>
      </w:r>
      <w:r w:rsidR="00F47E54">
        <w:rPr>
          <w:rStyle w:val="FootnoteReference"/>
        </w:rPr>
        <w:footnoteReference w:id="4"/>
      </w:r>
      <w:r w:rsidR="00DE1450">
        <w:t xml:space="preserve"> </w:t>
      </w:r>
      <w:r w:rsidR="00ED6230">
        <w:t xml:space="preserve">As </w:t>
      </w:r>
      <w:r w:rsidR="003D1B01">
        <w:t xml:space="preserve">Australia understands </w:t>
      </w:r>
      <w:r w:rsidR="00882E22">
        <w:t>China's</w:t>
      </w:r>
      <w:r w:rsidR="002904C2">
        <w:t xml:space="preserve"> </w:t>
      </w:r>
      <w:r w:rsidR="00882E22">
        <w:t>argument</w:t>
      </w:r>
      <w:r w:rsidR="005A4658">
        <w:t>s</w:t>
      </w:r>
      <w:r w:rsidR="00ED6230">
        <w:t xml:space="preserve">, </w:t>
      </w:r>
      <w:r w:rsidR="00867AB2">
        <w:t>such</w:t>
      </w:r>
      <w:r w:rsidR="003D1B01">
        <w:t xml:space="preserve"> inconsistency</w:t>
      </w:r>
      <w:r w:rsidR="00915F7B">
        <w:t xml:space="preserve"> is alleged to fall short of the requirements of</w:t>
      </w:r>
      <w:r w:rsidR="00DE1450">
        <w:t xml:space="preserve"> Article 6.2</w:t>
      </w:r>
      <w:r w:rsidR="003D1B01">
        <w:t xml:space="preserve"> because:</w:t>
      </w:r>
    </w:p>
    <w:p w14:paraId="480D1ED5" w14:textId="03E6148F" w:rsidR="002746D3" w:rsidRDefault="003D1B01" w:rsidP="003D190A">
      <w:pPr>
        <w:pStyle w:val="P1-N1Paragraph1-Number1"/>
        <w:numPr>
          <w:ilvl w:val="0"/>
          <w:numId w:val="9"/>
        </w:numPr>
      </w:pPr>
      <w:r>
        <w:t>"</w:t>
      </w:r>
      <w:proofErr w:type="gramStart"/>
      <w:r>
        <w:t>product</w:t>
      </w:r>
      <w:proofErr w:type="gramEnd"/>
      <w:r>
        <w:t xml:space="preserve"> scope" is an essential component of </w:t>
      </w:r>
      <w:r w:rsidR="00CB1349">
        <w:t xml:space="preserve">how </w:t>
      </w:r>
      <w:r>
        <w:t>the</w:t>
      </w:r>
      <w:r w:rsidR="0031606C">
        <w:t xml:space="preserve"> unwritten</w:t>
      </w:r>
      <w:r>
        <w:t xml:space="preserve"> import measure</w:t>
      </w:r>
      <w:r w:rsidR="00CB1349">
        <w:t xml:space="preserve"> is identified</w:t>
      </w:r>
      <w:r>
        <w:t xml:space="preserve">, on </w:t>
      </w:r>
      <w:r w:rsidR="00CF579A">
        <w:t xml:space="preserve">the </w:t>
      </w:r>
      <w:r w:rsidR="17D478F6">
        <w:t xml:space="preserve">basis of </w:t>
      </w:r>
      <w:r>
        <w:t>the E</w:t>
      </w:r>
      <w:r w:rsidR="0036366F">
        <w:t xml:space="preserve">uropean </w:t>
      </w:r>
      <w:r w:rsidR="2099EEC1">
        <w:t>U</w:t>
      </w:r>
      <w:r w:rsidR="0036366F">
        <w:t>nion</w:t>
      </w:r>
      <w:r w:rsidR="00DE1450">
        <w:t xml:space="preserve">'s </w:t>
      </w:r>
      <w:r w:rsidR="002904C2">
        <w:t>panel request;</w:t>
      </w:r>
      <w:r w:rsidR="002904C2">
        <w:rPr>
          <w:rStyle w:val="FootnoteReference"/>
        </w:rPr>
        <w:footnoteReference w:id="5"/>
      </w:r>
      <w:r w:rsidR="00915F7B">
        <w:t xml:space="preserve"> and</w:t>
      </w:r>
    </w:p>
    <w:p w14:paraId="0E405389" w14:textId="00995DC7" w:rsidR="002746D3" w:rsidRDefault="003D1B01" w:rsidP="002746D3">
      <w:pPr>
        <w:pStyle w:val="P2-B1Paragraph2-Bullet1"/>
        <w:numPr>
          <w:ilvl w:val="0"/>
          <w:numId w:val="9"/>
        </w:numPr>
      </w:pPr>
      <w:r>
        <w:lastRenderedPageBreak/>
        <w:t xml:space="preserve">the applicable legal standard for the identification of unwritten measures under Article 6.2 of the DSU requires identification </w:t>
      </w:r>
      <w:r w:rsidR="002746D3">
        <w:t xml:space="preserve">"as clearly as </w:t>
      </w:r>
      <w:r w:rsidR="002746D3" w:rsidRPr="00582887">
        <w:t>possible</w:t>
      </w:r>
      <w:r w:rsidR="002746D3">
        <w:rPr>
          <w:i/>
          <w:iCs/>
        </w:rPr>
        <w:t>"</w:t>
      </w:r>
      <w:r w:rsidR="002746D3" w:rsidRPr="00582887">
        <w:rPr>
          <w:rStyle w:val="FootnoteReference"/>
        </w:rPr>
        <w:footnoteReference w:id="6"/>
      </w:r>
      <w:r>
        <w:rPr>
          <w:i/>
          <w:iCs/>
        </w:rPr>
        <w:t xml:space="preserve"> </w:t>
      </w:r>
      <w:r>
        <w:t>within the panel request.</w:t>
      </w:r>
    </w:p>
    <w:p w14:paraId="3F06A933" w14:textId="19601281" w:rsidR="000B3880" w:rsidRDefault="00FF740A" w:rsidP="002746D3">
      <w:pPr>
        <w:pStyle w:val="P1-N1Paragraph1-Number1"/>
      </w:pPr>
      <w:r>
        <w:t xml:space="preserve">China's </w:t>
      </w:r>
      <w:r w:rsidR="0031606C">
        <w:t xml:space="preserve">claim </w:t>
      </w:r>
      <w:r w:rsidR="002904C2">
        <w:t xml:space="preserve">under Article 6.2 of the DSU </w:t>
      </w:r>
      <w:r w:rsidR="00B22FA4">
        <w:t>with respect to the</w:t>
      </w:r>
      <w:r w:rsidR="00B22FA4" w:rsidRPr="002E259D">
        <w:rPr>
          <w:i/>
          <w:iCs/>
        </w:rPr>
        <w:t xml:space="preserve"> </w:t>
      </w:r>
      <w:r w:rsidR="00B22FA4">
        <w:t xml:space="preserve">unwritten </w:t>
      </w:r>
      <w:r w:rsidR="00EC08CB" w:rsidRPr="002E259D">
        <w:rPr>
          <w:i/>
          <w:iCs/>
        </w:rPr>
        <w:t>overarching</w:t>
      </w:r>
      <w:r w:rsidR="00EC08CB">
        <w:t xml:space="preserve"> </w:t>
      </w:r>
      <w:r w:rsidR="00B22FA4">
        <w:t>measure is</w:t>
      </w:r>
      <w:r w:rsidR="0031606C">
        <w:t xml:space="preserve"> effectively</w:t>
      </w:r>
      <w:r w:rsidR="00B22FA4">
        <w:t xml:space="preserve"> consequential on </w:t>
      </w:r>
      <w:r w:rsidR="0031606C">
        <w:t xml:space="preserve">its arguments in relation to the unwritten </w:t>
      </w:r>
      <w:r w:rsidR="0031606C" w:rsidRPr="002E259D">
        <w:rPr>
          <w:i/>
          <w:iCs/>
        </w:rPr>
        <w:t xml:space="preserve">import </w:t>
      </w:r>
      <w:r w:rsidR="00A60461" w:rsidRPr="0039025D">
        <w:rPr>
          <w:i/>
          <w:iCs/>
        </w:rPr>
        <w:t>restriction</w:t>
      </w:r>
      <w:r w:rsidR="00B20855">
        <w:t>. This arises</w:t>
      </w:r>
      <w:r w:rsidR="00826CCF">
        <w:t xml:space="preserve"> from </w:t>
      </w:r>
      <w:r w:rsidR="00CB6127">
        <w:t>China's characterisation of the</w:t>
      </w:r>
      <w:r w:rsidR="00826CCF">
        <w:t xml:space="preserve"> </w:t>
      </w:r>
      <w:r w:rsidR="0031606C">
        <w:t>factual overlap</w:t>
      </w:r>
      <w:r w:rsidR="00826CCF">
        <w:t xml:space="preserve"> between th</w:t>
      </w:r>
      <w:r w:rsidR="00B20855">
        <w:t>ose measures</w:t>
      </w:r>
      <w:r w:rsidR="00826CCF">
        <w:t>.</w:t>
      </w:r>
      <w:r w:rsidR="002904C2">
        <w:rPr>
          <w:rStyle w:val="FootnoteReference"/>
        </w:rPr>
        <w:footnoteReference w:id="7"/>
      </w:r>
      <w:r w:rsidR="00826CCF">
        <w:t xml:space="preserve"> Australia observes that, to the extent </w:t>
      </w:r>
      <w:r w:rsidR="00E0388A">
        <w:t xml:space="preserve">that the Panel is unpersuaded by </w:t>
      </w:r>
      <w:r w:rsidR="00826CCF">
        <w:t xml:space="preserve">China's interpretation or arguments with respect </w:t>
      </w:r>
      <w:r w:rsidR="00A60461">
        <w:t>to</w:t>
      </w:r>
      <w:r w:rsidR="00826CCF">
        <w:t xml:space="preserve"> the </w:t>
      </w:r>
      <w:r w:rsidR="00A60461">
        <w:t>unwritten import restriction</w:t>
      </w:r>
      <w:r w:rsidR="00826CCF">
        <w:t xml:space="preserve">, the </w:t>
      </w:r>
      <w:r w:rsidR="00006C9D">
        <w:t xml:space="preserve">linked </w:t>
      </w:r>
      <w:r w:rsidR="00826CCF">
        <w:t xml:space="preserve">claim under Article 6.2 of the DSU </w:t>
      </w:r>
      <w:r w:rsidR="002A3B3A">
        <w:t>in relation</w:t>
      </w:r>
      <w:r w:rsidR="00E0388A">
        <w:t xml:space="preserve"> to the </w:t>
      </w:r>
      <w:r w:rsidR="00A60461">
        <w:t xml:space="preserve">unwritten </w:t>
      </w:r>
      <w:r w:rsidR="00EC08CB">
        <w:t xml:space="preserve">overarching </w:t>
      </w:r>
      <w:r w:rsidR="00E0388A">
        <w:t xml:space="preserve">measure will </w:t>
      </w:r>
      <w:r w:rsidR="002A59EB">
        <w:t xml:space="preserve">be </w:t>
      </w:r>
      <w:r w:rsidR="00006C9D">
        <w:t xml:space="preserve">similarly </w:t>
      </w:r>
      <w:r w:rsidR="00D5689D">
        <w:t>affected</w:t>
      </w:r>
      <w:r w:rsidR="00E0388A">
        <w:t xml:space="preserve">. </w:t>
      </w:r>
    </w:p>
    <w:p w14:paraId="267389E6" w14:textId="56359484" w:rsidR="00A545E9" w:rsidRDefault="00D5689D" w:rsidP="00617B8B">
      <w:pPr>
        <w:pStyle w:val="P1-N1Paragraph1-Number1"/>
      </w:pPr>
      <w:r>
        <w:t xml:space="preserve">The </w:t>
      </w:r>
      <w:r w:rsidR="00617B8B">
        <w:t>E</w:t>
      </w:r>
      <w:r w:rsidR="0036366F">
        <w:t xml:space="preserve">uropean </w:t>
      </w:r>
      <w:r w:rsidR="00617B8B">
        <w:t>U</w:t>
      </w:r>
      <w:r w:rsidR="0036366F">
        <w:t>nion</w:t>
      </w:r>
      <w:r w:rsidR="00617B8B">
        <w:t xml:space="preserve"> </w:t>
      </w:r>
      <w:r>
        <w:t>rejects China's submission in its entirety.</w:t>
      </w:r>
      <w:r>
        <w:rPr>
          <w:rStyle w:val="FootnoteReference"/>
        </w:rPr>
        <w:footnoteReference w:id="8"/>
      </w:r>
      <w:r w:rsidR="005F1F6C">
        <w:t xml:space="preserve"> </w:t>
      </w:r>
      <w:r w:rsidR="00A545E9">
        <w:t>It clarifies that,</w:t>
      </w:r>
    </w:p>
    <w:p w14:paraId="5DE4D147" w14:textId="089357A1" w:rsidR="00A545E9" w:rsidRDefault="00B06330" w:rsidP="00A545E9">
      <w:pPr>
        <w:pStyle w:val="QQuotation"/>
      </w:pPr>
      <w:r>
        <w:t>A</w:t>
      </w:r>
      <w:r w:rsidR="00A545E9">
        <w:t>s is evident from [its] first written submission […] the European Union challenges a complex of interrelated measures attributable to China which, taken individually and collectively, affect the importation of goods from the European Union and restrict the trade in such goods.</w:t>
      </w:r>
      <w:r w:rsidR="00A545E9">
        <w:rPr>
          <w:rStyle w:val="FootnoteReference"/>
        </w:rPr>
        <w:footnoteReference w:id="9"/>
      </w:r>
    </w:p>
    <w:p w14:paraId="0FB55482" w14:textId="0906AD07" w:rsidR="00617B8B" w:rsidRDefault="00A545E9" w:rsidP="00A545E9">
      <w:pPr>
        <w:pStyle w:val="P1-N1Paragraph1-Number1"/>
      </w:pPr>
      <w:r>
        <w:t xml:space="preserve"> </w:t>
      </w:r>
      <w:r w:rsidR="005F1F6C">
        <w:t xml:space="preserve">In connection with </w:t>
      </w:r>
      <w:r>
        <w:t xml:space="preserve">China's challenges </w:t>
      </w:r>
      <w:r w:rsidR="00254364">
        <w:t>regarding the</w:t>
      </w:r>
      <w:r>
        <w:t xml:space="preserve"> identif</w:t>
      </w:r>
      <w:r w:rsidR="00254364">
        <w:t>ication of the unwritten</w:t>
      </w:r>
      <w:r w:rsidR="005F1F6C">
        <w:t xml:space="preserve"> measures, the European Union argues that </w:t>
      </w:r>
      <w:r w:rsidR="007525DB">
        <w:t xml:space="preserve">specific identification of </w:t>
      </w:r>
      <w:r w:rsidR="00F47E54">
        <w:t xml:space="preserve">the </w:t>
      </w:r>
      <w:r w:rsidR="007525DB">
        <w:t>products to which the relevant measure applies</w:t>
      </w:r>
      <w:r w:rsidR="005F1F6C">
        <w:t xml:space="preserve"> is not required under Article 6.2 of the DSU and that China's submission is therefore without merit.</w:t>
      </w:r>
      <w:r w:rsidR="00092984">
        <w:rPr>
          <w:rStyle w:val="FootnoteReference"/>
        </w:rPr>
        <w:footnoteReference w:id="10"/>
      </w:r>
      <w:r w:rsidR="005F1F6C">
        <w:t xml:space="preserve"> It further </w:t>
      </w:r>
      <w:r w:rsidR="00067557">
        <w:t xml:space="preserve">argues </w:t>
      </w:r>
      <w:r w:rsidR="005F1F6C">
        <w:t xml:space="preserve">that in any event: </w:t>
      </w:r>
      <w:proofErr w:type="spellStart"/>
      <w:r w:rsidR="005F1F6C">
        <w:t>i</w:t>
      </w:r>
      <w:proofErr w:type="spellEnd"/>
      <w:r w:rsidR="005F1F6C">
        <w:t>) its panel request describes the products to which the</w:t>
      </w:r>
      <w:r w:rsidR="00B109F4">
        <w:t xml:space="preserve"> import restriction</w:t>
      </w:r>
      <w:r w:rsidR="005F1F6C">
        <w:t xml:space="preserve"> measure applies "in the same terms as in the European Union</w:t>
      </w:r>
      <w:r w:rsidR="00B109F4">
        <w:t>'</w:t>
      </w:r>
      <w:r w:rsidR="005F1F6C">
        <w:t>s first written submission";</w:t>
      </w:r>
      <w:r w:rsidR="005F1F6C">
        <w:rPr>
          <w:rStyle w:val="FootnoteReference"/>
        </w:rPr>
        <w:footnoteReference w:id="11"/>
      </w:r>
      <w:r w:rsidR="005F1F6C">
        <w:t xml:space="preserve"> and ii) </w:t>
      </w:r>
      <w:r w:rsidR="00DE0AA9">
        <w:t>footnotes 1 and 2 of the panel request d</w:t>
      </w:r>
      <w:r w:rsidR="00092984">
        <w:t>o</w:t>
      </w:r>
      <w:r w:rsidR="00DE0AA9">
        <w:t xml:space="preserve"> not relate to the unwritten measures.</w:t>
      </w:r>
      <w:r w:rsidR="00DE0AA9">
        <w:rPr>
          <w:rStyle w:val="FootnoteReference"/>
        </w:rPr>
        <w:footnoteReference w:id="12"/>
      </w:r>
      <w:r w:rsidR="00DE0AA9">
        <w:t xml:space="preserve"> </w:t>
      </w:r>
    </w:p>
    <w:p w14:paraId="6050D396" w14:textId="2CAF5804" w:rsidR="00D77B0B" w:rsidRDefault="00D77B0B" w:rsidP="00A545E9">
      <w:pPr>
        <w:pStyle w:val="P1-N1Paragraph1-Number1"/>
      </w:pPr>
      <w:r>
        <w:t xml:space="preserve">The European Union's rebuttal </w:t>
      </w:r>
      <w:r w:rsidR="001D3AEA">
        <w:t>with respect to</w:t>
      </w:r>
      <w:r>
        <w:t xml:space="preserve"> the unwritten overarching measure relies upon its arguments regarding the unwritten import restriction measure. This flows from </w:t>
      </w:r>
      <w:r>
        <w:lastRenderedPageBreak/>
        <w:t xml:space="preserve">the structure of China's </w:t>
      </w:r>
      <w:r w:rsidR="001D3AEA">
        <w:t xml:space="preserve">own </w:t>
      </w:r>
      <w:r>
        <w:t>arguments, as described at paragraph 5 above.</w:t>
      </w:r>
      <w:r w:rsidR="006415BC">
        <w:rPr>
          <w:rStyle w:val="FootnoteReference"/>
        </w:rPr>
        <w:footnoteReference w:id="13"/>
      </w:r>
      <w:r>
        <w:t xml:space="preserve"> Accordingly, should the Panel find the European Union's arguments on the import restriction measure persuasive, it should also make the same determination with respect to the unwritten overarching measure.</w:t>
      </w:r>
    </w:p>
    <w:p w14:paraId="6927BA2A" w14:textId="19C42BCC" w:rsidR="00FF3D98" w:rsidRDefault="00B20855" w:rsidP="00AB2B1F">
      <w:pPr>
        <w:pStyle w:val="P1-N1Paragraph1-Number1"/>
      </w:pPr>
      <w:r>
        <w:t>A</w:t>
      </w:r>
      <w:r w:rsidR="000C3F65">
        <w:t xml:space="preserve"> touchstone for</w:t>
      </w:r>
      <w:r w:rsidR="00250158">
        <w:t xml:space="preserve"> the Panel</w:t>
      </w:r>
      <w:r>
        <w:t xml:space="preserve"> </w:t>
      </w:r>
      <w:r w:rsidR="00250158">
        <w:t xml:space="preserve">in assessing a terms of reference challenge </w:t>
      </w:r>
      <w:r w:rsidR="00AD7292">
        <w:t xml:space="preserve">based on </w:t>
      </w:r>
      <w:r w:rsidR="00250158">
        <w:t>Article 6.2</w:t>
      </w:r>
      <w:r w:rsidR="000C3F65">
        <w:t>,</w:t>
      </w:r>
      <w:r w:rsidR="00250158">
        <w:t xml:space="preserve"> is whether the panel request sufficiently sets out the case that the respondent has to</w:t>
      </w:r>
      <w:r w:rsidR="00EF123A">
        <w:t xml:space="preserve"> answer</w:t>
      </w:r>
      <w:r w:rsidR="000333EA">
        <w:t xml:space="preserve">, and which </w:t>
      </w:r>
      <w:r w:rsidR="00EF123A">
        <w:t xml:space="preserve">the panel </w:t>
      </w:r>
      <w:r w:rsidR="00EF123A" w:rsidRPr="00F06D5E">
        <w:t>must cons</w:t>
      </w:r>
      <w:r w:rsidR="00F06D5E">
        <w:t>ider.</w:t>
      </w:r>
      <w:r w:rsidR="002A59EB" w:rsidRPr="00F06D5E">
        <w:rPr>
          <w:rStyle w:val="FootnoteReference"/>
        </w:rPr>
        <w:footnoteReference w:id="14"/>
      </w:r>
      <w:r w:rsidR="00CA7C68" w:rsidRPr="00F06D5E">
        <w:t xml:space="preserve"> </w:t>
      </w:r>
      <w:r w:rsidR="003D1B01" w:rsidRPr="00F06D5E">
        <w:t>In</w:t>
      </w:r>
      <w:r w:rsidR="003D1B01" w:rsidRPr="00250158">
        <w:t xml:space="preserve"> Australia's</w:t>
      </w:r>
      <w:r w:rsidR="003D1B01" w:rsidRPr="007E7AC8">
        <w:t xml:space="preserve"> view</w:t>
      </w:r>
      <w:r>
        <w:t xml:space="preserve"> </w:t>
      </w:r>
      <w:r w:rsidR="002904C2" w:rsidRPr="007E7AC8">
        <w:t xml:space="preserve">a strict comparison of </w:t>
      </w:r>
      <w:r w:rsidR="000056D8">
        <w:t>product scope as between the</w:t>
      </w:r>
      <w:r w:rsidR="00CF02A6" w:rsidRPr="007E7AC8">
        <w:t xml:space="preserve"> </w:t>
      </w:r>
      <w:r w:rsidR="002904C2" w:rsidRPr="007E7AC8">
        <w:t xml:space="preserve">first written </w:t>
      </w:r>
      <w:r w:rsidR="00CF02A6" w:rsidRPr="007E7AC8">
        <w:t>submission</w:t>
      </w:r>
      <w:r w:rsidR="00CF02A6">
        <w:t xml:space="preserve"> </w:t>
      </w:r>
      <w:r w:rsidR="000056D8">
        <w:t>and the panel request</w:t>
      </w:r>
      <w:r w:rsidR="00DD7778">
        <w:t>, as engaged by China,</w:t>
      </w:r>
      <w:r w:rsidR="000056D8">
        <w:t xml:space="preserve"> </w:t>
      </w:r>
      <w:r w:rsidR="002904C2">
        <w:t xml:space="preserve">is not </w:t>
      </w:r>
      <w:r w:rsidR="002A59EB">
        <w:t xml:space="preserve">dispositive </w:t>
      </w:r>
      <w:r w:rsidR="00493ACC">
        <w:t>of whether a measure is adequately identified. A</w:t>
      </w:r>
      <w:r w:rsidR="003D1B01">
        <w:t>s</w:t>
      </w:r>
      <w:r w:rsidR="005F34F1">
        <w:t xml:space="preserve"> Australia examines in detail below, </w:t>
      </w:r>
      <w:r w:rsidR="002904C2">
        <w:t xml:space="preserve">two key questions </w:t>
      </w:r>
      <w:r w:rsidR="00EF15E6">
        <w:t xml:space="preserve">for </w:t>
      </w:r>
      <w:r w:rsidR="0061259B">
        <w:t>the Panel</w:t>
      </w:r>
      <w:r w:rsidR="00F06D5E">
        <w:t>'</w:t>
      </w:r>
      <w:r w:rsidR="0076645D">
        <w:t>s</w:t>
      </w:r>
      <w:r w:rsidR="0061259B">
        <w:t xml:space="preserve"> </w:t>
      </w:r>
      <w:r w:rsidR="00646876">
        <w:t xml:space="preserve">analysis </w:t>
      </w:r>
      <w:r w:rsidR="00155B28">
        <w:t>under Article 6.2</w:t>
      </w:r>
      <w:r w:rsidR="007E7AC8">
        <w:t xml:space="preserve"> </w:t>
      </w:r>
      <w:r w:rsidR="0061259B">
        <w:t>should be</w:t>
      </w:r>
      <w:r w:rsidR="005F34F1">
        <w:t xml:space="preserve">: first, </w:t>
      </w:r>
      <w:r w:rsidR="005F34F1" w:rsidRPr="00695EC0">
        <w:rPr>
          <w:i/>
          <w:iCs/>
        </w:rPr>
        <w:t>what</w:t>
      </w:r>
      <w:r w:rsidR="005F34F1">
        <w:t xml:space="preserve"> is </w:t>
      </w:r>
      <w:r w:rsidR="006677F4">
        <w:t>the</w:t>
      </w:r>
      <w:r w:rsidR="005F34F1">
        <w:t xml:space="preserve"> </w:t>
      </w:r>
      <w:r w:rsidR="000F1CF5">
        <w:t xml:space="preserve">relevant </w:t>
      </w:r>
      <w:r w:rsidR="4214CB66">
        <w:t>"</w:t>
      </w:r>
      <w:r w:rsidR="005F34F1">
        <w:t>measure at issue</w:t>
      </w:r>
      <w:r w:rsidR="3DB82964">
        <w:t>"</w:t>
      </w:r>
      <w:r w:rsidR="006D3E92">
        <w:t>?</w:t>
      </w:r>
      <w:r w:rsidR="005F34F1">
        <w:t xml:space="preserve"> </w:t>
      </w:r>
      <w:r w:rsidR="006D3E92">
        <w:t>S</w:t>
      </w:r>
      <w:r w:rsidR="005F34F1">
        <w:t>econd, is that measure set out in the panel request with sufficient precision</w:t>
      </w:r>
      <w:r w:rsidR="00DE0AA9">
        <w:t>,</w:t>
      </w:r>
      <w:r w:rsidR="008D2D2A">
        <w:t xml:space="preserve"> consistent with Article 6.2 of the DSU</w:t>
      </w:r>
      <w:r w:rsidR="005F34F1">
        <w:t>?</w:t>
      </w:r>
      <w:r w:rsidR="003D1B01">
        <w:t xml:space="preserve"> </w:t>
      </w:r>
      <w:r w:rsidR="00DD7778">
        <w:t>Considerations relevant to each of these questions are addressed in turn, at Sections III and IV, below.</w:t>
      </w:r>
    </w:p>
    <w:p w14:paraId="45C835FE" w14:textId="2A3FCE3A" w:rsidR="005F34F1" w:rsidRDefault="00EC30B4" w:rsidP="005F34F1">
      <w:pPr>
        <w:pStyle w:val="HL1HeadingLevel1"/>
      </w:pPr>
      <w:bookmarkStart w:id="4" w:name="_Toc146289491"/>
      <w:r>
        <w:t>A</w:t>
      </w:r>
      <w:r w:rsidR="00FB3CC8">
        <w:t>scertaining</w:t>
      </w:r>
      <w:r w:rsidR="00003DCD">
        <w:t xml:space="preserve"> </w:t>
      </w:r>
      <w:r w:rsidR="005F34F1">
        <w:t xml:space="preserve">the </w:t>
      </w:r>
      <w:r w:rsidR="00397F5A">
        <w:t>"</w:t>
      </w:r>
      <w:r w:rsidR="005F34F1">
        <w:t>measure at issue</w:t>
      </w:r>
      <w:r w:rsidR="00397F5A">
        <w:t>"</w:t>
      </w:r>
      <w:bookmarkEnd w:id="4"/>
    </w:p>
    <w:p w14:paraId="6CCCF714" w14:textId="0BBBB60D" w:rsidR="00EE46EA" w:rsidRDefault="00C572CE" w:rsidP="00C572CE">
      <w:pPr>
        <w:pStyle w:val="P1-N1Paragraph1-Number1"/>
      </w:pPr>
      <w:r>
        <w:t xml:space="preserve">Article 6.2 sets out </w:t>
      </w:r>
      <w:r w:rsidR="00F94484">
        <w:t>"</w:t>
      </w:r>
      <w:r>
        <w:t>two distinct requirements</w:t>
      </w:r>
      <w:r w:rsidR="00F94484">
        <w:t>"</w:t>
      </w:r>
      <w:r w:rsidR="00817EA5">
        <w:t xml:space="preserve"> for a panel request</w:t>
      </w:r>
      <w:r w:rsidR="2CF1F0F3">
        <w:t>,</w:t>
      </w:r>
      <w:r w:rsidR="00817EA5">
        <w:t xml:space="preserve"> and which </w:t>
      </w:r>
      <w:r w:rsidR="00EC08CB">
        <w:t>"[t]</w:t>
      </w:r>
      <w:proofErr w:type="spellStart"/>
      <w:r w:rsidR="00EC08CB">
        <w:t>ogether</w:t>
      </w:r>
      <w:proofErr w:type="spellEnd"/>
      <w:r w:rsidR="00EC08CB">
        <w:t xml:space="preserve"> […] comprise the 'matter referred to the DSB', which forms the basis for a</w:t>
      </w:r>
      <w:r w:rsidR="00817EA5">
        <w:t xml:space="preserve"> panel's terms of reference</w:t>
      </w:r>
      <w:r w:rsidR="00EC08CB">
        <w:t xml:space="preserve"> under Article 7.1 of the DSU"</w:t>
      </w:r>
      <w:r w:rsidR="00817EA5">
        <w:t xml:space="preserve">: </w:t>
      </w:r>
    </w:p>
    <w:p w14:paraId="571E0194" w14:textId="460945F1" w:rsidR="007976DD" w:rsidRDefault="00C572CE" w:rsidP="00EE46EA">
      <w:pPr>
        <w:pStyle w:val="QQuotation"/>
      </w:pPr>
      <w:r>
        <w:t xml:space="preserve">[…] identification of </w:t>
      </w:r>
      <w:r w:rsidRPr="7E021130">
        <w:t xml:space="preserve">the </w:t>
      </w:r>
      <w:r w:rsidRPr="00EE46EA">
        <w:rPr>
          <w:i/>
          <w:iCs/>
        </w:rPr>
        <w:t>specific measures at issue</w:t>
      </w:r>
      <w:r w:rsidRPr="00600823">
        <w:t>,</w:t>
      </w:r>
      <w:r>
        <w:t xml:space="preserve"> and the provision of </w:t>
      </w:r>
      <w:proofErr w:type="gramStart"/>
      <w:r>
        <w:t xml:space="preserve">a </w:t>
      </w:r>
      <w:r w:rsidRPr="00EE46EA">
        <w:rPr>
          <w:i/>
          <w:iCs/>
        </w:rPr>
        <w:t>brief summary</w:t>
      </w:r>
      <w:proofErr w:type="gramEnd"/>
      <w:r w:rsidRPr="00EE46EA">
        <w:rPr>
          <w:i/>
          <w:iCs/>
        </w:rPr>
        <w:t xml:space="preserve"> of the legal basis of the complaint</w:t>
      </w:r>
      <w:r>
        <w:t xml:space="preserve"> (or the </w:t>
      </w:r>
      <w:r w:rsidRPr="00EE46EA">
        <w:rPr>
          <w:i/>
          <w:iCs/>
        </w:rPr>
        <w:t>claims</w:t>
      </w:r>
      <w:r>
        <w:t>)</w:t>
      </w:r>
      <w:r w:rsidR="004B46A4">
        <w:t>"</w:t>
      </w:r>
      <w:r>
        <w:t>.</w:t>
      </w:r>
      <w:r>
        <w:rPr>
          <w:rStyle w:val="FootnoteReference"/>
        </w:rPr>
        <w:footnoteReference w:id="15"/>
      </w:r>
      <w:r w:rsidR="007923BB">
        <w:t xml:space="preserve"> </w:t>
      </w:r>
    </w:p>
    <w:p w14:paraId="6374E83F" w14:textId="2A5E41A3" w:rsidR="001127CF" w:rsidRDefault="000056D8" w:rsidP="00C572CE">
      <w:pPr>
        <w:pStyle w:val="P1-N1Paragraph1-Number1"/>
      </w:pPr>
      <w:r>
        <w:t>A</w:t>
      </w:r>
      <w:r w:rsidR="00706FBD">
        <w:t xml:space="preserve"> panel is tasked with ascertaining and understanding the measure at issue, to </w:t>
      </w:r>
      <w:r w:rsidR="00DD7778">
        <w:t>facilitate</w:t>
      </w:r>
      <w:r w:rsidR="003C76CF">
        <w:t xml:space="preserve"> its </w:t>
      </w:r>
      <w:r w:rsidR="00DD7778">
        <w:t xml:space="preserve">subsequent </w:t>
      </w:r>
      <w:r w:rsidR="003C76CF">
        <w:t>assessment of the sufficiency of the panel</w:t>
      </w:r>
      <w:r w:rsidR="00706FBD">
        <w:t xml:space="preserve"> request </w:t>
      </w:r>
      <w:r w:rsidR="003C76CF">
        <w:t xml:space="preserve">under </w:t>
      </w:r>
      <w:r w:rsidR="00706FBD">
        <w:t xml:space="preserve">Article 6.2. </w:t>
      </w:r>
      <w:r w:rsidR="001127CF">
        <w:t xml:space="preserve">At the outset, Australia observes that it is the </w:t>
      </w:r>
      <w:r w:rsidR="001127CF" w:rsidRPr="00456DEB">
        <w:rPr>
          <w:i/>
          <w:iCs/>
        </w:rPr>
        <w:t>complainant</w:t>
      </w:r>
      <w:r w:rsidR="001127CF">
        <w:t xml:space="preserve"> which frames the measure at </w:t>
      </w:r>
      <w:r w:rsidR="001127CF">
        <w:lastRenderedPageBreak/>
        <w:t>issue,</w:t>
      </w:r>
      <w:r w:rsidR="001127CF">
        <w:rPr>
          <w:rStyle w:val="FootnoteReference"/>
        </w:rPr>
        <w:footnoteReference w:id="16"/>
      </w:r>
      <w:r w:rsidR="001127CF">
        <w:t xml:space="preserve"> and it has considerable discretion in doing so.</w:t>
      </w:r>
      <w:r w:rsidR="001127CF">
        <w:rPr>
          <w:rStyle w:val="FootnoteReference"/>
        </w:rPr>
        <w:footnoteReference w:id="17"/>
      </w:r>
      <w:r w:rsidR="001C71D1">
        <w:t xml:space="preserve"> </w:t>
      </w:r>
      <w:r w:rsidR="00EE46EA">
        <w:t>It is not for the respondent to frame the parameters of the complainant's case.</w:t>
      </w:r>
    </w:p>
    <w:p w14:paraId="4E602D1E" w14:textId="4A45A76B" w:rsidR="00126551" w:rsidRDefault="000056D8" w:rsidP="001B4F09">
      <w:pPr>
        <w:pStyle w:val="P1-N1Paragraph1-Number1"/>
      </w:pPr>
      <w:r>
        <w:t xml:space="preserve">The panel's analysis of compliance with </w:t>
      </w:r>
      <w:r w:rsidR="001127CF">
        <w:t>Article 6.2 is a</w:t>
      </w:r>
      <w:r w:rsidR="00BE566B">
        <w:t xml:space="preserve"> case-specific task</w:t>
      </w:r>
      <w:r w:rsidR="00126551">
        <w:t>,</w:t>
      </w:r>
      <w:r w:rsidR="00BE566B">
        <w:rPr>
          <w:rStyle w:val="FootnoteReference"/>
        </w:rPr>
        <w:footnoteReference w:id="18"/>
      </w:r>
      <w:r w:rsidR="00126551">
        <w:t xml:space="preserve"> </w:t>
      </w:r>
      <w:r w:rsidR="000F63F6">
        <w:t xml:space="preserve">and some </w:t>
      </w:r>
      <w:r w:rsidR="000F63F6" w:rsidRPr="003750B0">
        <w:t>meas</w:t>
      </w:r>
      <w:r w:rsidR="000F63F6" w:rsidRPr="0039025D">
        <w:t>u</w:t>
      </w:r>
      <w:r w:rsidR="000F63F6" w:rsidRPr="003750B0">
        <w:t>res</w:t>
      </w:r>
      <w:r w:rsidR="000F63F6">
        <w:t xml:space="preserve"> may </w:t>
      </w:r>
      <w:r>
        <w:t xml:space="preserve">indeed </w:t>
      </w:r>
      <w:r w:rsidR="000F63F6">
        <w:t>warrant</w:t>
      </w:r>
      <w:r w:rsidR="00126551">
        <w:t xml:space="preserve"> </w:t>
      </w:r>
      <w:r w:rsidR="000F63F6">
        <w:t>"</w:t>
      </w:r>
      <w:proofErr w:type="spellStart"/>
      <w:proofErr w:type="gramStart"/>
      <w:r w:rsidR="00126551">
        <w:t>identif</w:t>
      </w:r>
      <w:proofErr w:type="spellEnd"/>
      <w:r w:rsidR="000F63F6">
        <w:t>[</w:t>
      </w:r>
      <w:proofErr w:type="spellStart"/>
      <w:proofErr w:type="gramEnd"/>
      <w:r w:rsidR="000F63F6">
        <w:t>ication</w:t>
      </w:r>
      <w:proofErr w:type="spellEnd"/>
      <w:r w:rsidR="000F63F6">
        <w:t xml:space="preserve"> of]</w:t>
      </w:r>
      <w:r w:rsidR="00126551">
        <w:t xml:space="preserve"> the products subject to the measures in dispute"</w:t>
      </w:r>
      <w:r w:rsidR="000F63F6">
        <w:t>, so as to "identify 'the specific measures at issue</w:t>
      </w:r>
      <w:r w:rsidR="003C76CF">
        <w:t>'",</w:t>
      </w:r>
      <w:r w:rsidR="000C1D5B">
        <w:t xml:space="preserve"> in satisfaction of the "purposes of the requirements of that provision".</w:t>
      </w:r>
      <w:r w:rsidR="00126551">
        <w:rPr>
          <w:rStyle w:val="FootnoteReference"/>
        </w:rPr>
        <w:footnoteReference w:id="19"/>
      </w:r>
      <w:r w:rsidR="003750B0">
        <w:t xml:space="preserve"> </w:t>
      </w:r>
      <w:r w:rsidR="000C1D5B">
        <w:t>Such examples are rare.</w:t>
      </w:r>
      <w:r w:rsidR="001B4F09">
        <w:t xml:space="preserve"> Indeed, the Appellate Body in </w:t>
      </w:r>
      <w:r w:rsidR="001B4F09">
        <w:rPr>
          <w:i/>
          <w:iCs/>
        </w:rPr>
        <w:t>EC – Chicken Cuts</w:t>
      </w:r>
      <w:r w:rsidR="001B4F09">
        <w:t xml:space="preserve"> rejected the argument that "if the products at issue are in fact described in the panel request, then those products constitute the products within the panel's terms of reference".</w:t>
      </w:r>
      <w:r w:rsidR="001B4F09">
        <w:rPr>
          <w:rStyle w:val="FootnoteReference"/>
        </w:rPr>
        <w:footnoteReference w:id="20"/>
      </w:r>
      <w:r w:rsidR="001B4F09">
        <w:t xml:space="preserve"> That dispute affirms the general position that "it is the </w:t>
      </w:r>
      <w:r w:rsidR="001B4F09" w:rsidRPr="003F7C22">
        <w:rPr>
          <w:i/>
          <w:iCs/>
        </w:rPr>
        <w:t>measure</w:t>
      </w:r>
      <w:r w:rsidR="001B4F09">
        <w:t xml:space="preserve"> </w:t>
      </w:r>
      <w:r w:rsidR="001B4F09" w:rsidRPr="002B1D9D">
        <w:t xml:space="preserve">at issue that generally will define the </w:t>
      </w:r>
      <w:r w:rsidR="001B4F09" w:rsidRPr="002B1D9D">
        <w:rPr>
          <w:i/>
          <w:iCs/>
        </w:rPr>
        <w:t xml:space="preserve">product </w:t>
      </w:r>
      <w:r w:rsidR="001B4F09" w:rsidRPr="002B1D9D">
        <w:t>at issue",</w:t>
      </w:r>
      <w:r w:rsidR="001B4F09" w:rsidRPr="002B1D9D">
        <w:rPr>
          <w:rStyle w:val="FootnoteReference"/>
        </w:rPr>
        <w:footnoteReference w:id="21"/>
      </w:r>
      <w:r w:rsidR="001B4F09" w:rsidRPr="002B1D9D">
        <w:t xml:space="preserve"> and not the other way around.  </w:t>
      </w:r>
    </w:p>
    <w:p w14:paraId="0AD85AC4" w14:textId="05540702" w:rsidR="00C572CE" w:rsidRDefault="001B4F09" w:rsidP="00C572CE">
      <w:pPr>
        <w:pStyle w:val="P1-N1Paragraph1-Number1"/>
      </w:pPr>
      <w:r>
        <w:t xml:space="preserve">Finally, </w:t>
      </w:r>
      <w:r w:rsidR="00706FBD">
        <w:t xml:space="preserve">Australia </w:t>
      </w:r>
      <w:r w:rsidR="00126551">
        <w:t xml:space="preserve">also </w:t>
      </w:r>
      <w:r w:rsidR="00706FBD">
        <w:t>recalls that the</w:t>
      </w:r>
      <w:r w:rsidR="00817EA5">
        <w:t xml:space="preserve"> requirement to identify the</w:t>
      </w:r>
      <w:r w:rsidR="00FF740A">
        <w:t xml:space="preserve"> measure </w:t>
      </w:r>
      <w:r w:rsidR="002D03C5">
        <w:t>at issue</w:t>
      </w:r>
      <w:r w:rsidR="00FF740A">
        <w:t xml:space="preserve"> </w:t>
      </w:r>
      <w:r w:rsidR="00397F5A">
        <w:t xml:space="preserve">in a panel request </w:t>
      </w:r>
      <w:r w:rsidR="00FF740A">
        <w:t>is "conceptually different" to the summary of the claims, and "they should not be confused".</w:t>
      </w:r>
      <w:r w:rsidR="00FF740A">
        <w:rPr>
          <w:rStyle w:val="FootnoteReference"/>
        </w:rPr>
        <w:footnoteReference w:id="22"/>
      </w:r>
      <w:r w:rsidR="007976DD">
        <w:t xml:space="preserve"> </w:t>
      </w:r>
      <w:r w:rsidR="006677F4">
        <w:t>As a corollary of this</w:t>
      </w:r>
      <w:r w:rsidR="00261ED7">
        <w:t xml:space="preserve"> conceptual separation</w:t>
      </w:r>
      <w:r w:rsidR="006677F4">
        <w:t>, the</w:t>
      </w:r>
      <w:r w:rsidR="007976DD">
        <w:t xml:space="preserve"> </w:t>
      </w:r>
      <w:r w:rsidR="002B1D9D">
        <w:t>relevant</w:t>
      </w:r>
      <w:r w:rsidR="000C3F65">
        <w:t xml:space="preserve"> </w:t>
      </w:r>
      <w:r w:rsidR="002A3B3A">
        <w:t>content</w:t>
      </w:r>
      <w:r w:rsidR="007B1052">
        <w:rPr>
          <w:rStyle w:val="FootnoteReference"/>
        </w:rPr>
        <w:footnoteReference w:id="23"/>
      </w:r>
      <w:r w:rsidR="002A3B3A">
        <w:t xml:space="preserve"> of </w:t>
      </w:r>
      <w:r w:rsidR="00125FB7">
        <w:t xml:space="preserve">the </w:t>
      </w:r>
      <w:r w:rsidR="007976DD">
        <w:t xml:space="preserve">measure </w:t>
      </w:r>
      <w:r w:rsidR="00397F5A">
        <w:t>itself s</w:t>
      </w:r>
      <w:r w:rsidR="007976DD">
        <w:t xml:space="preserve">hould not </w:t>
      </w:r>
      <w:r w:rsidR="002A3B3A">
        <w:t xml:space="preserve">generally </w:t>
      </w:r>
      <w:r w:rsidR="007976DD">
        <w:t xml:space="preserve">be </w:t>
      </w:r>
      <w:r w:rsidR="00397F5A">
        <w:t xml:space="preserve">identified </w:t>
      </w:r>
      <w:r w:rsidR="007976DD">
        <w:t xml:space="preserve">in "light of the </w:t>
      </w:r>
      <w:r w:rsidR="0052310B">
        <w:t xml:space="preserve">substance of the </w:t>
      </w:r>
      <w:r w:rsidR="007976DD">
        <w:t xml:space="preserve">specific </w:t>
      </w:r>
      <w:r w:rsidR="007976DD" w:rsidRPr="00600823">
        <w:rPr>
          <w:i/>
          <w:iCs/>
        </w:rPr>
        <w:t>WTO obligation</w:t>
      </w:r>
      <w:r w:rsidR="007976DD">
        <w:t xml:space="preserve"> that is </w:t>
      </w:r>
      <w:r w:rsidR="0052310B">
        <w:t>allegedly being violated</w:t>
      </w:r>
      <w:r w:rsidR="007976DD">
        <w:t>"</w:t>
      </w:r>
      <w:r w:rsidR="0052310B">
        <w:t xml:space="preserve"> as this would "generate uncertainty and complexity in WTO dispute settlement proceedings</w:t>
      </w:r>
      <w:r w:rsidR="004B46A4">
        <w:t>"</w:t>
      </w:r>
      <w:r w:rsidR="0052310B">
        <w:t>.</w:t>
      </w:r>
      <w:r w:rsidR="007976DD">
        <w:rPr>
          <w:rStyle w:val="FootnoteReference"/>
        </w:rPr>
        <w:footnoteReference w:id="24"/>
      </w:r>
      <w:r w:rsidR="000C56F9">
        <w:t xml:space="preserve"> </w:t>
      </w:r>
      <w:r w:rsidR="008B56E0">
        <w:t>T</w:t>
      </w:r>
      <w:r w:rsidR="00E66C99">
        <w:t>he</w:t>
      </w:r>
      <w:r w:rsidR="006677F4">
        <w:t xml:space="preserve"> Appellate Body has </w:t>
      </w:r>
      <w:r w:rsidR="00DF2F97">
        <w:t xml:space="preserve">also </w:t>
      </w:r>
      <w:r w:rsidR="00E66C99">
        <w:t>stated</w:t>
      </w:r>
      <w:r w:rsidR="006677F4">
        <w:t>:</w:t>
      </w:r>
    </w:p>
    <w:p w14:paraId="2908D838" w14:textId="60289977" w:rsidR="006677F4" w:rsidRPr="00C572CE" w:rsidRDefault="00B06330" w:rsidP="006677F4">
      <w:pPr>
        <w:pStyle w:val="QQuotation"/>
      </w:pPr>
      <w:r>
        <w:t>N</w:t>
      </w:r>
      <w:r w:rsidR="006677F4">
        <w:t xml:space="preserve">othing in Article 6.2 prevents a </w:t>
      </w:r>
      <w:r w:rsidR="005B08E1">
        <w:t>complainant</w:t>
      </w:r>
      <w:r w:rsidR="006677F4">
        <w:t xml:space="preserve"> from making statements in the panel request that foreshadow its arguments in substantiating the claim. If the complainant chooses to do </w:t>
      </w:r>
      <w:r w:rsidR="006677F4">
        <w:lastRenderedPageBreak/>
        <w:t>so, these arguments should not be interpreted to narrow the scope of the measures or the claims.</w:t>
      </w:r>
      <w:r w:rsidR="006677F4">
        <w:rPr>
          <w:rStyle w:val="FootnoteReference"/>
        </w:rPr>
        <w:footnoteReference w:id="25"/>
      </w:r>
    </w:p>
    <w:p w14:paraId="27236A30" w14:textId="5BC4B8DE" w:rsidR="00DE1450" w:rsidRPr="00604352" w:rsidRDefault="00695EC0" w:rsidP="001B4F09">
      <w:pPr>
        <w:pStyle w:val="HL1HeadingLevel1"/>
      </w:pPr>
      <w:bookmarkStart w:id="6" w:name="_Toc146289492"/>
      <w:r>
        <w:t>T</w:t>
      </w:r>
      <w:r w:rsidR="000B3880" w:rsidRPr="00604352">
        <w:t>he proper interpre</w:t>
      </w:r>
      <w:r w:rsidR="00367EAA">
        <w:t>t</w:t>
      </w:r>
      <w:r w:rsidR="000B3880" w:rsidRPr="00604352">
        <w:t xml:space="preserve">ation of </w:t>
      </w:r>
      <w:r w:rsidR="00FB3CC8">
        <w:t>A</w:t>
      </w:r>
      <w:r w:rsidR="000B3880" w:rsidRPr="00604352">
        <w:t xml:space="preserve">rticle 6.2 of the </w:t>
      </w:r>
      <w:r w:rsidR="00EC30B4">
        <w:t>DSU</w:t>
      </w:r>
      <w:bookmarkEnd w:id="6"/>
    </w:p>
    <w:p w14:paraId="2B3AE51B" w14:textId="2593BEC7" w:rsidR="00735909" w:rsidRPr="00604352" w:rsidRDefault="00735909" w:rsidP="00102A74">
      <w:pPr>
        <w:pStyle w:val="P1-N1Paragraph1-Number1"/>
      </w:pPr>
      <w:r w:rsidRPr="00604352">
        <w:t xml:space="preserve">The following submissions address </w:t>
      </w:r>
      <w:r w:rsidR="006A2B62">
        <w:t xml:space="preserve">certain </w:t>
      </w:r>
      <w:r w:rsidRPr="00604352">
        <w:t xml:space="preserve">relevant legal </w:t>
      </w:r>
      <w:r w:rsidR="006A2B62">
        <w:t>principles</w:t>
      </w:r>
      <w:r w:rsidR="006A2B62" w:rsidRPr="00604352">
        <w:t xml:space="preserve"> </w:t>
      </w:r>
      <w:r w:rsidR="00C82C1D">
        <w:t>applicable to the identification of measures in a panel request</w:t>
      </w:r>
      <w:r w:rsidR="008A0C45">
        <w:t>.</w:t>
      </w:r>
      <w:r w:rsidR="005C5079">
        <w:t xml:space="preserve"> </w:t>
      </w:r>
    </w:p>
    <w:p w14:paraId="7132EC0C" w14:textId="280EDE25" w:rsidR="00102A74" w:rsidRPr="00102A74" w:rsidRDefault="005B35E6" w:rsidP="00102A74">
      <w:pPr>
        <w:pStyle w:val="P1-N1Paragraph1-Number1"/>
      </w:pPr>
      <w:r>
        <w:t>Australia agrees with China that</w:t>
      </w:r>
      <w:r w:rsidR="00D024EC">
        <w:t xml:space="preserve"> the requirement to identify the "specific measures at issue"</w:t>
      </w:r>
      <w:r w:rsidR="00853262">
        <w:t xml:space="preserve"> under Article 6.2 </w:t>
      </w:r>
      <w:r>
        <w:t>can be characterised as a requirement for</w:t>
      </w:r>
      <w:r w:rsidR="00D024EC">
        <w:t xml:space="preserve"> "</w:t>
      </w:r>
      <w:r w:rsidR="00D024EC" w:rsidRPr="00D024EC">
        <w:rPr>
          <w:i/>
          <w:iCs/>
        </w:rPr>
        <w:t>sufficient precision</w:t>
      </w:r>
      <w:r w:rsidR="00D024EC">
        <w:t xml:space="preserve"> so that w</w:t>
      </w:r>
      <w:r w:rsidR="00B773B4">
        <w:t>h</w:t>
      </w:r>
      <w:r w:rsidR="00D024EC">
        <w:t>at is referred to adjudication by a panel may be discerned from the panel request</w:t>
      </w:r>
      <w:r w:rsidR="00F2049C">
        <w:t>.</w:t>
      </w:r>
      <w:r w:rsidR="006A2B62">
        <w:t>"</w:t>
      </w:r>
      <w:r w:rsidR="00657644">
        <w:rPr>
          <w:rStyle w:val="FootnoteReference"/>
        </w:rPr>
        <w:footnoteReference w:id="26"/>
      </w:r>
      <w:r w:rsidR="003F5F98">
        <w:t xml:space="preserve"> </w:t>
      </w:r>
      <w:r w:rsidR="003F5F98">
        <w:rPr>
          <w:iCs/>
        </w:rPr>
        <w:t>However, the concept of "precision" should be read together with the requirement for "sufficiency"</w:t>
      </w:r>
      <w:r w:rsidR="00DF2F97">
        <w:rPr>
          <w:iCs/>
        </w:rPr>
        <w:t>, and</w:t>
      </w:r>
      <w:r w:rsidR="003F5F98">
        <w:rPr>
          <w:iCs/>
        </w:rPr>
        <w:t xml:space="preserve"> </w:t>
      </w:r>
      <w:proofErr w:type="gramStart"/>
      <w:r w:rsidR="003F5F98">
        <w:rPr>
          <w:iCs/>
        </w:rPr>
        <w:t>in light of</w:t>
      </w:r>
      <w:proofErr w:type="gramEnd"/>
      <w:r w:rsidR="003F5F98">
        <w:rPr>
          <w:iCs/>
        </w:rPr>
        <w:t xml:space="preserve"> the relevant context. </w:t>
      </w:r>
      <w:r w:rsidR="00D024EC">
        <w:t xml:space="preserve"> </w:t>
      </w:r>
      <w:r w:rsidR="00B773B4">
        <w:rPr>
          <w:iCs/>
        </w:rPr>
        <w:t xml:space="preserve"> </w:t>
      </w:r>
    </w:p>
    <w:p w14:paraId="2A6652D3" w14:textId="74589868" w:rsidR="009E0D3E" w:rsidRPr="00D45D41" w:rsidRDefault="002A3B3A" w:rsidP="00102A74">
      <w:pPr>
        <w:pStyle w:val="P1-N1Paragraph1-Number1"/>
      </w:pPr>
      <w:r>
        <w:rPr>
          <w:iCs/>
        </w:rPr>
        <w:t>These concepts</w:t>
      </w:r>
      <w:r w:rsidR="00F2049C">
        <w:rPr>
          <w:iCs/>
        </w:rPr>
        <w:t xml:space="preserve"> should</w:t>
      </w:r>
      <w:r w:rsidR="00613742">
        <w:t xml:space="preserve"> </w:t>
      </w:r>
      <w:r>
        <w:t xml:space="preserve">also </w:t>
      </w:r>
      <w:r w:rsidR="00613742">
        <w:t>not be confused with the</w:t>
      </w:r>
      <w:r w:rsidR="00F2049C">
        <w:t xml:space="preserve"> </w:t>
      </w:r>
      <w:r w:rsidR="00F2049C" w:rsidRPr="00600823">
        <w:rPr>
          <w:i/>
          <w:iCs/>
        </w:rPr>
        <w:t>separate</w:t>
      </w:r>
      <w:r w:rsidR="00613742">
        <w:t xml:space="preserve"> requirement to </w:t>
      </w:r>
      <w:r w:rsidR="00EF123A">
        <w:t xml:space="preserve">demonstrate </w:t>
      </w:r>
      <w:r w:rsidR="00613742">
        <w:t xml:space="preserve">the "precise content" of </w:t>
      </w:r>
      <w:r w:rsidR="003F5F98">
        <w:t xml:space="preserve">a </w:t>
      </w:r>
      <w:r w:rsidR="00613742">
        <w:t>measure</w:t>
      </w:r>
      <w:r w:rsidR="002C76B0">
        <w:t>,</w:t>
      </w:r>
      <w:r w:rsidR="008A6548">
        <w:t xml:space="preserve"> </w:t>
      </w:r>
      <w:r w:rsidR="002C76B0">
        <w:t xml:space="preserve">as part </w:t>
      </w:r>
      <w:r w:rsidR="002C76B0" w:rsidRPr="00A873FD">
        <w:t xml:space="preserve">of the </w:t>
      </w:r>
      <w:r w:rsidR="002C76B0" w:rsidRPr="00D45D41">
        <w:t>task of</w:t>
      </w:r>
      <w:r w:rsidR="00EF123A" w:rsidRPr="00D45D41">
        <w:t xml:space="preserve"> establish</w:t>
      </w:r>
      <w:r w:rsidR="002C76B0" w:rsidRPr="00D45D41">
        <w:t>ing</w:t>
      </w:r>
      <w:r w:rsidR="00EF123A" w:rsidRPr="00D45D41">
        <w:t xml:space="preserve"> the measure</w:t>
      </w:r>
      <w:r w:rsidR="00A873FD" w:rsidRPr="0085047A">
        <w:t xml:space="preserve"> at the substantive stage of the dispute</w:t>
      </w:r>
      <w:r w:rsidR="00397F5A" w:rsidRPr="00D45D41">
        <w:t>.</w:t>
      </w:r>
      <w:r w:rsidR="00EF123A" w:rsidRPr="00D45D41">
        <w:rPr>
          <w:rStyle w:val="FootnoteReference"/>
        </w:rPr>
        <w:footnoteReference w:id="27"/>
      </w:r>
      <w:r w:rsidR="009E0D3E" w:rsidRPr="00D45D41">
        <w:t xml:space="preserve"> As the Appellate Body has</w:t>
      </w:r>
      <w:r w:rsidR="00E66C99">
        <w:t xml:space="preserve"> stated</w:t>
      </w:r>
      <w:r w:rsidR="002C76B0" w:rsidRPr="00D45D41">
        <w:t>:</w:t>
      </w:r>
    </w:p>
    <w:p w14:paraId="568EC59C" w14:textId="1AA384CB" w:rsidR="009E0D3E" w:rsidRDefault="009E0D3E" w:rsidP="00600823">
      <w:pPr>
        <w:pStyle w:val="QQuotation"/>
      </w:pPr>
      <w:r w:rsidRPr="00D45D41">
        <w:t xml:space="preserve">[…] </w:t>
      </w:r>
      <w:r w:rsidRPr="003D190A">
        <w:t>the identification of the specific measures at issue, pursuant to Article 6.2, is different from a demonstration of the existence of such measures</w:t>
      </w:r>
      <w:r w:rsidRPr="00600823">
        <w:rPr>
          <w:b/>
          <w:bCs/>
          <w:i/>
          <w:iCs/>
        </w:rPr>
        <w:t>.</w:t>
      </w:r>
      <w:r>
        <w:t xml:space="preserve"> […] [A]n examination regarding the specificity of a panel request does not entail substantive consideration as to what types of measures are susceptible to challenge in WTO dispute settlement. Such consideration may have to be explored by a panel and the parties during the panel </w:t>
      </w:r>
      <w:proofErr w:type="gramStart"/>
      <w:r>
        <w:t>proceedings, but</w:t>
      </w:r>
      <w:proofErr w:type="gramEnd"/>
      <w:r>
        <w:t xml:space="preserve"> </w:t>
      </w:r>
      <w:r w:rsidRPr="00786EEE">
        <w:t>is not prerequisite for the establishment of a panel. To impose such prerequisite would be inconsistent with the function of a panel request in commencing panel proceedings and setting the jurisdictional boundaries of such proceedings. Therefore,</w:t>
      </w:r>
      <w:r>
        <w:t xml:space="preserve"> </w:t>
      </w:r>
      <w:r w:rsidRPr="00600823">
        <w:rPr>
          <w:b/>
          <w:bCs/>
          <w:i/>
          <w:iCs/>
        </w:rPr>
        <w:t xml:space="preserve">we reject the proposition that an examination of the specificity requirement under Article 6.2 of the DSU must involve a substantive inquiry as to the </w:t>
      </w:r>
      <w:r w:rsidRPr="00680062">
        <w:rPr>
          <w:b/>
          <w:bCs/>
          <w:i/>
          <w:iCs/>
        </w:rPr>
        <w:t>existence and</w:t>
      </w:r>
      <w:r w:rsidRPr="00600823">
        <w:rPr>
          <w:b/>
          <w:bCs/>
          <w:i/>
          <w:iCs/>
        </w:rPr>
        <w:t xml:space="preserve"> precise content of the measure</w:t>
      </w:r>
      <w:r w:rsidRPr="00600823">
        <w:rPr>
          <w:i/>
          <w:iCs/>
        </w:rPr>
        <w:t>.</w:t>
      </w:r>
      <w:r w:rsidR="006D76ED">
        <w:rPr>
          <w:rStyle w:val="FootnoteReference"/>
        </w:rPr>
        <w:footnoteReference w:id="28"/>
      </w:r>
      <w:r w:rsidR="00F2049C">
        <w:t xml:space="preserve"> </w:t>
      </w:r>
    </w:p>
    <w:p w14:paraId="3D8775DD" w14:textId="0505F166" w:rsidR="00102A74" w:rsidRDefault="005C5079" w:rsidP="00102A74">
      <w:pPr>
        <w:pStyle w:val="P1-N1Paragraph1-Number1"/>
      </w:pPr>
      <w:r>
        <w:t xml:space="preserve">Put another way, the </w:t>
      </w:r>
      <w:r w:rsidR="00B20855">
        <w:t>"</w:t>
      </w:r>
      <w:r>
        <w:t>specificity</w:t>
      </w:r>
      <w:r w:rsidR="00B20855">
        <w:t>"</w:t>
      </w:r>
      <w:r>
        <w:t xml:space="preserve"> requirement </w:t>
      </w:r>
      <w:r w:rsidR="00B20855">
        <w:t xml:space="preserve">under Article 6.2 does not </w:t>
      </w:r>
      <w:r w:rsidR="00165773">
        <w:t xml:space="preserve">necessitate </w:t>
      </w:r>
      <w:r w:rsidR="00B20855">
        <w:t xml:space="preserve">product specificity where it </w:t>
      </w:r>
      <w:r w:rsidR="003C76CF">
        <w:t xml:space="preserve">is </w:t>
      </w:r>
      <w:r w:rsidR="00B20855">
        <w:t xml:space="preserve">otherwise not </w:t>
      </w:r>
      <w:r w:rsidR="008F770F">
        <w:t>warranted</w:t>
      </w:r>
      <w:r w:rsidR="00B20855">
        <w:t>.</w:t>
      </w:r>
      <w:r w:rsidR="001B4F09">
        <w:rPr>
          <w:rStyle w:val="FootnoteReference"/>
        </w:rPr>
        <w:footnoteReference w:id="29"/>
      </w:r>
      <w:r w:rsidR="00B20855">
        <w:t xml:space="preserve"> </w:t>
      </w:r>
      <w:r w:rsidR="00102A74">
        <w:t xml:space="preserve">The </w:t>
      </w:r>
      <w:r w:rsidR="00102A74" w:rsidRPr="00B20855">
        <w:rPr>
          <w:i/>
          <w:iCs/>
        </w:rPr>
        <w:t>relevant</w:t>
      </w:r>
      <w:r w:rsidR="00102A74" w:rsidRPr="008A6548">
        <w:rPr>
          <w:i/>
          <w:iCs/>
        </w:rPr>
        <w:t xml:space="preserve"> </w:t>
      </w:r>
      <w:r w:rsidR="00102A74">
        <w:t xml:space="preserve">standard </w:t>
      </w:r>
      <w:r w:rsidR="008A6548">
        <w:t>f</w:t>
      </w:r>
      <w:r w:rsidR="00102A74">
        <w:t xml:space="preserve">or identification of a measure – </w:t>
      </w:r>
      <w:r w:rsidR="00102A74" w:rsidRPr="00CE484F">
        <w:t>whether written or unwritten</w:t>
      </w:r>
      <w:r w:rsidR="00102A74">
        <w:t xml:space="preserve"> </w:t>
      </w:r>
      <w:r w:rsidR="008A6548">
        <w:t>–</w:t>
      </w:r>
      <w:r w:rsidR="00102A74">
        <w:t xml:space="preserve"> </w:t>
      </w:r>
      <w:r w:rsidR="008A6548">
        <w:t xml:space="preserve">under Article 6.2 </w:t>
      </w:r>
      <w:r w:rsidR="00102A74">
        <w:t xml:space="preserve">requires that: </w:t>
      </w:r>
    </w:p>
    <w:p w14:paraId="7B272F97" w14:textId="2B409B37" w:rsidR="00494B49" w:rsidRDefault="00B06330" w:rsidP="00102A74">
      <w:pPr>
        <w:pStyle w:val="QQuotation"/>
      </w:pPr>
      <w:r>
        <w:lastRenderedPageBreak/>
        <w:t xml:space="preserve">[…] </w:t>
      </w:r>
      <w:r w:rsidR="001E40B0">
        <w:t>a</w:t>
      </w:r>
      <w:r w:rsidR="001B4836">
        <w:t>lthough</w:t>
      </w:r>
      <w:r w:rsidR="00102A74">
        <w:t xml:space="preserve"> a measure cannot be identified without some indication of its contents, [it] need be framed only with sufficient particularity </w:t>
      </w:r>
      <w:proofErr w:type="gramStart"/>
      <w:r w:rsidR="00102A74">
        <w:t>so as to</w:t>
      </w:r>
      <w:proofErr w:type="gramEnd"/>
      <w:r w:rsidR="00102A74">
        <w:t xml:space="preserve"> indicate </w:t>
      </w:r>
      <w:r w:rsidR="00102A74" w:rsidRPr="00494B49">
        <w:rPr>
          <w:i/>
          <w:iCs/>
        </w:rPr>
        <w:t>the nature of the measure and the gist of what is at issue</w:t>
      </w:r>
      <w:r w:rsidR="00102A74">
        <w:t>.</w:t>
      </w:r>
      <w:r w:rsidR="00C82C1D">
        <w:rPr>
          <w:rStyle w:val="FootnoteReference"/>
        </w:rPr>
        <w:footnoteReference w:id="30"/>
      </w:r>
      <w:r w:rsidR="00102A74">
        <w:t xml:space="preserve"> </w:t>
      </w:r>
    </w:p>
    <w:p w14:paraId="2A84F53E" w14:textId="39EF4AFF" w:rsidR="004256ED" w:rsidRDefault="00A85868" w:rsidP="004256ED">
      <w:pPr>
        <w:pStyle w:val="P1-N1Paragraph1-Number1"/>
        <w:rPr>
          <w:sz w:val="16"/>
          <w:szCs w:val="16"/>
        </w:rPr>
      </w:pPr>
      <w:r>
        <w:t>Finally, Australia seeks to clarify two points of systemic importance regarding the identification of "unwritten measures" under Article 6.2 of the DSU. First, t</w:t>
      </w:r>
      <w:r w:rsidR="00FA4D75">
        <w:t>he</w:t>
      </w:r>
      <w:r w:rsidR="00102A74">
        <w:t xml:space="preserve"> due process objective </w:t>
      </w:r>
      <w:r w:rsidR="00082D62">
        <w:t xml:space="preserve">of </w:t>
      </w:r>
      <w:r w:rsidR="00BD1FD1">
        <w:t>Article 6.2</w:t>
      </w:r>
      <w:r w:rsidR="00102A74">
        <w:t xml:space="preserve"> </w:t>
      </w:r>
      <w:r w:rsidR="00BD1FD1">
        <w:t xml:space="preserve">to </w:t>
      </w:r>
      <w:r w:rsidR="00F128D1" w:rsidRPr="00BD1FD1">
        <w:t>which both partie</w:t>
      </w:r>
      <w:r w:rsidR="00CE484F">
        <w:t>s</w:t>
      </w:r>
      <w:r w:rsidR="005F34F1" w:rsidRPr="00BD1FD1">
        <w:t xml:space="preserve"> </w:t>
      </w:r>
      <w:r w:rsidR="00BD1FD1">
        <w:t>refer</w:t>
      </w:r>
      <w:r w:rsidR="003358FE">
        <w:rPr>
          <w:rStyle w:val="FootnoteReference"/>
        </w:rPr>
        <w:footnoteReference w:id="31"/>
      </w:r>
      <w:r w:rsidR="00A9306E">
        <w:t xml:space="preserve"> </w:t>
      </w:r>
      <w:r w:rsidR="00CE484F">
        <w:t>does not, of itself,</w:t>
      </w:r>
      <w:r w:rsidR="00FA4D75">
        <w:t xml:space="preserve"> justify</w:t>
      </w:r>
      <w:r w:rsidR="00CE484F">
        <w:t xml:space="preserve"> </w:t>
      </w:r>
      <w:r w:rsidR="00FA4D75">
        <w:t>a</w:t>
      </w:r>
      <w:r w:rsidR="00CF5C19">
        <w:t xml:space="preserve"> generally</w:t>
      </w:r>
      <w:r w:rsidR="00FA4D75">
        <w:t xml:space="preserve"> </w:t>
      </w:r>
      <w:r w:rsidR="00CE484F">
        <w:t xml:space="preserve">higher threshold of specificity for </w:t>
      </w:r>
      <w:r w:rsidR="00CE484F" w:rsidRPr="00600823">
        <w:t>unwritte</w:t>
      </w:r>
      <w:r w:rsidR="00FA4D75" w:rsidRPr="00600823">
        <w:t>n</w:t>
      </w:r>
      <w:r w:rsidR="00FA4D75">
        <w:t>,</w:t>
      </w:r>
      <w:r w:rsidR="00CE484F">
        <w:t xml:space="preserve"> as opposed to written</w:t>
      </w:r>
      <w:r w:rsidR="00FA4D75">
        <w:t>,</w:t>
      </w:r>
      <w:r w:rsidR="00CE484F">
        <w:t xml:space="preserve"> measures</w:t>
      </w:r>
      <w:r w:rsidR="00A17ABD">
        <w:t>.</w:t>
      </w:r>
      <w:r w:rsidR="00CE484F">
        <w:t xml:space="preserve"> </w:t>
      </w:r>
      <w:r w:rsidR="00A17ABD">
        <w:t>As the Appellate Body has explained in relation to Article 6.2</w:t>
      </w:r>
      <w:r w:rsidR="00BD1FD1">
        <w:t xml:space="preserve">, </w:t>
      </w:r>
      <w:r w:rsidR="00FA4D75">
        <w:t xml:space="preserve">the relevant </w:t>
      </w:r>
      <w:r w:rsidR="00162A99">
        <w:t xml:space="preserve">due process </w:t>
      </w:r>
      <w:r w:rsidR="00FA4D75">
        <w:t xml:space="preserve">standard is that </w:t>
      </w:r>
      <w:r w:rsidR="00BD1FD1">
        <w:t>"</w:t>
      </w:r>
      <w:r w:rsidR="006D3E92">
        <w:t>[a]</w:t>
      </w:r>
      <w:r w:rsidR="00A17ABD">
        <w:t xml:space="preserve"> defending party is entitled to know what case it has to answer, and what violations have been alleged so that it can</w:t>
      </w:r>
      <w:r w:rsidR="00A17ABD" w:rsidRPr="00FA4D75">
        <w:t xml:space="preserve"> </w:t>
      </w:r>
      <w:r w:rsidR="00A17ABD" w:rsidRPr="00600823">
        <w:rPr>
          <w:i/>
          <w:iCs/>
        </w:rPr>
        <w:t>begin</w:t>
      </w:r>
      <w:r w:rsidR="00A17ABD" w:rsidRPr="00BD1FD1">
        <w:rPr>
          <w:i/>
          <w:iCs/>
        </w:rPr>
        <w:t xml:space="preserve"> </w:t>
      </w:r>
      <w:r w:rsidR="00A17ABD">
        <w:t>preparing its defence</w:t>
      </w:r>
      <w:r w:rsidR="00082D62">
        <w:t>.</w:t>
      </w:r>
      <w:r w:rsidR="004B46A4">
        <w:t>"</w:t>
      </w:r>
      <w:r w:rsidR="00FA4D75">
        <w:rPr>
          <w:rStyle w:val="FootnoteReference"/>
        </w:rPr>
        <w:footnoteReference w:id="32"/>
      </w:r>
    </w:p>
    <w:p w14:paraId="4F57981C" w14:textId="565B535B" w:rsidR="00F93673" w:rsidRPr="0039025D" w:rsidRDefault="00A85868" w:rsidP="004256ED">
      <w:pPr>
        <w:pStyle w:val="P1-N1Paragraph1-Number1"/>
        <w:rPr>
          <w:sz w:val="16"/>
          <w:szCs w:val="16"/>
        </w:rPr>
      </w:pPr>
      <w:r>
        <w:t xml:space="preserve">Second, the </w:t>
      </w:r>
      <w:r w:rsidR="00DA3145">
        <w:t xml:space="preserve">unwritten </w:t>
      </w:r>
      <w:r>
        <w:t xml:space="preserve">nature of </w:t>
      </w:r>
      <w:r w:rsidR="00DA3145">
        <w:t xml:space="preserve">a </w:t>
      </w:r>
      <w:r>
        <w:t>measure do</w:t>
      </w:r>
      <w:r w:rsidR="003358FE">
        <w:t>es</w:t>
      </w:r>
      <w:r>
        <w:t xml:space="preserve"> not </w:t>
      </w:r>
      <w:r w:rsidR="00B20855">
        <w:t xml:space="preserve">of itself, </w:t>
      </w:r>
      <w:r>
        <w:t>engender a higher standard of specificity under Article 6.2</w:t>
      </w:r>
      <w:r w:rsidR="003358FE">
        <w:t>, relative to written measures</w:t>
      </w:r>
      <w:r>
        <w:t xml:space="preserve">. </w:t>
      </w:r>
      <w:r w:rsidR="00FA4D75">
        <w:t xml:space="preserve">Australia </w:t>
      </w:r>
      <w:r w:rsidR="005B1687">
        <w:t>recalls</w:t>
      </w:r>
      <w:r w:rsidR="002C76B0">
        <w:rPr>
          <w:rStyle w:val="FootnoteReference"/>
        </w:rPr>
        <w:footnoteReference w:id="33"/>
      </w:r>
      <w:r w:rsidR="005B1687">
        <w:t xml:space="preserve"> </w:t>
      </w:r>
      <w:r w:rsidR="00CF5C19">
        <w:t xml:space="preserve">that considerations </w:t>
      </w:r>
      <w:r w:rsidR="00022452">
        <w:t>relating to the</w:t>
      </w:r>
      <w:r w:rsidR="008A6548">
        <w:t xml:space="preserve"> "</w:t>
      </w:r>
      <w:r w:rsidR="00680062">
        <w:t>precise contours</w:t>
      </w:r>
      <w:r w:rsidR="00CF5C19">
        <w:t xml:space="preserve">" of a measure, as </w:t>
      </w:r>
      <w:r w:rsidR="002C76B0">
        <w:t>referenced by the</w:t>
      </w:r>
      <w:r w:rsidR="00CF5C19">
        <w:t xml:space="preserve"> Appellate Body in</w:t>
      </w:r>
      <w:r w:rsidR="00654EB8">
        <w:t xml:space="preserve"> </w:t>
      </w:r>
      <w:r w:rsidR="00654EB8">
        <w:rPr>
          <w:i/>
          <w:iCs/>
        </w:rPr>
        <w:t>EC and certain member States – Large Civil Aircraft</w:t>
      </w:r>
      <w:r w:rsidR="00CF5C19">
        <w:t>,</w:t>
      </w:r>
      <w:r w:rsidR="00CF5C19">
        <w:rPr>
          <w:rStyle w:val="FootnoteReference"/>
        </w:rPr>
        <w:footnoteReference w:id="34"/>
      </w:r>
      <w:r w:rsidR="00CF5C19">
        <w:t xml:space="preserve"> </w:t>
      </w:r>
      <w:r w:rsidR="00022452">
        <w:t xml:space="preserve">pertain </w:t>
      </w:r>
      <w:r w:rsidR="00CF5C19">
        <w:t xml:space="preserve">solely </w:t>
      </w:r>
      <w:r w:rsidR="008A6548">
        <w:t xml:space="preserve">to the complainant's burden </w:t>
      </w:r>
      <w:r w:rsidR="00CF5C19">
        <w:t xml:space="preserve">during the </w:t>
      </w:r>
      <w:r w:rsidR="00CF5C19">
        <w:rPr>
          <w:i/>
          <w:iCs/>
        </w:rPr>
        <w:t>substantive</w:t>
      </w:r>
      <w:r w:rsidR="00CF5C19">
        <w:t xml:space="preserve"> panel proceedings and </w:t>
      </w:r>
      <w:r w:rsidR="00CF5C19">
        <w:rPr>
          <w:i/>
          <w:iCs/>
        </w:rPr>
        <w:t xml:space="preserve">not </w:t>
      </w:r>
      <w:r w:rsidR="00CF5C19">
        <w:t>the establishment of a panel</w:t>
      </w:r>
      <w:r w:rsidR="008A6548">
        <w:t>.</w:t>
      </w:r>
      <w:r w:rsidR="00CF5C19">
        <w:t xml:space="preserve"> These two enquiries</w:t>
      </w:r>
      <w:r w:rsidR="003C76CF">
        <w:t xml:space="preserve">: </w:t>
      </w:r>
      <w:proofErr w:type="spellStart"/>
      <w:r w:rsidR="003C76CF">
        <w:t>i</w:t>
      </w:r>
      <w:proofErr w:type="spellEnd"/>
      <w:r w:rsidR="003C76CF">
        <w:t xml:space="preserve">) </w:t>
      </w:r>
      <w:r w:rsidR="00CF5C19">
        <w:t>as to the identification of a measure in a panel re</w:t>
      </w:r>
      <w:r w:rsidR="00A223AD">
        <w:t>quest</w:t>
      </w:r>
      <w:r w:rsidR="003C76CF">
        <w:t>;</w:t>
      </w:r>
      <w:r w:rsidR="00CF5C19">
        <w:t xml:space="preserve"> and </w:t>
      </w:r>
      <w:r w:rsidR="003C76CF">
        <w:t>ii)</w:t>
      </w:r>
      <w:r w:rsidR="00CF5C19">
        <w:t xml:space="preserve"> as to the establishment of the precise </w:t>
      </w:r>
      <w:r w:rsidR="00680062">
        <w:t xml:space="preserve">content </w:t>
      </w:r>
      <w:r w:rsidR="00CF5C19">
        <w:t xml:space="preserve">of </w:t>
      </w:r>
      <w:r w:rsidR="00162A99">
        <w:t>that</w:t>
      </w:r>
      <w:r w:rsidR="00CF5C19">
        <w:t xml:space="preserve"> measure - are analytically</w:t>
      </w:r>
      <w:r w:rsidR="00162A99">
        <w:t xml:space="preserve"> and procedurally</w:t>
      </w:r>
      <w:r w:rsidR="00CF5C19">
        <w:t xml:space="preserve"> separate.</w:t>
      </w:r>
      <w:r w:rsidR="0009076A">
        <w:t xml:space="preserve"> </w:t>
      </w:r>
      <w:r w:rsidR="00CF5C19">
        <w:t>Therefore, g</w:t>
      </w:r>
      <w:r w:rsidR="005B1687">
        <w:t xml:space="preserve">iven that </w:t>
      </w:r>
      <w:r w:rsidR="00680062">
        <w:t>the</w:t>
      </w:r>
      <w:r w:rsidR="005B1687">
        <w:t xml:space="preserve"> </w:t>
      </w:r>
      <w:r w:rsidR="00680062">
        <w:t>"</w:t>
      </w:r>
      <w:r w:rsidR="005B1687">
        <w:t>precise cont</w:t>
      </w:r>
      <w:r w:rsidR="00DA3145">
        <w:t>ours</w:t>
      </w:r>
      <w:r w:rsidR="00680062">
        <w:t>"</w:t>
      </w:r>
      <w:r w:rsidR="005B1687">
        <w:t xml:space="preserve"> of a measure </w:t>
      </w:r>
      <w:r w:rsidR="00E14768">
        <w:t>are</w:t>
      </w:r>
      <w:r w:rsidR="00680062">
        <w:t xml:space="preserve"> </w:t>
      </w:r>
      <w:r w:rsidR="005B1687">
        <w:t xml:space="preserve">not implicated in a complainant's task under Article 6.2, </w:t>
      </w:r>
      <w:r w:rsidR="005B1687" w:rsidRPr="00EC30B4">
        <w:t xml:space="preserve">any </w:t>
      </w:r>
      <w:r w:rsidR="005B1687" w:rsidRPr="00EC30B4">
        <w:rPr>
          <w:i/>
          <w:iCs/>
        </w:rPr>
        <w:t>uncertainty</w:t>
      </w:r>
      <w:r w:rsidR="005B1687" w:rsidRPr="00EC30B4">
        <w:t xml:space="preserve"> in those elements</w:t>
      </w:r>
      <w:r w:rsidR="00A83376" w:rsidRPr="00EC30B4">
        <w:t xml:space="preserve">, as referred to in </w:t>
      </w:r>
      <w:r w:rsidR="009A4A2E">
        <w:rPr>
          <w:i/>
          <w:iCs/>
        </w:rPr>
        <w:t>EC and certain member States – Large Civil Aircraft</w:t>
      </w:r>
      <w:r w:rsidR="00A83376" w:rsidRPr="00EC30B4">
        <w:t>,</w:t>
      </w:r>
      <w:r w:rsidR="000333EA" w:rsidRPr="00EC30B4">
        <w:rPr>
          <w:rStyle w:val="FootnoteReference"/>
        </w:rPr>
        <w:footnoteReference w:id="35"/>
      </w:r>
      <w:r w:rsidR="005B1687">
        <w:t xml:space="preserve"> also cannot as a matter of logic</w:t>
      </w:r>
      <w:r w:rsidR="00162A99">
        <w:t>,</w:t>
      </w:r>
      <w:r w:rsidR="005B1687">
        <w:t xml:space="preserve"> </w:t>
      </w:r>
      <w:r w:rsidR="00022452">
        <w:t xml:space="preserve">inform the </w:t>
      </w:r>
      <w:r w:rsidR="00022452" w:rsidRPr="0039025D">
        <w:rPr>
          <w:i/>
          <w:iCs/>
        </w:rPr>
        <w:t>general</w:t>
      </w:r>
      <w:r w:rsidR="005B1687">
        <w:t xml:space="preserve"> legal standard under Article 6.2.</w:t>
      </w:r>
      <w:r w:rsidR="0023646E">
        <w:rPr>
          <w:rStyle w:val="FootnoteReference"/>
        </w:rPr>
        <w:footnoteReference w:id="36"/>
      </w:r>
      <w:r w:rsidR="005B1687">
        <w:t xml:space="preserve"> </w:t>
      </w:r>
    </w:p>
    <w:p w14:paraId="0CCF3C6C" w14:textId="334E1BDF" w:rsidR="00162A99" w:rsidRPr="00BE4168" w:rsidRDefault="00162A99" w:rsidP="004256ED">
      <w:pPr>
        <w:pStyle w:val="P1-N1Paragraph1-Number1"/>
        <w:rPr>
          <w:sz w:val="16"/>
          <w:szCs w:val="16"/>
        </w:rPr>
      </w:pPr>
      <w:r>
        <w:lastRenderedPageBreak/>
        <w:t xml:space="preserve">Rather, </w:t>
      </w:r>
      <w:r w:rsidR="008A0C45">
        <w:t>as Australia understands, the requirement to</w:t>
      </w:r>
      <w:r w:rsidR="00701816">
        <w:t xml:space="preserve"> "identify [unwritten] measures in […] panel requests as clearly as possible"</w:t>
      </w:r>
      <w:r w:rsidR="00701816">
        <w:rPr>
          <w:rStyle w:val="FootnoteReference"/>
        </w:rPr>
        <w:footnoteReference w:id="37"/>
      </w:r>
      <w:r w:rsidR="00701816">
        <w:t xml:space="preserve"> </w:t>
      </w:r>
      <w:r w:rsidR="008A0C45">
        <w:t>is</w:t>
      </w:r>
      <w:r w:rsidR="001C62D4">
        <w:t xml:space="preserve"> </w:t>
      </w:r>
      <w:r w:rsidR="00701816">
        <w:t xml:space="preserve">consistent with </w:t>
      </w:r>
      <w:r w:rsidR="008A0C45">
        <w:t xml:space="preserve">a </w:t>
      </w:r>
      <w:r w:rsidR="00701816" w:rsidRPr="0039025D">
        <w:rPr>
          <w:i/>
          <w:iCs/>
        </w:rPr>
        <w:t>case-specific</w:t>
      </w:r>
      <w:r w:rsidR="00701816">
        <w:t xml:space="preserve"> enquiry </w:t>
      </w:r>
      <w:r w:rsidR="00B20855">
        <w:t>under</w:t>
      </w:r>
      <w:r w:rsidR="00701816">
        <w:t xml:space="preserve"> Article 6.2. In that sense, the </w:t>
      </w:r>
      <w:r w:rsidR="00A818B0">
        <w:t>"uncertainty" of</w:t>
      </w:r>
      <w:r w:rsidR="001C62D4">
        <w:t xml:space="preserve"> </w:t>
      </w:r>
      <w:r w:rsidR="00A818B0">
        <w:t xml:space="preserve">a </w:t>
      </w:r>
      <w:r w:rsidR="00701816">
        <w:t xml:space="preserve">measure </w:t>
      </w:r>
      <w:r w:rsidR="006C4F7F">
        <w:t>form</w:t>
      </w:r>
      <w:r w:rsidR="00A818B0">
        <w:t>s</w:t>
      </w:r>
      <w:r w:rsidR="006C4F7F">
        <w:t xml:space="preserve"> </w:t>
      </w:r>
      <w:r w:rsidR="0023646E">
        <w:t xml:space="preserve">one of the </w:t>
      </w:r>
      <w:r w:rsidR="00A818B0">
        <w:t xml:space="preserve">contextual </w:t>
      </w:r>
      <w:r w:rsidR="0023646E">
        <w:t>considerations</w:t>
      </w:r>
      <w:r w:rsidR="006C4F7F">
        <w:t xml:space="preserve"> </w:t>
      </w:r>
      <w:r w:rsidR="00A44840">
        <w:t xml:space="preserve">of which </w:t>
      </w:r>
      <w:r w:rsidR="006C4F7F">
        <w:t>a</w:t>
      </w:r>
      <w:r w:rsidR="00701816">
        <w:t xml:space="preserve"> panel should take account</w:t>
      </w:r>
      <w:r w:rsidR="006A2B62">
        <w:t xml:space="preserve">. It </w:t>
      </w:r>
      <w:r w:rsidR="001C62D4">
        <w:t>does not of itself</w:t>
      </w:r>
      <w:r w:rsidR="008A0C45">
        <w:t>,</w:t>
      </w:r>
      <w:r w:rsidR="001C62D4">
        <w:t xml:space="preserve"> form the basis of a dispositive rule</w:t>
      </w:r>
      <w:r w:rsidR="006C4F7F">
        <w:t xml:space="preserve"> requiring </w:t>
      </w:r>
      <w:r w:rsidR="006C4F7F">
        <w:rPr>
          <w:i/>
          <w:iCs/>
        </w:rPr>
        <w:t xml:space="preserve">more </w:t>
      </w:r>
      <w:r w:rsidR="006C4F7F">
        <w:t>detail</w:t>
      </w:r>
      <w:r w:rsidR="008A0C45">
        <w:t xml:space="preserve"> in a panel request</w:t>
      </w:r>
      <w:r w:rsidR="008B739A">
        <w:t>.</w:t>
      </w:r>
      <w:r w:rsidR="006A2B62">
        <w:t xml:space="preserve"> </w:t>
      </w:r>
    </w:p>
    <w:p w14:paraId="2CBE6494" w14:textId="00EE1436" w:rsidR="00CF5C19" w:rsidRDefault="00701816" w:rsidP="006C4F7F">
      <w:pPr>
        <w:pStyle w:val="P1-N1Paragraph1-Number1"/>
      </w:pPr>
      <w:r>
        <w:t xml:space="preserve">Consistent with </w:t>
      </w:r>
      <w:r w:rsidR="0023646E">
        <w:t>Australia's understanding</w:t>
      </w:r>
      <w:r>
        <w:t xml:space="preserve">, </w:t>
      </w:r>
      <w:r w:rsidR="00E85352">
        <w:t>the Appellate Body</w:t>
      </w:r>
      <w:r w:rsidR="006C4F7F">
        <w:t xml:space="preserve"> observed </w:t>
      </w:r>
      <w:r w:rsidR="00E85352">
        <w:t xml:space="preserve">in the same report </w:t>
      </w:r>
      <w:r w:rsidR="006C4F7F">
        <w:t>that:</w:t>
      </w:r>
    </w:p>
    <w:p w14:paraId="638E9ACB" w14:textId="713A21E4" w:rsidR="006C4F7F" w:rsidRPr="00600823" w:rsidRDefault="006C4F7F" w:rsidP="00600823">
      <w:pPr>
        <w:pStyle w:val="QQuotation"/>
        <w:rPr>
          <w:sz w:val="16"/>
          <w:szCs w:val="16"/>
        </w:rPr>
      </w:pPr>
      <w:r>
        <w:t xml:space="preserve">An assessment of whether a complaining party has identified the specific measures at issue may depend on the </w:t>
      </w:r>
      <w:proofErr w:type="gramStart"/>
      <w:r w:rsidRPr="0039025D">
        <w:rPr>
          <w:b/>
          <w:bCs/>
          <w:i/>
          <w:iCs/>
        </w:rPr>
        <w:t>particular context</w:t>
      </w:r>
      <w:proofErr w:type="gramEnd"/>
      <w:r>
        <w:t xml:space="preserve"> in which those measures exist and operate. </w:t>
      </w:r>
      <w:r w:rsidRPr="00600823">
        <w:rPr>
          <w:b/>
          <w:bCs/>
          <w:i/>
          <w:iCs/>
        </w:rPr>
        <w:t xml:space="preserve">Such an exercise involves, by necessity, a case-by-case analysis since it may require examining the extent to which </w:t>
      </w:r>
      <w:r w:rsidR="0023646E" w:rsidRPr="00600823">
        <w:rPr>
          <w:b/>
          <w:bCs/>
          <w:i/>
          <w:iCs/>
        </w:rPr>
        <w:t>those measures are capable of being precisely identified</w:t>
      </w:r>
      <w:r w:rsidR="0023646E">
        <w:t>.</w:t>
      </w:r>
      <w:r w:rsidR="0023646E">
        <w:rPr>
          <w:rStyle w:val="FootnoteReference"/>
        </w:rPr>
        <w:footnoteReference w:id="38"/>
      </w:r>
    </w:p>
    <w:p w14:paraId="566A55B5" w14:textId="08999B5C" w:rsidR="00BA7353" w:rsidRPr="0085047A" w:rsidRDefault="00BA7353" w:rsidP="004C1C03">
      <w:pPr>
        <w:pStyle w:val="P1-N1Paragraph1-Number1"/>
        <w:rPr>
          <w:sz w:val="16"/>
          <w:szCs w:val="16"/>
        </w:rPr>
      </w:pPr>
      <w:r w:rsidRPr="00456DEB">
        <w:t xml:space="preserve">The context surrounding an unwritten measure may explain and justify why a complainant is unable to provide the same degree of specificity as may be possible </w:t>
      </w:r>
      <w:r w:rsidR="002543B3">
        <w:t>for</w:t>
      </w:r>
      <w:r w:rsidRPr="00456DEB">
        <w:t xml:space="preserve"> written measure</w:t>
      </w:r>
      <w:r w:rsidR="002543B3">
        <w:t>s</w:t>
      </w:r>
      <w:r>
        <w:t xml:space="preserve"> and why such specificity </w:t>
      </w:r>
      <w:r w:rsidR="0055514C">
        <w:t xml:space="preserve">may </w:t>
      </w:r>
      <w:r w:rsidR="008C672D">
        <w:t xml:space="preserve">therefore </w:t>
      </w:r>
      <w:r w:rsidR="0055514C">
        <w:t>be</w:t>
      </w:r>
      <w:r>
        <w:t xml:space="preserve"> </w:t>
      </w:r>
      <w:r w:rsidR="00680062">
        <w:t xml:space="preserve">factually </w:t>
      </w:r>
      <w:r w:rsidR="00BB1A13">
        <w:t>unnecessary to</w:t>
      </w:r>
      <w:r w:rsidR="0062342D">
        <w:t xml:space="preserve"> satisfy</w:t>
      </w:r>
      <w:r w:rsidR="00260702">
        <w:t xml:space="preserve"> Article 6.2</w:t>
      </w:r>
      <w:r w:rsidRPr="00456DEB">
        <w:t xml:space="preserve">.  </w:t>
      </w:r>
      <w:r w:rsidR="008B739A">
        <w:t>A</w:t>
      </w:r>
      <w:r w:rsidRPr="00456DEB">
        <w:t xml:space="preserve"> complainant seeking to establish an unwritten measure will in any case bear the onus of proving its existence in the </w:t>
      </w:r>
      <w:r w:rsidR="00E85352">
        <w:t>substantive</w:t>
      </w:r>
      <w:r w:rsidRPr="00456DEB">
        <w:t xml:space="preserve"> phase. From a systemic perspective, </w:t>
      </w:r>
      <w:r w:rsidR="009C59C2">
        <w:t xml:space="preserve">the degree of </w:t>
      </w:r>
      <w:r w:rsidR="004C1C03">
        <w:t>specificity</w:t>
      </w:r>
      <w:r w:rsidR="009C59C2">
        <w:t xml:space="preserve"> required of an unwritten measure in a panel request needs careful consideration, </w:t>
      </w:r>
      <w:r w:rsidR="004C1C03">
        <w:t>given the affront that</w:t>
      </w:r>
      <w:r w:rsidR="009C59C2">
        <w:t xml:space="preserve"> such measures</w:t>
      </w:r>
      <w:r w:rsidRPr="00456DEB">
        <w:t xml:space="preserve"> </w:t>
      </w:r>
      <w:r w:rsidR="004C1C03">
        <w:t xml:space="preserve">might </w:t>
      </w:r>
      <w:r w:rsidRPr="00456DEB">
        <w:t>present to a properly functioning rules-based system</w:t>
      </w:r>
      <w:r w:rsidRPr="00BE4168">
        <w:t>.</w:t>
      </w:r>
      <w:r w:rsidR="00260702">
        <w:rPr>
          <w:rStyle w:val="FootnoteReference"/>
        </w:rPr>
        <w:footnoteReference w:id="39"/>
      </w:r>
      <w:r w:rsidR="009C59C2">
        <w:t xml:space="preserve"> </w:t>
      </w:r>
    </w:p>
    <w:p w14:paraId="306E69B7" w14:textId="3E596933" w:rsidR="00955FD5" w:rsidRDefault="00510AA4" w:rsidP="00D52A17">
      <w:pPr>
        <w:pStyle w:val="P1-N1Paragraph1-Number1"/>
      </w:pPr>
      <w:r>
        <w:t xml:space="preserve">A panel request sets the parameters of a dispute and serves an important due process function. </w:t>
      </w:r>
      <w:r w:rsidR="001747E5">
        <w:t>While</w:t>
      </w:r>
      <w:r>
        <w:t xml:space="preserve"> it is a document that requires </w:t>
      </w:r>
      <w:r w:rsidR="00680062">
        <w:t xml:space="preserve">sufficient </w:t>
      </w:r>
      <w:r>
        <w:t>precision</w:t>
      </w:r>
      <w:r w:rsidR="00B20592">
        <w:t xml:space="preserve"> </w:t>
      </w:r>
      <w:proofErr w:type="gramStart"/>
      <w:r w:rsidR="00B20592">
        <w:t>in order to</w:t>
      </w:r>
      <w:proofErr w:type="gramEnd"/>
      <w:r w:rsidR="00B20592">
        <w:t xml:space="preserve"> satisfy the purposes of Article 6.2</w:t>
      </w:r>
      <w:r>
        <w:t xml:space="preserve">, it is not intended </w:t>
      </w:r>
      <w:r w:rsidR="00B20592">
        <w:t>as a tool to constrain the complainant</w:t>
      </w:r>
      <w:r w:rsidR="00416D12">
        <w:t xml:space="preserve"> or </w:t>
      </w:r>
      <w:r w:rsidR="00571072">
        <w:t xml:space="preserve">unduly </w:t>
      </w:r>
      <w:r w:rsidR="00416D12">
        <w:t>curtail the legitimate adjudication of a measure.</w:t>
      </w:r>
    </w:p>
    <w:p w14:paraId="3EDC9966" w14:textId="708EC6D2" w:rsidR="00D52A17" w:rsidRPr="0007327B" w:rsidRDefault="0009076A" w:rsidP="00D52A17">
      <w:pPr>
        <w:pStyle w:val="P1-N1Paragraph1-Number1"/>
      </w:pPr>
      <w:r>
        <w:t xml:space="preserve">Australia thanks the Panel for the opportunity to submit its views on </w:t>
      </w:r>
      <w:r w:rsidR="00A545E9">
        <w:t>certain</w:t>
      </w:r>
      <w:r>
        <w:t xml:space="preserve"> issues raised </w:t>
      </w:r>
      <w:r w:rsidR="00463128">
        <w:t>under this preliminary ruling request</w:t>
      </w:r>
      <w:r>
        <w:t>.</w:t>
      </w:r>
    </w:p>
    <w:p w14:paraId="2FF5AB62" w14:textId="77777777" w:rsidR="00D52A17" w:rsidRPr="0007327B" w:rsidRDefault="00D52A17" w:rsidP="00D52A17">
      <w:pPr>
        <w:pStyle w:val="BTBodyText"/>
      </w:pPr>
    </w:p>
    <w:sectPr w:rsidR="00D52A17" w:rsidRPr="0007327B" w:rsidSect="008F5B14">
      <w:headerReference w:type="default" r:id="rId8"/>
      <w:footerReference w:type="default" r:id="rId9"/>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BE16" w14:textId="77777777" w:rsidR="00CA25F6" w:rsidRDefault="00CA25F6" w:rsidP="00006269">
      <w:pPr>
        <w:spacing w:after="0" w:line="240" w:lineRule="auto"/>
      </w:pPr>
      <w:r>
        <w:separator/>
      </w:r>
    </w:p>
  </w:endnote>
  <w:endnote w:type="continuationSeparator" w:id="0">
    <w:p w14:paraId="183E53D5" w14:textId="77777777" w:rsidR="00CA25F6" w:rsidRDefault="00CA25F6" w:rsidP="00006269">
      <w:pPr>
        <w:spacing w:after="0" w:line="240" w:lineRule="auto"/>
      </w:pPr>
      <w:r>
        <w:continuationSeparator/>
      </w:r>
    </w:p>
  </w:endnote>
  <w:endnote w:type="continuationNotice" w:id="1">
    <w:p w14:paraId="1662EDD3" w14:textId="77777777" w:rsidR="00CA25F6" w:rsidRDefault="00CA2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48C9" w14:textId="77777777" w:rsidR="00380795" w:rsidRDefault="00380795">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C712" w14:textId="77777777" w:rsidR="00CA25F6" w:rsidRDefault="00CA25F6" w:rsidP="00006269">
      <w:pPr>
        <w:spacing w:after="0" w:line="240" w:lineRule="auto"/>
      </w:pPr>
      <w:r>
        <w:separator/>
      </w:r>
    </w:p>
  </w:footnote>
  <w:footnote w:type="continuationSeparator" w:id="0">
    <w:p w14:paraId="2448DB9B" w14:textId="77777777" w:rsidR="00CA25F6" w:rsidRDefault="00CA25F6" w:rsidP="00006269">
      <w:pPr>
        <w:spacing w:after="0" w:line="240" w:lineRule="auto"/>
      </w:pPr>
      <w:r>
        <w:continuationSeparator/>
      </w:r>
    </w:p>
  </w:footnote>
  <w:footnote w:type="continuationNotice" w:id="1">
    <w:p w14:paraId="79C18BBF" w14:textId="77777777" w:rsidR="00CA25F6" w:rsidRDefault="00CA25F6">
      <w:pPr>
        <w:spacing w:after="0" w:line="240" w:lineRule="auto"/>
      </w:pPr>
    </w:p>
  </w:footnote>
  <w:footnote w:id="2">
    <w:p w14:paraId="5861B28E" w14:textId="01B0290B" w:rsidR="00CB6127" w:rsidRDefault="00CB6127">
      <w:pPr>
        <w:pStyle w:val="FootnoteText"/>
      </w:pPr>
      <w:r>
        <w:rPr>
          <w:rStyle w:val="FootnoteReference"/>
        </w:rPr>
        <w:footnoteRef/>
      </w:r>
      <w:r>
        <w:t xml:space="preserve"> Australia uses the term "unwritten measure(s)" throughout this document for convenience of identification only</w:t>
      </w:r>
      <w:r w:rsidR="00D67D79">
        <w:t xml:space="preserve"> and as it is the term used by both principal parties</w:t>
      </w:r>
      <w:r w:rsidR="009B371A">
        <w:t>.</w:t>
      </w:r>
      <w:r w:rsidR="00D67D79">
        <w:t xml:space="preserve"> </w:t>
      </w:r>
      <w:r w:rsidR="00EB4927">
        <w:t>This submission focusses on the unwritten import restriction and the unwritten overarching measure.</w:t>
      </w:r>
    </w:p>
  </w:footnote>
  <w:footnote w:id="3">
    <w:p w14:paraId="26BE88C0" w14:textId="44F62753" w:rsidR="002904C2" w:rsidRDefault="002904C2">
      <w:pPr>
        <w:pStyle w:val="FootnoteText"/>
      </w:pPr>
      <w:r>
        <w:rPr>
          <w:rStyle w:val="FootnoteReference"/>
        </w:rPr>
        <w:footnoteRef/>
      </w:r>
      <w:r>
        <w:t xml:space="preserve"> China's </w:t>
      </w:r>
      <w:r w:rsidR="00F75060">
        <w:t>preliminary ruling request</w:t>
      </w:r>
      <w:r w:rsidR="00ED6230">
        <w:t>,</w:t>
      </w:r>
      <w:r>
        <w:t xml:space="preserve"> para. 136.</w:t>
      </w:r>
    </w:p>
  </w:footnote>
  <w:footnote w:id="4">
    <w:p w14:paraId="7659DB27" w14:textId="54FD930C" w:rsidR="00F47E54" w:rsidRDefault="00F47E54">
      <w:pPr>
        <w:pStyle w:val="FootnoteText"/>
      </w:pPr>
      <w:r>
        <w:rPr>
          <w:rStyle w:val="FootnoteReference"/>
        </w:rPr>
        <w:footnoteRef/>
      </w:r>
      <w:r>
        <w:t xml:space="preserve"> China's preliminary ruling request, para. 146.</w:t>
      </w:r>
    </w:p>
  </w:footnote>
  <w:footnote w:id="5">
    <w:p w14:paraId="14AA2BB1" w14:textId="7F0082D1" w:rsidR="002904C2" w:rsidRDefault="002904C2">
      <w:pPr>
        <w:pStyle w:val="FootnoteText"/>
      </w:pPr>
      <w:r>
        <w:rPr>
          <w:rStyle w:val="FootnoteReference"/>
        </w:rPr>
        <w:footnoteRef/>
      </w:r>
      <w:r>
        <w:t xml:space="preserve"> See China's </w:t>
      </w:r>
      <w:r w:rsidR="00F75060">
        <w:t>preliminary ruling request</w:t>
      </w:r>
      <w:r>
        <w:t>, para. 16</w:t>
      </w:r>
      <w:r w:rsidR="00F06D5E">
        <w:t>1</w:t>
      </w:r>
      <w:r>
        <w:t>: "</w:t>
      </w:r>
      <w:r w:rsidR="00F47E54">
        <w:t>[…] t</w:t>
      </w:r>
      <w:r>
        <w:t>he EU's panel request […] seeks to identify a measure by reference to the measure's product scope. Having done so, the EU cannot now pursue claims against a measure with a different – significantly broader – product scope.</w:t>
      </w:r>
      <w:r w:rsidR="00F47E54">
        <w:t>"</w:t>
      </w:r>
    </w:p>
  </w:footnote>
  <w:footnote w:id="6">
    <w:p w14:paraId="450978EF" w14:textId="2BB6AE58" w:rsidR="002746D3" w:rsidRDefault="002746D3">
      <w:pPr>
        <w:pStyle w:val="FootnoteText"/>
      </w:pPr>
      <w:r>
        <w:rPr>
          <w:rStyle w:val="FootnoteReference"/>
        </w:rPr>
        <w:footnoteRef/>
      </w:r>
      <w:r>
        <w:t xml:space="preserve"> China's </w:t>
      </w:r>
      <w:r w:rsidR="00F75060">
        <w:t>preliminary ruling request</w:t>
      </w:r>
      <w:r>
        <w:t>, paras. 162 – 163.</w:t>
      </w:r>
    </w:p>
  </w:footnote>
  <w:footnote w:id="7">
    <w:p w14:paraId="148E83E1" w14:textId="51A77559" w:rsidR="002904C2" w:rsidRPr="00E0388A" w:rsidRDefault="002904C2">
      <w:pPr>
        <w:pStyle w:val="FootnoteText"/>
      </w:pPr>
      <w:r>
        <w:rPr>
          <w:rStyle w:val="FootnoteReference"/>
        </w:rPr>
        <w:footnoteRef/>
      </w:r>
      <w:r>
        <w:t xml:space="preserve"> See footnote 116 of China's </w:t>
      </w:r>
      <w:r w:rsidR="00F75060">
        <w:t>preliminary ruling request</w:t>
      </w:r>
      <w:r>
        <w:t>: "In short, since the overarching measure is apparently evidenced by the first import restriction, the product scope should necessarily be the same</w:t>
      </w:r>
      <w:r w:rsidR="00F47E54">
        <w:t>.</w:t>
      </w:r>
      <w:r w:rsidR="004D5295">
        <w:t>"</w:t>
      </w:r>
      <w:r w:rsidR="0031606C">
        <w:t xml:space="preserve"> </w:t>
      </w:r>
      <w:r w:rsidR="00E0388A">
        <w:t xml:space="preserve"> Australia also observes that China points to no evidence which might confirm that "product scope" is an essential part of how the unwritten </w:t>
      </w:r>
      <w:r w:rsidR="00E0388A">
        <w:rPr>
          <w:i/>
          <w:iCs/>
        </w:rPr>
        <w:t xml:space="preserve">overarching </w:t>
      </w:r>
      <w:r w:rsidR="00E0388A">
        <w:t>measure is described</w:t>
      </w:r>
      <w:r w:rsidR="00EE46EA">
        <w:t xml:space="preserve"> (consistent with its arguments for the unwritten import restriction</w:t>
      </w:r>
      <w:proofErr w:type="gramStart"/>
      <w:r w:rsidR="00EE46EA">
        <w:t>)</w:t>
      </w:r>
      <w:r w:rsidR="00E0388A">
        <w:t>, and</w:t>
      </w:r>
      <w:proofErr w:type="gramEnd"/>
      <w:r w:rsidR="00E0388A">
        <w:t xml:space="preserve"> appears to rely on </w:t>
      </w:r>
      <w:r w:rsidR="00867AB2">
        <w:t>linkages with t</w:t>
      </w:r>
      <w:r w:rsidR="00E0388A">
        <w:t>he</w:t>
      </w:r>
      <w:r w:rsidR="00006C9D">
        <w:t xml:space="preserve"> unwritten import restriction </w:t>
      </w:r>
      <w:r w:rsidR="00867AB2">
        <w:t xml:space="preserve">measure </w:t>
      </w:r>
      <w:r w:rsidR="00006C9D">
        <w:t>in th</w:t>
      </w:r>
      <w:r w:rsidR="00EE46EA">
        <w:t>at</w:t>
      </w:r>
      <w:r w:rsidR="00006C9D">
        <w:t xml:space="preserve"> regard.</w:t>
      </w:r>
    </w:p>
  </w:footnote>
  <w:footnote w:id="8">
    <w:p w14:paraId="271CC279" w14:textId="6A349758" w:rsidR="00D5689D" w:rsidRDefault="00D5689D">
      <w:pPr>
        <w:pStyle w:val="FootnoteText"/>
      </w:pPr>
      <w:r>
        <w:rPr>
          <w:rStyle w:val="FootnoteReference"/>
        </w:rPr>
        <w:footnoteRef/>
      </w:r>
      <w:r>
        <w:t xml:space="preserve"> European Union's response to China's preliminary ruling request, para</w:t>
      </w:r>
      <w:r w:rsidR="00092984">
        <w:t>s</w:t>
      </w:r>
      <w:r>
        <w:t>. 146</w:t>
      </w:r>
      <w:r w:rsidR="00092984">
        <w:t>, 156, 158, 169 and 208 – 209.</w:t>
      </w:r>
    </w:p>
  </w:footnote>
  <w:footnote w:id="9">
    <w:p w14:paraId="5E5ADFCD" w14:textId="0CDB5A3D" w:rsidR="00A545E9" w:rsidRDefault="00A545E9">
      <w:pPr>
        <w:pStyle w:val="FootnoteText"/>
      </w:pPr>
      <w:r>
        <w:rPr>
          <w:rStyle w:val="FootnoteReference"/>
        </w:rPr>
        <w:footnoteRef/>
      </w:r>
      <w:r>
        <w:t xml:space="preserve"> European Union's response to China's preliminary ruling request, para. 8. (footnote omitted)</w:t>
      </w:r>
    </w:p>
  </w:footnote>
  <w:footnote w:id="10">
    <w:p w14:paraId="21F07DB5" w14:textId="5EED4166" w:rsidR="00092984" w:rsidRDefault="00092984">
      <w:pPr>
        <w:pStyle w:val="FootnoteText"/>
      </w:pPr>
      <w:r>
        <w:rPr>
          <w:rStyle w:val="FootnoteReference"/>
        </w:rPr>
        <w:footnoteRef/>
      </w:r>
      <w:r>
        <w:t xml:space="preserve"> European Union's response to China's preliminary ruling request, para. 157</w:t>
      </w:r>
      <w:r w:rsidR="00FC6C9D">
        <w:t>.</w:t>
      </w:r>
      <w:r w:rsidR="00F47E54">
        <w:t xml:space="preserve"> (footnote omitted)</w:t>
      </w:r>
    </w:p>
  </w:footnote>
  <w:footnote w:id="11">
    <w:p w14:paraId="33968C68" w14:textId="05033BBA" w:rsidR="005F1F6C" w:rsidRDefault="005F1F6C">
      <w:pPr>
        <w:pStyle w:val="FootnoteText"/>
      </w:pPr>
      <w:r>
        <w:rPr>
          <w:rStyle w:val="FootnoteReference"/>
        </w:rPr>
        <w:footnoteRef/>
      </w:r>
      <w:r>
        <w:t xml:space="preserve"> European Union's response to China's preliminary ruling request, para. 163.</w:t>
      </w:r>
    </w:p>
  </w:footnote>
  <w:footnote w:id="12">
    <w:p w14:paraId="21813DE1" w14:textId="29036C10" w:rsidR="00DE0AA9" w:rsidRDefault="00DE0AA9">
      <w:pPr>
        <w:pStyle w:val="FootnoteText"/>
      </w:pPr>
      <w:r>
        <w:rPr>
          <w:rStyle w:val="FootnoteReference"/>
        </w:rPr>
        <w:footnoteRef/>
      </w:r>
      <w:r>
        <w:t xml:space="preserve"> European Union's response to China's preliminary ruling request, para. 168.</w:t>
      </w:r>
    </w:p>
  </w:footnote>
  <w:footnote w:id="13">
    <w:p w14:paraId="25DD09A1" w14:textId="5C69C002" w:rsidR="006415BC" w:rsidRDefault="006415BC">
      <w:pPr>
        <w:pStyle w:val="FootnoteText"/>
      </w:pPr>
      <w:r>
        <w:rPr>
          <w:rStyle w:val="FootnoteReference"/>
        </w:rPr>
        <w:footnoteRef/>
      </w:r>
      <w:r>
        <w:t xml:space="preserve"> See paras. 207 – 208 of the European Union's response to China's preliminary ruling request.</w:t>
      </w:r>
    </w:p>
  </w:footnote>
  <w:footnote w:id="14">
    <w:p w14:paraId="3CBEA978" w14:textId="2D004F5E" w:rsidR="002A59EB" w:rsidRPr="002A59EB" w:rsidRDefault="002A59EB">
      <w:pPr>
        <w:pStyle w:val="FootnoteText"/>
      </w:pPr>
      <w:r>
        <w:rPr>
          <w:rStyle w:val="FootnoteReference"/>
        </w:rPr>
        <w:footnoteRef/>
      </w:r>
      <w:r>
        <w:t xml:space="preserve"> </w:t>
      </w:r>
      <w:r w:rsidR="0058044F">
        <w:t xml:space="preserve">This is derived from the </w:t>
      </w:r>
      <w:r w:rsidR="00706FBD">
        <w:t xml:space="preserve">well-accepted </w:t>
      </w:r>
      <w:r w:rsidR="0058044F">
        <w:t>dual purpose of Article 6.2</w:t>
      </w:r>
      <w:r w:rsidR="000C3F65">
        <w:t xml:space="preserve">, both to define the panel's jurisdiction and to </w:t>
      </w:r>
      <w:r w:rsidR="00706FBD">
        <w:t>meet due process requirements</w:t>
      </w:r>
      <w:r w:rsidR="000C3F65">
        <w:t xml:space="preserve">. </w:t>
      </w:r>
      <w:r w:rsidR="007B1052">
        <w:t xml:space="preserve">It is critical. </w:t>
      </w:r>
      <w:r w:rsidR="0058044F">
        <w:t>For example</w:t>
      </w:r>
      <w:r>
        <w:t>, the</w:t>
      </w:r>
      <w:r w:rsidR="0058044F">
        <w:t xml:space="preserve"> Appellate Body in </w:t>
      </w:r>
      <w:r w:rsidR="00370BB2" w:rsidRPr="00480749">
        <w:rPr>
          <w:i/>
          <w:iCs/>
        </w:rPr>
        <w:t>EC and certain member States — Large Civil Aircraft</w:t>
      </w:r>
      <w:r w:rsidR="00370BB2" w:rsidRPr="003F6EB4" w:rsidDel="00370BB2">
        <w:rPr>
          <w:i/>
          <w:color w:val="000000"/>
          <w:szCs w:val="18"/>
        </w:rPr>
        <w:t xml:space="preserve"> </w:t>
      </w:r>
      <w:r w:rsidR="00003DCD">
        <w:t>ob</w:t>
      </w:r>
      <w:r w:rsidR="0058044F">
        <w:t>served that</w:t>
      </w:r>
      <w:r w:rsidR="007B1052">
        <w:t xml:space="preserve"> </w:t>
      </w:r>
      <w:r w:rsidR="0058044F">
        <w:t>"</w:t>
      </w:r>
      <w:r w:rsidR="006C4F7F" w:rsidRPr="00F6259F">
        <w:rPr>
          <w:i/>
          <w:iCs/>
        </w:rPr>
        <w:t>[</w:t>
      </w:r>
      <w:r w:rsidR="0058044F" w:rsidRPr="00600823">
        <w:rPr>
          <w:b/>
          <w:bCs/>
          <w:i/>
          <w:iCs/>
        </w:rPr>
        <w:t xml:space="preserve">t]he </w:t>
      </w:r>
      <w:proofErr w:type="gramStart"/>
      <w:r w:rsidR="0058044F" w:rsidRPr="00600823">
        <w:rPr>
          <w:b/>
          <w:bCs/>
          <w:i/>
          <w:iCs/>
        </w:rPr>
        <w:t>clear</w:t>
      </w:r>
      <w:proofErr w:type="gramEnd"/>
      <w:r w:rsidR="0058044F" w:rsidRPr="00600823">
        <w:rPr>
          <w:b/>
          <w:bCs/>
          <w:i/>
          <w:iCs/>
        </w:rPr>
        <w:t xml:space="preserve"> identification of the specific measures in the panel request is therefore central to define the scope of the dispute to be addressed by a panel</w:t>
      </w:r>
      <w:r w:rsidR="0058044F">
        <w:t>" (see para. 786</w:t>
      </w:r>
      <w:r w:rsidR="00F94484">
        <w:t>; emphasis added</w:t>
      </w:r>
      <w:r w:rsidR="0058044F">
        <w:t xml:space="preserve">), while the </w:t>
      </w:r>
      <w:r>
        <w:t xml:space="preserve">Panel in </w:t>
      </w:r>
      <w:r>
        <w:rPr>
          <w:i/>
          <w:iCs/>
        </w:rPr>
        <w:t xml:space="preserve">Korea – Alcoholic Beverages </w:t>
      </w:r>
      <w:r w:rsidR="00370BB2">
        <w:t xml:space="preserve">stated </w:t>
      </w:r>
      <w:r w:rsidR="000E05C6">
        <w:t>that</w:t>
      </w:r>
      <w:r>
        <w:t xml:space="preserve"> "</w:t>
      </w:r>
      <w:r w:rsidR="000C3F65">
        <w:t>[t]</w:t>
      </w:r>
      <w:r w:rsidR="000E05C6">
        <w:t xml:space="preserve">he </w:t>
      </w:r>
      <w:proofErr w:type="gramStart"/>
      <w:r w:rsidR="000E05C6">
        <w:t>question</w:t>
      </w:r>
      <w:proofErr w:type="gramEnd"/>
      <w:r w:rsidR="000E05C6">
        <w:t xml:space="preserve"> for determination before us, therefore, is whether [certain phrases] are specific enough to satisfy the letter and spirit of Article 6.2. </w:t>
      </w:r>
      <w:r w:rsidR="000E05C6" w:rsidRPr="00600823">
        <w:rPr>
          <w:b/>
          <w:bCs/>
          <w:i/>
          <w:iCs/>
        </w:rPr>
        <w:t xml:space="preserve">In other words, </w:t>
      </w:r>
      <w:r w:rsidRPr="00600823">
        <w:rPr>
          <w:b/>
          <w:bCs/>
          <w:i/>
          <w:iCs/>
        </w:rPr>
        <w:t>the question is whether Korea is put on sufficient notice as to the parameters of the case it is defending</w:t>
      </w:r>
      <w:r w:rsidR="00F94484">
        <w:rPr>
          <w:b/>
          <w:bCs/>
          <w:i/>
          <w:iCs/>
        </w:rPr>
        <w:t>.</w:t>
      </w:r>
      <w:r>
        <w:t xml:space="preserve">" </w:t>
      </w:r>
      <w:r w:rsidR="000E05C6">
        <w:t>(</w:t>
      </w:r>
      <w:r w:rsidR="00F94484">
        <w:t>S</w:t>
      </w:r>
      <w:r w:rsidR="000E05C6">
        <w:t>ee para. 10.14)</w:t>
      </w:r>
      <w:r>
        <w:t xml:space="preserve"> (</w:t>
      </w:r>
      <w:r w:rsidR="000E05C6">
        <w:t xml:space="preserve">emphasis added; </w:t>
      </w:r>
      <w:r>
        <w:t>footnote omitted).</w:t>
      </w:r>
      <w:r w:rsidR="000E05C6">
        <w:t xml:space="preserve"> </w:t>
      </w:r>
    </w:p>
  </w:footnote>
  <w:footnote w:id="15">
    <w:p w14:paraId="1E704850" w14:textId="7FF19B6B" w:rsidR="00C572CE" w:rsidRPr="00C572CE" w:rsidRDefault="00C572CE">
      <w:pPr>
        <w:pStyle w:val="FootnoteText"/>
      </w:pPr>
      <w:r>
        <w:rPr>
          <w:rStyle w:val="FootnoteReference"/>
        </w:rPr>
        <w:footnoteRef/>
      </w:r>
      <w:r>
        <w:t xml:space="preserve"> Appellate Body Report, </w:t>
      </w:r>
      <w:r>
        <w:rPr>
          <w:i/>
          <w:iCs/>
        </w:rPr>
        <w:t>US – Carbon Steel</w:t>
      </w:r>
      <w:r>
        <w:t>, para. 125. (emphasis original</w:t>
      </w:r>
      <w:r w:rsidR="00F94484">
        <w:t>;</w:t>
      </w:r>
      <w:r w:rsidR="00EC08CB">
        <w:t xml:space="preserve"> footnote omitted</w:t>
      </w:r>
      <w:r>
        <w:t>)</w:t>
      </w:r>
    </w:p>
  </w:footnote>
  <w:footnote w:id="16">
    <w:p w14:paraId="2213B92E" w14:textId="2BEE4168" w:rsidR="001127CF" w:rsidRPr="005C5079" w:rsidRDefault="001127CF" w:rsidP="001127CF">
      <w:pPr>
        <w:pStyle w:val="FootnoteText"/>
      </w:pPr>
      <w:r>
        <w:rPr>
          <w:rStyle w:val="FootnoteReference"/>
        </w:rPr>
        <w:footnoteRef/>
      </w:r>
      <w:r>
        <w:t xml:space="preserve"> Appellate Body Report, </w:t>
      </w:r>
      <w:r>
        <w:rPr>
          <w:i/>
          <w:iCs/>
        </w:rPr>
        <w:t>EC – Selected Customs Matters</w:t>
      </w:r>
      <w:r>
        <w:t xml:space="preserve">, para. 130: "[…] the measure at issue is </w:t>
      </w:r>
      <w:r w:rsidRPr="00F6259F">
        <w:rPr>
          <w:i/>
          <w:iCs/>
        </w:rPr>
        <w:t>what</w:t>
      </w:r>
      <w:r>
        <w:t xml:space="preserve"> is being challenged by the </w:t>
      </w:r>
      <w:r w:rsidRPr="005C5079">
        <w:t>complaining Member."</w:t>
      </w:r>
      <w:r w:rsidR="001C71D1">
        <w:t xml:space="preserve"> (</w:t>
      </w:r>
      <w:proofErr w:type="gramStart"/>
      <w:r w:rsidR="001C71D1">
        <w:t>emphasis</w:t>
      </w:r>
      <w:proofErr w:type="gramEnd"/>
      <w:r w:rsidR="001C71D1">
        <w:t xml:space="preserve"> original)</w:t>
      </w:r>
    </w:p>
  </w:footnote>
  <w:footnote w:id="17">
    <w:p w14:paraId="69B3E7DC" w14:textId="451E5998" w:rsidR="001127CF" w:rsidRPr="005C5079" w:rsidRDefault="001127CF" w:rsidP="001127CF">
      <w:pPr>
        <w:pStyle w:val="FootnoteText"/>
      </w:pPr>
      <w:r w:rsidRPr="005C5079">
        <w:rPr>
          <w:rStyle w:val="FootnoteReference"/>
        </w:rPr>
        <w:footnoteRef/>
      </w:r>
      <w:r w:rsidRPr="005C5079">
        <w:t xml:space="preserve"> </w:t>
      </w:r>
      <w:r w:rsidR="00F20597">
        <w:t xml:space="preserve">Appellate Body Report, </w:t>
      </w:r>
      <w:r w:rsidR="00F20597" w:rsidRPr="001D3AEA">
        <w:rPr>
          <w:i/>
          <w:iCs/>
        </w:rPr>
        <w:t>US – Corrosion-Resistant Steel Sunset Review</w:t>
      </w:r>
      <w:r w:rsidR="00F20597">
        <w:t>, para. 81. (footnote omitted)</w:t>
      </w:r>
      <w:r w:rsidR="00F4774F">
        <w:t>: "In principle, any act or omission attributable to a WTO Member can be a measure of that Member for purposes of dispute settlement proceedings."</w:t>
      </w:r>
    </w:p>
  </w:footnote>
  <w:footnote w:id="18">
    <w:p w14:paraId="23545F6D" w14:textId="65F32ED1" w:rsidR="00BE566B" w:rsidRDefault="00BE566B" w:rsidP="00BE566B">
      <w:pPr>
        <w:pStyle w:val="FootnoteText"/>
      </w:pPr>
      <w:r w:rsidRPr="005C5079">
        <w:rPr>
          <w:rStyle w:val="FootnoteReference"/>
        </w:rPr>
        <w:footnoteRef/>
      </w:r>
      <w:r w:rsidRPr="005C5079">
        <w:t xml:space="preserve"> Appellate Body Report, </w:t>
      </w:r>
      <w:r w:rsidRPr="005C5079">
        <w:rPr>
          <w:i/>
          <w:iCs/>
        </w:rPr>
        <w:t>US – Carbon Steel</w:t>
      </w:r>
      <w:r w:rsidRPr="005C5079">
        <w:t>, para. 127: "[…]</w:t>
      </w:r>
      <w:r w:rsidR="00733F43">
        <w:t xml:space="preserve"> </w:t>
      </w:r>
      <w:r w:rsidRPr="005C5079">
        <w:t>compliance with the requirements</w:t>
      </w:r>
      <w:r>
        <w:t xml:space="preserve"> of Article 6.2 must be determined on the merits of each case, having considered the panel request as a whole, and in the light of attendant circumstances." (</w:t>
      </w:r>
      <w:proofErr w:type="gramStart"/>
      <w:r>
        <w:t>footnote</w:t>
      </w:r>
      <w:proofErr w:type="gramEnd"/>
      <w:r>
        <w:t xml:space="preserve"> omitted)</w:t>
      </w:r>
    </w:p>
  </w:footnote>
  <w:footnote w:id="19">
    <w:p w14:paraId="56BB8286" w14:textId="72E442A4" w:rsidR="00126551" w:rsidRPr="005C5079" w:rsidRDefault="00126551">
      <w:pPr>
        <w:pStyle w:val="FootnoteText"/>
      </w:pPr>
      <w:r>
        <w:rPr>
          <w:rStyle w:val="FootnoteReference"/>
        </w:rPr>
        <w:footnoteRef/>
      </w:r>
      <w:r>
        <w:t xml:space="preserve"> Appellate Body Report, </w:t>
      </w:r>
      <w:r>
        <w:rPr>
          <w:i/>
          <w:iCs/>
        </w:rPr>
        <w:t>EC – Computer Equipment</w:t>
      </w:r>
      <w:r>
        <w:t>, para</w:t>
      </w:r>
      <w:r w:rsidR="000C1D5B">
        <w:t>s</w:t>
      </w:r>
      <w:r>
        <w:t>. 67</w:t>
      </w:r>
      <w:r w:rsidR="000C1D5B">
        <w:t xml:space="preserve"> – 68</w:t>
      </w:r>
      <w:r>
        <w:t>.</w:t>
      </w:r>
      <w:r w:rsidR="000C1D5B">
        <w:t xml:space="preserve"> In that dispute, the Appellate Body did not, in fact, find that the term "LAN equipment" </w:t>
      </w:r>
      <w:r w:rsidR="0034741C">
        <w:t xml:space="preserve">failed to satisfy the requirements of </w:t>
      </w:r>
      <w:r w:rsidR="000C1D5B">
        <w:t>Article 6.2 (see para. 73). The</w:t>
      </w:r>
      <w:r w:rsidR="00952E9E">
        <w:t xml:space="preserve"> Appellate Body </w:t>
      </w:r>
      <w:r w:rsidR="003750B0">
        <w:t>in</w:t>
      </w:r>
      <w:r w:rsidR="00952E9E">
        <w:t xml:space="preserve"> </w:t>
      </w:r>
      <w:r w:rsidR="003750B0" w:rsidRPr="0039025D">
        <w:rPr>
          <w:i/>
          <w:iCs/>
        </w:rPr>
        <w:t>EC</w:t>
      </w:r>
      <w:r w:rsidR="00952E9E">
        <w:rPr>
          <w:i/>
          <w:iCs/>
        </w:rPr>
        <w:t xml:space="preserve"> – Chicken Cuts</w:t>
      </w:r>
      <w:r w:rsidR="003750B0">
        <w:t xml:space="preserve"> </w:t>
      </w:r>
      <w:r w:rsidR="005C5079">
        <w:t>explained its reasoning in that dispute as case-specific</w:t>
      </w:r>
      <w:r w:rsidR="003750B0">
        <w:t>:</w:t>
      </w:r>
      <w:r w:rsidR="00952E9E">
        <w:t xml:space="preserve"> "We believe that, in circumstances in which a series of decisions of customs authorities are under challenge, it may be necessary to identify the products at issue in order to distinguish the contested measures (for example, individual classification decisions by customs authorities) from other measures (different individual classifications by customs authorities). By contrast, in the present dispute, the contested measures are not </w:t>
      </w:r>
      <w:r w:rsidR="00952E9E" w:rsidRPr="005C5079">
        <w:t>individual classification decisions by customs authorities […]" (</w:t>
      </w:r>
      <w:r w:rsidR="00DC69B5">
        <w:t xml:space="preserve">see </w:t>
      </w:r>
      <w:r w:rsidR="00952E9E" w:rsidRPr="005C5079">
        <w:t>paras. 166 – 167)</w:t>
      </w:r>
      <w:r w:rsidR="00DC69B5">
        <w:t>.</w:t>
      </w:r>
    </w:p>
  </w:footnote>
  <w:footnote w:id="20">
    <w:p w14:paraId="37A97883" w14:textId="02A94E03" w:rsidR="001B4F09" w:rsidRDefault="001B4F09" w:rsidP="001B4F09">
      <w:pPr>
        <w:pStyle w:val="FootnoteText"/>
      </w:pPr>
      <w:r>
        <w:rPr>
          <w:rStyle w:val="FootnoteReference"/>
        </w:rPr>
        <w:footnoteRef/>
      </w:r>
      <w:r>
        <w:t xml:space="preserve"> </w:t>
      </w:r>
      <w:bookmarkStart w:id="5" w:name="_Hlk146288697"/>
      <w:r>
        <w:t xml:space="preserve">Appellate Body Report, </w:t>
      </w:r>
      <w:r>
        <w:rPr>
          <w:i/>
          <w:iCs/>
        </w:rPr>
        <w:t>EC – Chicken Cuts</w:t>
      </w:r>
      <w:bookmarkEnd w:id="5"/>
      <w:r>
        <w:t>, paras. 16</w:t>
      </w:r>
      <w:r w:rsidR="0034741C">
        <w:t>4</w:t>
      </w:r>
      <w:r>
        <w:t xml:space="preserve"> – 16</w:t>
      </w:r>
      <w:r w:rsidR="0034741C">
        <w:t>5</w:t>
      </w:r>
      <w:r>
        <w:t>.</w:t>
      </w:r>
    </w:p>
  </w:footnote>
  <w:footnote w:id="21">
    <w:p w14:paraId="7B810244" w14:textId="1A320F41" w:rsidR="001B4F09" w:rsidRDefault="001B4F09" w:rsidP="001B4F09">
      <w:pPr>
        <w:pStyle w:val="FootnoteText"/>
      </w:pPr>
      <w:r>
        <w:rPr>
          <w:rStyle w:val="FootnoteReference"/>
        </w:rPr>
        <w:footnoteRef/>
      </w:r>
      <w:r>
        <w:t xml:space="preserve"> </w:t>
      </w:r>
      <w:r w:rsidR="004D2A8E">
        <w:t xml:space="preserve">Appellate Body Report, </w:t>
      </w:r>
      <w:r w:rsidR="004D2A8E">
        <w:rPr>
          <w:i/>
          <w:iCs/>
        </w:rPr>
        <w:t>EC – Chicken Cuts</w:t>
      </w:r>
      <w:r>
        <w:t>, para. 165.</w:t>
      </w:r>
      <w:r w:rsidR="0034741C">
        <w:t xml:space="preserve"> (emphasis original)</w:t>
      </w:r>
    </w:p>
  </w:footnote>
  <w:footnote w:id="22">
    <w:p w14:paraId="6188FE3E" w14:textId="34227BBE" w:rsidR="00FF740A" w:rsidRPr="003C76CF" w:rsidRDefault="00FF740A" w:rsidP="00FF740A">
      <w:pPr>
        <w:pStyle w:val="FootnoteText"/>
      </w:pPr>
      <w:r w:rsidRPr="005C5079">
        <w:rPr>
          <w:rStyle w:val="FootnoteReference"/>
        </w:rPr>
        <w:footnoteRef/>
      </w:r>
      <w:r w:rsidRPr="005C5079">
        <w:t xml:space="preserve"> Appellate Body Report, </w:t>
      </w:r>
      <w:r w:rsidR="0052310B" w:rsidRPr="005C5079">
        <w:rPr>
          <w:i/>
          <w:iCs/>
        </w:rPr>
        <w:t>EC – Selected Customs Matters</w:t>
      </w:r>
      <w:r w:rsidR="0052310B" w:rsidRPr="005C5079">
        <w:t>,</w:t>
      </w:r>
      <w:r w:rsidRPr="005C5079">
        <w:t xml:space="preserve"> </w:t>
      </w:r>
      <w:r w:rsidR="00397F5A" w:rsidRPr="005C5079">
        <w:t xml:space="preserve">para. </w:t>
      </w:r>
      <w:r w:rsidRPr="005C5079">
        <w:t>13</w:t>
      </w:r>
      <w:r w:rsidR="005C5079" w:rsidRPr="0039025D">
        <w:t>2</w:t>
      </w:r>
      <w:r w:rsidRPr="005C5079">
        <w:t>.</w:t>
      </w:r>
      <w:r w:rsidR="00385B4C">
        <w:t xml:space="preserve"> </w:t>
      </w:r>
      <w:r w:rsidR="00A2582D">
        <w:t>The Appellate Body has described a "claim" for the purposes of Article 6.2 as "an allegation that 'the respondent party has violated, or nullified or impaired the benefit</w:t>
      </w:r>
      <w:r w:rsidR="000C56F9">
        <w:t>s</w:t>
      </w:r>
      <w:r w:rsidR="00A2582D">
        <w:t xml:space="preserve"> arising from, an identified provision of a particular agreement</w:t>
      </w:r>
      <w:r w:rsidR="000C56F9">
        <w:t>'"</w:t>
      </w:r>
      <w:r w:rsidR="00A2582D">
        <w:t xml:space="preserve"> and "arguments" as "statements put forth by a complaining party 'to demonstrate the responding party's measure does indeed infringe upon the identified treaty provision.'" (Appellate Body Report, </w:t>
      </w:r>
      <w:r w:rsidR="00A2582D" w:rsidRPr="003F6EB4">
        <w:rPr>
          <w:i/>
          <w:iCs/>
        </w:rPr>
        <w:t>China — HP-SSST (EU)</w:t>
      </w:r>
      <w:r w:rsidR="00A2582D">
        <w:t xml:space="preserve">, para. 5.14, citing Appellate Body Report, </w:t>
      </w:r>
      <w:r w:rsidR="00A2582D">
        <w:rPr>
          <w:i/>
          <w:iCs/>
        </w:rPr>
        <w:t>Korea – Dairy</w:t>
      </w:r>
      <w:r w:rsidR="00A2582D">
        <w:t xml:space="preserve">, para. 139). </w:t>
      </w:r>
    </w:p>
  </w:footnote>
  <w:footnote w:id="23">
    <w:p w14:paraId="1DC0C43F" w14:textId="71782629" w:rsidR="007B1052" w:rsidRPr="003C76CF" w:rsidRDefault="007B1052">
      <w:pPr>
        <w:pStyle w:val="FootnoteText"/>
      </w:pPr>
      <w:r w:rsidRPr="003C76CF">
        <w:rPr>
          <w:rStyle w:val="FootnoteReference"/>
        </w:rPr>
        <w:footnoteRef/>
      </w:r>
      <w:r w:rsidRPr="003C76CF">
        <w:t xml:space="preserve"> </w:t>
      </w:r>
      <w:r w:rsidRPr="0039025D">
        <w:t xml:space="preserve">Australia refers to the "content" of the measure in the context of ascertaining </w:t>
      </w:r>
      <w:r w:rsidRPr="0039025D">
        <w:rPr>
          <w:i/>
          <w:iCs/>
        </w:rPr>
        <w:t xml:space="preserve">what </w:t>
      </w:r>
      <w:r w:rsidRPr="0039025D">
        <w:t>the measure at issue is, rather than in the sense of "precise content</w:t>
      </w:r>
      <w:r w:rsidR="00BE566B" w:rsidRPr="003C76CF">
        <w:t>",</w:t>
      </w:r>
      <w:r w:rsidRPr="0039025D">
        <w:t xml:space="preserve"> as discussed below. </w:t>
      </w:r>
    </w:p>
  </w:footnote>
  <w:footnote w:id="24">
    <w:p w14:paraId="1C8D0632" w14:textId="3B35EB45" w:rsidR="007976DD" w:rsidRDefault="007976DD">
      <w:pPr>
        <w:pStyle w:val="FootnoteText"/>
      </w:pPr>
      <w:r w:rsidRPr="003C76CF">
        <w:rPr>
          <w:rStyle w:val="FootnoteReference"/>
        </w:rPr>
        <w:footnoteRef/>
      </w:r>
      <w:r w:rsidR="00A2582D" w:rsidRPr="003C76CF">
        <w:t xml:space="preserve">Appellate Body Report, </w:t>
      </w:r>
      <w:r w:rsidR="00A2582D" w:rsidRPr="003C76CF">
        <w:rPr>
          <w:i/>
          <w:iCs/>
        </w:rPr>
        <w:t>EC – Selected Customs Matters</w:t>
      </w:r>
      <w:r w:rsidR="00A2582D" w:rsidRPr="003C76CF">
        <w:t xml:space="preserve">, para. 136. </w:t>
      </w:r>
      <w:r w:rsidR="0052310B" w:rsidRPr="003C76CF">
        <w:t>(</w:t>
      </w:r>
      <w:r w:rsidR="000C56F9">
        <w:t xml:space="preserve">footnote omitted; </w:t>
      </w:r>
      <w:r w:rsidR="0052310B" w:rsidRPr="003C76CF">
        <w:t>emphasis added)</w:t>
      </w:r>
      <w:r w:rsidRPr="003C76CF">
        <w:t>.</w:t>
      </w:r>
      <w:r w:rsidR="002D03C5">
        <w:t xml:space="preserve"> </w:t>
      </w:r>
    </w:p>
  </w:footnote>
  <w:footnote w:id="25">
    <w:p w14:paraId="535BA181" w14:textId="19F277B9" w:rsidR="006677F4" w:rsidRDefault="006677F4" w:rsidP="006677F4">
      <w:pPr>
        <w:pStyle w:val="FootnoteText"/>
      </w:pPr>
      <w:r>
        <w:rPr>
          <w:rStyle w:val="FootnoteReference"/>
        </w:rPr>
        <w:footnoteRef/>
      </w:r>
      <w:r>
        <w:t xml:space="preserve"> </w:t>
      </w:r>
      <w:r w:rsidR="00764B45">
        <w:t xml:space="preserve">Appellate Body Report, </w:t>
      </w:r>
      <w:r w:rsidR="00764B45">
        <w:rPr>
          <w:i/>
          <w:iCs/>
        </w:rPr>
        <w:t>EC – Selected Customs Matters</w:t>
      </w:r>
      <w:r w:rsidR="00764B45">
        <w:t xml:space="preserve">, </w:t>
      </w:r>
      <w:r>
        <w:t>para. 153.</w:t>
      </w:r>
    </w:p>
  </w:footnote>
  <w:footnote w:id="26">
    <w:p w14:paraId="27580A54" w14:textId="5AC0A772" w:rsidR="00657644" w:rsidRPr="00657644" w:rsidRDefault="00657644">
      <w:pPr>
        <w:pStyle w:val="FootnoteText"/>
      </w:pPr>
      <w:r>
        <w:rPr>
          <w:rStyle w:val="FootnoteReference"/>
        </w:rPr>
        <w:footnoteRef/>
      </w:r>
      <w:r>
        <w:t xml:space="preserve"> Appellate Body Report, </w:t>
      </w:r>
      <w:r>
        <w:rPr>
          <w:i/>
          <w:iCs/>
        </w:rPr>
        <w:t>US – Continued Zeroing</w:t>
      </w:r>
      <w:r w:rsidR="004D5295">
        <w:rPr>
          <w:i/>
          <w:iCs/>
        </w:rPr>
        <w:t>,</w:t>
      </w:r>
      <w:r w:rsidR="009E0D3E">
        <w:t xml:space="preserve"> para. 168 </w:t>
      </w:r>
      <w:r>
        <w:t>(emphasis added)</w:t>
      </w:r>
      <w:r w:rsidR="004D2A8E">
        <w:t>,</w:t>
      </w:r>
      <w:r w:rsidR="005B08E1">
        <w:t xml:space="preserve"> as cited in China's preliminary ruling request, paras. 10</w:t>
      </w:r>
      <w:r w:rsidR="00FE434A">
        <w:t>, 139.</w:t>
      </w:r>
    </w:p>
  </w:footnote>
  <w:footnote w:id="27">
    <w:p w14:paraId="42516B2B" w14:textId="4307F1ED" w:rsidR="00EF123A" w:rsidRDefault="00EF123A">
      <w:pPr>
        <w:pStyle w:val="FootnoteText"/>
      </w:pPr>
      <w:r>
        <w:rPr>
          <w:rStyle w:val="FootnoteReference"/>
        </w:rPr>
        <w:footnoteRef/>
      </w:r>
      <w:r>
        <w:t xml:space="preserve"> </w:t>
      </w:r>
      <w:r w:rsidR="003D343D">
        <w:t>For example, see the European Union</w:t>
      </w:r>
      <w:r w:rsidR="00FE434A">
        <w:t>'</w:t>
      </w:r>
      <w:r w:rsidR="003D343D">
        <w:t>s statement of this standard at paragraph 570 of its first written submission.</w:t>
      </w:r>
    </w:p>
  </w:footnote>
  <w:footnote w:id="28">
    <w:p w14:paraId="1FB864FB" w14:textId="79BBAB2C" w:rsidR="006D76ED" w:rsidRDefault="006D76ED">
      <w:pPr>
        <w:pStyle w:val="FootnoteText"/>
      </w:pPr>
      <w:r>
        <w:rPr>
          <w:rStyle w:val="FootnoteReference"/>
        </w:rPr>
        <w:footnoteRef/>
      </w:r>
      <w:r>
        <w:t xml:space="preserve"> </w:t>
      </w:r>
      <w:r w:rsidR="009E0D3E">
        <w:t xml:space="preserve">Appellate Body Report, </w:t>
      </w:r>
      <w:r w:rsidR="009E0D3E">
        <w:rPr>
          <w:i/>
          <w:iCs/>
        </w:rPr>
        <w:t>US – Continued Zeroing</w:t>
      </w:r>
      <w:r w:rsidR="009E0D3E">
        <w:t xml:space="preserve"> para. 169</w:t>
      </w:r>
      <w:r w:rsidR="004D2A8E">
        <w:t>.</w:t>
      </w:r>
      <w:r w:rsidR="009E0D3E">
        <w:t xml:space="preserve"> (emphasis added)</w:t>
      </w:r>
    </w:p>
  </w:footnote>
  <w:footnote w:id="29">
    <w:p w14:paraId="500A8B67" w14:textId="7E135304" w:rsidR="001B4F09" w:rsidRDefault="001B4F09">
      <w:pPr>
        <w:pStyle w:val="FootnoteText"/>
      </w:pPr>
      <w:r>
        <w:rPr>
          <w:rStyle w:val="FootnoteReference"/>
        </w:rPr>
        <w:footnoteRef/>
      </w:r>
      <w:r>
        <w:t xml:space="preserve"> In that regard, Australia refers to its submissions at paragraph 12, above.</w:t>
      </w:r>
    </w:p>
  </w:footnote>
  <w:footnote w:id="30">
    <w:p w14:paraId="3F921189" w14:textId="390879E7" w:rsidR="00C82C1D" w:rsidRPr="00C82C1D" w:rsidRDefault="00C82C1D">
      <w:pPr>
        <w:pStyle w:val="FootnoteText"/>
      </w:pPr>
      <w:r>
        <w:rPr>
          <w:rStyle w:val="FootnoteReference"/>
        </w:rPr>
        <w:footnoteRef/>
      </w:r>
      <w:r>
        <w:t xml:space="preserve"> </w:t>
      </w:r>
      <w:r w:rsidR="00105EA6">
        <w:t>A</w:t>
      </w:r>
      <w:r w:rsidR="009D2E9F">
        <w:t xml:space="preserve">ppellate Body Report, </w:t>
      </w:r>
      <w:r>
        <w:rPr>
          <w:i/>
          <w:iCs/>
        </w:rPr>
        <w:t>US – Continued Zeroing</w:t>
      </w:r>
      <w:r>
        <w:t xml:space="preserve">, para. </w:t>
      </w:r>
      <w:r w:rsidR="00947490">
        <w:t>169</w:t>
      </w:r>
      <w:r w:rsidR="0075695F">
        <w:t>.</w:t>
      </w:r>
      <w:r w:rsidR="00947490">
        <w:t xml:space="preserve"> </w:t>
      </w:r>
      <w:r>
        <w:t>(emphasis added)</w:t>
      </w:r>
    </w:p>
  </w:footnote>
  <w:footnote w:id="31">
    <w:p w14:paraId="1F3D5396" w14:textId="15966607" w:rsidR="003358FE" w:rsidRDefault="003358FE" w:rsidP="003358FE">
      <w:pPr>
        <w:pStyle w:val="FootnoteText"/>
      </w:pPr>
      <w:r>
        <w:rPr>
          <w:rStyle w:val="FootnoteReference"/>
        </w:rPr>
        <w:footnoteRef/>
      </w:r>
      <w:r>
        <w:t xml:space="preserve"> See China's preliminary ruling request, para. 143; European Union's response to China's preliminary ruling request, para. 149 and footnote 53.</w:t>
      </w:r>
    </w:p>
  </w:footnote>
  <w:footnote w:id="32">
    <w:p w14:paraId="5D52C033" w14:textId="5794FFA6" w:rsidR="00FA4D75" w:rsidRDefault="00FA4D75">
      <w:pPr>
        <w:pStyle w:val="FootnoteText"/>
      </w:pPr>
      <w:r>
        <w:rPr>
          <w:rStyle w:val="FootnoteReference"/>
        </w:rPr>
        <w:footnoteRef/>
      </w:r>
      <w:r>
        <w:t xml:space="preserve"> </w:t>
      </w:r>
      <w:r>
        <w:rPr>
          <w:szCs w:val="18"/>
        </w:rPr>
        <w:t xml:space="preserve">Appellate Body Report, </w:t>
      </w:r>
      <w:r>
        <w:rPr>
          <w:i/>
          <w:iCs/>
          <w:szCs w:val="18"/>
        </w:rPr>
        <w:t>Thailand – H-Beams</w:t>
      </w:r>
      <w:r>
        <w:rPr>
          <w:szCs w:val="18"/>
        </w:rPr>
        <w:t>, para. 88</w:t>
      </w:r>
      <w:r w:rsidR="00082D62">
        <w:rPr>
          <w:szCs w:val="18"/>
        </w:rPr>
        <w:t xml:space="preserve"> </w:t>
      </w:r>
      <w:r w:rsidR="002C76B0">
        <w:rPr>
          <w:szCs w:val="18"/>
        </w:rPr>
        <w:t>(emphasis added</w:t>
      </w:r>
      <w:r w:rsidR="000C1D5B">
        <w:rPr>
          <w:szCs w:val="18"/>
        </w:rPr>
        <w:t>)</w:t>
      </w:r>
      <w:r w:rsidR="00082D62">
        <w:rPr>
          <w:szCs w:val="18"/>
        </w:rPr>
        <w:t xml:space="preserve">, as cited in Appellate Body Report, </w:t>
      </w:r>
      <w:r w:rsidR="00082D62">
        <w:rPr>
          <w:i/>
          <w:iCs/>
          <w:szCs w:val="18"/>
        </w:rPr>
        <w:t>Russia – Railway Equipment</w:t>
      </w:r>
      <w:r w:rsidR="00082D62">
        <w:rPr>
          <w:szCs w:val="18"/>
        </w:rPr>
        <w:t xml:space="preserve">, para. 5.27 and Appellate Body Report, </w:t>
      </w:r>
      <w:r w:rsidR="00082D62">
        <w:rPr>
          <w:i/>
          <w:iCs/>
          <w:szCs w:val="18"/>
        </w:rPr>
        <w:t>US – Oil Country Tubular Goods Sunset Reviews</w:t>
      </w:r>
      <w:r w:rsidR="00082D62">
        <w:rPr>
          <w:szCs w:val="18"/>
        </w:rPr>
        <w:t>, para. 162.</w:t>
      </w:r>
    </w:p>
  </w:footnote>
  <w:footnote w:id="33">
    <w:p w14:paraId="2A7D88BC" w14:textId="7ABCFE48" w:rsidR="002C76B0" w:rsidRPr="002C76B0" w:rsidRDefault="002C76B0">
      <w:pPr>
        <w:pStyle w:val="FootnoteText"/>
      </w:pPr>
      <w:r>
        <w:rPr>
          <w:rStyle w:val="FootnoteReference"/>
        </w:rPr>
        <w:footnoteRef/>
      </w:r>
      <w:r>
        <w:t xml:space="preserve"> </w:t>
      </w:r>
      <w:proofErr w:type="gramStart"/>
      <w:r>
        <w:t>In particular, please</w:t>
      </w:r>
      <w:proofErr w:type="gramEnd"/>
      <w:r>
        <w:t xml:space="preserve"> see quote from </w:t>
      </w:r>
      <w:r>
        <w:rPr>
          <w:i/>
          <w:iCs/>
        </w:rPr>
        <w:t>US – Continued Zeroing</w:t>
      </w:r>
      <w:r>
        <w:t xml:space="preserve"> at </w:t>
      </w:r>
      <w:r w:rsidRPr="003D190A">
        <w:t>para</w:t>
      </w:r>
      <w:r w:rsidR="008C672D" w:rsidRPr="003D190A">
        <w:t>graph</w:t>
      </w:r>
      <w:r w:rsidRPr="003D190A">
        <w:t xml:space="preserve"> 1</w:t>
      </w:r>
      <w:r w:rsidR="008A7973" w:rsidRPr="003D190A">
        <w:t>6</w:t>
      </w:r>
      <w:r w:rsidRPr="003D190A">
        <w:t>,</w:t>
      </w:r>
      <w:r>
        <w:t xml:space="preserve"> above.</w:t>
      </w:r>
    </w:p>
  </w:footnote>
  <w:footnote w:id="34">
    <w:p w14:paraId="53AA6399" w14:textId="4D7F09B9" w:rsidR="00CF5C19" w:rsidRPr="00CF5C19" w:rsidRDefault="00CF5C19">
      <w:pPr>
        <w:pStyle w:val="FootnoteText"/>
      </w:pPr>
      <w:r>
        <w:rPr>
          <w:rStyle w:val="FootnoteReference"/>
        </w:rPr>
        <w:footnoteRef/>
      </w:r>
      <w:r>
        <w:t xml:space="preserve"> See para. 792: "When a challenge is brought against an </w:t>
      </w:r>
      <w:r>
        <w:rPr>
          <w:i/>
          <w:iCs/>
        </w:rPr>
        <w:t>unwritten measure</w:t>
      </w:r>
      <w:r>
        <w:t xml:space="preserve">, the very existence and </w:t>
      </w:r>
      <w:r w:rsidR="00E14768">
        <w:t xml:space="preserve">the </w:t>
      </w:r>
      <w:r>
        <w:t>precise contours of the alleged measure may be uncertain. We would therefore expect complaining parties to identify such measures in their panel requests as clearly as possible</w:t>
      </w:r>
      <w:r w:rsidR="00E14768">
        <w:t>.</w:t>
      </w:r>
      <w:r>
        <w:t>"</w:t>
      </w:r>
      <w:r w:rsidR="00733F43">
        <w:t xml:space="preserve"> </w:t>
      </w:r>
      <w:r>
        <w:t>(</w:t>
      </w:r>
      <w:proofErr w:type="gramStart"/>
      <w:r>
        <w:t>emphasis</w:t>
      </w:r>
      <w:proofErr w:type="gramEnd"/>
      <w:r>
        <w:t xml:space="preserve"> original)</w:t>
      </w:r>
    </w:p>
  </w:footnote>
  <w:footnote w:id="35">
    <w:p w14:paraId="6213B368" w14:textId="18B3FF9C" w:rsidR="000333EA" w:rsidRPr="000333EA" w:rsidRDefault="000333EA">
      <w:pPr>
        <w:pStyle w:val="FootnoteText"/>
      </w:pPr>
      <w:r>
        <w:rPr>
          <w:rStyle w:val="FootnoteReference"/>
        </w:rPr>
        <w:footnoteRef/>
      </w:r>
      <w:r>
        <w:t xml:space="preserve"> Appellate Body Report, </w:t>
      </w:r>
      <w:proofErr w:type="gramStart"/>
      <w:r w:rsidR="00480749" w:rsidRPr="00480749">
        <w:rPr>
          <w:i/>
          <w:iCs/>
        </w:rPr>
        <w:t>EC</w:t>
      </w:r>
      <w:proofErr w:type="gramEnd"/>
      <w:r w:rsidR="00480749" w:rsidRPr="00480749">
        <w:rPr>
          <w:i/>
          <w:iCs/>
        </w:rPr>
        <w:t xml:space="preserve"> and certain member States — Large Civil Aircraft</w:t>
      </w:r>
      <w:r>
        <w:t xml:space="preserve">, para. </w:t>
      </w:r>
      <w:r w:rsidR="0023646E">
        <w:t>792</w:t>
      </w:r>
      <w:r w:rsidR="00E14768">
        <w:t xml:space="preserve">, as relevantly </w:t>
      </w:r>
      <w:r w:rsidR="00733F43">
        <w:t>quoted</w:t>
      </w:r>
      <w:r w:rsidR="00E14768">
        <w:t>, ibid.</w:t>
      </w:r>
    </w:p>
  </w:footnote>
  <w:footnote w:id="36">
    <w:p w14:paraId="5341D4A3" w14:textId="61E43015" w:rsidR="0023646E" w:rsidRDefault="0023646E">
      <w:pPr>
        <w:pStyle w:val="FootnoteText"/>
      </w:pPr>
      <w:r>
        <w:rPr>
          <w:rStyle w:val="FootnoteReference"/>
        </w:rPr>
        <w:footnoteRef/>
      </w:r>
      <w:r>
        <w:t xml:space="preserve"> Australia also observes </w:t>
      </w:r>
      <w:r w:rsidR="00F06D5E">
        <w:t xml:space="preserve">that </w:t>
      </w:r>
      <w:r w:rsidR="00733F43">
        <w:t xml:space="preserve">the </w:t>
      </w:r>
      <w:r>
        <w:t>relevant passages of the Appellate Body's analysis in that dispute did not concern the requirement for "sufficient precision" in</w:t>
      </w:r>
      <w:r w:rsidR="00F06D5E">
        <w:t xml:space="preserve"> the</w:t>
      </w:r>
      <w:r>
        <w:t xml:space="preserve"> identification of a measure. Rather,</w:t>
      </w:r>
      <w:r w:rsidR="00F06D5E">
        <w:t xml:space="preserve"> by reference to the requirement to identify an unwritten measure "as clearly as possible",</w:t>
      </w:r>
      <w:r>
        <w:t xml:space="preserve"> the Appellate Body concluded the complainant had simply "fail[ed] to </w:t>
      </w:r>
      <w:r w:rsidRPr="0053043F">
        <w:rPr>
          <w:i/>
          <w:iCs/>
        </w:rPr>
        <w:t>identify clearly</w:t>
      </w:r>
      <w:r>
        <w:t xml:space="preserve"> the alleged unwritten [measure]" as distinct from other measures - not that it had failed to identify the measure as clearly </w:t>
      </w:r>
      <w:r w:rsidRPr="003D190A">
        <w:rPr>
          <w:i/>
          <w:iCs/>
        </w:rPr>
        <w:t>as might have been</w:t>
      </w:r>
      <w:r>
        <w:t xml:space="preserve"> </w:t>
      </w:r>
      <w:r w:rsidRPr="0053043F">
        <w:rPr>
          <w:i/>
          <w:iCs/>
        </w:rPr>
        <w:t>possible</w:t>
      </w:r>
      <w:r>
        <w:rPr>
          <w:i/>
          <w:iCs/>
        </w:rPr>
        <w:t>,</w:t>
      </w:r>
      <w:r>
        <w:t xml:space="preserve"> by reference to the inclusion or omission of that measure's various constituent elements. The latter argument was not applicable on the relevant facts. See para. 793.</w:t>
      </w:r>
      <w:r w:rsidR="00E14768">
        <w:t xml:space="preserve"> (emphasis added)</w:t>
      </w:r>
    </w:p>
  </w:footnote>
  <w:footnote w:id="37">
    <w:p w14:paraId="319EB66E" w14:textId="616B1957" w:rsidR="00701816" w:rsidRDefault="00701816">
      <w:pPr>
        <w:pStyle w:val="FootnoteText"/>
      </w:pPr>
      <w:r>
        <w:rPr>
          <w:rStyle w:val="FootnoteReference"/>
        </w:rPr>
        <w:footnoteRef/>
      </w:r>
      <w:r>
        <w:t xml:space="preserve"> </w:t>
      </w:r>
      <w:r w:rsidR="00B54A97">
        <w:t xml:space="preserve">Appellate Body Report, </w:t>
      </w:r>
      <w:proofErr w:type="gramStart"/>
      <w:r w:rsidR="00B54A97" w:rsidRPr="00480749">
        <w:rPr>
          <w:i/>
          <w:iCs/>
        </w:rPr>
        <w:t>EC</w:t>
      </w:r>
      <w:proofErr w:type="gramEnd"/>
      <w:r w:rsidR="00B54A97" w:rsidRPr="00480749">
        <w:rPr>
          <w:i/>
          <w:iCs/>
        </w:rPr>
        <w:t xml:space="preserve"> and certain member States — Large Civil Aircraft</w:t>
      </w:r>
      <w:r w:rsidR="00B54A97">
        <w:t>, para. 792.</w:t>
      </w:r>
    </w:p>
  </w:footnote>
  <w:footnote w:id="38">
    <w:p w14:paraId="5E330A82" w14:textId="5E329D1F" w:rsidR="0023646E" w:rsidRDefault="0023646E">
      <w:pPr>
        <w:pStyle w:val="FootnoteText"/>
      </w:pPr>
      <w:r>
        <w:rPr>
          <w:rStyle w:val="FootnoteReference"/>
        </w:rPr>
        <w:footnoteRef/>
      </w:r>
      <w:r w:rsidR="00976E7E">
        <w:t xml:space="preserve"> </w:t>
      </w:r>
      <w:r w:rsidR="004D2A8E">
        <w:t xml:space="preserve">Appellate Body Report, </w:t>
      </w:r>
      <w:proofErr w:type="gramStart"/>
      <w:r w:rsidR="004D2A8E" w:rsidRPr="00480749">
        <w:rPr>
          <w:i/>
          <w:iCs/>
        </w:rPr>
        <w:t>EC</w:t>
      </w:r>
      <w:proofErr w:type="gramEnd"/>
      <w:r w:rsidR="004D2A8E" w:rsidRPr="00480749">
        <w:rPr>
          <w:i/>
          <w:iCs/>
        </w:rPr>
        <w:t xml:space="preserve"> and certain member States — Large Civil Aircraft</w:t>
      </w:r>
      <w:r w:rsidR="00A62CAC">
        <w:t>,</w:t>
      </w:r>
      <w:r>
        <w:t xml:space="preserve"> para. 641.</w:t>
      </w:r>
    </w:p>
  </w:footnote>
  <w:footnote w:id="39">
    <w:p w14:paraId="3589DC6C" w14:textId="7C060D10" w:rsidR="00260702" w:rsidRDefault="00260702">
      <w:pPr>
        <w:pStyle w:val="FootnoteText"/>
      </w:pPr>
      <w:r>
        <w:rPr>
          <w:rStyle w:val="FootnoteReference"/>
        </w:rPr>
        <w:footnoteRef/>
      </w:r>
      <w:r>
        <w:t xml:space="preserve"> Australia shares the European Union's </w:t>
      </w:r>
      <w:r w:rsidR="004A1FA1">
        <w:t xml:space="preserve">views </w:t>
      </w:r>
      <w:r w:rsidR="007703E9">
        <w:t>at para</w:t>
      </w:r>
      <w:r w:rsidR="00A62CAC">
        <w:t>graph</w:t>
      </w:r>
      <w:r w:rsidR="007703E9">
        <w:t xml:space="preserve"> 17 of its</w:t>
      </w:r>
      <w:r w:rsidR="004A1FA1">
        <w:t xml:space="preserve"> </w:t>
      </w:r>
      <w:r>
        <w:t>response to China's preliminary ruling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6096" w14:textId="40F54077" w:rsidR="00380795" w:rsidRDefault="00380795" w:rsidP="00915F7B">
    <w:pPr>
      <w:pStyle w:val="Header"/>
      <w:tabs>
        <w:tab w:val="clear" w:pos="4536"/>
        <w:tab w:val="center" w:pos="4678"/>
      </w:tabs>
    </w:pPr>
    <w:r w:rsidRPr="00DA5381">
      <w:rPr>
        <w:i/>
        <w:iCs/>
      </w:rPr>
      <w:fldChar w:fldCharType="begin"/>
    </w:r>
    <w:r w:rsidRPr="00DA5381">
      <w:rPr>
        <w:i/>
        <w:iCs/>
      </w:rPr>
      <w:instrText xml:space="preserve"> STYLEREF  "[WTODT] WTO Dispute Title"  \* MERGEFORMAT </w:instrText>
    </w:r>
    <w:r w:rsidRPr="00DA5381">
      <w:rPr>
        <w:i/>
        <w:iCs/>
      </w:rPr>
      <w:fldChar w:fldCharType="separate"/>
    </w:r>
    <w:r w:rsidR="00EC0407">
      <w:rPr>
        <w:i/>
        <w:iCs/>
        <w:noProof/>
      </w:rPr>
      <w:t>China – Measures Concerning Trade in Goods</w:t>
    </w:r>
    <w:r w:rsidRPr="00DA5381">
      <w:rPr>
        <w:i/>
        <w:iCs/>
      </w:rPr>
      <w:fldChar w:fldCharType="end"/>
    </w:r>
    <w:r w:rsidR="00FC0DFA">
      <w:tab/>
      <w:t xml:space="preserve">             </w:t>
    </w:r>
    <w:r w:rsidR="004216B4">
      <w:t xml:space="preserve">               </w:t>
    </w:r>
    <w:r w:rsidR="00FB3CC8">
      <w:t xml:space="preserve">               </w:t>
    </w:r>
    <w:r w:rsidR="00FC0DFA">
      <w:t>Australia's Comments on</w:t>
    </w:r>
    <w:r w:rsidR="00FB3CC8">
      <w:t xml:space="preserve"> China's </w:t>
    </w:r>
    <w:r w:rsidR="00FC0DFA">
      <w:t>(DS610)</w:t>
    </w:r>
    <w:r w:rsidR="00FC0DFA">
      <w:tab/>
    </w:r>
    <w:r w:rsidR="00FC0DFA">
      <w:tab/>
    </w:r>
    <w:r w:rsidR="004216B4">
      <w:t>Request</w:t>
    </w:r>
    <w:r w:rsidR="00BE4168">
      <w:t xml:space="preserve"> </w:t>
    </w:r>
    <w:r w:rsidR="004216B4">
      <w:t xml:space="preserve">for a </w:t>
    </w:r>
    <w:r w:rsidR="00FC0DFA">
      <w:t>Preliminary Ruling</w:t>
    </w:r>
    <w:r w:rsidR="009B371A">
      <w:t xml:space="preserve"> </w:t>
    </w:r>
  </w:p>
  <w:p w14:paraId="06901610" w14:textId="51FEBC9E" w:rsidR="00380795" w:rsidRDefault="00380795">
    <w:pPr>
      <w:pStyle w:val="Header"/>
      <w:rPr>
        <w:noProof/>
      </w:rPr>
    </w:pPr>
    <w:r>
      <w:ptab w:relativeTo="margin" w:alignment="right" w:leader="none"/>
    </w:r>
    <w:fldSimple w:instr=" STYLEREF  &quot;[DD] Document Date&quot;  \* MERGEFORMAT ">
      <w:r w:rsidR="00EC0407">
        <w:rPr>
          <w:noProof/>
        </w:rPr>
        <w:t>22 September 2023</w:t>
      </w:r>
    </w:fldSimple>
  </w:p>
  <w:p w14:paraId="6A1231BB" w14:textId="77777777" w:rsidR="00B20855" w:rsidRDefault="00B20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2" w15:restartNumberingAfterBreak="0">
    <w:nsid w:val="0D7037E5"/>
    <w:multiLevelType w:val="hybridMultilevel"/>
    <w:tmpl w:val="91D0478C"/>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28243105"/>
    <w:multiLevelType w:val="hybridMultilevel"/>
    <w:tmpl w:val="9762362C"/>
    <w:lvl w:ilvl="0" w:tplc="7F1274C0">
      <w:start w:val="1"/>
      <w:numFmt w:val="decimal"/>
      <w:pStyle w:val="P1-N1Paragraph1-Number1"/>
      <w:lvlText w:val="%1."/>
      <w:lvlJc w:val="left"/>
      <w:pPr>
        <w:tabs>
          <w:tab w:val="num" w:pos="851"/>
        </w:tabs>
        <w:ind w:left="0" w:firstLine="0"/>
      </w:pPr>
      <w:rPr>
        <w:rFonts w:hint="default"/>
        <w:sz w:val="24"/>
        <w:szCs w:val="24"/>
      </w:rPr>
    </w:lvl>
    <w:lvl w:ilvl="1" w:tplc="0C09001B">
      <w:start w:val="1"/>
      <w:numFmt w:val="lowerRoman"/>
      <w:lvlText w:val="%2."/>
      <w:lvlJc w:val="right"/>
      <w:pPr>
        <w:ind w:left="780" w:hanging="360"/>
      </w:p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4" w15:restartNumberingAfterBreak="0">
    <w:nsid w:val="3A493B6E"/>
    <w:multiLevelType w:val="hybridMultilevel"/>
    <w:tmpl w:val="586EE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F47C15"/>
    <w:multiLevelType w:val="hybridMultilevel"/>
    <w:tmpl w:val="2D50DA78"/>
    <w:lvl w:ilvl="0" w:tplc="50DEE3FC">
      <w:numFmt w:val="bullet"/>
      <w:lvlText w:val=""/>
      <w:lvlJc w:val="left"/>
      <w:pPr>
        <w:ind w:left="720" w:hanging="360"/>
      </w:pPr>
      <w:rPr>
        <w:rFonts w:ascii="Symbol" w:eastAsiaTheme="minorHAnsi" w:hAnsi="Symbol" w:cstheme="maj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7"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89520A"/>
    <w:multiLevelType w:val="multilevel"/>
    <w:tmpl w:val="72A820EC"/>
    <w:lvl w:ilvl="0">
      <w:start w:val="1"/>
      <w:numFmt w:val="decimal"/>
      <w:lvlText w:val="%1."/>
      <w:lvlJc w:val="left"/>
      <w:pPr>
        <w:ind w:left="720" w:hanging="360"/>
      </w:pPr>
      <w:rPr>
        <w:rFonts w:hint="default"/>
      </w:rPr>
    </w:lvl>
    <w:lvl w:ilvl="1">
      <w:start w:val="29"/>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895966311">
    <w:abstractNumId w:val="3"/>
  </w:num>
  <w:num w:numId="2" w16cid:durableId="1821339187">
    <w:abstractNumId w:val="1"/>
  </w:num>
  <w:num w:numId="3" w16cid:durableId="1646473139">
    <w:abstractNumId w:val="3"/>
    <w:lvlOverride w:ilvl="0">
      <w:startOverride w:val="1"/>
    </w:lvlOverride>
  </w:num>
  <w:num w:numId="4" w16cid:durableId="1837918130">
    <w:abstractNumId w:val="0"/>
  </w:num>
  <w:num w:numId="5" w16cid:durableId="494684759">
    <w:abstractNumId w:val="7"/>
  </w:num>
  <w:num w:numId="6" w16cid:durableId="355934896">
    <w:abstractNumId w:val="6"/>
  </w:num>
  <w:num w:numId="7" w16cid:durableId="1470828162">
    <w:abstractNumId w:val="6"/>
  </w:num>
  <w:num w:numId="8" w16cid:durableId="1472288391">
    <w:abstractNumId w:val="8"/>
  </w:num>
  <w:num w:numId="9" w16cid:durableId="1972710709">
    <w:abstractNumId w:val="2"/>
  </w:num>
  <w:num w:numId="10" w16cid:durableId="1659571291">
    <w:abstractNumId w:val="4"/>
  </w:num>
  <w:num w:numId="11" w16cid:durableId="1521242820">
    <w:abstractNumId w:val="5"/>
  </w:num>
  <w:num w:numId="12" w16cid:durableId="977608976">
    <w:abstractNumId w:val="8"/>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38"/>
    <w:rsid w:val="00001F86"/>
    <w:rsid w:val="00003DCD"/>
    <w:rsid w:val="00004009"/>
    <w:rsid w:val="00004023"/>
    <w:rsid w:val="000056D8"/>
    <w:rsid w:val="00006269"/>
    <w:rsid w:val="00006C9D"/>
    <w:rsid w:val="00006DD4"/>
    <w:rsid w:val="0001225A"/>
    <w:rsid w:val="00013F6E"/>
    <w:rsid w:val="00017CA0"/>
    <w:rsid w:val="00022452"/>
    <w:rsid w:val="00023C47"/>
    <w:rsid w:val="00023D62"/>
    <w:rsid w:val="00025483"/>
    <w:rsid w:val="00030A32"/>
    <w:rsid w:val="00031577"/>
    <w:rsid w:val="0003243C"/>
    <w:rsid w:val="000333EA"/>
    <w:rsid w:val="00040482"/>
    <w:rsid w:val="00042086"/>
    <w:rsid w:val="000453F8"/>
    <w:rsid w:val="00046BAF"/>
    <w:rsid w:val="000602C6"/>
    <w:rsid w:val="000662B0"/>
    <w:rsid w:val="00067557"/>
    <w:rsid w:val="000716BD"/>
    <w:rsid w:val="0007327B"/>
    <w:rsid w:val="00074915"/>
    <w:rsid w:val="00075827"/>
    <w:rsid w:val="00081602"/>
    <w:rsid w:val="00082549"/>
    <w:rsid w:val="00082D62"/>
    <w:rsid w:val="00084E88"/>
    <w:rsid w:val="00087346"/>
    <w:rsid w:val="0009076A"/>
    <w:rsid w:val="00092984"/>
    <w:rsid w:val="00093175"/>
    <w:rsid w:val="000950D2"/>
    <w:rsid w:val="000B16DE"/>
    <w:rsid w:val="000B1F0B"/>
    <w:rsid w:val="000B3880"/>
    <w:rsid w:val="000B567F"/>
    <w:rsid w:val="000C02F6"/>
    <w:rsid w:val="000C057F"/>
    <w:rsid w:val="000C14F5"/>
    <w:rsid w:val="000C1D5B"/>
    <w:rsid w:val="000C3F65"/>
    <w:rsid w:val="000C56F9"/>
    <w:rsid w:val="000C69EE"/>
    <w:rsid w:val="000D3200"/>
    <w:rsid w:val="000E05C6"/>
    <w:rsid w:val="000E2545"/>
    <w:rsid w:val="000E4C65"/>
    <w:rsid w:val="000E66A6"/>
    <w:rsid w:val="000E744A"/>
    <w:rsid w:val="000F09C8"/>
    <w:rsid w:val="000F1CF5"/>
    <w:rsid w:val="000F29EB"/>
    <w:rsid w:val="000F63F6"/>
    <w:rsid w:val="00102A74"/>
    <w:rsid w:val="0010545F"/>
    <w:rsid w:val="00105EA6"/>
    <w:rsid w:val="001127CF"/>
    <w:rsid w:val="0011547E"/>
    <w:rsid w:val="00115C8B"/>
    <w:rsid w:val="0012151F"/>
    <w:rsid w:val="00125FB7"/>
    <w:rsid w:val="00126551"/>
    <w:rsid w:val="0013096C"/>
    <w:rsid w:val="0013311D"/>
    <w:rsid w:val="0013321B"/>
    <w:rsid w:val="00150F8B"/>
    <w:rsid w:val="00155B28"/>
    <w:rsid w:val="001570CB"/>
    <w:rsid w:val="0016088A"/>
    <w:rsid w:val="00162A99"/>
    <w:rsid w:val="00165108"/>
    <w:rsid w:val="00165773"/>
    <w:rsid w:val="00165EDF"/>
    <w:rsid w:val="00166D53"/>
    <w:rsid w:val="00167BA1"/>
    <w:rsid w:val="00171017"/>
    <w:rsid w:val="0017192E"/>
    <w:rsid w:val="001747E5"/>
    <w:rsid w:val="00177AB5"/>
    <w:rsid w:val="00182727"/>
    <w:rsid w:val="001851DE"/>
    <w:rsid w:val="001A37E4"/>
    <w:rsid w:val="001A41B7"/>
    <w:rsid w:val="001A4C3A"/>
    <w:rsid w:val="001A540A"/>
    <w:rsid w:val="001B4836"/>
    <w:rsid w:val="001B4F09"/>
    <w:rsid w:val="001C62D4"/>
    <w:rsid w:val="001C6ABB"/>
    <w:rsid w:val="001C71D1"/>
    <w:rsid w:val="001D3937"/>
    <w:rsid w:val="001D3AEA"/>
    <w:rsid w:val="001D5105"/>
    <w:rsid w:val="001D64FE"/>
    <w:rsid w:val="001E40B0"/>
    <w:rsid w:val="001F20FA"/>
    <w:rsid w:val="001F3735"/>
    <w:rsid w:val="001F46B7"/>
    <w:rsid w:val="001F4A71"/>
    <w:rsid w:val="00205D04"/>
    <w:rsid w:val="0020670A"/>
    <w:rsid w:val="002070FA"/>
    <w:rsid w:val="002074D5"/>
    <w:rsid w:val="00212CBA"/>
    <w:rsid w:val="002239BD"/>
    <w:rsid w:val="002271ED"/>
    <w:rsid w:val="00230197"/>
    <w:rsid w:val="00230879"/>
    <w:rsid w:val="0023272D"/>
    <w:rsid w:val="0023646E"/>
    <w:rsid w:val="00241A86"/>
    <w:rsid w:val="00245FA1"/>
    <w:rsid w:val="00250158"/>
    <w:rsid w:val="00254364"/>
    <w:rsid w:val="002543B3"/>
    <w:rsid w:val="002555FA"/>
    <w:rsid w:val="00256B55"/>
    <w:rsid w:val="002573E0"/>
    <w:rsid w:val="002603E6"/>
    <w:rsid w:val="00260702"/>
    <w:rsid w:val="0026128E"/>
    <w:rsid w:val="00261ED7"/>
    <w:rsid w:val="00262331"/>
    <w:rsid w:val="00264EA4"/>
    <w:rsid w:val="00266808"/>
    <w:rsid w:val="00273780"/>
    <w:rsid w:val="002746D3"/>
    <w:rsid w:val="00275F8A"/>
    <w:rsid w:val="002774D9"/>
    <w:rsid w:val="00283DB2"/>
    <w:rsid w:val="00284A4A"/>
    <w:rsid w:val="002861E8"/>
    <w:rsid w:val="002904C2"/>
    <w:rsid w:val="0029546C"/>
    <w:rsid w:val="00296F9D"/>
    <w:rsid w:val="00297E33"/>
    <w:rsid w:val="002A3B3A"/>
    <w:rsid w:val="002A59EB"/>
    <w:rsid w:val="002B1D9D"/>
    <w:rsid w:val="002B41BB"/>
    <w:rsid w:val="002B4E2F"/>
    <w:rsid w:val="002C1CF1"/>
    <w:rsid w:val="002C6CDD"/>
    <w:rsid w:val="002C76B0"/>
    <w:rsid w:val="002D03C5"/>
    <w:rsid w:val="002D0CB7"/>
    <w:rsid w:val="002D1F15"/>
    <w:rsid w:val="002D47EC"/>
    <w:rsid w:val="002D6D7D"/>
    <w:rsid w:val="002E259D"/>
    <w:rsid w:val="002E3B84"/>
    <w:rsid w:val="002F1025"/>
    <w:rsid w:val="002F433F"/>
    <w:rsid w:val="003005A3"/>
    <w:rsid w:val="0030237C"/>
    <w:rsid w:val="0031054B"/>
    <w:rsid w:val="003147B9"/>
    <w:rsid w:val="0031606C"/>
    <w:rsid w:val="003161CD"/>
    <w:rsid w:val="00321D30"/>
    <w:rsid w:val="003226B7"/>
    <w:rsid w:val="00323D58"/>
    <w:rsid w:val="00330582"/>
    <w:rsid w:val="00335177"/>
    <w:rsid w:val="003358FE"/>
    <w:rsid w:val="0034182B"/>
    <w:rsid w:val="00343C7D"/>
    <w:rsid w:val="0034741C"/>
    <w:rsid w:val="0035288B"/>
    <w:rsid w:val="00354A06"/>
    <w:rsid w:val="00355394"/>
    <w:rsid w:val="003568A6"/>
    <w:rsid w:val="003572AF"/>
    <w:rsid w:val="00357B5C"/>
    <w:rsid w:val="0036165A"/>
    <w:rsid w:val="0036366F"/>
    <w:rsid w:val="00367EAA"/>
    <w:rsid w:val="00370BB2"/>
    <w:rsid w:val="00372F15"/>
    <w:rsid w:val="003750B0"/>
    <w:rsid w:val="00377338"/>
    <w:rsid w:val="00380306"/>
    <w:rsid w:val="00380454"/>
    <w:rsid w:val="00380795"/>
    <w:rsid w:val="00383263"/>
    <w:rsid w:val="00385B4C"/>
    <w:rsid w:val="00386DD5"/>
    <w:rsid w:val="0039025D"/>
    <w:rsid w:val="003930C8"/>
    <w:rsid w:val="00394558"/>
    <w:rsid w:val="00394B3E"/>
    <w:rsid w:val="00396B82"/>
    <w:rsid w:val="00397F5A"/>
    <w:rsid w:val="003A10EE"/>
    <w:rsid w:val="003A3FC8"/>
    <w:rsid w:val="003A56A4"/>
    <w:rsid w:val="003A5EE8"/>
    <w:rsid w:val="003A6328"/>
    <w:rsid w:val="003B6B7F"/>
    <w:rsid w:val="003B6D83"/>
    <w:rsid w:val="003B7B5B"/>
    <w:rsid w:val="003C3505"/>
    <w:rsid w:val="003C3D54"/>
    <w:rsid w:val="003C76CF"/>
    <w:rsid w:val="003D190A"/>
    <w:rsid w:val="003D1B01"/>
    <w:rsid w:val="003D343D"/>
    <w:rsid w:val="003D689C"/>
    <w:rsid w:val="003F2588"/>
    <w:rsid w:val="003F2C72"/>
    <w:rsid w:val="003F5F98"/>
    <w:rsid w:val="003F6B1A"/>
    <w:rsid w:val="003F6EB4"/>
    <w:rsid w:val="003F7C22"/>
    <w:rsid w:val="0040108F"/>
    <w:rsid w:val="00403DC1"/>
    <w:rsid w:val="00411475"/>
    <w:rsid w:val="00411F13"/>
    <w:rsid w:val="004120E4"/>
    <w:rsid w:val="00412CB6"/>
    <w:rsid w:val="00415A62"/>
    <w:rsid w:val="00415D17"/>
    <w:rsid w:val="00416D12"/>
    <w:rsid w:val="00420443"/>
    <w:rsid w:val="004216B4"/>
    <w:rsid w:val="004256ED"/>
    <w:rsid w:val="00425E91"/>
    <w:rsid w:val="004342E7"/>
    <w:rsid w:val="004405F9"/>
    <w:rsid w:val="00440D9F"/>
    <w:rsid w:val="00442FD9"/>
    <w:rsid w:val="00447795"/>
    <w:rsid w:val="004524CE"/>
    <w:rsid w:val="00453C6C"/>
    <w:rsid w:val="00454A8F"/>
    <w:rsid w:val="0045654F"/>
    <w:rsid w:val="00456D03"/>
    <w:rsid w:val="00463128"/>
    <w:rsid w:val="00465B0B"/>
    <w:rsid w:val="00466AC7"/>
    <w:rsid w:val="00471F86"/>
    <w:rsid w:val="00477519"/>
    <w:rsid w:val="00480749"/>
    <w:rsid w:val="00484D26"/>
    <w:rsid w:val="00493ACC"/>
    <w:rsid w:val="00494B49"/>
    <w:rsid w:val="00497090"/>
    <w:rsid w:val="004970ED"/>
    <w:rsid w:val="004A1FA1"/>
    <w:rsid w:val="004B2EAE"/>
    <w:rsid w:val="004B46A4"/>
    <w:rsid w:val="004C0D8E"/>
    <w:rsid w:val="004C1C03"/>
    <w:rsid w:val="004C335E"/>
    <w:rsid w:val="004C559A"/>
    <w:rsid w:val="004C6B8A"/>
    <w:rsid w:val="004C7A1D"/>
    <w:rsid w:val="004D2A8E"/>
    <w:rsid w:val="004D5295"/>
    <w:rsid w:val="004D6BFA"/>
    <w:rsid w:val="004D7079"/>
    <w:rsid w:val="004D7C3F"/>
    <w:rsid w:val="004E18C5"/>
    <w:rsid w:val="004F3941"/>
    <w:rsid w:val="004F41FC"/>
    <w:rsid w:val="004F6B56"/>
    <w:rsid w:val="0050080F"/>
    <w:rsid w:val="005010A4"/>
    <w:rsid w:val="00505CB1"/>
    <w:rsid w:val="0050658D"/>
    <w:rsid w:val="00510AA4"/>
    <w:rsid w:val="00513A57"/>
    <w:rsid w:val="00516ACE"/>
    <w:rsid w:val="0052310B"/>
    <w:rsid w:val="005240FE"/>
    <w:rsid w:val="00525CB3"/>
    <w:rsid w:val="00540E95"/>
    <w:rsid w:val="00544494"/>
    <w:rsid w:val="0054720A"/>
    <w:rsid w:val="00547F08"/>
    <w:rsid w:val="0055514C"/>
    <w:rsid w:val="00560C40"/>
    <w:rsid w:val="0056593C"/>
    <w:rsid w:val="00571072"/>
    <w:rsid w:val="005714C3"/>
    <w:rsid w:val="00572E62"/>
    <w:rsid w:val="00574B69"/>
    <w:rsid w:val="0058044F"/>
    <w:rsid w:val="005811F4"/>
    <w:rsid w:val="00582710"/>
    <w:rsid w:val="00582887"/>
    <w:rsid w:val="00584166"/>
    <w:rsid w:val="0058590A"/>
    <w:rsid w:val="005869E4"/>
    <w:rsid w:val="005965F6"/>
    <w:rsid w:val="00597D3B"/>
    <w:rsid w:val="005A2F99"/>
    <w:rsid w:val="005A4658"/>
    <w:rsid w:val="005B08E1"/>
    <w:rsid w:val="005B1687"/>
    <w:rsid w:val="005B35E6"/>
    <w:rsid w:val="005B6710"/>
    <w:rsid w:val="005B75BF"/>
    <w:rsid w:val="005C0E21"/>
    <w:rsid w:val="005C12E4"/>
    <w:rsid w:val="005C26F2"/>
    <w:rsid w:val="005C5079"/>
    <w:rsid w:val="005C5182"/>
    <w:rsid w:val="005D0800"/>
    <w:rsid w:val="005D582C"/>
    <w:rsid w:val="005E065F"/>
    <w:rsid w:val="005E416C"/>
    <w:rsid w:val="005E4300"/>
    <w:rsid w:val="005E66D1"/>
    <w:rsid w:val="005E6A4E"/>
    <w:rsid w:val="005E7CD7"/>
    <w:rsid w:val="005F00ED"/>
    <w:rsid w:val="005F0DD5"/>
    <w:rsid w:val="005F1F6C"/>
    <w:rsid w:val="005F34F1"/>
    <w:rsid w:val="005F4454"/>
    <w:rsid w:val="005F6B23"/>
    <w:rsid w:val="00600823"/>
    <w:rsid w:val="00604352"/>
    <w:rsid w:val="00605583"/>
    <w:rsid w:val="00607A23"/>
    <w:rsid w:val="00610953"/>
    <w:rsid w:val="0061259B"/>
    <w:rsid w:val="00613742"/>
    <w:rsid w:val="00617B8B"/>
    <w:rsid w:val="0062041F"/>
    <w:rsid w:val="006210AC"/>
    <w:rsid w:val="006220E2"/>
    <w:rsid w:val="0062342D"/>
    <w:rsid w:val="0062657A"/>
    <w:rsid w:val="00631C3B"/>
    <w:rsid w:val="00640DEC"/>
    <w:rsid w:val="006415BC"/>
    <w:rsid w:val="00646876"/>
    <w:rsid w:val="00654EB8"/>
    <w:rsid w:val="006550D0"/>
    <w:rsid w:val="00657644"/>
    <w:rsid w:val="0066205A"/>
    <w:rsid w:val="00663495"/>
    <w:rsid w:val="006634C5"/>
    <w:rsid w:val="006667C2"/>
    <w:rsid w:val="006677F4"/>
    <w:rsid w:val="0067020C"/>
    <w:rsid w:val="00670656"/>
    <w:rsid w:val="00670F36"/>
    <w:rsid w:val="006720AA"/>
    <w:rsid w:val="00675218"/>
    <w:rsid w:val="006778A5"/>
    <w:rsid w:val="00677BBA"/>
    <w:rsid w:val="00680062"/>
    <w:rsid w:val="0068165A"/>
    <w:rsid w:val="00692FA3"/>
    <w:rsid w:val="00695D05"/>
    <w:rsid w:val="00695EC0"/>
    <w:rsid w:val="006A2B62"/>
    <w:rsid w:val="006B1C9A"/>
    <w:rsid w:val="006B57E6"/>
    <w:rsid w:val="006B6374"/>
    <w:rsid w:val="006C1D90"/>
    <w:rsid w:val="006C4EB4"/>
    <w:rsid w:val="006C4F7F"/>
    <w:rsid w:val="006D3E92"/>
    <w:rsid w:val="006D76ED"/>
    <w:rsid w:val="006E2F9F"/>
    <w:rsid w:val="006E314A"/>
    <w:rsid w:val="006F189E"/>
    <w:rsid w:val="006F1CC8"/>
    <w:rsid w:val="007015D0"/>
    <w:rsid w:val="00701816"/>
    <w:rsid w:val="00701992"/>
    <w:rsid w:val="00701EB8"/>
    <w:rsid w:val="00705EAF"/>
    <w:rsid w:val="00705FC3"/>
    <w:rsid w:val="00706CC5"/>
    <w:rsid w:val="00706E5D"/>
    <w:rsid w:val="00706FBD"/>
    <w:rsid w:val="0071257E"/>
    <w:rsid w:val="00714C1E"/>
    <w:rsid w:val="007152DA"/>
    <w:rsid w:val="00715D03"/>
    <w:rsid w:val="00720F7D"/>
    <w:rsid w:val="007215D9"/>
    <w:rsid w:val="0072325B"/>
    <w:rsid w:val="00730364"/>
    <w:rsid w:val="00733F43"/>
    <w:rsid w:val="00735909"/>
    <w:rsid w:val="00740345"/>
    <w:rsid w:val="00742E98"/>
    <w:rsid w:val="00751F77"/>
    <w:rsid w:val="00752167"/>
    <w:rsid w:val="007525DB"/>
    <w:rsid w:val="0075695F"/>
    <w:rsid w:val="007574A6"/>
    <w:rsid w:val="0076113B"/>
    <w:rsid w:val="007630FC"/>
    <w:rsid w:val="007633A0"/>
    <w:rsid w:val="00763F41"/>
    <w:rsid w:val="0076488C"/>
    <w:rsid w:val="00764B45"/>
    <w:rsid w:val="0076645D"/>
    <w:rsid w:val="00766C59"/>
    <w:rsid w:val="007703E9"/>
    <w:rsid w:val="00771E1D"/>
    <w:rsid w:val="0077345B"/>
    <w:rsid w:val="00773B60"/>
    <w:rsid w:val="007772BE"/>
    <w:rsid w:val="007847D7"/>
    <w:rsid w:val="00785050"/>
    <w:rsid w:val="007853A0"/>
    <w:rsid w:val="00786EEE"/>
    <w:rsid w:val="007913FE"/>
    <w:rsid w:val="00791E95"/>
    <w:rsid w:val="007923BB"/>
    <w:rsid w:val="0079494F"/>
    <w:rsid w:val="00795605"/>
    <w:rsid w:val="007976DD"/>
    <w:rsid w:val="007A3AC1"/>
    <w:rsid w:val="007A3EF1"/>
    <w:rsid w:val="007A48F7"/>
    <w:rsid w:val="007A50A6"/>
    <w:rsid w:val="007A6072"/>
    <w:rsid w:val="007B1052"/>
    <w:rsid w:val="007B4AFE"/>
    <w:rsid w:val="007B5429"/>
    <w:rsid w:val="007C5A23"/>
    <w:rsid w:val="007D1A40"/>
    <w:rsid w:val="007D5193"/>
    <w:rsid w:val="007D77DD"/>
    <w:rsid w:val="007E01A5"/>
    <w:rsid w:val="007E1629"/>
    <w:rsid w:val="007E6F33"/>
    <w:rsid w:val="007E7AC8"/>
    <w:rsid w:val="007E7DB4"/>
    <w:rsid w:val="007F0619"/>
    <w:rsid w:val="007F2AEA"/>
    <w:rsid w:val="007F5B8E"/>
    <w:rsid w:val="00800159"/>
    <w:rsid w:val="00804193"/>
    <w:rsid w:val="0080434B"/>
    <w:rsid w:val="008044BA"/>
    <w:rsid w:val="00805FF6"/>
    <w:rsid w:val="008173FB"/>
    <w:rsid w:val="00817EA5"/>
    <w:rsid w:val="00820E3F"/>
    <w:rsid w:val="00826CCF"/>
    <w:rsid w:val="0083332D"/>
    <w:rsid w:val="00842392"/>
    <w:rsid w:val="00842DB7"/>
    <w:rsid w:val="008470BB"/>
    <w:rsid w:val="00847522"/>
    <w:rsid w:val="00847C5F"/>
    <w:rsid w:val="0085047A"/>
    <w:rsid w:val="00853262"/>
    <w:rsid w:val="00853291"/>
    <w:rsid w:val="00864888"/>
    <w:rsid w:val="00867AB2"/>
    <w:rsid w:val="00874F16"/>
    <w:rsid w:val="00876A03"/>
    <w:rsid w:val="00882E22"/>
    <w:rsid w:val="0088439F"/>
    <w:rsid w:val="008850D6"/>
    <w:rsid w:val="00887792"/>
    <w:rsid w:val="008928C1"/>
    <w:rsid w:val="008929A5"/>
    <w:rsid w:val="008A0C45"/>
    <w:rsid w:val="008A1191"/>
    <w:rsid w:val="008A163C"/>
    <w:rsid w:val="008A3F4A"/>
    <w:rsid w:val="008A4C51"/>
    <w:rsid w:val="008A552D"/>
    <w:rsid w:val="008A6548"/>
    <w:rsid w:val="008A7973"/>
    <w:rsid w:val="008B56E0"/>
    <w:rsid w:val="008B6330"/>
    <w:rsid w:val="008B739A"/>
    <w:rsid w:val="008C1917"/>
    <w:rsid w:val="008C302F"/>
    <w:rsid w:val="008C672D"/>
    <w:rsid w:val="008D2D2A"/>
    <w:rsid w:val="008D3593"/>
    <w:rsid w:val="008E0031"/>
    <w:rsid w:val="008E0CB0"/>
    <w:rsid w:val="008E1A13"/>
    <w:rsid w:val="008E5DFC"/>
    <w:rsid w:val="008F29F9"/>
    <w:rsid w:val="008F2B0F"/>
    <w:rsid w:val="008F4F38"/>
    <w:rsid w:val="008F5ACF"/>
    <w:rsid w:val="008F5B14"/>
    <w:rsid w:val="008F5BFC"/>
    <w:rsid w:val="008F6134"/>
    <w:rsid w:val="008F770F"/>
    <w:rsid w:val="008F7779"/>
    <w:rsid w:val="00902AE4"/>
    <w:rsid w:val="00912739"/>
    <w:rsid w:val="00915F7B"/>
    <w:rsid w:val="00925ABD"/>
    <w:rsid w:val="009265D6"/>
    <w:rsid w:val="00927E3A"/>
    <w:rsid w:val="0093054A"/>
    <w:rsid w:val="00930B10"/>
    <w:rsid w:val="009320FD"/>
    <w:rsid w:val="0093384E"/>
    <w:rsid w:val="00934B55"/>
    <w:rsid w:val="0093531F"/>
    <w:rsid w:val="009406F0"/>
    <w:rsid w:val="009410A9"/>
    <w:rsid w:val="00943312"/>
    <w:rsid w:val="00943CD4"/>
    <w:rsid w:val="009441C2"/>
    <w:rsid w:val="009442A5"/>
    <w:rsid w:val="0094557E"/>
    <w:rsid w:val="009455C5"/>
    <w:rsid w:val="00947490"/>
    <w:rsid w:val="0095127B"/>
    <w:rsid w:val="00952E9E"/>
    <w:rsid w:val="00955FD5"/>
    <w:rsid w:val="00962C06"/>
    <w:rsid w:val="00964079"/>
    <w:rsid w:val="009664A5"/>
    <w:rsid w:val="00967335"/>
    <w:rsid w:val="00973A39"/>
    <w:rsid w:val="00974C68"/>
    <w:rsid w:val="00976E6E"/>
    <w:rsid w:val="00976E7E"/>
    <w:rsid w:val="00977103"/>
    <w:rsid w:val="00982909"/>
    <w:rsid w:val="00984A45"/>
    <w:rsid w:val="00985973"/>
    <w:rsid w:val="00991E72"/>
    <w:rsid w:val="009950B3"/>
    <w:rsid w:val="009A4A2E"/>
    <w:rsid w:val="009B371A"/>
    <w:rsid w:val="009B39D9"/>
    <w:rsid w:val="009B789E"/>
    <w:rsid w:val="009C4276"/>
    <w:rsid w:val="009C4E39"/>
    <w:rsid w:val="009C59C2"/>
    <w:rsid w:val="009C6639"/>
    <w:rsid w:val="009D2E9F"/>
    <w:rsid w:val="009E004D"/>
    <w:rsid w:val="009E0D3E"/>
    <w:rsid w:val="009E2236"/>
    <w:rsid w:val="009E5312"/>
    <w:rsid w:val="009F0E0D"/>
    <w:rsid w:val="009F163B"/>
    <w:rsid w:val="009F27CC"/>
    <w:rsid w:val="009F4152"/>
    <w:rsid w:val="009F4D02"/>
    <w:rsid w:val="009F68B5"/>
    <w:rsid w:val="009F736B"/>
    <w:rsid w:val="009F79E5"/>
    <w:rsid w:val="00A02450"/>
    <w:rsid w:val="00A02744"/>
    <w:rsid w:val="00A02E8B"/>
    <w:rsid w:val="00A07665"/>
    <w:rsid w:val="00A137E6"/>
    <w:rsid w:val="00A137E7"/>
    <w:rsid w:val="00A15B3F"/>
    <w:rsid w:val="00A17ABD"/>
    <w:rsid w:val="00A223AD"/>
    <w:rsid w:val="00A24CA2"/>
    <w:rsid w:val="00A2582D"/>
    <w:rsid w:val="00A261D8"/>
    <w:rsid w:val="00A30B94"/>
    <w:rsid w:val="00A31E82"/>
    <w:rsid w:val="00A3431C"/>
    <w:rsid w:val="00A346BB"/>
    <w:rsid w:val="00A351B1"/>
    <w:rsid w:val="00A35F65"/>
    <w:rsid w:val="00A41FBC"/>
    <w:rsid w:val="00A44840"/>
    <w:rsid w:val="00A45ED3"/>
    <w:rsid w:val="00A5375A"/>
    <w:rsid w:val="00A545E9"/>
    <w:rsid w:val="00A54F00"/>
    <w:rsid w:val="00A55118"/>
    <w:rsid w:val="00A60461"/>
    <w:rsid w:val="00A6060F"/>
    <w:rsid w:val="00A62B63"/>
    <w:rsid w:val="00A62CAC"/>
    <w:rsid w:val="00A64E0E"/>
    <w:rsid w:val="00A818B0"/>
    <w:rsid w:val="00A82314"/>
    <w:rsid w:val="00A83376"/>
    <w:rsid w:val="00A85868"/>
    <w:rsid w:val="00A8729F"/>
    <w:rsid w:val="00A873FD"/>
    <w:rsid w:val="00A87973"/>
    <w:rsid w:val="00A900B6"/>
    <w:rsid w:val="00A9306E"/>
    <w:rsid w:val="00A93829"/>
    <w:rsid w:val="00A954F4"/>
    <w:rsid w:val="00A95B9F"/>
    <w:rsid w:val="00A977A6"/>
    <w:rsid w:val="00AA0A64"/>
    <w:rsid w:val="00AA6F2A"/>
    <w:rsid w:val="00AA76C0"/>
    <w:rsid w:val="00AB2B1F"/>
    <w:rsid w:val="00AC4A0D"/>
    <w:rsid w:val="00AD0459"/>
    <w:rsid w:val="00AD1E52"/>
    <w:rsid w:val="00AD20BE"/>
    <w:rsid w:val="00AD31C4"/>
    <w:rsid w:val="00AD52FF"/>
    <w:rsid w:val="00AD6EF3"/>
    <w:rsid w:val="00AD7292"/>
    <w:rsid w:val="00AE0BE3"/>
    <w:rsid w:val="00AF318A"/>
    <w:rsid w:val="00AF4DE4"/>
    <w:rsid w:val="00B01C25"/>
    <w:rsid w:val="00B023D5"/>
    <w:rsid w:val="00B0316F"/>
    <w:rsid w:val="00B03F76"/>
    <w:rsid w:val="00B052D8"/>
    <w:rsid w:val="00B06330"/>
    <w:rsid w:val="00B102C3"/>
    <w:rsid w:val="00B10942"/>
    <w:rsid w:val="00B109F4"/>
    <w:rsid w:val="00B145BE"/>
    <w:rsid w:val="00B15D11"/>
    <w:rsid w:val="00B20115"/>
    <w:rsid w:val="00B20592"/>
    <w:rsid w:val="00B20855"/>
    <w:rsid w:val="00B22FA4"/>
    <w:rsid w:val="00B31C31"/>
    <w:rsid w:val="00B36BF4"/>
    <w:rsid w:val="00B36F52"/>
    <w:rsid w:val="00B40602"/>
    <w:rsid w:val="00B430BE"/>
    <w:rsid w:val="00B455DD"/>
    <w:rsid w:val="00B459F9"/>
    <w:rsid w:val="00B46660"/>
    <w:rsid w:val="00B508DF"/>
    <w:rsid w:val="00B51E0F"/>
    <w:rsid w:val="00B52D6A"/>
    <w:rsid w:val="00B5453A"/>
    <w:rsid w:val="00B54A97"/>
    <w:rsid w:val="00B61586"/>
    <w:rsid w:val="00B61B47"/>
    <w:rsid w:val="00B61ED2"/>
    <w:rsid w:val="00B752C4"/>
    <w:rsid w:val="00B773B4"/>
    <w:rsid w:val="00B80E42"/>
    <w:rsid w:val="00B8372F"/>
    <w:rsid w:val="00B90D33"/>
    <w:rsid w:val="00B96619"/>
    <w:rsid w:val="00B9740F"/>
    <w:rsid w:val="00B978AA"/>
    <w:rsid w:val="00BA51BF"/>
    <w:rsid w:val="00BA6165"/>
    <w:rsid w:val="00BA7353"/>
    <w:rsid w:val="00BA7965"/>
    <w:rsid w:val="00BB1A13"/>
    <w:rsid w:val="00BC0A6E"/>
    <w:rsid w:val="00BD0E60"/>
    <w:rsid w:val="00BD1FD1"/>
    <w:rsid w:val="00BD3051"/>
    <w:rsid w:val="00BD679E"/>
    <w:rsid w:val="00BE05F3"/>
    <w:rsid w:val="00BE0B1C"/>
    <w:rsid w:val="00BE1512"/>
    <w:rsid w:val="00BE4168"/>
    <w:rsid w:val="00BE47A7"/>
    <w:rsid w:val="00BE566B"/>
    <w:rsid w:val="00BF14F9"/>
    <w:rsid w:val="00BF2E2B"/>
    <w:rsid w:val="00BF4AE2"/>
    <w:rsid w:val="00BF4C09"/>
    <w:rsid w:val="00C02FEE"/>
    <w:rsid w:val="00C105A7"/>
    <w:rsid w:val="00C10D29"/>
    <w:rsid w:val="00C1121C"/>
    <w:rsid w:val="00C120CF"/>
    <w:rsid w:val="00C13383"/>
    <w:rsid w:val="00C22056"/>
    <w:rsid w:val="00C23CC3"/>
    <w:rsid w:val="00C24A27"/>
    <w:rsid w:val="00C3176F"/>
    <w:rsid w:val="00C3369C"/>
    <w:rsid w:val="00C337E5"/>
    <w:rsid w:val="00C40A36"/>
    <w:rsid w:val="00C4124C"/>
    <w:rsid w:val="00C44E7D"/>
    <w:rsid w:val="00C45194"/>
    <w:rsid w:val="00C45722"/>
    <w:rsid w:val="00C45EAB"/>
    <w:rsid w:val="00C50354"/>
    <w:rsid w:val="00C50BDC"/>
    <w:rsid w:val="00C535DD"/>
    <w:rsid w:val="00C55A4C"/>
    <w:rsid w:val="00C55E24"/>
    <w:rsid w:val="00C572CE"/>
    <w:rsid w:val="00C66E09"/>
    <w:rsid w:val="00C6751C"/>
    <w:rsid w:val="00C715A9"/>
    <w:rsid w:val="00C71BA0"/>
    <w:rsid w:val="00C727D1"/>
    <w:rsid w:val="00C73188"/>
    <w:rsid w:val="00C7372D"/>
    <w:rsid w:val="00C737AF"/>
    <w:rsid w:val="00C740D8"/>
    <w:rsid w:val="00C74121"/>
    <w:rsid w:val="00C82C1D"/>
    <w:rsid w:val="00C82FD2"/>
    <w:rsid w:val="00C83D06"/>
    <w:rsid w:val="00C84084"/>
    <w:rsid w:val="00C85248"/>
    <w:rsid w:val="00C865D5"/>
    <w:rsid w:val="00C90D90"/>
    <w:rsid w:val="00C93194"/>
    <w:rsid w:val="00C96559"/>
    <w:rsid w:val="00C971A5"/>
    <w:rsid w:val="00CA1A78"/>
    <w:rsid w:val="00CA25F6"/>
    <w:rsid w:val="00CA7C68"/>
    <w:rsid w:val="00CB069D"/>
    <w:rsid w:val="00CB1349"/>
    <w:rsid w:val="00CB3201"/>
    <w:rsid w:val="00CB50EB"/>
    <w:rsid w:val="00CB6127"/>
    <w:rsid w:val="00CC0773"/>
    <w:rsid w:val="00CC253B"/>
    <w:rsid w:val="00CC293D"/>
    <w:rsid w:val="00CC34B3"/>
    <w:rsid w:val="00CC45B6"/>
    <w:rsid w:val="00CC4A2F"/>
    <w:rsid w:val="00CC610A"/>
    <w:rsid w:val="00CC7712"/>
    <w:rsid w:val="00CD41C7"/>
    <w:rsid w:val="00CD4628"/>
    <w:rsid w:val="00CD5454"/>
    <w:rsid w:val="00CE484F"/>
    <w:rsid w:val="00CF02A6"/>
    <w:rsid w:val="00CF4B36"/>
    <w:rsid w:val="00CF579A"/>
    <w:rsid w:val="00CF5C19"/>
    <w:rsid w:val="00CF74E6"/>
    <w:rsid w:val="00D007A7"/>
    <w:rsid w:val="00D008C3"/>
    <w:rsid w:val="00D024EC"/>
    <w:rsid w:val="00D03238"/>
    <w:rsid w:val="00D03FBF"/>
    <w:rsid w:val="00D1225C"/>
    <w:rsid w:val="00D14B56"/>
    <w:rsid w:val="00D27F67"/>
    <w:rsid w:val="00D354B1"/>
    <w:rsid w:val="00D36654"/>
    <w:rsid w:val="00D373BD"/>
    <w:rsid w:val="00D456CA"/>
    <w:rsid w:val="00D45D41"/>
    <w:rsid w:val="00D46013"/>
    <w:rsid w:val="00D47F18"/>
    <w:rsid w:val="00D52037"/>
    <w:rsid w:val="00D52A17"/>
    <w:rsid w:val="00D55C14"/>
    <w:rsid w:val="00D55C93"/>
    <w:rsid w:val="00D5689D"/>
    <w:rsid w:val="00D610EC"/>
    <w:rsid w:val="00D62FC6"/>
    <w:rsid w:val="00D66145"/>
    <w:rsid w:val="00D66EA4"/>
    <w:rsid w:val="00D67D79"/>
    <w:rsid w:val="00D7177D"/>
    <w:rsid w:val="00D74947"/>
    <w:rsid w:val="00D77B0B"/>
    <w:rsid w:val="00D81E5C"/>
    <w:rsid w:val="00D83F97"/>
    <w:rsid w:val="00D875D9"/>
    <w:rsid w:val="00D94896"/>
    <w:rsid w:val="00DA3145"/>
    <w:rsid w:val="00DA5381"/>
    <w:rsid w:val="00DA68E2"/>
    <w:rsid w:val="00DB0228"/>
    <w:rsid w:val="00DB68EC"/>
    <w:rsid w:val="00DB7728"/>
    <w:rsid w:val="00DC15AF"/>
    <w:rsid w:val="00DC4311"/>
    <w:rsid w:val="00DC69B5"/>
    <w:rsid w:val="00DC6F47"/>
    <w:rsid w:val="00DC7BE8"/>
    <w:rsid w:val="00DD254D"/>
    <w:rsid w:val="00DD46C3"/>
    <w:rsid w:val="00DD4BA0"/>
    <w:rsid w:val="00DD526A"/>
    <w:rsid w:val="00DD7778"/>
    <w:rsid w:val="00DE0AA9"/>
    <w:rsid w:val="00DE1450"/>
    <w:rsid w:val="00DE2595"/>
    <w:rsid w:val="00DE6A67"/>
    <w:rsid w:val="00DF2F97"/>
    <w:rsid w:val="00DF544C"/>
    <w:rsid w:val="00DF61D9"/>
    <w:rsid w:val="00DF7AFD"/>
    <w:rsid w:val="00E0388A"/>
    <w:rsid w:val="00E05D90"/>
    <w:rsid w:val="00E14768"/>
    <w:rsid w:val="00E1594B"/>
    <w:rsid w:val="00E20B39"/>
    <w:rsid w:val="00E20EF5"/>
    <w:rsid w:val="00E21513"/>
    <w:rsid w:val="00E25E73"/>
    <w:rsid w:val="00E26971"/>
    <w:rsid w:val="00E27022"/>
    <w:rsid w:val="00E30970"/>
    <w:rsid w:val="00E3753C"/>
    <w:rsid w:val="00E439F6"/>
    <w:rsid w:val="00E44E5C"/>
    <w:rsid w:val="00E56138"/>
    <w:rsid w:val="00E565D4"/>
    <w:rsid w:val="00E57076"/>
    <w:rsid w:val="00E57159"/>
    <w:rsid w:val="00E66C99"/>
    <w:rsid w:val="00E676D3"/>
    <w:rsid w:val="00E717FB"/>
    <w:rsid w:val="00E72A39"/>
    <w:rsid w:val="00E85352"/>
    <w:rsid w:val="00E8692B"/>
    <w:rsid w:val="00E879C4"/>
    <w:rsid w:val="00E90685"/>
    <w:rsid w:val="00E948F9"/>
    <w:rsid w:val="00E94A77"/>
    <w:rsid w:val="00E96E66"/>
    <w:rsid w:val="00EA68AB"/>
    <w:rsid w:val="00EB1425"/>
    <w:rsid w:val="00EB3FF2"/>
    <w:rsid w:val="00EB4927"/>
    <w:rsid w:val="00EC0407"/>
    <w:rsid w:val="00EC08CB"/>
    <w:rsid w:val="00EC2837"/>
    <w:rsid w:val="00EC30B4"/>
    <w:rsid w:val="00EC4373"/>
    <w:rsid w:val="00ED1747"/>
    <w:rsid w:val="00ED3D2C"/>
    <w:rsid w:val="00ED454B"/>
    <w:rsid w:val="00ED531C"/>
    <w:rsid w:val="00ED6230"/>
    <w:rsid w:val="00EE0D0B"/>
    <w:rsid w:val="00EE2FCF"/>
    <w:rsid w:val="00EE46EA"/>
    <w:rsid w:val="00EE47D1"/>
    <w:rsid w:val="00EE6C76"/>
    <w:rsid w:val="00EF043D"/>
    <w:rsid w:val="00EF123A"/>
    <w:rsid w:val="00EF15E6"/>
    <w:rsid w:val="00EF3991"/>
    <w:rsid w:val="00EF4D82"/>
    <w:rsid w:val="00F01290"/>
    <w:rsid w:val="00F01A60"/>
    <w:rsid w:val="00F01A73"/>
    <w:rsid w:val="00F06D5E"/>
    <w:rsid w:val="00F075BB"/>
    <w:rsid w:val="00F07F40"/>
    <w:rsid w:val="00F10E86"/>
    <w:rsid w:val="00F128D1"/>
    <w:rsid w:val="00F17867"/>
    <w:rsid w:val="00F20263"/>
    <w:rsid w:val="00F20401"/>
    <w:rsid w:val="00F2049C"/>
    <w:rsid w:val="00F20597"/>
    <w:rsid w:val="00F24279"/>
    <w:rsid w:val="00F4221D"/>
    <w:rsid w:val="00F43DE2"/>
    <w:rsid w:val="00F465AC"/>
    <w:rsid w:val="00F4774F"/>
    <w:rsid w:val="00F47E54"/>
    <w:rsid w:val="00F50110"/>
    <w:rsid w:val="00F5025F"/>
    <w:rsid w:val="00F50586"/>
    <w:rsid w:val="00F54D4E"/>
    <w:rsid w:val="00F57DC7"/>
    <w:rsid w:val="00F61347"/>
    <w:rsid w:val="00F6259F"/>
    <w:rsid w:val="00F67C2A"/>
    <w:rsid w:val="00F75060"/>
    <w:rsid w:val="00F8777A"/>
    <w:rsid w:val="00F92074"/>
    <w:rsid w:val="00F93673"/>
    <w:rsid w:val="00F93F5B"/>
    <w:rsid w:val="00F94484"/>
    <w:rsid w:val="00F945DB"/>
    <w:rsid w:val="00FA2ACE"/>
    <w:rsid w:val="00FA3211"/>
    <w:rsid w:val="00FA4D75"/>
    <w:rsid w:val="00FA6895"/>
    <w:rsid w:val="00FB0351"/>
    <w:rsid w:val="00FB3C11"/>
    <w:rsid w:val="00FB3CC8"/>
    <w:rsid w:val="00FB3EBD"/>
    <w:rsid w:val="00FB43C3"/>
    <w:rsid w:val="00FB59EA"/>
    <w:rsid w:val="00FC0DFA"/>
    <w:rsid w:val="00FC103A"/>
    <w:rsid w:val="00FC6C9D"/>
    <w:rsid w:val="00FC7452"/>
    <w:rsid w:val="00FD25CE"/>
    <w:rsid w:val="00FD4560"/>
    <w:rsid w:val="00FD54D2"/>
    <w:rsid w:val="00FD632B"/>
    <w:rsid w:val="00FE434A"/>
    <w:rsid w:val="00FE49CB"/>
    <w:rsid w:val="00FE5803"/>
    <w:rsid w:val="00FF1BC3"/>
    <w:rsid w:val="00FF2BB1"/>
    <w:rsid w:val="00FF3D98"/>
    <w:rsid w:val="00FF740A"/>
    <w:rsid w:val="09D67C99"/>
    <w:rsid w:val="0E439EE6"/>
    <w:rsid w:val="108F6A3B"/>
    <w:rsid w:val="17D478F6"/>
    <w:rsid w:val="1FFD8097"/>
    <w:rsid w:val="2099EEC1"/>
    <w:rsid w:val="2CF1F0F3"/>
    <w:rsid w:val="3DB82964"/>
    <w:rsid w:val="3DCCC1FF"/>
    <w:rsid w:val="40FA8F30"/>
    <w:rsid w:val="4214CB66"/>
    <w:rsid w:val="45BEAB87"/>
    <w:rsid w:val="63AE446B"/>
    <w:rsid w:val="6E1858A7"/>
    <w:rsid w:val="71580207"/>
    <w:rsid w:val="7E021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qFormat/>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spacing w:after="120"/>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semiHidden/>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semiHidden/>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semiHidden/>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DA3145"/>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basedOn w:val="Normal"/>
    <w:link w:val="FootnoteTextChar"/>
    <w:uiPriority w:val="99"/>
    <w:rsid w:val="00EE47D1"/>
    <w:pPr>
      <w:spacing w:after="0" w:line="240" w:lineRule="auto"/>
    </w:pPr>
    <w:rPr>
      <w:sz w:val="18"/>
      <w:szCs w:val="20"/>
    </w:rPr>
  </w:style>
  <w:style w:type="character" w:customStyle="1" w:styleId="FootnoteTextChar">
    <w:name w:val="Footnote Text Char"/>
    <w:basedOn w:val="DefaultParagraphFont"/>
    <w:link w:val="FootnoteText"/>
    <w:uiPriority w:val="99"/>
    <w:rsid w:val="00EE47D1"/>
    <w:rPr>
      <w:sz w:val="18"/>
      <w:szCs w:val="20"/>
    </w:rPr>
  </w:style>
  <w:style w:type="character" w:styleId="FootnoteReference">
    <w:name w:val="footnote reference"/>
    <w:basedOn w:val="DefaultParagraphFont"/>
    <w:uiPriority w:val="99"/>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CommentReference">
    <w:name w:val="annotation reference"/>
    <w:basedOn w:val="DefaultParagraphFont"/>
    <w:uiPriority w:val="99"/>
    <w:semiHidden/>
    <w:unhideWhenUsed/>
    <w:rsid w:val="00617B8B"/>
    <w:rPr>
      <w:sz w:val="16"/>
      <w:szCs w:val="16"/>
    </w:rPr>
  </w:style>
  <w:style w:type="paragraph" w:styleId="CommentText">
    <w:name w:val="annotation text"/>
    <w:basedOn w:val="Normal"/>
    <w:link w:val="CommentTextChar"/>
    <w:uiPriority w:val="99"/>
    <w:unhideWhenUsed/>
    <w:rsid w:val="00617B8B"/>
    <w:pPr>
      <w:spacing w:line="240" w:lineRule="auto"/>
    </w:pPr>
    <w:rPr>
      <w:sz w:val="20"/>
      <w:szCs w:val="20"/>
    </w:rPr>
  </w:style>
  <w:style w:type="character" w:customStyle="1" w:styleId="CommentTextChar">
    <w:name w:val="Comment Text Char"/>
    <w:basedOn w:val="DefaultParagraphFont"/>
    <w:link w:val="CommentText"/>
    <w:uiPriority w:val="99"/>
    <w:rsid w:val="00617B8B"/>
    <w:rPr>
      <w:sz w:val="20"/>
      <w:szCs w:val="20"/>
    </w:rPr>
  </w:style>
  <w:style w:type="paragraph" w:styleId="CommentSubject">
    <w:name w:val="annotation subject"/>
    <w:basedOn w:val="CommentText"/>
    <w:next w:val="CommentText"/>
    <w:link w:val="CommentSubjectChar"/>
    <w:uiPriority w:val="99"/>
    <w:semiHidden/>
    <w:unhideWhenUsed/>
    <w:rsid w:val="00617B8B"/>
    <w:rPr>
      <w:b/>
      <w:bCs/>
    </w:rPr>
  </w:style>
  <w:style w:type="character" w:customStyle="1" w:styleId="CommentSubjectChar">
    <w:name w:val="Comment Subject Char"/>
    <w:basedOn w:val="CommentTextChar"/>
    <w:link w:val="CommentSubject"/>
    <w:uiPriority w:val="99"/>
    <w:semiHidden/>
    <w:rsid w:val="00617B8B"/>
    <w:rPr>
      <w:b/>
      <w:bCs/>
      <w:sz w:val="20"/>
      <w:szCs w:val="20"/>
    </w:rPr>
  </w:style>
  <w:style w:type="paragraph" w:styleId="Revision">
    <w:name w:val="Revision"/>
    <w:hidden/>
    <w:uiPriority w:val="99"/>
    <w:semiHidden/>
    <w:rsid w:val="00CF579A"/>
    <w:pPr>
      <w:spacing w:after="0" w:line="240" w:lineRule="auto"/>
      <w:jc w:val="left"/>
    </w:pPr>
  </w:style>
  <w:style w:type="character" w:styleId="FollowedHyperlink">
    <w:name w:val="FollowedHyperlink"/>
    <w:basedOn w:val="DefaultParagraphFont"/>
    <w:uiPriority w:val="99"/>
    <w:semiHidden/>
    <w:unhideWhenUsed/>
    <w:rsid w:val="004C55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5521">
      <w:bodyDiv w:val="1"/>
      <w:marLeft w:val="0"/>
      <w:marRight w:val="0"/>
      <w:marTop w:val="0"/>
      <w:marBottom w:val="0"/>
      <w:divBdr>
        <w:top w:val="none" w:sz="0" w:space="0" w:color="auto"/>
        <w:left w:val="none" w:sz="0" w:space="0" w:color="auto"/>
        <w:bottom w:val="none" w:sz="0" w:space="0" w:color="auto"/>
        <w:right w:val="none" w:sz="0" w:space="0" w:color="auto"/>
      </w:divBdr>
    </w:div>
    <w:div w:id="193227853">
      <w:bodyDiv w:val="1"/>
      <w:marLeft w:val="0"/>
      <w:marRight w:val="0"/>
      <w:marTop w:val="0"/>
      <w:marBottom w:val="0"/>
      <w:divBdr>
        <w:top w:val="none" w:sz="0" w:space="0" w:color="auto"/>
        <w:left w:val="none" w:sz="0" w:space="0" w:color="auto"/>
        <w:bottom w:val="none" w:sz="0" w:space="0" w:color="auto"/>
        <w:right w:val="none" w:sz="0" w:space="0" w:color="auto"/>
      </w:divBdr>
    </w:div>
    <w:div w:id="250314561">
      <w:bodyDiv w:val="1"/>
      <w:marLeft w:val="0"/>
      <w:marRight w:val="0"/>
      <w:marTop w:val="0"/>
      <w:marBottom w:val="0"/>
      <w:divBdr>
        <w:top w:val="none" w:sz="0" w:space="0" w:color="auto"/>
        <w:left w:val="none" w:sz="0" w:space="0" w:color="auto"/>
        <w:bottom w:val="none" w:sz="0" w:space="0" w:color="auto"/>
        <w:right w:val="none" w:sz="0" w:space="0" w:color="auto"/>
      </w:divBdr>
    </w:div>
    <w:div w:id="749736716">
      <w:bodyDiv w:val="1"/>
      <w:marLeft w:val="0"/>
      <w:marRight w:val="0"/>
      <w:marTop w:val="0"/>
      <w:marBottom w:val="0"/>
      <w:divBdr>
        <w:top w:val="none" w:sz="0" w:space="0" w:color="auto"/>
        <w:left w:val="none" w:sz="0" w:space="0" w:color="auto"/>
        <w:bottom w:val="none" w:sz="0" w:space="0" w:color="auto"/>
        <w:right w:val="none" w:sz="0" w:space="0" w:color="auto"/>
      </w:divBdr>
    </w:div>
    <w:div w:id="1035041905">
      <w:bodyDiv w:val="1"/>
      <w:marLeft w:val="0"/>
      <w:marRight w:val="0"/>
      <w:marTop w:val="0"/>
      <w:marBottom w:val="0"/>
      <w:divBdr>
        <w:top w:val="none" w:sz="0" w:space="0" w:color="auto"/>
        <w:left w:val="none" w:sz="0" w:space="0" w:color="auto"/>
        <w:bottom w:val="none" w:sz="0" w:space="0" w:color="auto"/>
        <w:right w:val="none" w:sz="0" w:space="0" w:color="auto"/>
      </w:divBdr>
    </w:div>
    <w:div w:id="1127970339">
      <w:bodyDiv w:val="1"/>
      <w:marLeft w:val="0"/>
      <w:marRight w:val="0"/>
      <w:marTop w:val="0"/>
      <w:marBottom w:val="0"/>
      <w:divBdr>
        <w:top w:val="none" w:sz="0" w:space="0" w:color="auto"/>
        <w:left w:val="none" w:sz="0" w:space="0" w:color="auto"/>
        <w:bottom w:val="none" w:sz="0" w:space="0" w:color="auto"/>
        <w:right w:val="none" w:sz="0" w:space="0" w:color="auto"/>
      </w:divBdr>
    </w:div>
    <w:div w:id="167571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77A2E-000F-4319-9AC5-7A87A2E7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2518</Words>
  <Characters>13886</Characters>
  <Application>Microsoft Office Word</Application>
  <DocSecurity>0</DocSecurity>
  <Lines>268</Lines>
  <Paragraphs>87</Paragraphs>
  <ScaleCrop>false</ScaleCrop>
  <Company/>
  <LinksUpToDate>false</LinksUpToDate>
  <CharactersWithSpaces>16371</CharactersWithSpaces>
  <SharedDoc>false</SharedDoc>
  <HLinks>
    <vt:vector size="66" baseType="variant">
      <vt:variant>
        <vt:i4>1769531</vt:i4>
      </vt:variant>
      <vt:variant>
        <vt:i4>65</vt:i4>
      </vt:variant>
      <vt:variant>
        <vt:i4>0</vt:i4>
      </vt:variant>
      <vt:variant>
        <vt:i4>5</vt:i4>
      </vt:variant>
      <vt:variant>
        <vt:lpwstr/>
      </vt:variant>
      <vt:variant>
        <vt:lpwstr>_Toc145079812</vt:lpwstr>
      </vt:variant>
      <vt:variant>
        <vt:i4>1769531</vt:i4>
      </vt:variant>
      <vt:variant>
        <vt:i4>59</vt:i4>
      </vt:variant>
      <vt:variant>
        <vt:i4>0</vt:i4>
      </vt:variant>
      <vt:variant>
        <vt:i4>5</vt:i4>
      </vt:variant>
      <vt:variant>
        <vt:lpwstr/>
      </vt:variant>
      <vt:variant>
        <vt:lpwstr>_Toc145079811</vt:lpwstr>
      </vt:variant>
      <vt:variant>
        <vt:i4>1769531</vt:i4>
      </vt:variant>
      <vt:variant>
        <vt:i4>53</vt:i4>
      </vt:variant>
      <vt:variant>
        <vt:i4>0</vt:i4>
      </vt:variant>
      <vt:variant>
        <vt:i4>5</vt:i4>
      </vt:variant>
      <vt:variant>
        <vt:lpwstr/>
      </vt:variant>
      <vt:variant>
        <vt:lpwstr>_Toc145079810</vt:lpwstr>
      </vt:variant>
      <vt:variant>
        <vt:i4>1703995</vt:i4>
      </vt:variant>
      <vt:variant>
        <vt:i4>47</vt:i4>
      </vt:variant>
      <vt:variant>
        <vt:i4>0</vt:i4>
      </vt:variant>
      <vt:variant>
        <vt:i4>5</vt:i4>
      </vt:variant>
      <vt:variant>
        <vt:lpwstr/>
      </vt:variant>
      <vt:variant>
        <vt:lpwstr>_Toc145079809</vt:lpwstr>
      </vt:variant>
      <vt:variant>
        <vt:i4>1703995</vt:i4>
      </vt:variant>
      <vt:variant>
        <vt:i4>41</vt:i4>
      </vt:variant>
      <vt:variant>
        <vt:i4>0</vt:i4>
      </vt:variant>
      <vt:variant>
        <vt:i4>5</vt:i4>
      </vt:variant>
      <vt:variant>
        <vt:lpwstr/>
      </vt:variant>
      <vt:variant>
        <vt:lpwstr>_Toc145079808</vt:lpwstr>
      </vt:variant>
      <vt:variant>
        <vt:i4>1703995</vt:i4>
      </vt:variant>
      <vt:variant>
        <vt:i4>35</vt:i4>
      </vt:variant>
      <vt:variant>
        <vt:i4>0</vt:i4>
      </vt:variant>
      <vt:variant>
        <vt:i4>5</vt:i4>
      </vt:variant>
      <vt:variant>
        <vt:lpwstr/>
      </vt:variant>
      <vt:variant>
        <vt:lpwstr>_Toc145079807</vt:lpwstr>
      </vt:variant>
      <vt:variant>
        <vt:i4>1703995</vt:i4>
      </vt:variant>
      <vt:variant>
        <vt:i4>29</vt:i4>
      </vt:variant>
      <vt:variant>
        <vt:i4>0</vt:i4>
      </vt:variant>
      <vt:variant>
        <vt:i4>5</vt:i4>
      </vt:variant>
      <vt:variant>
        <vt:lpwstr/>
      </vt:variant>
      <vt:variant>
        <vt:lpwstr>_Toc145079806</vt:lpwstr>
      </vt:variant>
      <vt:variant>
        <vt:i4>1703995</vt:i4>
      </vt:variant>
      <vt:variant>
        <vt:i4>23</vt:i4>
      </vt:variant>
      <vt:variant>
        <vt:i4>0</vt:i4>
      </vt:variant>
      <vt:variant>
        <vt:i4>5</vt:i4>
      </vt:variant>
      <vt:variant>
        <vt:lpwstr/>
      </vt:variant>
      <vt:variant>
        <vt:lpwstr>_Toc145079805</vt:lpwstr>
      </vt:variant>
      <vt:variant>
        <vt:i4>1703995</vt:i4>
      </vt:variant>
      <vt:variant>
        <vt:i4>17</vt:i4>
      </vt:variant>
      <vt:variant>
        <vt:i4>0</vt:i4>
      </vt:variant>
      <vt:variant>
        <vt:i4>5</vt:i4>
      </vt:variant>
      <vt:variant>
        <vt:lpwstr/>
      </vt:variant>
      <vt:variant>
        <vt:lpwstr>_Toc145079804</vt:lpwstr>
      </vt:variant>
      <vt:variant>
        <vt:i4>1703995</vt:i4>
      </vt:variant>
      <vt:variant>
        <vt:i4>11</vt:i4>
      </vt:variant>
      <vt:variant>
        <vt:i4>0</vt:i4>
      </vt:variant>
      <vt:variant>
        <vt:i4>5</vt:i4>
      </vt:variant>
      <vt:variant>
        <vt:lpwstr/>
      </vt:variant>
      <vt:variant>
        <vt:lpwstr>_Toc145079803</vt:lpwstr>
      </vt:variant>
      <vt:variant>
        <vt:i4>7077888</vt:i4>
      </vt:variant>
      <vt:variant>
        <vt:i4>0</vt:i4>
      </vt:variant>
      <vt:variant>
        <vt:i4>0</vt:i4>
      </vt:variant>
      <vt:variant>
        <vt:i4>5</vt:i4>
      </vt:variant>
      <vt:variant>
        <vt:lpwstr>https://www.tradelawguide.com/ArticleCitatorQuickLookUp/Index?docid=219&amp;AgreementID=3&amp;ProvCode=Article%206.2&amp;aaprovid=163&amp;st=s&amp;sort=rc&amp;aaNodeID=&amp;aaDisputeID=1237107&amp;aa_docid=11704</vt:lpwstr>
      </vt:variant>
      <vt:variant>
        <vt:lpwstr>aa11704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 Measures concerning trade in goods (DS610)</dc:title>
  <dc:subject/>
  <dc:creator/>
  <cp:keywords>[SEC=OFFICIAL:Sensitive]</cp:keywords>
  <dc:description/>
  <cp:lastModifiedBy/>
  <cp:revision>1</cp:revision>
  <dcterms:created xsi:type="dcterms:W3CDTF">2023-10-06T05:23:00Z</dcterms:created>
  <dcterms:modified xsi:type="dcterms:W3CDTF">2023-10-06T05:23:00Z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OFFICIAL:Sensitive</vt:lpwstr>
  </property>
  <property fmtid="{D5CDD505-2E9C-101B-9397-08002B2CF9AE}" pid="5" name="PMHMAC">
    <vt:lpwstr>v=2022.1;a=SHA256;h=6CB2035BFF00653DAD0724940B6262C279ABDFF00B389F72CB706E5DFDEF6F28</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 Sensitive_x000d_
Legal privilege</vt:lpwstr>
  </property>
  <property fmtid="{D5CDD505-2E9C-101B-9397-08002B2CF9AE}" pid="9" name="PM_OriginationTimeStamp">
    <vt:lpwstr>2023-09-07T01:50:24Z</vt:lpwstr>
  </property>
  <property fmtid="{D5CDD505-2E9C-101B-9397-08002B2CF9AE}" pid="10" name="PM_Markers">
    <vt:lpwstr>Legal-Privilege</vt:lpwstr>
  </property>
  <property fmtid="{D5CDD505-2E9C-101B-9397-08002B2CF9AE}" pid="11" name="PM_InsertionValue">
    <vt:lpwstr>OFFICIAL: Sensitive</vt:lpwstr>
  </property>
  <property fmtid="{D5CDD505-2E9C-101B-9397-08002B2CF9AE}" pid="12" name="PM_DisplayValueSecClassificationWithQualifier">
    <vt:lpwstr>OFFICIAL: Sensitive Legal privilege</vt:lpwstr>
  </property>
  <property fmtid="{D5CDD505-2E9C-101B-9397-08002B2CF9AE}" pid="13" name="PM_ProtectiveMarkingValue_Footer">
    <vt:lpwstr>Legal privilege_x000d_
OFFICIAL: Sensitive</vt:lpwstr>
  </property>
  <property fmtid="{D5CDD505-2E9C-101B-9397-08002B2CF9AE}" pid="14" name="PM_Originating_FileId">
    <vt:lpwstr>165643ADC69949E6AE1E27378577D393</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Display">
    <vt:lpwstr>OFFICIAL: Sensitive Legal privilege</vt:lpwstr>
  </property>
  <property fmtid="{D5CDD505-2E9C-101B-9397-08002B2CF9AE}" pid="18" name="PM_OriginatorDomainName_SHA256">
    <vt:lpwstr>6F3591835F3B2A8A025B00B5BA6418010DA3A17C9C26EA9C049FFD28039489A2</vt:lpwstr>
  </property>
  <property fmtid="{D5CDD505-2E9C-101B-9397-08002B2CF9AE}" pid="19" name="PMUuid">
    <vt:lpwstr>v=2022.2;d=gov.au;g=9838020E-D8A2-5FB0-ACAD-24AFC21961EB</vt:lpwstr>
  </property>
  <property fmtid="{D5CDD505-2E9C-101B-9397-08002B2CF9AE}" pid="20" name="PM_Hash_Version">
    <vt:lpwstr>2022.1</vt:lpwstr>
  </property>
  <property fmtid="{D5CDD505-2E9C-101B-9397-08002B2CF9AE}" pid="21" name="PM_Hash_Salt_Prev">
    <vt:lpwstr>C7CEB89E73AD6D9F3FA6C3C6E26ACCC0</vt:lpwstr>
  </property>
  <property fmtid="{D5CDD505-2E9C-101B-9397-08002B2CF9AE}" pid="22" name="PM_Hash_Salt">
    <vt:lpwstr>510E2E18094E6266C95AE68D51A06362</vt:lpwstr>
  </property>
  <property fmtid="{D5CDD505-2E9C-101B-9397-08002B2CF9AE}" pid="23" name="PM_Hash_SHA1">
    <vt:lpwstr>BC3CDB9C00F7A6CEDA412DD8A12A6AEABEC0C691</vt:lpwstr>
  </property>
  <property fmtid="{D5CDD505-2E9C-101B-9397-08002B2CF9AE}" pid="24" name="PM_SecurityClassification_Prev">
    <vt:lpwstr>OFFICIAL:Sensitive</vt:lpwstr>
  </property>
  <property fmtid="{D5CDD505-2E9C-101B-9397-08002B2CF9AE}" pid="25" name="PM_Qualifier_Prev">
    <vt:lpwstr/>
  </property>
  <property fmtid="{D5CDD505-2E9C-101B-9397-08002B2CF9AE}" pid="26" name="PM_Originator_Hash_SHA1">
    <vt:lpwstr>D9F6E5C82DFAF7AB6E3D596D48DD43C72EDFDAB4</vt:lpwstr>
  </property>
  <property fmtid="{D5CDD505-2E9C-101B-9397-08002B2CF9AE}" pid="27" name="PM_OriginatorUserAccountName_SHA256">
    <vt:lpwstr>3E9DB5AB808CA91EB3E8EC398CDB7F67B110581D6BB28BC88565729DCE387350</vt:lpwstr>
  </property>
  <property fmtid="{D5CDD505-2E9C-101B-9397-08002B2CF9AE}" pid="28" name="PM_Caveats_Count">
    <vt:lpwstr>0</vt:lpwstr>
  </property>
</Properties>
</file>