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423C" w14:textId="77777777" w:rsidR="00F71EA3" w:rsidRPr="00AE62EF" w:rsidRDefault="00F71EA3" w:rsidP="00F71EA3">
      <w:pPr>
        <w:pStyle w:val="BTNSSBodyTextNoSpacingSmall"/>
        <w:rPr>
          <w:rFonts w:cs="Calibri"/>
          <w:sz w:val="2"/>
          <w:szCs w:val="2"/>
        </w:rPr>
      </w:pPr>
      <w:r w:rsidRPr="00AE62EF">
        <w:rPr>
          <w:rFonts w:cs="Calibri"/>
          <w:sz w:val="2"/>
          <w:szCs w:val="2"/>
        </w:rPr>
        <w:t xml:space="preserve">  </w:t>
      </w:r>
      <w:bookmarkStart w:id="0" w:name="_Hlk15577119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71EA3" w:rsidRPr="00AE62EF" w14:paraId="602590C1" w14:textId="77777777" w:rsidTr="0012146F">
        <w:trPr>
          <w:trHeight w:val="4365"/>
        </w:trPr>
        <w:tc>
          <w:tcPr>
            <w:tcW w:w="9070" w:type="dxa"/>
          </w:tcPr>
          <w:p w14:paraId="2FC4ACB3" w14:textId="77777777" w:rsidR="00F71EA3" w:rsidRPr="00AE62EF" w:rsidRDefault="00F71EA3" w:rsidP="0012146F">
            <w:pPr>
              <w:pStyle w:val="BTBodyText"/>
              <w:spacing w:after="240"/>
              <w:jc w:val="center"/>
              <w:rPr>
                <w:rFonts w:cs="Calibri"/>
                <w:b/>
                <w:bCs/>
                <w:sz w:val="32"/>
                <w:szCs w:val="32"/>
              </w:rPr>
            </w:pPr>
            <w:bookmarkStart w:id="1" w:name="_Toc100253863"/>
            <w:bookmarkStart w:id="2" w:name="_Toc155884800"/>
            <w:r w:rsidRPr="00AE62EF">
              <w:rPr>
                <w:rFonts w:cs="Calibri"/>
              </w:rPr>
              <w:br w:type="page"/>
            </w:r>
            <w:r w:rsidRPr="00AE62EF">
              <w:rPr>
                <w:rFonts w:cs="Calibri"/>
                <w:b/>
                <w:bCs/>
                <w:sz w:val="32"/>
                <w:szCs w:val="32"/>
              </w:rPr>
              <w:t>Before the World Trade Organization</w:t>
            </w:r>
          </w:p>
          <w:p w14:paraId="27220BA5" w14:textId="77777777" w:rsidR="00F71EA3" w:rsidRPr="00AE62EF" w:rsidRDefault="00F71EA3" w:rsidP="0012146F">
            <w:pPr>
              <w:pStyle w:val="BTBodyText"/>
              <w:spacing w:after="240"/>
              <w:jc w:val="center"/>
              <w:rPr>
                <w:rFonts w:cs="Calibri"/>
                <w:b/>
                <w:bCs/>
                <w:sz w:val="32"/>
                <w:szCs w:val="32"/>
              </w:rPr>
            </w:pPr>
            <w:r w:rsidRPr="00AE62EF">
              <w:rPr>
                <w:rFonts w:cs="Calibri"/>
                <w:b/>
                <w:bCs/>
                <w:sz w:val="32"/>
                <w:szCs w:val="32"/>
              </w:rPr>
              <w:t>Panel Proceedings</w:t>
            </w:r>
          </w:p>
        </w:tc>
      </w:tr>
      <w:tr w:rsidR="00F71EA3" w:rsidRPr="00AE62EF" w14:paraId="1360E409" w14:textId="77777777" w:rsidTr="0012146F">
        <w:trPr>
          <w:trHeight w:val="737"/>
        </w:trPr>
        <w:tc>
          <w:tcPr>
            <w:tcW w:w="9070" w:type="dxa"/>
          </w:tcPr>
          <w:p w14:paraId="1C2F37D3" w14:textId="77777777" w:rsidR="00F71EA3" w:rsidRPr="00AE62EF" w:rsidRDefault="00F71EA3" w:rsidP="0012146F">
            <w:pPr>
              <w:pStyle w:val="WTODTWTODisputeTitle"/>
              <w:rPr>
                <w:rFonts w:cs="Calibri"/>
              </w:rPr>
            </w:pPr>
            <w:r w:rsidRPr="00AE62EF">
              <w:rPr>
                <w:rFonts w:cs="Calibri"/>
              </w:rPr>
              <w:t xml:space="preserve">European Union – Countervailing and Anti-Dumping </w:t>
            </w:r>
            <w:r w:rsidRPr="00AE62EF">
              <w:rPr>
                <w:rFonts w:cs="Calibri"/>
              </w:rPr>
              <w:tab/>
            </w:r>
          </w:p>
          <w:p w14:paraId="5A7D48DB" w14:textId="77777777" w:rsidR="00F71EA3" w:rsidRPr="00AE62EF" w:rsidRDefault="00F71EA3" w:rsidP="0012146F">
            <w:pPr>
              <w:pStyle w:val="WTODTWTODisputeTitle"/>
              <w:rPr>
                <w:rFonts w:cs="Calibri"/>
              </w:rPr>
            </w:pPr>
            <w:r w:rsidRPr="00AE62EF">
              <w:rPr>
                <w:rFonts w:cs="Calibri"/>
              </w:rPr>
              <w:t>Duties on Stainless Steel Cold-Rolled Flat Products</w:t>
            </w:r>
            <w:r w:rsidRPr="00AE62EF">
              <w:rPr>
                <w:rFonts w:cs="Calibri"/>
              </w:rPr>
              <w:tab/>
            </w:r>
            <w:r w:rsidRPr="00AE62EF">
              <w:rPr>
                <w:rFonts w:cs="Calibri"/>
              </w:rPr>
              <w:tab/>
              <w:t>from Indonesia</w:t>
            </w:r>
          </w:p>
        </w:tc>
      </w:tr>
      <w:tr w:rsidR="00F71EA3" w:rsidRPr="00AE62EF" w14:paraId="6116A9AF" w14:textId="77777777" w:rsidTr="0012146F">
        <w:trPr>
          <w:trHeight w:val="3175"/>
        </w:trPr>
        <w:tc>
          <w:tcPr>
            <w:tcW w:w="9070" w:type="dxa"/>
          </w:tcPr>
          <w:p w14:paraId="0718E505" w14:textId="77777777" w:rsidR="00F71EA3" w:rsidRPr="00AE62EF" w:rsidRDefault="00F71EA3" w:rsidP="0012146F">
            <w:pPr>
              <w:pStyle w:val="DSNDSNumber"/>
              <w:rPr>
                <w:rFonts w:cs="Calibri"/>
              </w:rPr>
            </w:pPr>
            <w:r w:rsidRPr="00AE62EF">
              <w:rPr>
                <w:rFonts w:cs="Calibri"/>
              </w:rPr>
              <w:t>(DS616)</w:t>
            </w:r>
          </w:p>
        </w:tc>
      </w:tr>
      <w:tr w:rsidR="00F71EA3" w:rsidRPr="00AE62EF" w14:paraId="56A9B2E3" w14:textId="77777777" w:rsidTr="0012146F">
        <w:trPr>
          <w:trHeight w:val="3798"/>
        </w:trPr>
        <w:tc>
          <w:tcPr>
            <w:tcW w:w="9070" w:type="dxa"/>
          </w:tcPr>
          <w:p w14:paraId="3D78999B" w14:textId="77777777" w:rsidR="00F71EA3" w:rsidRPr="00AE62EF" w:rsidRDefault="00F71EA3" w:rsidP="0012146F">
            <w:pPr>
              <w:pStyle w:val="DTDocumentTitle"/>
              <w:rPr>
                <w:rFonts w:cs="Calibri"/>
              </w:rPr>
            </w:pPr>
            <w:r w:rsidRPr="00AE62EF">
              <w:rPr>
                <w:rFonts w:cs="Calibri"/>
              </w:rPr>
              <w:t>Third Party Written Submission of Australia</w:t>
            </w:r>
          </w:p>
        </w:tc>
      </w:tr>
      <w:tr w:rsidR="00F71EA3" w:rsidRPr="00AE62EF" w14:paraId="14072F80" w14:textId="77777777" w:rsidTr="0012146F">
        <w:trPr>
          <w:trHeight w:val="624"/>
        </w:trPr>
        <w:tc>
          <w:tcPr>
            <w:tcW w:w="9070" w:type="dxa"/>
          </w:tcPr>
          <w:p w14:paraId="474097AA" w14:textId="77777777" w:rsidR="00F71EA3" w:rsidRPr="00AE62EF" w:rsidRDefault="00F71EA3" w:rsidP="0012146F">
            <w:pPr>
              <w:pStyle w:val="DDDocumentDate"/>
              <w:rPr>
                <w:rFonts w:cs="Calibri"/>
              </w:rPr>
            </w:pPr>
            <w:r w:rsidRPr="00AE62EF">
              <w:rPr>
                <w:rFonts w:cs="Calibri"/>
              </w:rPr>
              <w:t>2 February 2024</w:t>
            </w:r>
          </w:p>
        </w:tc>
      </w:tr>
    </w:tbl>
    <w:p w14:paraId="72B5F3B3" w14:textId="77777777" w:rsidR="00F71EA3" w:rsidRPr="00AE62EF" w:rsidRDefault="00F71EA3" w:rsidP="00F71EA3">
      <w:pPr>
        <w:pStyle w:val="BTNSSBodyTextNoSpacingSmall"/>
        <w:rPr>
          <w:rFonts w:cs="Calibri"/>
        </w:rPr>
      </w:pPr>
    </w:p>
    <w:p w14:paraId="49530EB1" w14:textId="77777777" w:rsidR="00F71EA3" w:rsidRPr="00AE62EF" w:rsidRDefault="00F71EA3" w:rsidP="00F71EA3">
      <w:pPr>
        <w:pStyle w:val="BTNSSBodyTextNoSpacingSmall"/>
        <w:rPr>
          <w:rFonts w:cs="Calibri"/>
        </w:rPr>
      </w:pPr>
      <w:r w:rsidRPr="00AE62EF">
        <w:rPr>
          <w:rFonts w:cs="Calibri"/>
        </w:rPr>
        <w:br w:type="page"/>
      </w:r>
    </w:p>
    <w:p w14:paraId="12676F1A" w14:textId="77777777" w:rsidR="00F71EA3" w:rsidRPr="00AE62EF" w:rsidRDefault="00F71EA3" w:rsidP="00F71EA3">
      <w:pPr>
        <w:pStyle w:val="BTNSSBodyTextNoSpacingSmall"/>
        <w:rPr>
          <w:rFonts w:cs="Calibri"/>
        </w:rPr>
      </w:pPr>
    </w:p>
    <w:p w14:paraId="251DE0E9" w14:textId="77777777" w:rsidR="00F71EA3" w:rsidRPr="00AE62EF" w:rsidRDefault="00F71EA3" w:rsidP="00F71EA3">
      <w:pPr>
        <w:pStyle w:val="SHSectionHeading"/>
        <w:rPr>
          <w:rFonts w:cs="Calibri"/>
        </w:rPr>
      </w:pPr>
      <w:bookmarkStart w:id="3" w:name="_Toc100253860"/>
    </w:p>
    <w:sdt>
      <w:sdtPr>
        <w:rPr>
          <w:rFonts w:cs="Calibri"/>
          <w:b w:val="0"/>
          <w:caps w:val="0"/>
          <w:lang w:val="en-AU"/>
        </w:rPr>
        <w:id w:val="794183329"/>
        <w:docPartObj>
          <w:docPartGallery w:val="Table of Contents"/>
          <w:docPartUnique/>
        </w:docPartObj>
      </w:sdtPr>
      <w:sdtEndPr>
        <w:rPr>
          <w:bCs/>
          <w:noProof/>
        </w:rPr>
      </w:sdtEndPr>
      <w:sdtContent>
        <w:p w14:paraId="064A016C" w14:textId="77777777" w:rsidR="00F71EA3" w:rsidRPr="00AE62EF" w:rsidRDefault="00F71EA3" w:rsidP="00F71EA3">
          <w:pPr>
            <w:pStyle w:val="TOCHeading"/>
            <w:rPr>
              <w:rFonts w:cs="Calibri"/>
            </w:rPr>
          </w:pPr>
          <w:r w:rsidRPr="00AE62EF">
            <w:rPr>
              <w:rFonts w:cs="Calibri"/>
            </w:rPr>
            <w:t>Contents</w:t>
          </w:r>
        </w:p>
        <w:p w14:paraId="6025373E" w14:textId="77777777" w:rsidR="00F71EA3" w:rsidRDefault="00F71EA3" w:rsidP="00F71EA3">
          <w:pPr>
            <w:pStyle w:val="TOC1"/>
            <w:rPr>
              <w:rFonts w:asciiTheme="minorHAnsi" w:eastAsiaTheme="minorEastAsia" w:hAnsiTheme="minorHAnsi"/>
              <w:noProof/>
              <w:sz w:val="22"/>
              <w:szCs w:val="22"/>
              <w:lang w:eastAsia="en-AU"/>
            </w:rPr>
          </w:pPr>
          <w:r w:rsidRPr="00AE62EF">
            <w:rPr>
              <w:rFonts w:cs="Calibri"/>
            </w:rPr>
            <w:fldChar w:fldCharType="begin"/>
          </w:r>
          <w:r w:rsidRPr="00AE62EF">
            <w:rPr>
              <w:rFonts w:cs="Calibri"/>
            </w:rPr>
            <w:instrText xml:space="preserve"> TOC \o "1-3" \h \z \u </w:instrText>
          </w:r>
          <w:r w:rsidRPr="00AE62EF">
            <w:rPr>
              <w:rFonts w:cs="Calibri"/>
            </w:rPr>
            <w:fldChar w:fldCharType="separate"/>
          </w:r>
          <w:hyperlink w:anchor="_Toc157790642" w:history="1">
            <w:r w:rsidRPr="00CA3DF4">
              <w:rPr>
                <w:rStyle w:val="Hyperlink"/>
                <w:rFonts w:cs="Calibri"/>
                <w:noProof/>
              </w:rPr>
              <w:t>Table of Cases</w:t>
            </w:r>
            <w:r>
              <w:rPr>
                <w:noProof/>
                <w:webHidden/>
              </w:rPr>
              <w:tab/>
            </w:r>
            <w:r>
              <w:rPr>
                <w:noProof/>
                <w:webHidden/>
              </w:rPr>
              <w:fldChar w:fldCharType="begin"/>
            </w:r>
            <w:r>
              <w:rPr>
                <w:noProof/>
                <w:webHidden/>
              </w:rPr>
              <w:instrText xml:space="preserve"> PAGEREF _Toc157790642 \h </w:instrText>
            </w:r>
            <w:r>
              <w:rPr>
                <w:noProof/>
                <w:webHidden/>
              </w:rPr>
            </w:r>
            <w:r>
              <w:rPr>
                <w:noProof/>
                <w:webHidden/>
              </w:rPr>
              <w:fldChar w:fldCharType="separate"/>
            </w:r>
            <w:r>
              <w:rPr>
                <w:noProof/>
                <w:webHidden/>
              </w:rPr>
              <w:t>3</w:t>
            </w:r>
            <w:r>
              <w:rPr>
                <w:noProof/>
                <w:webHidden/>
              </w:rPr>
              <w:fldChar w:fldCharType="end"/>
            </w:r>
          </w:hyperlink>
        </w:p>
        <w:p w14:paraId="0EC52968" w14:textId="77777777" w:rsidR="00F71EA3" w:rsidRDefault="003E44E7" w:rsidP="00F71EA3">
          <w:pPr>
            <w:pStyle w:val="TOC1"/>
            <w:rPr>
              <w:rFonts w:asciiTheme="minorHAnsi" w:eastAsiaTheme="minorEastAsia" w:hAnsiTheme="minorHAnsi"/>
              <w:noProof/>
              <w:sz w:val="22"/>
              <w:szCs w:val="22"/>
              <w:lang w:eastAsia="en-AU"/>
            </w:rPr>
          </w:pPr>
          <w:hyperlink w:anchor="_Toc157790643" w:history="1">
            <w:r w:rsidR="00F71EA3" w:rsidRPr="00CA3DF4">
              <w:rPr>
                <w:rStyle w:val="Hyperlink"/>
                <w:rFonts w:cs="Calibri"/>
                <w:noProof/>
              </w:rPr>
              <w:t>List of Acronyms, Abbreviations and Short Forms</w:t>
            </w:r>
            <w:r w:rsidR="00F71EA3">
              <w:rPr>
                <w:noProof/>
                <w:webHidden/>
              </w:rPr>
              <w:tab/>
            </w:r>
            <w:r w:rsidR="00F71EA3">
              <w:rPr>
                <w:noProof/>
                <w:webHidden/>
              </w:rPr>
              <w:fldChar w:fldCharType="begin"/>
            </w:r>
            <w:r w:rsidR="00F71EA3">
              <w:rPr>
                <w:noProof/>
                <w:webHidden/>
              </w:rPr>
              <w:instrText xml:space="preserve"> PAGEREF _Toc157790643 \h </w:instrText>
            </w:r>
            <w:r w:rsidR="00F71EA3">
              <w:rPr>
                <w:noProof/>
                <w:webHidden/>
              </w:rPr>
            </w:r>
            <w:r w:rsidR="00F71EA3">
              <w:rPr>
                <w:noProof/>
                <w:webHidden/>
              </w:rPr>
              <w:fldChar w:fldCharType="separate"/>
            </w:r>
            <w:r w:rsidR="00F71EA3">
              <w:rPr>
                <w:noProof/>
                <w:webHidden/>
              </w:rPr>
              <w:t>5</w:t>
            </w:r>
            <w:r w:rsidR="00F71EA3">
              <w:rPr>
                <w:noProof/>
                <w:webHidden/>
              </w:rPr>
              <w:fldChar w:fldCharType="end"/>
            </w:r>
          </w:hyperlink>
        </w:p>
        <w:p w14:paraId="3CD23321" w14:textId="77777777" w:rsidR="00F71EA3" w:rsidRDefault="003E44E7" w:rsidP="00F71EA3">
          <w:pPr>
            <w:pStyle w:val="TOC1"/>
            <w:rPr>
              <w:rFonts w:asciiTheme="minorHAnsi" w:eastAsiaTheme="minorEastAsia" w:hAnsiTheme="minorHAnsi"/>
              <w:noProof/>
              <w:sz w:val="22"/>
              <w:szCs w:val="22"/>
              <w:lang w:eastAsia="en-AU"/>
            </w:rPr>
          </w:pPr>
          <w:hyperlink w:anchor="_Toc157790644" w:history="1">
            <w:r w:rsidR="00F71EA3" w:rsidRPr="00CA3DF4">
              <w:rPr>
                <w:rStyle w:val="Hyperlink"/>
                <w:rFonts w:cs="Calibri"/>
                <w:noProof/>
              </w:rPr>
              <w:t>I.</w:t>
            </w:r>
            <w:r w:rsidR="00F71EA3">
              <w:rPr>
                <w:rFonts w:asciiTheme="minorHAnsi" w:eastAsiaTheme="minorEastAsia" w:hAnsiTheme="minorHAnsi"/>
                <w:noProof/>
                <w:sz w:val="22"/>
                <w:szCs w:val="22"/>
                <w:lang w:eastAsia="en-AU"/>
              </w:rPr>
              <w:tab/>
            </w:r>
            <w:r w:rsidR="00F71EA3" w:rsidRPr="00CA3DF4">
              <w:rPr>
                <w:rStyle w:val="Hyperlink"/>
                <w:rFonts w:cs="Calibri"/>
                <w:noProof/>
              </w:rPr>
              <w:t>Introduction</w:t>
            </w:r>
            <w:r w:rsidR="00F71EA3">
              <w:rPr>
                <w:noProof/>
                <w:webHidden/>
              </w:rPr>
              <w:tab/>
            </w:r>
            <w:r w:rsidR="00F71EA3">
              <w:rPr>
                <w:noProof/>
                <w:webHidden/>
              </w:rPr>
              <w:fldChar w:fldCharType="begin"/>
            </w:r>
            <w:r w:rsidR="00F71EA3">
              <w:rPr>
                <w:noProof/>
                <w:webHidden/>
              </w:rPr>
              <w:instrText xml:space="preserve"> PAGEREF _Toc157790644 \h </w:instrText>
            </w:r>
            <w:r w:rsidR="00F71EA3">
              <w:rPr>
                <w:noProof/>
                <w:webHidden/>
              </w:rPr>
            </w:r>
            <w:r w:rsidR="00F71EA3">
              <w:rPr>
                <w:noProof/>
                <w:webHidden/>
              </w:rPr>
              <w:fldChar w:fldCharType="separate"/>
            </w:r>
            <w:r w:rsidR="00F71EA3">
              <w:rPr>
                <w:noProof/>
                <w:webHidden/>
              </w:rPr>
              <w:t>6</w:t>
            </w:r>
            <w:r w:rsidR="00F71EA3">
              <w:rPr>
                <w:noProof/>
                <w:webHidden/>
              </w:rPr>
              <w:fldChar w:fldCharType="end"/>
            </w:r>
          </w:hyperlink>
        </w:p>
        <w:p w14:paraId="6700433D" w14:textId="77777777" w:rsidR="00F71EA3" w:rsidRDefault="003E44E7" w:rsidP="00F71EA3">
          <w:pPr>
            <w:pStyle w:val="TOC1"/>
            <w:rPr>
              <w:rFonts w:asciiTheme="minorHAnsi" w:eastAsiaTheme="minorEastAsia" w:hAnsiTheme="minorHAnsi"/>
              <w:noProof/>
              <w:sz w:val="22"/>
              <w:szCs w:val="22"/>
              <w:lang w:eastAsia="en-AU"/>
            </w:rPr>
          </w:pPr>
          <w:hyperlink w:anchor="_Toc157790645" w:history="1">
            <w:r w:rsidR="00F71EA3" w:rsidRPr="00CA3DF4">
              <w:rPr>
                <w:rStyle w:val="Hyperlink"/>
                <w:rFonts w:cs="Calibri"/>
                <w:noProof/>
              </w:rPr>
              <w:t>II.</w:t>
            </w:r>
            <w:r w:rsidR="00F71EA3">
              <w:rPr>
                <w:rFonts w:asciiTheme="minorHAnsi" w:eastAsiaTheme="minorEastAsia" w:hAnsiTheme="minorHAnsi"/>
                <w:noProof/>
                <w:sz w:val="22"/>
                <w:szCs w:val="22"/>
                <w:lang w:eastAsia="en-AU"/>
              </w:rPr>
              <w:tab/>
            </w:r>
            <w:r w:rsidR="00F71EA3" w:rsidRPr="00CA3DF4">
              <w:rPr>
                <w:rStyle w:val="Hyperlink"/>
                <w:rFonts w:cs="Calibri"/>
                <w:noProof/>
              </w:rPr>
              <w:t>Attribution</w:t>
            </w:r>
            <w:r w:rsidR="00F71EA3">
              <w:rPr>
                <w:noProof/>
                <w:webHidden/>
              </w:rPr>
              <w:tab/>
            </w:r>
            <w:r w:rsidR="00F71EA3">
              <w:rPr>
                <w:noProof/>
                <w:webHidden/>
              </w:rPr>
              <w:fldChar w:fldCharType="begin"/>
            </w:r>
            <w:r w:rsidR="00F71EA3">
              <w:rPr>
                <w:noProof/>
                <w:webHidden/>
              </w:rPr>
              <w:instrText xml:space="preserve"> PAGEREF _Toc157790645 \h </w:instrText>
            </w:r>
            <w:r w:rsidR="00F71EA3">
              <w:rPr>
                <w:noProof/>
                <w:webHidden/>
              </w:rPr>
            </w:r>
            <w:r w:rsidR="00F71EA3">
              <w:rPr>
                <w:noProof/>
                <w:webHidden/>
              </w:rPr>
              <w:fldChar w:fldCharType="separate"/>
            </w:r>
            <w:r w:rsidR="00F71EA3">
              <w:rPr>
                <w:noProof/>
                <w:webHidden/>
              </w:rPr>
              <w:t>6</w:t>
            </w:r>
            <w:r w:rsidR="00F71EA3">
              <w:rPr>
                <w:noProof/>
                <w:webHidden/>
              </w:rPr>
              <w:fldChar w:fldCharType="end"/>
            </w:r>
          </w:hyperlink>
        </w:p>
        <w:p w14:paraId="10207B97" w14:textId="77777777" w:rsidR="00F71EA3" w:rsidRDefault="003E44E7" w:rsidP="00F71EA3">
          <w:pPr>
            <w:pStyle w:val="TOC2"/>
            <w:rPr>
              <w:rFonts w:asciiTheme="minorHAnsi" w:eastAsiaTheme="minorEastAsia" w:hAnsiTheme="minorHAnsi"/>
              <w:b w:val="0"/>
              <w:smallCaps w:val="0"/>
              <w:noProof/>
              <w:sz w:val="22"/>
              <w:szCs w:val="22"/>
              <w:lang w:eastAsia="en-AU"/>
            </w:rPr>
          </w:pPr>
          <w:hyperlink w:anchor="_Toc157790646" w:history="1">
            <w:r w:rsidR="00F71EA3" w:rsidRPr="00CA3DF4">
              <w:rPr>
                <w:rStyle w:val="Hyperlink"/>
                <w:rFonts w:cs="Calibri"/>
                <w:noProof/>
              </w:rPr>
              <w:t>A.</w:t>
            </w:r>
            <w:r w:rsidR="00F71EA3">
              <w:rPr>
                <w:rFonts w:asciiTheme="minorHAnsi" w:eastAsiaTheme="minorEastAsia" w:hAnsiTheme="minorHAnsi"/>
                <w:b w:val="0"/>
                <w:smallCaps w:val="0"/>
                <w:noProof/>
                <w:sz w:val="22"/>
                <w:szCs w:val="22"/>
                <w:lang w:eastAsia="en-AU"/>
              </w:rPr>
              <w:tab/>
            </w:r>
            <w:r w:rsidR="00F71EA3" w:rsidRPr="00CA3DF4">
              <w:rPr>
                <w:rStyle w:val="Hyperlink"/>
                <w:rFonts w:cs="Calibri"/>
                <w:noProof/>
              </w:rPr>
              <w:t>The task of the Panel is to consider whether the Commission reached 'reasoned and adequate conclusions' in light of the evidence on the record</w:t>
            </w:r>
            <w:r w:rsidR="00F71EA3">
              <w:rPr>
                <w:noProof/>
                <w:webHidden/>
              </w:rPr>
              <w:tab/>
            </w:r>
            <w:r w:rsidR="00F71EA3">
              <w:rPr>
                <w:noProof/>
                <w:webHidden/>
              </w:rPr>
              <w:fldChar w:fldCharType="begin"/>
            </w:r>
            <w:r w:rsidR="00F71EA3">
              <w:rPr>
                <w:noProof/>
                <w:webHidden/>
              </w:rPr>
              <w:instrText xml:space="preserve"> PAGEREF _Toc157790646 \h </w:instrText>
            </w:r>
            <w:r w:rsidR="00F71EA3">
              <w:rPr>
                <w:noProof/>
                <w:webHidden/>
              </w:rPr>
            </w:r>
            <w:r w:rsidR="00F71EA3">
              <w:rPr>
                <w:noProof/>
                <w:webHidden/>
              </w:rPr>
              <w:fldChar w:fldCharType="separate"/>
            </w:r>
            <w:r w:rsidR="00F71EA3">
              <w:rPr>
                <w:noProof/>
                <w:webHidden/>
              </w:rPr>
              <w:t>7</w:t>
            </w:r>
            <w:r w:rsidR="00F71EA3">
              <w:rPr>
                <w:noProof/>
                <w:webHidden/>
              </w:rPr>
              <w:fldChar w:fldCharType="end"/>
            </w:r>
          </w:hyperlink>
        </w:p>
        <w:p w14:paraId="49321012" w14:textId="77777777" w:rsidR="00F71EA3" w:rsidRDefault="003E44E7" w:rsidP="00F71EA3">
          <w:pPr>
            <w:pStyle w:val="TOC2"/>
            <w:rPr>
              <w:rFonts w:asciiTheme="minorHAnsi" w:eastAsiaTheme="minorEastAsia" w:hAnsiTheme="minorHAnsi"/>
              <w:b w:val="0"/>
              <w:smallCaps w:val="0"/>
              <w:noProof/>
              <w:sz w:val="22"/>
              <w:szCs w:val="22"/>
              <w:lang w:eastAsia="en-AU"/>
            </w:rPr>
          </w:pPr>
          <w:hyperlink w:anchor="_Toc157790647" w:history="1">
            <w:r w:rsidR="00F71EA3" w:rsidRPr="00CA3DF4">
              <w:rPr>
                <w:rStyle w:val="Hyperlink"/>
                <w:rFonts w:cs="Calibri"/>
                <w:noProof/>
              </w:rPr>
              <w:t>B.</w:t>
            </w:r>
            <w:r w:rsidR="00F71EA3">
              <w:rPr>
                <w:rFonts w:asciiTheme="minorHAnsi" w:eastAsiaTheme="minorEastAsia" w:hAnsiTheme="minorHAnsi"/>
                <w:b w:val="0"/>
                <w:smallCaps w:val="0"/>
                <w:noProof/>
                <w:sz w:val="22"/>
                <w:szCs w:val="22"/>
                <w:lang w:eastAsia="en-AU"/>
              </w:rPr>
              <w:tab/>
            </w:r>
            <w:r w:rsidR="00F71EA3" w:rsidRPr="00CA3DF4">
              <w:rPr>
                <w:rStyle w:val="Hyperlink"/>
                <w:rFonts w:cs="Calibri"/>
                <w:noProof/>
              </w:rPr>
              <w:t>The SCM Agreement should not be interpreted in a manner that unintentionally provides members with a pathway to circumvent subsidy rules</w:t>
            </w:r>
            <w:r w:rsidR="00F71EA3">
              <w:rPr>
                <w:noProof/>
                <w:webHidden/>
              </w:rPr>
              <w:tab/>
            </w:r>
            <w:r w:rsidR="00F71EA3">
              <w:rPr>
                <w:noProof/>
                <w:webHidden/>
              </w:rPr>
              <w:fldChar w:fldCharType="begin"/>
            </w:r>
            <w:r w:rsidR="00F71EA3">
              <w:rPr>
                <w:noProof/>
                <w:webHidden/>
              </w:rPr>
              <w:instrText xml:space="preserve"> PAGEREF _Toc157790647 \h </w:instrText>
            </w:r>
            <w:r w:rsidR="00F71EA3">
              <w:rPr>
                <w:noProof/>
                <w:webHidden/>
              </w:rPr>
            </w:r>
            <w:r w:rsidR="00F71EA3">
              <w:rPr>
                <w:noProof/>
                <w:webHidden/>
              </w:rPr>
              <w:fldChar w:fldCharType="separate"/>
            </w:r>
            <w:r w:rsidR="00F71EA3">
              <w:rPr>
                <w:noProof/>
                <w:webHidden/>
              </w:rPr>
              <w:t>8</w:t>
            </w:r>
            <w:r w:rsidR="00F71EA3">
              <w:rPr>
                <w:noProof/>
                <w:webHidden/>
              </w:rPr>
              <w:fldChar w:fldCharType="end"/>
            </w:r>
          </w:hyperlink>
        </w:p>
        <w:p w14:paraId="209F4F91" w14:textId="77777777" w:rsidR="00F71EA3" w:rsidRDefault="003E44E7" w:rsidP="00F71EA3">
          <w:pPr>
            <w:pStyle w:val="TOC2"/>
            <w:rPr>
              <w:rFonts w:asciiTheme="minorHAnsi" w:eastAsiaTheme="minorEastAsia" w:hAnsiTheme="minorHAnsi"/>
              <w:b w:val="0"/>
              <w:smallCaps w:val="0"/>
              <w:noProof/>
              <w:sz w:val="22"/>
              <w:szCs w:val="22"/>
              <w:lang w:eastAsia="en-AU"/>
            </w:rPr>
          </w:pPr>
          <w:hyperlink w:anchor="_Toc157790648" w:history="1">
            <w:r w:rsidR="00F71EA3" w:rsidRPr="00CA3DF4">
              <w:rPr>
                <w:rStyle w:val="Hyperlink"/>
                <w:rFonts w:cs="Calibri"/>
                <w:noProof/>
              </w:rPr>
              <w:t>C.</w:t>
            </w:r>
            <w:r w:rsidR="00F71EA3">
              <w:rPr>
                <w:rFonts w:asciiTheme="minorHAnsi" w:eastAsiaTheme="minorEastAsia" w:hAnsiTheme="minorHAnsi"/>
                <w:b w:val="0"/>
                <w:smallCaps w:val="0"/>
                <w:noProof/>
                <w:sz w:val="22"/>
                <w:szCs w:val="22"/>
                <w:lang w:eastAsia="en-AU"/>
              </w:rPr>
              <w:tab/>
            </w:r>
            <w:r w:rsidR="00F71EA3" w:rsidRPr="00CA3DF4">
              <w:rPr>
                <w:rStyle w:val="Hyperlink"/>
                <w:rFonts w:cs="Calibri"/>
                <w:noProof/>
              </w:rPr>
              <w:t>The Panel should ensure its findings are confined to the specific facts at issue in this dispute</w:t>
            </w:r>
            <w:r w:rsidR="00F71EA3">
              <w:rPr>
                <w:noProof/>
                <w:webHidden/>
              </w:rPr>
              <w:tab/>
            </w:r>
            <w:r w:rsidR="00F71EA3">
              <w:rPr>
                <w:noProof/>
                <w:webHidden/>
              </w:rPr>
              <w:fldChar w:fldCharType="begin"/>
            </w:r>
            <w:r w:rsidR="00F71EA3">
              <w:rPr>
                <w:noProof/>
                <w:webHidden/>
              </w:rPr>
              <w:instrText xml:space="preserve"> PAGEREF _Toc157790648 \h </w:instrText>
            </w:r>
            <w:r w:rsidR="00F71EA3">
              <w:rPr>
                <w:noProof/>
                <w:webHidden/>
              </w:rPr>
            </w:r>
            <w:r w:rsidR="00F71EA3">
              <w:rPr>
                <w:noProof/>
                <w:webHidden/>
              </w:rPr>
              <w:fldChar w:fldCharType="separate"/>
            </w:r>
            <w:r w:rsidR="00F71EA3">
              <w:rPr>
                <w:noProof/>
                <w:webHidden/>
              </w:rPr>
              <w:t>10</w:t>
            </w:r>
            <w:r w:rsidR="00F71EA3">
              <w:rPr>
                <w:noProof/>
                <w:webHidden/>
              </w:rPr>
              <w:fldChar w:fldCharType="end"/>
            </w:r>
          </w:hyperlink>
        </w:p>
        <w:p w14:paraId="1ABC3D07" w14:textId="77777777" w:rsidR="00F71EA3" w:rsidRDefault="003E44E7" w:rsidP="00F71EA3">
          <w:pPr>
            <w:pStyle w:val="TOC2"/>
            <w:rPr>
              <w:rFonts w:asciiTheme="minorHAnsi" w:eastAsiaTheme="minorEastAsia" w:hAnsiTheme="minorHAnsi"/>
              <w:b w:val="0"/>
              <w:smallCaps w:val="0"/>
              <w:noProof/>
              <w:sz w:val="22"/>
              <w:szCs w:val="22"/>
              <w:lang w:eastAsia="en-AU"/>
            </w:rPr>
          </w:pPr>
          <w:hyperlink w:anchor="_Toc157790649" w:history="1">
            <w:r w:rsidR="00F71EA3" w:rsidRPr="00CA3DF4">
              <w:rPr>
                <w:rStyle w:val="Hyperlink"/>
                <w:rFonts w:cs="Calibri"/>
                <w:noProof/>
              </w:rPr>
              <w:t>D.</w:t>
            </w:r>
            <w:r w:rsidR="00F71EA3">
              <w:rPr>
                <w:rFonts w:asciiTheme="minorHAnsi" w:eastAsiaTheme="minorEastAsia" w:hAnsiTheme="minorHAnsi"/>
                <w:b w:val="0"/>
                <w:smallCaps w:val="0"/>
                <w:noProof/>
                <w:sz w:val="22"/>
                <w:szCs w:val="22"/>
                <w:lang w:eastAsia="en-AU"/>
              </w:rPr>
              <w:tab/>
            </w:r>
            <w:r w:rsidR="00F71EA3" w:rsidRPr="00CA3DF4">
              <w:rPr>
                <w:rStyle w:val="Hyperlink"/>
                <w:rFonts w:cs="Calibri"/>
                <w:noProof/>
              </w:rPr>
              <w:t>Article 11 of the ILC Articles</w:t>
            </w:r>
            <w:r w:rsidR="00F71EA3">
              <w:rPr>
                <w:noProof/>
                <w:webHidden/>
              </w:rPr>
              <w:tab/>
            </w:r>
            <w:r w:rsidR="00F71EA3">
              <w:rPr>
                <w:noProof/>
                <w:webHidden/>
              </w:rPr>
              <w:fldChar w:fldCharType="begin"/>
            </w:r>
            <w:r w:rsidR="00F71EA3">
              <w:rPr>
                <w:noProof/>
                <w:webHidden/>
              </w:rPr>
              <w:instrText xml:space="preserve"> PAGEREF _Toc157790649 \h </w:instrText>
            </w:r>
            <w:r w:rsidR="00F71EA3">
              <w:rPr>
                <w:noProof/>
                <w:webHidden/>
              </w:rPr>
            </w:r>
            <w:r w:rsidR="00F71EA3">
              <w:rPr>
                <w:noProof/>
                <w:webHidden/>
              </w:rPr>
              <w:fldChar w:fldCharType="separate"/>
            </w:r>
            <w:r w:rsidR="00F71EA3">
              <w:rPr>
                <w:noProof/>
                <w:webHidden/>
              </w:rPr>
              <w:t>11</w:t>
            </w:r>
            <w:r w:rsidR="00F71EA3">
              <w:rPr>
                <w:noProof/>
                <w:webHidden/>
              </w:rPr>
              <w:fldChar w:fldCharType="end"/>
            </w:r>
          </w:hyperlink>
        </w:p>
        <w:p w14:paraId="427DF6BB" w14:textId="77777777" w:rsidR="00F71EA3" w:rsidRDefault="003E44E7" w:rsidP="00F71EA3">
          <w:pPr>
            <w:pStyle w:val="TOC1"/>
            <w:rPr>
              <w:rFonts w:asciiTheme="minorHAnsi" w:eastAsiaTheme="minorEastAsia" w:hAnsiTheme="minorHAnsi"/>
              <w:noProof/>
              <w:sz w:val="22"/>
              <w:szCs w:val="22"/>
              <w:lang w:eastAsia="en-AU"/>
            </w:rPr>
          </w:pPr>
          <w:hyperlink w:anchor="_Toc157790650" w:history="1">
            <w:r w:rsidR="00F71EA3" w:rsidRPr="00CA3DF4">
              <w:rPr>
                <w:rStyle w:val="Hyperlink"/>
                <w:rFonts w:cs="Calibri"/>
                <w:noProof/>
              </w:rPr>
              <w:t>III.</w:t>
            </w:r>
            <w:r w:rsidR="00F71EA3">
              <w:rPr>
                <w:rFonts w:asciiTheme="minorHAnsi" w:eastAsiaTheme="minorEastAsia" w:hAnsiTheme="minorHAnsi"/>
                <w:noProof/>
                <w:sz w:val="22"/>
                <w:szCs w:val="22"/>
                <w:lang w:eastAsia="en-AU"/>
              </w:rPr>
              <w:tab/>
            </w:r>
            <w:r w:rsidR="00F71EA3" w:rsidRPr="00CA3DF4">
              <w:rPr>
                <w:rStyle w:val="Hyperlink"/>
                <w:rFonts w:cs="Calibri"/>
                <w:noProof/>
              </w:rPr>
              <w:t>Specificity</w:t>
            </w:r>
            <w:r w:rsidR="00F71EA3">
              <w:rPr>
                <w:noProof/>
                <w:webHidden/>
              </w:rPr>
              <w:tab/>
            </w:r>
            <w:r w:rsidR="00F71EA3">
              <w:rPr>
                <w:noProof/>
                <w:webHidden/>
              </w:rPr>
              <w:fldChar w:fldCharType="begin"/>
            </w:r>
            <w:r w:rsidR="00F71EA3">
              <w:rPr>
                <w:noProof/>
                <w:webHidden/>
              </w:rPr>
              <w:instrText xml:space="preserve"> PAGEREF _Toc157790650 \h </w:instrText>
            </w:r>
            <w:r w:rsidR="00F71EA3">
              <w:rPr>
                <w:noProof/>
                <w:webHidden/>
              </w:rPr>
            </w:r>
            <w:r w:rsidR="00F71EA3">
              <w:rPr>
                <w:noProof/>
                <w:webHidden/>
              </w:rPr>
              <w:fldChar w:fldCharType="separate"/>
            </w:r>
            <w:r w:rsidR="00F71EA3">
              <w:rPr>
                <w:noProof/>
                <w:webHidden/>
              </w:rPr>
              <w:t>14</w:t>
            </w:r>
            <w:r w:rsidR="00F71EA3">
              <w:rPr>
                <w:noProof/>
                <w:webHidden/>
              </w:rPr>
              <w:fldChar w:fldCharType="end"/>
            </w:r>
          </w:hyperlink>
        </w:p>
        <w:p w14:paraId="756F3ED2" w14:textId="77777777" w:rsidR="00F71EA3" w:rsidRDefault="003E44E7" w:rsidP="00F71EA3">
          <w:pPr>
            <w:pStyle w:val="TOC1"/>
            <w:rPr>
              <w:rFonts w:asciiTheme="minorHAnsi" w:eastAsiaTheme="minorEastAsia" w:hAnsiTheme="minorHAnsi"/>
              <w:noProof/>
              <w:sz w:val="22"/>
              <w:szCs w:val="22"/>
              <w:lang w:eastAsia="en-AU"/>
            </w:rPr>
          </w:pPr>
          <w:hyperlink w:anchor="_Toc157790651" w:history="1">
            <w:r w:rsidR="00F71EA3" w:rsidRPr="00CA3DF4">
              <w:rPr>
                <w:rStyle w:val="Hyperlink"/>
                <w:rFonts w:cs="Calibri"/>
                <w:noProof/>
              </w:rPr>
              <w:t>IV.</w:t>
            </w:r>
            <w:r w:rsidR="00F71EA3">
              <w:rPr>
                <w:rFonts w:asciiTheme="minorHAnsi" w:eastAsiaTheme="minorEastAsia" w:hAnsiTheme="minorHAnsi"/>
                <w:noProof/>
                <w:sz w:val="22"/>
                <w:szCs w:val="22"/>
                <w:lang w:eastAsia="en-AU"/>
              </w:rPr>
              <w:tab/>
            </w:r>
            <w:r w:rsidR="00F71EA3" w:rsidRPr="00CA3DF4">
              <w:rPr>
                <w:rStyle w:val="Hyperlink"/>
                <w:rFonts w:cs="Calibri"/>
                <w:noProof/>
              </w:rPr>
              <w:t>Notice requirements</w:t>
            </w:r>
            <w:r w:rsidR="00F71EA3">
              <w:rPr>
                <w:noProof/>
                <w:webHidden/>
              </w:rPr>
              <w:tab/>
            </w:r>
            <w:r w:rsidR="00F71EA3">
              <w:rPr>
                <w:noProof/>
                <w:webHidden/>
              </w:rPr>
              <w:fldChar w:fldCharType="begin"/>
            </w:r>
            <w:r w:rsidR="00F71EA3">
              <w:rPr>
                <w:noProof/>
                <w:webHidden/>
              </w:rPr>
              <w:instrText xml:space="preserve"> PAGEREF _Toc157790651 \h </w:instrText>
            </w:r>
            <w:r w:rsidR="00F71EA3">
              <w:rPr>
                <w:noProof/>
                <w:webHidden/>
              </w:rPr>
            </w:r>
            <w:r w:rsidR="00F71EA3">
              <w:rPr>
                <w:noProof/>
                <w:webHidden/>
              </w:rPr>
              <w:fldChar w:fldCharType="separate"/>
            </w:r>
            <w:r w:rsidR="00F71EA3">
              <w:rPr>
                <w:noProof/>
                <w:webHidden/>
              </w:rPr>
              <w:t>15</w:t>
            </w:r>
            <w:r w:rsidR="00F71EA3">
              <w:rPr>
                <w:noProof/>
                <w:webHidden/>
              </w:rPr>
              <w:fldChar w:fldCharType="end"/>
            </w:r>
          </w:hyperlink>
        </w:p>
        <w:p w14:paraId="47C9E4CA" w14:textId="77777777" w:rsidR="00F71EA3" w:rsidRDefault="003E44E7" w:rsidP="00F71EA3">
          <w:pPr>
            <w:pStyle w:val="TOC1"/>
            <w:rPr>
              <w:rFonts w:asciiTheme="minorHAnsi" w:eastAsiaTheme="minorEastAsia" w:hAnsiTheme="minorHAnsi"/>
              <w:noProof/>
              <w:sz w:val="22"/>
              <w:szCs w:val="22"/>
              <w:lang w:eastAsia="en-AU"/>
            </w:rPr>
          </w:pPr>
          <w:hyperlink w:anchor="_Toc157790652" w:history="1">
            <w:r w:rsidR="00F71EA3" w:rsidRPr="00CA3DF4">
              <w:rPr>
                <w:rStyle w:val="Hyperlink"/>
                <w:rFonts w:cs="Calibri"/>
                <w:noProof/>
              </w:rPr>
              <w:t>V.</w:t>
            </w:r>
            <w:r w:rsidR="00F71EA3">
              <w:rPr>
                <w:rFonts w:asciiTheme="minorHAnsi" w:eastAsiaTheme="minorEastAsia" w:hAnsiTheme="minorHAnsi"/>
                <w:noProof/>
                <w:sz w:val="22"/>
                <w:szCs w:val="22"/>
                <w:lang w:eastAsia="en-AU"/>
              </w:rPr>
              <w:tab/>
            </w:r>
            <w:r w:rsidR="00F71EA3" w:rsidRPr="00CA3DF4">
              <w:rPr>
                <w:rStyle w:val="Hyperlink"/>
                <w:rFonts w:cs="Calibri"/>
                <w:noProof/>
              </w:rPr>
              <w:t>Conclusion</w:t>
            </w:r>
            <w:r w:rsidR="00F71EA3">
              <w:rPr>
                <w:noProof/>
                <w:webHidden/>
              </w:rPr>
              <w:tab/>
            </w:r>
            <w:r w:rsidR="00F71EA3">
              <w:rPr>
                <w:noProof/>
                <w:webHidden/>
              </w:rPr>
              <w:fldChar w:fldCharType="begin"/>
            </w:r>
            <w:r w:rsidR="00F71EA3">
              <w:rPr>
                <w:noProof/>
                <w:webHidden/>
              </w:rPr>
              <w:instrText xml:space="preserve"> PAGEREF _Toc157790652 \h </w:instrText>
            </w:r>
            <w:r w:rsidR="00F71EA3">
              <w:rPr>
                <w:noProof/>
                <w:webHidden/>
              </w:rPr>
            </w:r>
            <w:r w:rsidR="00F71EA3">
              <w:rPr>
                <w:noProof/>
                <w:webHidden/>
              </w:rPr>
              <w:fldChar w:fldCharType="separate"/>
            </w:r>
            <w:r w:rsidR="00F71EA3">
              <w:rPr>
                <w:noProof/>
                <w:webHidden/>
              </w:rPr>
              <w:t>17</w:t>
            </w:r>
            <w:r w:rsidR="00F71EA3">
              <w:rPr>
                <w:noProof/>
                <w:webHidden/>
              </w:rPr>
              <w:fldChar w:fldCharType="end"/>
            </w:r>
          </w:hyperlink>
        </w:p>
        <w:p w14:paraId="275B05CE" w14:textId="77777777" w:rsidR="00F71EA3" w:rsidRPr="00AE62EF" w:rsidRDefault="00F71EA3" w:rsidP="00F71EA3">
          <w:pPr>
            <w:rPr>
              <w:rFonts w:cs="Calibri"/>
            </w:rPr>
          </w:pPr>
          <w:r w:rsidRPr="00AE62EF">
            <w:rPr>
              <w:rFonts w:cs="Calibri"/>
              <w:b/>
              <w:bCs/>
              <w:noProof/>
            </w:rPr>
            <w:fldChar w:fldCharType="end"/>
          </w:r>
        </w:p>
      </w:sdtContent>
    </w:sdt>
    <w:p w14:paraId="69FA834E" w14:textId="77777777" w:rsidR="00F71EA3" w:rsidRPr="00AE62EF" w:rsidRDefault="00F71EA3" w:rsidP="00F71EA3">
      <w:pPr>
        <w:rPr>
          <w:rFonts w:cs="Calibri"/>
        </w:rPr>
      </w:pPr>
      <w:r w:rsidRPr="00AE62EF">
        <w:rPr>
          <w:rFonts w:cs="Calibri"/>
        </w:rPr>
        <w:br w:type="page"/>
      </w:r>
    </w:p>
    <w:p w14:paraId="4A8C2E83" w14:textId="77777777" w:rsidR="00F71EA3" w:rsidRPr="00F71EA3" w:rsidRDefault="00F71EA3" w:rsidP="00F71EA3">
      <w:pPr>
        <w:pStyle w:val="SHSectionHeading"/>
        <w:rPr>
          <w:rFonts w:cs="Calibri"/>
          <w:color w:val="auto"/>
        </w:rPr>
      </w:pPr>
      <w:bookmarkStart w:id="4" w:name="_Toc157790642"/>
      <w:r w:rsidRPr="00F71EA3">
        <w:rPr>
          <w:rFonts w:cs="Calibri"/>
          <w:color w:val="auto"/>
        </w:rPr>
        <w:lastRenderedPageBreak/>
        <w:t>Table of Cases</w:t>
      </w:r>
      <w:bookmarkEnd w:id="3"/>
      <w:bookmarkEnd w:id="4"/>
    </w:p>
    <w:tbl>
      <w:tblPr>
        <w:tblStyle w:val="TableGrid"/>
        <w:tblW w:w="5000" w:type="pct"/>
        <w:tblLook w:val="04A0" w:firstRow="1" w:lastRow="0" w:firstColumn="1" w:lastColumn="0" w:noHBand="0" w:noVBand="1"/>
      </w:tblPr>
      <w:tblGrid>
        <w:gridCol w:w="2265"/>
        <w:gridCol w:w="6795"/>
      </w:tblGrid>
      <w:tr w:rsidR="00F71EA3" w:rsidRPr="00AE62EF" w14:paraId="03FBCDA6" w14:textId="77777777" w:rsidTr="0012146F">
        <w:trPr>
          <w:cantSplit/>
          <w:trHeight w:val="397"/>
          <w:tblHeader/>
        </w:trPr>
        <w:tc>
          <w:tcPr>
            <w:tcW w:w="2265" w:type="dxa"/>
            <w:shd w:val="clear" w:color="auto" w:fill="D9D9D9" w:themeFill="background1" w:themeFillShade="D9"/>
          </w:tcPr>
          <w:p w14:paraId="7EE135FF" w14:textId="77777777" w:rsidR="00F71EA3" w:rsidRPr="00AE62EF" w:rsidRDefault="00F71EA3" w:rsidP="0012146F">
            <w:pPr>
              <w:pStyle w:val="THTableHeading"/>
              <w:jc w:val="center"/>
              <w:rPr>
                <w:rFonts w:cs="Calibri"/>
              </w:rPr>
            </w:pPr>
            <w:r w:rsidRPr="00AE62EF">
              <w:rPr>
                <w:rFonts w:cs="Calibri"/>
              </w:rPr>
              <w:t>Short Title</w:t>
            </w:r>
          </w:p>
        </w:tc>
        <w:tc>
          <w:tcPr>
            <w:tcW w:w="6795" w:type="dxa"/>
            <w:shd w:val="clear" w:color="auto" w:fill="D9D9D9" w:themeFill="background1" w:themeFillShade="D9"/>
          </w:tcPr>
          <w:p w14:paraId="20E172BF" w14:textId="77777777" w:rsidR="00F71EA3" w:rsidRPr="00AE62EF" w:rsidRDefault="00F71EA3" w:rsidP="0012146F">
            <w:pPr>
              <w:pStyle w:val="THTableHeading"/>
              <w:jc w:val="center"/>
              <w:rPr>
                <w:rFonts w:cs="Calibri"/>
              </w:rPr>
            </w:pPr>
            <w:r w:rsidRPr="00AE62EF">
              <w:rPr>
                <w:rFonts w:cs="Calibri"/>
              </w:rPr>
              <w:t>Full Case Title and Citation</w:t>
            </w:r>
          </w:p>
        </w:tc>
      </w:tr>
      <w:tr w:rsidR="00F71EA3" w:rsidRPr="00AE62EF" w14:paraId="7E91C168" w14:textId="77777777" w:rsidTr="0012146F">
        <w:trPr>
          <w:cantSplit/>
          <w:trHeight w:val="397"/>
        </w:trPr>
        <w:tc>
          <w:tcPr>
            <w:tcW w:w="2265" w:type="dxa"/>
          </w:tcPr>
          <w:p w14:paraId="6E0D1EFC" w14:textId="77777777" w:rsidR="00F71EA3" w:rsidRPr="00AE62EF" w:rsidRDefault="00F71EA3" w:rsidP="0012146F">
            <w:pPr>
              <w:pStyle w:val="TTTableText"/>
              <w:rPr>
                <w:rFonts w:cs="Calibri"/>
                <w:i/>
                <w:iCs/>
              </w:rPr>
            </w:pPr>
            <w:r w:rsidRPr="00AE62EF">
              <w:rPr>
                <w:rFonts w:cs="Calibri"/>
                <w:i/>
                <w:iCs/>
              </w:rPr>
              <w:t>Brazil – Aircraft</w:t>
            </w:r>
          </w:p>
        </w:tc>
        <w:tc>
          <w:tcPr>
            <w:tcW w:w="6795" w:type="dxa"/>
          </w:tcPr>
          <w:p w14:paraId="086AA6E8" w14:textId="77777777" w:rsidR="00F71EA3" w:rsidRPr="00AE62EF" w:rsidRDefault="00F71EA3" w:rsidP="0012146F">
            <w:pPr>
              <w:pStyle w:val="TTTableText"/>
              <w:rPr>
                <w:rFonts w:cs="Calibri"/>
              </w:rPr>
            </w:pPr>
            <w:r w:rsidRPr="00AE62EF">
              <w:rPr>
                <w:rFonts w:cs="Calibri"/>
              </w:rPr>
              <w:t xml:space="preserve">Panel Report, </w:t>
            </w:r>
            <w:r w:rsidRPr="00AE62EF">
              <w:rPr>
                <w:rFonts w:cs="Calibri"/>
                <w:i/>
                <w:iCs/>
              </w:rPr>
              <w:t>Brazil – Export Financing Programme for Aircraft</w:t>
            </w:r>
            <w:r w:rsidRPr="00AE62EF">
              <w:rPr>
                <w:rFonts w:cs="Calibri"/>
              </w:rPr>
              <w:t>, WT/DS46/R, adopted 20 August 1999, as modified by Appellate Body Report WT/DS46/AB/R, DSR 1999:III, p. 1221</w:t>
            </w:r>
          </w:p>
        </w:tc>
      </w:tr>
      <w:tr w:rsidR="00F71EA3" w:rsidRPr="00AE62EF" w14:paraId="09217CA2" w14:textId="77777777" w:rsidTr="0012146F">
        <w:trPr>
          <w:cantSplit/>
          <w:trHeight w:val="397"/>
        </w:trPr>
        <w:tc>
          <w:tcPr>
            <w:tcW w:w="2265" w:type="dxa"/>
          </w:tcPr>
          <w:p w14:paraId="38B5BCA6" w14:textId="77777777" w:rsidR="00F71EA3" w:rsidRPr="00AE62EF" w:rsidRDefault="00F71EA3" w:rsidP="0012146F">
            <w:pPr>
              <w:pStyle w:val="FootnoteText"/>
              <w:jc w:val="left"/>
              <w:rPr>
                <w:rFonts w:cs="Calibri"/>
                <w:i/>
                <w:iCs/>
                <w:sz w:val="24"/>
                <w:szCs w:val="24"/>
              </w:rPr>
            </w:pPr>
            <w:r w:rsidRPr="00AE62EF">
              <w:rPr>
                <w:rFonts w:cs="Calibri"/>
                <w:i/>
                <w:iCs/>
                <w:sz w:val="24"/>
                <w:szCs w:val="24"/>
              </w:rPr>
              <w:t>China – Broiler Products (Article 21.5 – US)</w:t>
            </w:r>
          </w:p>
        </w:tc>
        <w:tc>
          <w:tcPr>
            <w:tcW w:w="6795" w:type="dxa"/>
          </w:tcPr>
          <w:p w14:paraId="2F130E89" w14:textId="77777777" w:rsidR="00F71EA3" w:rsidRPr="00AE62EF" w:rsidRDefault="00F71EA3" w:rsidP="0012146F">
            <w:pPr>
              <w:pStyle w:val="TTTableText"/>
              <w:rPr>
                <w:rFonts w:cs="Calibri"/>
              </w:rPr>
            </w:pPr>
            <w:r w:rsidRPr="00AE62EF">
              <w:rPr>
                <w:rFonts w:cs="Calibri"/>
              </w:rPr>
              <w:t xml:space="preserve">Panel Report, </w:t>
            </w:r>
            <w:r w:rsidRPr="00AE62EF">
              <w:rPr>
                <w:rFonts w:cs="Calibri"/>
                <w:i/>
                <w:iCs/>
              </w:rPr>
              <w:t>China – Anti-Dumping and Countervailing Duty Measures on Broiler Products from the United States – Recourse to Article 21.5 of the DSU by the United States</w:t>
            </w:r>
            <w:r w:rsidRPr="00AE62EF">
              <w:rPr>
                <w:rFonts w:cs="Calibri"/>
              </w:rPr>
              <w:t>, WT/DS427/RW and Add.1, adopted 28 February 2018, DSR 2018:II, p. 839</w:t>
            </w:r>
          </w:p>
        </w:tc>
      </w:tr>
      <w:tr w:rsidR="00F71EA3" w:rsidRPr="00AE62EF" w14:paraId="6BD36F3B" w14:textId="77777777" w:rsidTr="0012146F">
        <w:trPr>
          <w:cantSplit/>
          <w:trHeight w:val="397"/>
        </w:trPr>
        <w:tc>
          <w:tcPr>
            <w:tcW w:w="2265" w:type="dxa"/>
          </w:tcPr>
          <w:p w14:paraId="64B704AD" w14:textId="77777777" w:rsidR="00F71EA3" w:rsidRPr="00AE62EF" w:rsidRDefault="00F71EA3" w:rsidP="0012146F">
            <w:pPr>
              <w:pStyle w:val="FootnoteText"/>
              <w:jc w:val="left"/>
              <w:rPr>
                <w:rFonts w:cs="Calibri"/>
                <w:i/>
                <w:iCs/>
                <w:sz w:val="24"/>
                <w:szCs w:val="24"/>
              </w:rPr>
            </w:pPr>
            <w:r w:rsidRPr="00AE62EF">
              <w:rPr>
                <w:rFonts w:cs="Calibri"/>
                <w:i/>
                <w:iCs/>
                <w:sz w:val="24"/>
                <w:szCs w:val="24"/>
              </w:rPr>
              <w:t>EC and certain member States – Large Civil Aircraft</w:t>
            </w:r>
          </w:p>
        </w:tc>
        <w:tc>
          <w:tcPr>
            <w:tcW w:w="6795" w:type="dxa"/>
          </w:tcPr>
          <w:p w14:paraId="5C3B5908" w14:textId="77777777" w:rsidR="00F71EA3" w:rsidRPr="00AE62EF" w:rsidRDefault="00F71EA3" w:rsidP="0012146F">
            <w:pPr>
              <w:pStyle w:val="TTTableText"/>
              <w:rPr>
                <w:rFonts w:cs="Calibri"/>
              </w:rPr>
            </w:pPr>
            <w:r w:rsidRPr="00AE62EF">
              <w:rPr>
                <w:rFonts w:cs="Calibri"/>
              </w:rPr>
              <w:t xml:space="preserve">Appellate Body Report, </w:t>
            </w:r>
            <w:r w:rsidRPr="00AE62EF">
              <w:rPr>
                <w:rFonts w:cs="Calibri"/>
                <w:i/>
                <w:iCs/>
              </w:rPr>
              <w:t>European Communities and Certain Member States – Measures Affecting Trade in Large Civil Aircraft</w:t>
            </w:r>
            <w:r w:rsidRPr="00AE62EF">
              <w:rPr>
                <w:rFonts w:cs="Calibri"/>
              </w:rPr>
              <w:t>, WT/DS316/AB/R, adopted 1 June 2011, DSR 2011:I, p. 7</w:t>
            </w:r>
          </w:p>
        </w:tc>
      </w:tr>
      <w:tr w:rsidR="00F71EA3" w:rsidRPr="00AE62EF" w14:paraId="6BC68091" w14:textId="77777777" w:rsidTr="0012146F">
        <w:trPr>
          <w:cantSplit/>
          <w:trHeight w:val="397"/>
        </w:trPr>
        <w:tc>
          <w:tcPr>
            <w:tcW w:w="2265" w:type="dxa"/>
          </w:tcPr>
          <w:p w14:paraId="295F16C8" w14:textId="77777777" w:rsidR="00F71EA3" w:rsidRPr="00AE62EF" w:rsidRDefault="00F71EA3" w:rsidP="0012146F">
            <w:pPr>
              <w:pStyle w:val="FootnoteText"/>
              <w:jc w:val="left"/>
              <w:rPr>
                <w:rFonts w:cs="Calibri"/>
                <w:i/>
                <w:iCs/>
                <w:sz w:val="24"/>
                <w:szCs w:val="24"/>
              </w:rPr>
            </w:pPr>
            <w:r w:rsidRPr="00AE62EF">
              <w:rPr>
                <w:rFonts w:cs="Calibri"/>
                <w:i/>
                <w:iCs/>
                <w:sz w:val="24"/>
                <w:szCs w:val="24"/>
              </w:rPr>
              <w:t>Japan – Alcoholic Beverages II</w:t>
            </w:r>
          </w:p>
        </w:tc>
        <w:tc>
          <w:tcPr>
            <w:tcW w:w="6795" w:type="dxa"/>
          </w:tcPr>
          <w:p w14:paraId="3FF9C34F" w14:textId="77777777" w:rsidR="00F71EA3" w:rsidRPr="00AE62EF" w:rsidRDefault="00F71EA3" w:rsidP="0012146F">
            <w:pPr>
              <w:pStyle w:val="TTTableText"/>
              <w:rPr>
                <w:rFonts w:cs="Calibri"/>
              </w:rPr>
            </w:pPr>
            <w:r w:rsidRPr="00AE62EF">
              <w:rPr>
                <w:rFonts w:cs="Calibri"/>
              </w:rPr>
              <w:t xml:space="preserve">Appellate Body Report, </w:t>
            </w:r>
            <w:r w:rsidRPr="00AE62EF">
              <w:rPr>
                <w:rFonts w:cs="Calibri"/>
                <w:i/>
                <w:iCs/>
              </w:rPr>
              <w:t>Japan – Taxes on Alcoholic Beverages</w:t>
            </w:r>
            <w:r w:rsidRPr="00AE62EF">
              <w:rPr>
                <w:rFonts w:cs="Calibri"/>
              </w:rPr>
              <w:t>, WT/DS8/AB/R, WT/DS10/AB/R, WT/DS11/AB/R, adopted 1 November 1996, DSR 1996:I, p. 97</w:t>
            </w:r>
          </w:p>
        </w:tc>
      </w:tr>
      <w:tr w:rsidR="00F71EA3" w:rsidRPr="00AE62EF" w14:paraId="06F96E50" w14:textId="77777777" w:rsidTr="0012146F">
        <w:trPr>
          <w:cantSplit/>
          <w:trHeight w:val="397"/>
        </w:trPr>
        <w:tc>
          <w:tcPr>
            <w:tcW w:w="2265" w:type="dxa"/>
          </w:tcPr>
          <w:p w14:paraId="393F36D5" w14:textId="77777777" w:rsidR="00F71EA3" w:rsidRPr="00AE62EF" w:rsidRDefault="00F71EA3" w:rsidP="0012146F">
            <w:pPr>
              <w:pStyle w:val="TTTableText"/>
              <w:rPr>
                <w:rFonts w:cs="Calibri"/>
                <w:i/>
                <w:iCs/>
              </w:rPr>
            </w:pPr>
            <w:r w:rsidRPr="00AE62EF">
              <w:rPr>
                <w:rFonts w:cs="Calibri"/>
                <w:i/>
                <w:iCs/>
              </w:rPr>
              <w:t>Korea – Procurement</w:t>
            </w:r>
          </w:p>
        </w:tc>
        <w:tc>
          <w:tcPr>
            <w:tcW w:w="6795" w:type="dxa"/>
          </w:tcPr>
          <w:p w14:paraId="49276278" w14:textId="77777777" w:rsidR="00F71EA3" w:rsidRPr="00AE62EF" w:rsidRDefault="00F71EA3" w:rsidP="0012146F">
            <w:pPr>
              <w:pStyle w:val="TTTableText"/>
              <w:rPr>
                <w:rFonts w:cs="Calibri"/>
              </w:rPr>
            </w:pPr>
            <w:r w:rsidRPr="00AE62EF">
              <w:rPr>
                <w:rFonts w:cs="Calibri"/>
              </w:rPr>
              <w:t>Panel Report, Korea – Measures Affecting Government Procurement, WT/DS163/R, adopted 19 June 2000, DSR 2000:VIII, p. 3541</w:t>
            </w:r>
          </w:p>
        </w:tc>
      </w:tr>
      <w:tr w:rsidR="00F71EA3" w:rsidRPr="00AE62EF" w14:paraId="331F6DBA" w14:textId="77777777" w:rsidTr="0012146F">
        <w:trPr>
          <w:cantSplit/>
          <w:trHeight w:val="397"/>
        </w:trPr>
        <w:tc>
          <w:tcPr>
            <w:tcW w:w="2265" w:type="dxa"/>
          </w:tcPr>
          <w:p w14:paraId="2A09A8F0" w14:textId="77777777" w:rsidR="00F71EA3" w:rsidRPr="00AE62EF" w:rsidRDefault="00F71EA3" w:rsidP="0012146F">
            <w:pPr>
              <w:pStyle w:val="TTTableText"/>
              <w:rPr>
                <w:rFonts w:cs="Calibri"/>
                <w:i/>
                <w:iCs/>
                <w:vertAlign w:val="superscript"/>
              </w:rPr>
            </w:pPr>
            <w:r w:rsidRPr="00AE62EF">
              <w:rPr>
                <w:rFonts w:cs="Calibri"/>
                <w:i/>
                <w:iCs/>
              </w:rPr>
              <w:t>Mexico – Olive Oil</w:t>
            </w:r>
          </w:p>
        </w:tc>
        <w:tc>
          <w:tcPr>
            <w:tcW w:w="6795" w:type="dxa"/>
          </w:tcPr>
          <w:p w14:paraId="4FA2C9AA" w14:textId="77777777" w:rsidR="00F71EA3" w:rsidRPr="00AE62EF" w:rsidRDefault="00F71EA3" w:rsidP="0012146F">
            <w:pPr>
              <w:pStyle w:val="TTTableText"/>
              <w:rPr>
                <w:rFonts w:cs="Calibri"/>
              </w:rPr>
            </w:pPr>
            <w:r w:rsidRPr="00AE62EF">
              <w:rPr>
                <w:rFonts w:cs="Calibri"/>
              </w:rPr>
              <w:t xml:space="preserve">Panel Report, </w:t>
            </w:r>
            <w:r w:rsidRPr="00AE62EF">
              <w:rPr>
                <w:rFonts w:cs="Calibri"/>
                <w:i/>
                <w:iCs/>
              </w:rPr>
              <w:t>Mexico – Definitive Countervailing Measures on Olive Oil from the European Communities</w:t>
            </w:r>
            <w:r w:rsidRPr="00AE62EF">
              <w:rPr>
                <w:rFonts w:cs="Calibri"/>
              </w:rPr>
              <w:t>, WT/DS341/R, adopted 21 October 2008, DSR 2008:IX, p. 3179</w:t>
            </w:r>
          </w:p>
        </w:tc>
      </w:tr>
      <w:tr w:rsidR="00F71EA3" w:rsidRPr="00AE62EF" w14:paraId="272CD7C5" w14:textId="77777777" w:rsidTr="0012146F">
        <w:trPr>
          <w:cantSplit/>
          <w:trHeight w:val="397"/>
        </w:trPr>
        <w:tc>
          <w:tcPr>
            <w:tcW w:w="2265" w:type="dxa"/>
          </w:tcPr>
          <w:p w14:paraId="57C152C8" w14:textId="77777777" w:rsidR="00F71EA3" w:rsidRPr="00AE62EF" w:rsidRDefault="00F71EA3" w:rsidP="0012146F">
            <w:pPr>
              <w:pStyle w:val="TTTableText"/>
              <w:rPr>
                <w:rFonts w:cs="Calibri"/>
                <w:i/>
                <w:iCs/>
              </w:rPr>
            </w:pPr>
            <w:r w:rsidRPr="00AE62EF">
              <w:rPr>
                <w:rFonts w:cs="Calibri"/>
                <w:i/>
                <w:iCs/>
              </w:rPr>
              <w:t>US – Anti-Dumping and Countervailing Duties (China)</w:t>
            </w:r>
          </w:p>
        </w:tc>
        <w:tc>
          <w:tcPr>
            <w:tcW w:w="6795" w:type="dxa"/>
          </w:tcPr>
          <w:p w14:paraId="2E91B72C" w14:textId="77777777" w:rsidR="00F71EA3" w:rsidRPr="00AE62EF" w:rsidRDefault="00F71EA3" w:rsidP="0012146F">
            <w:pPr>
              <w:pStyle w:val="TTTableText"/>
              <w:rPr>
                <w:rFonts w:cs="Calibri"/>
              </w:rPr>
            </w:pPr>
            <w:r w:rsidRPr="00AE62EF">
              <w:rPr>
                <w:rFonts w:cs="Calibri"/>
              </w:rPr>
              <w:t xml:space="preserve">Appellate Body Report, </w:t>
            </w:r>
            <w:r w:rsidRPr="00AE62EF">
              <w:rPr>
                <w:rFonts w:cs="Calibri"/>
                <w:i/>
                <w:iCs/>
              </w:rPr>
              <w:t>United States – Definitive Anti-Dumping and Countervailing Duties on Certain Products from China</w:t>
            </w:r>
            <w:r w:rsidRPr="00AE62EF">
              <w:rPr>
                <w:rFonts w:cs="Calibri"/>
              </w:rPr>
              <w:t>, WT/DS379/AB/R, adopted 25 March 2011, DSR 2011:V, p. 2869</w:t>
            </w:r>
          </w:p>
        </w:tc>
      </w:tr>
      <w:tr w:rsidR="00F71EA3" w:rsidRPr="00AE62EF" w14:paraId="349E2546" w14:textId="77777777" w:rsidTr="0012146F">
        <w:trPr>
          <w:cantSplit/>
          <w:trHeight w:val="397"/>
        </w:trPr>
        <w:tc>
          <w:tcPr>
            <w:tcW w:w="2265" w:type="dxa"/>
          </w:tcPr>
          <w:p w14:paraId="7E5E70A9" w14:textId="77777777" w:rsidR="00F71EA3" w:rsidRPr="00AE62EF" w:rsidDel="004A7A59" w:rsidRDefault="00F71EA3" w:rsidP="0012146F">
            <w:pPr>
              <w:pStyle w:val="TTTableText"/>
              <w:rPr>
                <w:rFonts w:cs="Calibri"/>
                <w:i/>
                <w:iCs/>
              </w:rPr>
            </w:pPr>
            <w:r w:rsidRPr="00AE62EF">
              <w:rPr>
                <w:rFonts w:cs="Calibri"/>
                <w:i/>
                <w:iCs/>
              </w:rPr>
              <w:t>US – Carbon Steel (India)</w:t>
            </w:r>
            <w:r w:rsidRPr="00AE62EF" w:rsidDel="004A7A59">
              <w:rPr>
                <w:rFonts w:cs="Calibri"/>
                <w:i/>
                <w:iCs/>
              </w:rPr>
              <w:t xml:space="preserve"> </w:t>
            </w:r>
          </w:p>
          <w:p w14:paraId="08150A45" w14:textId="77777777" w:rsidR="00F71EA3" w:rsidRPr="00AE62EF" w:rsidRDefault="00F71EA3" w:rsidP="0012146F">
            <w:pPr>
              <w:pStyle w:val="TTTableText"/>
              <w:rPr>
                <w:rFonts w:cs="Calibri"/>
                <w:i/>
                <w:iCs/>
              </w:rPr>
            </w:pPr>
          </w:p>
        </w:tc>
        <w:tc>
          <w:tcPr>
            <w:tcW w:w="6795" w:type="dxa"/>
          </w:tcPr>
          <w:p w14:paraId="2A37AABF" w14:textId="77777777" w:rsidR="00F71EA3" w:rsidRPr="00AE62EF" w:rsidRDefault="00F71EA3" w:rsidP="0012146F">
            <w:pPr>
              <w:pStyle w:val="TTTableText"/>
              <w:rPr>
                <w:rFonts w:cs="Calibri"/>
              </w:rPr>
            </w:pPr>
            <w:r w:rsidRPr="00AE62EF">
              <w:rPr>
                <w:rFonts w:cs="Calibri"/>
              </w:rPr>
              <w:t xml:space="preserve">Panel Report, </w:t>
            </w:r>
            <w:r w:rsidRPr="00AE62EF">
              <w:rPr>
                <w:rFonts w:cs="Calibri"/>
                <w:i/>
                <w:iCs/>
              </w:rPr>
              <w:t>United States – Countervailing Measures on Certain Hot-Rolled Carbon Steel Flat Products from India</w:t>
            </w:r>
            <w:r w:rsidRPr="00AE62EF">
              <w:rPr>
                <w:rFonts w:cs="Calibri"/>
              </w:rPr>
              <w:t>, WT/DS436/R and Add.1, adopted 19 December 2014, as modified by Appellate Body Report WT/DS436/AB/R, DSR 2014:VI, p. 2189</w:t>
            </w:r>
          </w:p>
        </w:tc>
      </w:tr>
      <w:tr w:rsidR="00F71EA3" w:rsidRPr="00AE62EF" w14:paraId="3DFFE853" w14:textId="77777777" w:rsidTr="0012146F">
        <w:trPr>
          <w:cantSplit/>
          <w:trHeight w:val="397"/>
        </w:trPr>
        <w:tc>
          <w:tcPr>
            <w:tcW w:w="2265" w:type="dxa"/>
          </w:tcPr>
          <w:p w14:paraId="3208B7A3" w14:textId="77777777" w:rsidR="00F71EA3" w:rsidRPr="00AE62EF" w:rsidRDefault="00F71EA3" w:rsidP="0012146F">
            <w:pPr>
              <w:pStyle w:val="FootnoteText"/>
              <w:jc w:val="left"/>
              <w:rPr>
                <w:rFonts w:cs="Calibri"/>
              </w:rPr>
            </w:pPr>
            <w:r w:rsidRPr="00AE62EF">
              <w:rPr>
                <w:rFonts w:cs="Calibri"/>
                <w:i/>
                <w:iCs/>
                <w:sz w:val="24"/>
                <w:szCs w:val="24"/>
              </w:rPr>
              <w:t>US – Cotton Yarn</w:t>
            </w:r>
          </w:p>
        </w:tc>
        <w:tc>
          <w:tcPr>
            <w:tcW w:w="6795" w:type="dxa"/>
          </w:tcPr>
          <w:p w14:paraId="1379AD74" w14:textId="77777777" w:rsidR="00F71EA3" w:rsidRPr="00AE62EF" w:rsidRDefault="00F71EA3" w:rsidP="0012146F">
            <w:pPr>
              <w:pStyle w:val="TTTableText"/>
              <w:rPr>
                <w:rFonts w:cs="Calibri"/>
              </w:rPr>
            </w:pPr>
            <w:r w:rsidRPr="00AE62EF">
              <w:rPr>
                <w:rFonts w:cs="Calibri"/>
              </w:rPr>
              <w:t xml:space="preserve">Appellate Body Report, </w:t>
            </w:r>
            <w:r w:rsidRPr="00AE62EF">
              <w:rPr>
                <w:rFonts w:cs="Calibri"/>
                <w:i/>
                <w:iCs/>
              </w:rPr>
              <w:t>United States – Transitional Safeguard Measure on Combed Cotton Yarn from Pakistan</w:t>
            </w:r>
            <w:r w:rsidRPr="00AE62EF">
              <w:rPr>
                <w:rFonts w:cs="Calibri"/>
              </w:rPr>
              <w:t>, WT/DS192/AB/R, adopted 5 November 2001, DSR 2001:XII, p. 6027</w:t>
            </w:r>
          </w:p>
        </w:tc>
      </w:tr>
      <w:tr w:rsidR="00F71EA3" w:rsidRPr="00AE62EF" w14:paraId="7DC803A6" w14:textId="77777777" w:rsidTr="0012146F">
        <w:trPr>
          <w:cantSplit/>
          <w:trHeight w:val="397"/>
        </w:trPr>
        <w:tc>
          <w:tcPr>
            <w:tcW w:w="2265" w:type="dxa"/>
          </w:tcPr>
          <w:p w14:paraId="1D807FF0" w14:textId="77777777" w:rsidR="00F71EA3" w:rsidRPr="00AE62EF" w:rsidRDefault="00F71EA3" w:rsidP="0012146F">
            <w:pPr>
              <w:pStyle w:val="TTTableText"/>
              <w:rPr>
                <w:rFonts w:cs="Calibri"/>
                <w:i/>
                <w:iCs/>
              </w:rPr>
            </w:pPr>
            <w:r w:rsidRPr="00AE62EF">
              <w:rPr>
                <w:rFonts w:cs="Calibri"/>
                <w:i/>
                <w:iCs/>
              </w:rPr>
              <w:t xml:space="preserve">US – Gasoline </w:t>
            </w:r>
          </w:p>
        </w:tc>
        <w:tc>
          <w:tcPr>
            <w:tcW w:w="6795" w:type="dxa"/>
          </w:tcPr>
          <w:p w14:paraId="65B8CE1C" w14:textId="77777777" w:rsidR="00F71EA3" w:rsidRPr="00AE62EF" w:rsidRDefault="00F71EA3" w:rsidP="0012146F">
            <w:pPr>
              <w:pStyle w:val="TTTableText"/>
              <w:rPr>
                <w:rFonts w:cs="Calibri"/>
              </w:rPr>
            </w:pPr>
            <w:r w:rsidRPr="00AE62EF">
              <w:rPr>
                <w:rFonts w:cs="Calibri"/>
              </w:rPr>
              <w:t xml:space="preserve">Appellate Body Report, </w:t>
            </w:r>
            <w:r w:rsidRPr="00AE62EF">
              <w:rPr>
                <w:rFonts w:cs="Calibri"/>
                <w:i/>
                <w:iCs/>
              </w:rPr>
              <w:t>United States – Standards for Reformulated and Conventional Gasoline</w:t>
            </w:r>
            <w:r w:rsidRPr="00AE62EF">
              <w:rPr>
                <w:rFonts w:cs="Calibri"/>
              </w:rPr>
              <w:t>, WT/DS2/AB/R, adopted 20 May 1996, DSR 1996:I, p. 3</w:t>
            </w:r>
          </w:p>
        </w:tc>
      </w:tr>
      <w:tr w:rsidR="00F71EA3" w:rsidRPr="00AE62EF" w14:paraId="28FB88A6" w14:textId="77777777" w:rsidTr="0012146F">
        <w:trPr>
          <w:cantSplit/>
          <w:trHeight w:val="397"/>
        </w:trPr>
        <w:tc>
          <w:tcPr>
            <w:tcW w:w="2265" w:type="dxa"/>
          </w:tcPr>
          <w:p w14:paraId="7D4104B1" w14:textId="77777777" w:rsidR="00F71EA3" w:rsidRPr="00AE62EF" w:rsidRDefault="00F71EA3" w:rsidP="0012146F">
            <w:pPr>
              <w:pStyle w:val="TTTableText"/>
              <w:rPr>
                <w:rFonts w:cs="Calibri"/>
                <w:i/>
                <w:iCs/>
              </w:rPr>
            </w:pPr>
            <w:r w:rsidRPr="00AE62EF">
              <w:rPr>
                <w:rFonts w:cs="Calibri"/>
                <w:i/>
                <w:iCs/>
              </w:rPr>
              <w:t>US – Line Pipe</w:t>
            </w:r>
          </w:p>
        </w:tc>
        <w:tc>
          <w:tcPr>
            <w:tcW w:w="6795" w:type="dxa"/>
          </w:tcPr>
          <w:p w14:paraId="425DF136" w14:textId="77777777" w:rsidR="00F71EA3" w:rsidRPr="00AE62EF" w:rsidRDefault="00F71EA3" w:rsidP="0012146F">
            <w:pPr>
              <w:pStyle w:val="TTTableText"/>
              <w:rPr>
                <w:rFonts w:cs="Calibri"/>
              </w:rPr>
            </w:pPr>
            <w:r w:rsidRPr="00AE62EF">
              <w:rPr>
                <w:rFonts w:cs="Calibri"/>
              </w:rPr>
              <w:t xml:space="preserve">Appellate Body Report, </w:t>
            </w:r>
            <w:r w:rsidRPr="00AE62EF">
              <w:rPr>
                <w:rFonts w:cs="Calibri"/>
                <w:i/>
                <w:iCs/>
              </w:rPr>
              <w:t>United States – Definitive Safeguard Measures on Imports of Circular Welded Carbon Quality Line Pipe from Korea</w:t>
            </w:r>
            <w:r w:rsidRPr="00AE62EF">
              <w:rPr>
                <w:rFonts w:cs="Calibri"/>
              </w:rPr>
              <w:t>, WT/DS202/AB/R, adopted 8 March 2002, DSR 2002:IV, p. 1403</w:t>
            </w:r>
          </w:p>
        </w:tc>
      </w:tr>
      <w:tr w:rsidR="00F71EA3" w:rsidRPr="00AE62EF" w14:paraId="14DBB777" w14:textId="77777777" w:rsidTr="0012146F">
        <w:trPr>
          <w:cantSplit/>
          <w:trHeight w:val="397"/>
        </w:trPr>
        <w:tc>
          <w:tcPr>
            <w:tcW w:w="2265" w:type="dxa"/>
          </w:tcPr>
          <w:p w14:paraId="54B60E96" w14:textId="77777777" w:rsidR="00F71EA3" w:rsidRPr="00AE62EF" w:rsidRDefault="00F71EA3" w:rsidP="0012146F">
            <w:pPr>
              <w:pStyle w:val="TTTableText"/>
              <w:rPr>
                <w:rFonts w:cs="Calibri"/>
                <w:i/>
                <w:iCs/>
              </w:rPr>
            </w:pPr>
            <w:r w:rsidRPr="00AE62EF">
              <w:rPr>
                <w:rFonts w:cs="Calibri"/>
                <w:i/>
                <w:iCs/>
              </w:rPr>
              <w:lastRenderedPageBreak/>
              <w:t>US – Softwood Lumber IV</w:t>
            </w:r>
          </w:p>
        </w:tc>
        <w:tc>
          <w:tcPr>
            <w:tcW w:w="6795" w:type="dxa"/>
          </w:tcPr>
          <w:p w14:paraId="675A78DD" w14:textId="77777777" w:rsidR="00F71EA3" w:rsidRPr="00AE62EF" w:rsidRDefault="00F71EA3" w:rsidP="0012146F">
            <w:pPr>
              <w:pStyle w:val="TTTableText"/>
              <w:rPr>
                <w:rFonts w:cs="Calibri"/>
              </w:rPr>
            </w:pPr>
            <w:r w:rsidRPr="00AE62EF">
              <w:rPr>
                <w:rFonts w:cs="Calibri"/>
              </w:rPr>
              <w:t xml:space="preserve">Appellate Body Report, </w:t>
            </w:r>
            <w:r w:rsidRPr="00AE62EF">
              <w:rPr>
                <w:rFonts w:cs="Calibri"/>
                <w:i/>
                <w:iCs/>
              </w:rPr>
              <w:t>United States – Final Countervailing Duty Determination with Respect to Certain Softwood Lumber from Canada</w:t>
            </w:r>
            <w:r w:rsidRPr="00AE62EF">
              <w:rPr>
                <w:rFonts w:cs="Calibri"/>
              </w:rPr>
              <w:t>, WT/DS257/AB/R, adopted 17 February 2004, DSR 2004:II, p. 571</w:t>
            </w:r>
          </w:p>
        </w:tc>
      </w:tr>
      <w:tr w:rsidR="00F71EA3" w:rsidRPr="00AE62EF" w14:paraId="2A6B858C" w14:textId="77777777" w:rsidTr="0012146F">
        <w:trPr>
          <w:cantSplit/>
          <w:trHeight w:val="397"/>
        </w:trPr>
        <w:tc>
          <w:tcPr>
            <w:tcW w:w="2265" w:type="dxa"/>
          </w:tcPr>
          <w:p w14:paraId="4C1A0966" w14:textId="77777777" w:rsidR="00F71EA3" w:rsidRPr="00AE62EF" w:rsidDel="00A618EC" w:rsidRDefault="00F71EA3" w:rsidP="0012146F">
            <w:pPr>
              <w:pStyle w:val="TTTableText"/>
              <w:rPr>
                <w:rFonts w:cs="Calibri"/>
                <w:i/>
                <w:iCs/>
              </w:rPr>
            </w:pPr>
            <w:r w:rsidRPr="00AE62EF">
              <w:rPr>
                <w:rFonts w:cs="Calibri"/>
                <w:i/>
                <w:iCs/>
              </w:rPr>
              <w:t>US – Softwood Lumber IV</w:t>
            </w:r>
          </w:p>
          <w:p w14:paraId="1DE77E99" w14:textId="77777777" w:rsidR="00F71EA3" w:rsidRPr="00AE62EF" w:rsidRDefault="00F71EA3" w:rsidP="0012146F">
            <w:pPr>
              <w:pStyle w:val="TTTableText"/>
              <w:rPr>
                <w:rFonts w:cs="Calibri"/>
              </w:rPr>
            </w:pPr>
          </w:p>
        </w:tc>
        <w:tc>
          <w:tcPr>
            <w:tcW w:w="6795" w:type="dxa"/>
          </w:tcPr>
          <w:p w14:paraId="54F086AD" w14:textId="77777777" w:rsidR="00F71EA3" w:rsidRPr="00AE62EF" w:rsidRDefault="00F71EA3" w:rsidP="0012146F">
            <w:pPr>
              <w:pStyle w:val="TTTableText"/>
              <w:rPr>
                <w:rFonts w:cs="Calibri"/>
              </w:rPr>
            </w:pPr>
            <w:r w:rsidRPr="00AE62EF">
              <w:rPr>
                <w:rFonts w:cs="Calibri"/>
              </w:rPr>
              <w:t xml:space="preserve">Panel Report, </w:t>
            </w:r>
            <w:r w:rsidRPr="00AE62EF">
              <w:rPr>
                <w:rFonts w:cs="Calibri"/>
                <w:i/>
                <w:iCs/>
              </w:rPr>
              <w:t>United States – Final Countervailing Duty Determination with Respect to Certain Softwood Lumber from Canada</w:t>
            </w:r>
            <w:r w:rsidRPr="00AE62EF">
              <w:rPr>
                <w:rFonts w:cs="Calibri"/>
              </w:rPr>
              <w:t>, WT/DS257/R and Corr.1, adopted 17 February 2004, as modified by Appellate Body Report WT/DS257/AB/R, DSR 2004:II, p. 641</w:t>
            </w:r>
          </w:p>
        </w:tc>
      </w:tr>
      <w:tr w:rsidR="00F71EA3" w:rsidRPr="00AE62EF" w14:paraId="709280CF" w14:textId="77777777" w:rsidTr="0012146F">
        <w:trPr>
          <w:cantSplit/>
          <w:trHeight w:val="397"/>
        </w:trPr>
        <w:tc>
          <w:tcPr>
            <w:tcW w:w="2265" w:type="dxa"/>
          </w:tcPr>
          <w:p w14:paraId="79EF1882" w14:textId="77777777" w:rsidR="00F71EA3" w:rsidRPr="00AE62EF" w:rsidRDefault="00F71EA3" w:rsidP="0012146F">
            <w:pPr>
              <w:pStyle w:val="TTTableText"/>
              <w:rPr>
                <w:rFonts w:cs="Calibri"/>
                <w:i/>
                <w:iCs/>
              </w:rPr>
            </w:pPr>
            <w:r w:rsidRPr="00AE62EF">
              <w:rPr>
                <w:rFonts w:cs="Calibri"/>
                <w:i/>
                <w:iCs/>
                <w:szCs w:val="18"/>
              </w:rPr>
              <w:t>US – Softwood Lumber VI (Article 21.5 – Canada)</w:t>
            </w:r>
          </w:p>
        </w:tc>
        <w:tc>
          <w:tcPr>
            <w:tcW w:w="6795" w:type="dxa"/>
          </w:tcPr>
          <w:p w14:paraId="648C2C75" w14:textId="77777777" w:rsidR="00F71EA3" w:rsidRPr="00AE62EF" w:rsidRDefault="00F71EA3" w:rsidP="0012146F">
            <w:pPr>
              <w:pStyle w:val="TTTableText"/>
              <w:rPr>
                <w:rFonts w:cs="Calibri"/>
              </w:rPr>
            </w:pPr>
            <w:r w:rsidRPr="00AE62EF">
              <w:rPr>
                <w:rFonts w:cs="Calibri"/>
              </w:rPr>
              <w:t xml:space="preserve">Appellate Body Report, </w:t>
            </w:r>
            <w:r w:rsidRPr="00AE62EF">
              <w:rPr>
                <w:rFonts w:cs="Calibri"/>
                <w:i/>
                <w:iCs/>
              </w:rPr>
              <w:t>United States – Investigation of the International Trade Commission in Softwood Lumber from Canada – Recourse to Article 21.5 of the DSU by Canada</w:t>
            </w:r>
            <w:r w:rsidRPr="00AE62EF">
              <w:rPr>
                <w:rFonts w:cs="Calibri"/>
              </w:rPr>
              <w:t>, WT/DS277/AB/RW, adopted 9 May 2006, and Corr.1, DSR 2006:XI, p. 4865</w:t>
            </w:r>
          </w:p>
        </w:tc>
      </w:tr>
    </w:tbl>
    <w:p w14:paraId="3F646C27" w14:textId="77777777" w:rsidR="00F71EA3" w:rsidRPr="00AE62EF" w:rsidRDefault="00F71EA3" w:rsidP="00F71EA3">
      <w:pPr>
        <w:pStyle w:val="BTNSSBodyTextNoSpacingSmall"/>
        <w:rPr>
          <w:rFonts w:cs="Calibri"/>
        </w:rPr>
      </w:pPr>
    </w:p>
    <w:p w14:paraId="0A95DDD3" w14:textId="77777777" w:rsidR="00F71EA3" w:rsidRPr="00AE62EF" w:rsidRDefault="00F71EA3" w:rsidP="00F71EA3">
      <w:pPr>
        <w:rPr>
          <w:rFonts w:eastAsiaTheme="majorEastAsia" w:cs="Calibri"/>
          <w:b/>
          <w:caps/>
          <w:szCs w:val="32"/>
        </w:rPr>
      </w:pPr>
      <w:bookmarkStart w:id="5" w:name="_Toc100253861"/>
      <w:r w:rsidRPr="00AE62EF">
        <w:rPr>
          <w:rFonts w:cs="Calibri"/>
        </w:rPr>
        <w:br w:type="page"/>
      </w:r>
    </w:p>
    <w:p w14:paraId="326BB055" w14:textId="77777777" w:rsidR="00F71EA3" w:rsidRPr="00F71EA3" w:rsidRDefault="00F71EA3" w:rsidP="00F71EA3">
      <w:pPr>
        <w:pStyle w:val="SHSectionHeading"/>
        <w:rPr>
          <w:rFonts w:cs="Calibri"/>
          <w:color w:val="auto"/>
        </w:rPr>
      </w:pPr>
      <w:bookmarkStart w:id="6" w:name="_Toc157790643"/>
      <w:r w:rsidRPr="00F71EA3">
        <w:rPr>
          <w:rFonts w:cs="Calibri"/>
          <w:color w:val="auto"/>
        </w:rPr>
        <w:lastRenderedPageBreak/>
        <w:t>List of Acronyms, Abbreviations and Short Forms</w:t>
      </w:r>
      <w:bookmarkEnd w:id="5"/>
      <w:bookmarkEnd w:id="6"/>
    </w:p>
    <w:tbl>
      <w:tblPr>
        <w:tblStyle w:val="TableGrid"/>
        <w:tblW w:w="5000" w:type="pct"/>
        <w:tblLook w:val="04A0" w:firstRow="1" w:lastRow="0" w:firstColumn="1" w:lastColumn="0" w:noHBand="0" w:noVBand="1"/>
      </w:tblPr>
      <w:tblGrid>
        <w:gridCol w:w="2251"/>
        <w:gridCol w:w="6809"/>
      </w:tblGrid>
      <w:tr w:rsidR="00F71EA3" w:rsidRPr="00AE62EF" w14:paraId="7108B4A0" w14:textId="77777777" w:rsidTr="0012146F">
        <w:trPr>
          <w:cantSplit/>
          <w:trHeight w:val="397"/>
          <w:tblHeader/>
        </w:trPr>
        <w:tc>
          <w:tcPr>
            <w:tcW w:w="2251" w:type="dxa"/>
            <w:shd w:val="clear" w:color="auto" w:fill="D9D9D9" w:themeFill="background1" w:themeFillShade="D9"/>
          </w:tcPr>
          <w:p w14:paraId="68588E0F" w14:textId="77777777" w:rsidR="00F71EA3" w:rsidRPr="00AE62EF" w:rsidRDefault="00F71EA3" w:rsidP="0012146F">
            <w:pPr>
              <w:pStyle w:val="THTableHeading"/>
              <w:jc w:val="center"/>
              <w:rPr>
                <w:rFonts w:cs="Calibri"/>
              </w:rPr>
            </w:pPr>
            <w:r w:rsidRPr="00AE62EF">
              <w:rPr>
                <w:rFonts w:cs="Calibri"/>
              </w:rPr>
              <w:t>Abbreviation</w:t>
            </w:r>
          </w:p>
        </w:tc>
        <w:tc>
          <w:tcPr>
            <w:tcW w:w="6809" w:type="dxa"/>
            <w:shd w:val="clear" w:color="auto" w:fill="D9D9D9" w:themeFill="background1" w:themeFillShade="D9"/>
          </w:tcPr>
          <w:p w14:paraId="284EC5D8" w14:textId="77777777" w:rsidR="00F71EA3" w:rsidRPr="00AE62EF" w:rsidRDefault="00F71EA3" w:rsidP="0012146F">
            <w:pPr>
              <w:pStyle w:val="THTableHeading"/>
              <w:jc w:val="center"/>
              <w:rPr>
                <w:rFonts w:cs="Calibri"/>
              </w:rPr>
            </w:pPr>
            <w:r w:rsidRPr="00AE62EF">
              <w:rPr>
                <w:rFonts w:cs="Calibri"/>
              </w:rPr>
              <w:t>Full Form or Description</w:t>
            </w:r>
          </w:p>
        </w:tc>
      </w:tr>
      <w:tr w:rsidR="00F71EA3" w:rsidRPr="00AE62EF" w14:paraId="7A7B29FE" w14:textId="77777777" w:rsidTr="0012146F">
        <w:trPr>
          <w:cantSplit/>
          <w:trHeight w:val="397"/>
        </w:trPr>
        <w:tc>
          <w:tcPr>
            <w:tcW w:w="2251" w:type="dxa"/>
          </w:tcPr>
          <w:p w14:paraId="76065110" w14:textId="77777777" w:rsidR="00F71EA3" w:rsidRPr="00AE62EF" w:rsidRDefault="00F71EA3" w:rsidP="0012146F">
            <w:pPr>
              <w:pStyle w:val="TTTableText"/>
              <w:rPr>
                <w:rFonts w:cs="Calibri"/>
              </w:rPr>
            </w:pPr>
            <w:r w:rsidRPr="00AE62EF">
              <w:rPr>
                <w:rFonts w:cs="Calibri"/>
              </w:rPr>
              <w:t>Commission</w:t>
            </w:r>
          </w:p>
        </w:tc>
        <w:tc>
          <w:tcPr>
            <w:tcW w:w="6809" w:type="dxa"/>
          </w:tcPr>
          <w:p w14:paraId="6B60C53A" w14:textId="77777777" w:rsidR="00F71EA3" w:rsidRPr="00AE62EF" w:rsidRDefault="00F71EA3" w:rsidP="0012146F">
            <w:pPr>
              <w:pStyle w:val="TTTableText"/>
              <w:rPr>
                <w:rFonts w:cs="Calibri"/>
              </w:rPr>
            </w:pPr>
            <w:r w:rsidRPr="00AE62EF">
              <w:rPr>
                <w:rFonts w:cs="Calibri"/>
              </w:rPr>
              <w:t>European Commission</w:t>
            </w:r>
          </w:p>
        </w:tc>
      </w:tr>
      <w:tr w:rsidR="00F71EA3" w:rsidRPr="00AE62EF" w14:paraId="2FC1FF09" w14:textId="77777777" w:rsidTr="0012146F">
        <w:trPr>
          <w:cantSplit/>
          <w:trHeight w:val="397"/>
        </w:trPr>
        <w:tc>
          <w:tcPr>
            <w:tcW w:w="2251" w:type="dxa"/>
          </w:tcPr>
          <w:p w14:paraId="6206F314" w14:textId="77777777" w:rsidR="00F71EA3" w:rsidRPr="00AE62EF" w:rsidDel="00671253" w:rsidRDefault="00F71EA3" w:rsidP="0012146F">
            <w:pPr>
              <w:pStyle w:val="TTTableText"/>
              <w:rPr>
                <w:rFonts w:cs="Calibri"/>
              </w:rPr>
            </w:pPr>
            <w:r w:rsidRPr="00AE62EF">
              <w:rPr>
                <w:rFonts w:cs="Calibri"/>
              </w:rPr>
              <w:t xml:space="preserve">DSU </w:t>
            </w:r>
          </w:p>
        </w:tc>
        <w:tc>
          <w:tcPr>
            <w:tcW w:w="6809" w:type="dxa"/>
          </w:tcPr>
          <w:p w14:paraId="3FA81F35" w14:textId="77777777" w:rsidR="00F71EA3" w:rsidRPr="00AE62EF" w:rsidRDefault="00F71EA3" w:rsidP="0012146F">
            <w:pPr>
              <w:pStyle w:val="TTTableText"/>
              <w:rPr>
                <w:rFonts w:cs="Calibri"/>
              </w:rPr>
            </w:pPr>
            <w:r w:rsidRPr="00AE62EF">
              <w:rPr>
                <w:rFonts w:cs="Calibri"/>
              </w:rPr>
              <w:t>Understanding on Rules and Procedures Governing the Settlement of Disputes</w:t>
            </w:r>
          </w:p>
        </w:tc>
      </w:tr>
      <w:tr w:rsidR="00F71EA3" w:rsidRPr="00AE62EF" w14:paraId="06D74951" w14:textId="77777777" w:rsidTr="0012146F">
        <w:trPr>
          <w:cantSplit/>
          <w:trHeight w:val="397"/>
        </w:trPr>
        <w:tc>
          <w:tcPr>
            <w:tcW w:w="2251" w:type="dxa"/>
          </w:tcPr>
          <w:p w14:paraId="4061BA63" w14:textId="77777777" w:rsidR="00F71EA3" w:rsidRPr="00AE62EF" w:rsidRDefault="00F71EA3" w:rsidP="0012146F">
            <w:pPr>
              <w:pStyle w:val="TTTableText"/>
              <w:rPr>
                <w:rFonts w:cs="Calibri"/>
              </w:rPr>
            </w:pPr>
            <w:r w:rsidRPr="00AE62EF">
              <w:rPr>
                <w:rFonts w:cs="Calibri"/>
              </w:rPr>
              <w:t>GOC</w:t>
            </w:r>
          </w:p>
        </w:tc>
        <w:tc>
          <w:tcPr>
            <w:tcW w:w="6809" w:type="dxa"/>
          </w:tcPr>
          <w:p w14:paraId="003831B3" w14:textId="77777777" w:rsidR="00F71EA3" w:rsidRPr="00AE62EF" w:rsidRDefault="00F71EA3" w:rsidP="0012146F">
            <w:pPr>
              <w:pStyle w:val="TTTableText"/>
              <w:rPr>
                <w:rFonts w:cs="Calibri"/>
              </w:rPr>
            </w:pPr>
            <w:r w:rsidRPr="00AE62EF">
              <w:rPr>
                <w:rFonts w:cs="Calibri"/>
              </w:rPr>
              <w:t>Government of China</w:t>
            </w:r>
          </w:p>
        </w:tc>
      </w:tr>
      <w:tr w:rsidR="00F71EA3" w:rsidRPr="00AE62EF" w14:paraId="528E94BA" w14:textId="77777777" w:rsidTr="0012146F">
        <w:trPr>
          <w:cantSplit/>
          <w:trHeight w:val="397"/>
        </w:trPr>
        <w:tc>
          <w:tcPr>
            <w:tcW w:w="2251" w:type="dxa"/>
          </w:tcPr>
          <w:p w14:paraId="0C245F21" w14:textId="77777777" w:rsidR="00F71EA3" w:rsidRPr="00AE62EF" w:rsidRDefault="00F71EA3" w:rsidP="0012146F">
            <w:pPr>
              <w:pStyle w:val="TTTableText"/>
              <w:rPr>
                <w:rFonts w:cs="Calibri"/>
              </w:rPr>
            </w:pPr>
            <w:r w:rsidRPr="00AE62EF">
              <w:rPr>
                <w:rFonts w:cs="Calibri"/>
              </w:rPr>
              <w:t>GOID</w:t>
            </w:r>
          </w:p>
        </w:tc>
        <w:tc>
          <w:tcPr>
            <w:tcW w:w="6809" w:type="dxa"/>
          </w:tcPr>
          <w:p w14:paraId="6A622767" w14:textId="77777777" w:rsidR="00F71EA3" w:rsidRPr="00AE62EF" w:rsidRDefault="00F71EA3" w:rsidP="0012146F">
            <w:pPr>
              <w:pStyle w:val="TTTableText"/>
              <w:rPr>
                <w:rFonts w:cs="Calibri"/>
              </w:rPr>
            </w:pPr>
            <w:r w:rsidRPr="00AE62EF">
              <w:rPr>
                <w:rFonts w:cs="Calibri"/>
              </w:rPr>
              <w:t>Government of Indonesia</w:t>
            </w:r>
          </w:p>
        </w:tc>
      </w:tr>
      <w:tr w:rsidR="00F71EA3" w:rsidRPr="00AE62EF" w14:paraId="3B482400" w14:textId="77777777" w:rsidTr="0012146F">
        <w:trPr>
          <w:cantSplit/>
          <w:trHeight w:val="397"/>
        </w:trPr>
        <w:tc>
          <w:tcPr>
            <w:tcW w:w="2251" w:type="dxa"/>
          </w:tcPr>
          <w:p w14:paraId="42EC959C" w14:textId="77777777" w:rsidR="00F71EA3" w:rsidRPr="00AE62EF" w:rsidRDefault="00F71EA3" w:rsidP="0012146F">
            <w:pPr>
              <w:pStyle w:val="TTTableText"/>
              <w:rPr>
                <w:rFonts w:cs="Calibri"/>
              </w:rPr>
            </w:pPr>
            <w:r w:rsidRPr="00AE62EF">
              <w:rPr>
                <w:rFonts w:cs="Calibri"/>
              </w:rPr>
              <w:t>GPA</w:t>
            </w:r>
          </w:p>
        </w:tc>
        <w:tc>
          <w:tcPr>
            <w:tcW w:w="6809" w:type="dxa"/>
          </w:tcPr>
          <w:p w14:paraId="09346D0C" w14:textId="77777777" w:rsidR="00F71EA3" w:rsidRPr="00AE62EF" w:rsidRDefault="00F71EA3" w:rsidP="0012146F">
            <w:pPr>
              <w:pStyle w:val="TTTableText"/>
              <w:rPr>
                <w:rFonts w:cs="Calibri"/>
              </w:rPr>
            </w:pPr>
            <w:r w:rsidRPr="00AE62EF">
              <w:rPr>
                <w:rFonts w:cs="Calibri"/>
              </w:rPr>
              <w:t>Agreement on Government Procurement</w:t>
            </w:r>
          </w:p>
        </w:tc>
      </w:tr>
      <w:tr w:rsidR="00F71EA3" w:rsidRPr="00AE62EF" w14:paraId="3DC995FE" w14:textId="77777777" w:rsidTr="0012146F">
        <w:trPr>
          <w:cantSplit/>
          <w:trHeight w:val="397"/>
        </w:trPr>
        <w:tc>
          <w:tcPr>
            <w:tcW w:w="2251" w:type="dxa"/>
          </w:tcPr>
          <w:p w14:paraId="5999E825" w14:textId="77777777" w:rsidR="00F71EA3" w:rsidRPr="00AE62EF" w:rsidRDefault="00F71EA3" w:rsidP="0012146F">
            <w:pPr>
              <w:pStyle w:val="TTTableText"/>
              <w:rPr>
                <w:rFonts w:cs="Calibri"/>
              </w:rPr>
            </w:pPr>
            <w:r w:rsidRPr="00AE62EF">
              <w:rPr>
                <w:rFonts w:cs="Calibri"/>
              </w:rPr>
              <w:t>ILC Articles</w:t>
            </w:r>
          </w:p>
        </w:tc>
        <w:tc>
          <w:tcPr>
            <w:tcW w:w="6809" w:type="dxa"/>
          </w:tcPr>
          <w:p w14:paraId="006BAC9C" w14:textId="77777777" w:rsidR="00F71EA3" w:rsidRPr="00AE62EF" w:rsidRDefault="00F71EA3" w:rsidP="0012146F">
            <w:pPr>
              <w:pStyle w:val="TTTableText"/>
              <w:rPr>
                <w:rFonts w:cs="Calibri"/>
              </w:rPr>
            </w:pPr>
            <w:r w:rsidRPr="00AE62EF">
              <w:rPr>
                <w:rFonts w:cs="Calibri"/>
              </w:rPr>
              <w:t>International Law Commission’s Articles on Responsibility of States for Internationally Wrongful Acts (2001)</w:t>
            </w:r>
          </w:p>
        </w:tc>
      </w:tr>
      <w:tr w:rsidR="00F71EA3" w:rsidRPr="00AE62EF" w14:paraId="1E04F860" w14:textId="77777777" w:rsidTr="0012146F">
        <w:trPr>
          <w:cantSplit/>
          <w:trHeight w:val="397"/>
        </w:trPr>
        <w:tc>
          <w:tcPr>
            <w:tcW w:w="2251" w:type="dxa"/>
          </w:tcPr>
          <w:p w14:paraId="798C0963" w14:textId="77777777" w:rsidR="00F71EA3" w:rsidRPr="00AE62EF" w:rsidRDefault="00F71EA3" w:rsidP="0012146F">
            <w:pPr>
              <w:pStyle w:val="TTTableText"/>
              <w:rPr>
                <w:rFonts w:cs="Calibri"/>
              </w:rPr>
            </w:pPr>
            <w:r w:rsidRPr="00AE62EF">
              <w:rPr>
                <w:rFonts w:cs="Calibri"/>
              </w:rPr>
              <w:t>Member</w:t>
            </w:r>
          </w:p>
        </w:tc>
        <w:tc>
          <w:tcPr>
            <w:tcW w:w="6809" w:type="dxa"/>
          </w:tcPr>
          <w:p w14:paraId="0C5117A6" w14:textId="77777777" w:rsidR="00F71EA3" w:rsidRPr="00AE62EF" w:rsidRDefault="00F71EA3" w:rsidP="0012146F">
            <w:pPr>
              <w:pStyle w:val="TTTableText"/>
              <w:rPr>
                <w:rFonts w:cs="Calibri"/>
              </w:rPr>
            </w:pPr>
            <w:r w:rsidRPr="00AE62EF">
              <w:rPr>
                <w:rFonts w:cs="Calibri"/>
              </w:rPr>
              <w:t>Member of the World Trade Organization</w:t>
            </w:r>
          </w:p>
        </w:tc>
      </w:tr>
      <w:tr w:rsidR="00F71EA3" w:rsidRPr="00AE62EF" w14:paraId="1BD23F77" w14:textId="77777777" w:rsidTr="0012146F">
        <w:trPr>
          <w:cantSplit/>
          <w:trHeight w:val="397"/>
        </w:trPr>
        <w:tc>
          <w:tcPr>
            <w:tcW w:w="2251" w:type="dxa"/>
          </w:tcPr>
          <w:p w14:paraId="3FB92FC6" w14:textId="77777777" w:rsidR="00F71EA3" w:rsidRPr="00AE62EF" w:rsidRDefault="00F71EA3" w:rsidP="0012146F">
            <w:pPr>
              <w:pStyle w:val="TTTableText"/>
              <w:rPr>
                <w:rFonts w:cs="Calibri"/>
              </w:rPr>
            </w:pPr>
            <w:r w:rsidRPr="00AE62EF">
              <w:rPr>
                <w:rFonts w:cs="Calibri"/>
              </w:rPr>
              <w:t>SCM Agreement</w:t>
            </w:r>
          </w:p>
        </w:tc>
        <w:tc>
          <w:tcPr>
            <w:tcW w:w="6809" w:type="dxa"/>
          </w:tcPr>
          <w:p w14:paraId="3E6AA1E9" w14:textId="77777777" w:rsidR="00F71EA3" w:rsidRPr="00AE62EF" w:rsidRDefault="00F71EA3" w:rsidP="0012146F">
            <w:pPr>
              <w:pStyle w:val="TTTableText"/>
              <w:rPr>
                <w:rFonts w:cs="Calibri"/>
              </w:rPr>
            </w:pPr>
            <w:r w:rsidRPr="00AE62EF">
              <w:rPr>
                <w:rFonts w:cs="Calibri"/>
              </w:rPr>
              <w:t>Agreement on Subsidies and Countervailing Measures</w:t>
            </w:r>
          </w:p>
        </w:tc>
      </w:tr>
      <w:tr w:rsidR="00F71EA3" w:rsidRPr="00AE62EF" w14:paraId="1498EDB3" w14:textId="77777777" w:rsidTr="0012146F">
        <w:trPr>
          <w:cantSplit/>
          <w:trHeight w:val="397"/>
        </w:trPr>
        <w:tc>
          <w:tcPr>
            <w:tcW w:w="2251" w:type="dxa"/>
          </w:tcPr>
          <w:p w14:paraId="6BD96735" w14:textId="77777777" w:rsidR="00F71EA3" w:rsidRPr="00AE62EF" w:rsidRDefault="00F71EA3" w:rsidP="0012146F">
            <w:pPr>
              <w:pStyle w:val="TTTableText"/>
              <w:rPr>
                <w:rFonts w:cs="Calibri"/>
              </w:rPr>
            </w:pPr>
            <w:r w:rsidRPr="00AE62EF">
              <w:rPr>
                <w:rFonts w:cs="Calibri"/>
              </w:rPr>
              <w:t>Vienna Convention</w:t>
            </w:r>
          </w:p>
        </w:tc>
        <w:tc>
          <w:tcPr>
            <w:tcW w:w="6809" w:type="dxa"/>
          </w:tcPr>
          <w:p w14:paraId="0E595830" w14:textId="77777777" w:rsidR="00F71EA3" w:rsidRPr="00AE62EF" w:rsidRDefault="00F71EA3" w:rsidP="0012146F">
            <w:pPr>
              <w:pStyle w:val="TTTableText"/>
              <w:rPr>
                <w:rFonts w:cs="Calibri"/>
              </w:rPr>
            </w:pPr>
            <w:r w:rsidRPr="00AE62EF">
              <w:rPr>
                <w:rFonts w:cs="Calibri"/>
              </w:rPr>
              <w:t>Vienna Convention on the Law of Treaties (1969)</w:t>
            </w:r>
          </w:p>
        </w:tc>
      </w:tr>
      <w:tr w:rsidR="00F71EA3" w:rsidRPr="00AE62EF" w14:paraId="19648998" w14:textId="77777777" w:rsidTr="0012146F">
        <w:trPr>
          <w:cantSplit/>
          <w:trHeight w:val="397"/>
        </w:trPr>
        <w:tc>
          <w:tcPr>
            <w:tcW w:w="2251" w:type="dxa"/>
          </w:tcPr>
          <w:p w14:paraId="49E3B1B6" w14:textId="77777777" w:rsidR="00F71EA3" w:rsidRPr="00AE62EF" w:rsidRDefault="00F71EA3" w:rsidP="0012146F">
            <w:pPr>
              <w:pStyle w:val="TTTableText"/>
              <w:rPr>
                <w:rFonts w:cs="Calibri"/>
              </w:rPr>
            </w:pPr>
            <w:r w:rsidRPr="00AE62EF">
              <w:rPr>
                <w:rFonts w:cs="Calibri"/>
              </w:rPr>
              <w:t>WTO</w:t>
            </w:r>
          </w:p>
        </w:tc>
        <w:tc>
          <w:tcPr>
            <w:tcW w:w="6809" w:type="dxa"/>
          </w:tcPr>
          <w:p w14:paraId="3F256A1C" w14:textId="77777777" w:rsidR="00F71EA3" w:rsidRPr="00AE62EF" w:rsidRDefault="00F71EA3" w:rsidP="0012146F">
            <w:pPr>
              <w:pStyle w:val="TTTableText"/>
              <w:rPr>
                <w:rFonts w:cs="Calibri"/>
              </w:rPr>
            </w:pPr>
            <w:r w:rsidRPr="00AE62EF">
              <w:rPr>
                <w:rFonts w:cs="Calibri"/>
              </w:rPr>
              <w:t>World Trade Organization</w:t>
            </w:r>
          </w:p>
        </w:tc>
      </w:tr>
    </w:tbl>
    <w:p w14:paraId="40FF4264" w14:textId="77777777" w:rsidR="00F71EA3" w:rsidRPr="00AE62EF" w:rsidRDefault="00F71EA3" w:rsidP="00F71EA3">
      <w:pPr>
        <w:pStyle w:val="BTNSSBodyTextNoSpacingSmall"/>
        <w:rPr>
          <w:rFonts w:cs="Calibri"/>
        </w:rPr>
      </w:pPr>
    </w:p>
    <w:p w14:paraId="1BA2DCAF" w14:textId="77777777" w:rsidR="00F71EA3" w:rsidRPr="00AE62EF" w:rsidRDefault="00F71EA3" w:rsidP="00F71EA3">
      <w:pPr>
        <w:pStyle w:val="BTNSSBodyTextNoSpacingSmall"/>
        <w:rPr>
          <w:rFonts w:cs="Calibri"/>
        </w:rPr>
      </w:pPr>
    </w:p>
    <w:p w14:paraId="51F8DDB2" w14:textId="77777777" w:rsidR="00F71EA3" w:rsidRPr="00AE62EF" w:rsidRDefault="00F71EA3" w:rsidP="00F71EA3">
      <w:pPr>
        <w:pStyle w:val="BTBodyText"/>
        <w:rPr>
          <w:rFonts w:cs="Calibri"/>
        </w:rPr>
      </w:pPr>
    </w:p>
    <w:p w14:paraId="535DD160" w14:textId="77777777" w:rsidR="00F71EA3" w:rsidRPr="00AE62EF" w:rsidRDefault="00F71EA3" w:rsidP="00F71EA3">
      <w:pPr>
        <w:pStyle w:val="BTNSSBodyTextNoSpacingSmall"/>
        <w:rPr>
          <w:rFonts w:cs="Calibri"/>
        </w:rPr>
      </w:pPr>
    </w:p>
    <w:p w14:paraId="5136364D" w14:textId="77777777" w:rsidR="00F71EA3" w:rsidRPr="00AE62EF" w:rsidRDefault="00F71EA3" w:rsidP="00F71EA3">
      <w:pPr>
        <w:pStyle w:val="BTBodyText"/>
        <w:rPr>
          <w:rFonts w:cs="Calibri"/>
        </w:rPr>
      </w:pPr>
      <w:r w:rsidRPr="00AE62EF">
        <w:rPr>
          <w:rFonts w:cs="Calibri"/>
        </w:rPr>
        <w:br w:type="page"/>
      </w:r>
    </w:p>
    <w:p w14:paraId="27CE0D6D" w14:textId="77777777" w:rsidR="00F71EA3" w:rsidRPr="00AE62EF" w:rsidRDefault="00F71EA3" w:rsidP="00F71EA3">
      <w:pPr>
        <w:pStyle w:val="HL1HeadingLevel1"/>
        <w:rPr>
          <w:rFonts w:cs="Calibri"/>
        </w:rPr>
      </w:pPr>
      <w:bookmarkStart w:id="7" w:name="_Toc157084383"/>
      <w:bookmarkStart w:id="8" w:name="_Toc157790644"/>
      <w:bookmarkEnd w:id="7"/>
      <w:r w:rsidRPr="00AE62EF">
        <w:rPr>
          <w:rFonts w:cs="Calibri"/>
        </w:rPr>
        <w:lastRenderedPageBreak/>
        <w:t>Introduction</w:t>
      </w:r>
      <w:bookmarkEnd w:id="1"/>
      <w:bookmarkEnd w:id="2"/>
      <w:bookmarkEnd w:id="8"/>
      <w:r w:rsidRPr="00AE62EF">
        <w:rPr>
          <w:rFonts w:cs="Calibri"/>
        </w:rPr>
        <w:t xml:space="preserve"> </w:t>
      </w:r>
    </w:p>
    <w:p w14:paraId="26E5E631" w14:textId="77777777" w:rsidR="00F71EA3" w:rsidRPr="00AE62EF" w:rsidRDefault="00F71EA3" w:rsidP="00F71EA3">
      <w:pPr>
        <w:pStyle w:val="P1-N1Paragraph1-Number1"/>
        <w:rPr>
          <w:rFonts w:cs="Calibri"/>
        </w:rPr>
      </w:pPr>
      <w:r w:rsidRPr="00AE62EF">
        <w:rPr>
          <w:rFonts w:cs="Calibri"/>
        </w:rPr>
        <w:t xml:space="preserve">Australia welcomes the opportunity to present its views to the Panel. Australia considers that the proceedings initiated by Indonesia under the DSU raise important questions of the proper application of the WTO Agreements.  </w:t>
      </w:r>
    </w:p>
    <w:p w14:paraId="5CBCA63D" w14:textId="77777777" w:rsidR="00F71EA3" w:rsidRPr="00AE62EF" w:rsidRDefault="00F71EA3" w:rsidP="00F71EA3">
      <w:pPr>
        <w:pStyle w:val="P1-N1Paragraph1-Number1"/>
        <w:rPr>
          <w:rFonts w:cs="Calibri"/>
        </w:rPr>
      </w:pPr>
      <w:r w:rsidRPr="00AE62EF">
        <w:rPr>
          <w:rFonts w:cs="Calibri"/>
        </w:rPr>
        <w:t xml:space="preserve">In Australia's view, the central question in this case is whether the Commission properly concluded that funding originating in China was </w:t>
      </w:r>
      <w:r w:rsidRPr="00AE62EF">
        <w:rPr>
          <w:rFonts w:cs="Calibri"/>
          <w:i/>
          <w:iCs/>
        </w:rPr>
        <w:t>attributable</w:t>
      </w:r>
      <w:r w:rsidRPr="00AE62EF">
        <w:rPr>
          <w:rFonts w:cs="Calibri"/>
        </w:rPr>
        <w:t xml:space="preserve"> to the </w:t>
      </w:r>
      <w:r>
        <w:rPr>
          <w:rFonts w:cs="Calibri"/>
        </w:rPr>
        <w:t>GOID</w:t>
      </w:r>
      <w:r w:rsidRPr="00AE62EF">
        <w:rPr>
          <w:rFonts w:cs="Calibri"/>
        </w:rPr>
        <w:t xml:space="preserve"> for the purposes of the SCM Agreement, such that it could be countervailed as an Indonesian subsidy. Australia will make submissions to guide the Panel's consideration of the parties' arguments with respect to attribution, emphasising that the task before the Panel is to assess whether the Commission's conclusions in this regard were 'reasoned and adequate' in light of the evidence before it. Australia will submit that the Panel should not endorse an interpretation of the SCM Agreement that unduly constrains WTO Members from </w:t>
      </w:r>
      <w:proofErr w:type="gramStart"/>
      <w:r w:rsidRPr="00AE62EF">
        <w:rPr>
          <w:rFonts w:cs="Calibri"/>
        </w:rPr>
        <w:t>taking action</w:t>
      </w:r>
      <w:proofErr w:type="gramEnd"/>
      <w:r w:rsidRPr="00AE62EF">
        <w:rPr>
          <w:rFonts w:cs="Calibri"/>
        </w:rPr>
        <w:t xml:space="preserve"> against trade</w:t>
      </w:r>
      <w:r>
        <w:rPr>
          <w:rFonts w:cs="Calibri"/>
        </w:rPr>
        <w:noBreakHyphen/>
      </w:r>
      <w:r w:rsidRPr="00AE62EF">
        <w:rPr>
          <w:rFonts w:cs="Calibri"/>
        </w:rPr>
        <w:t xml:space="preserve">distortive subsidies </w:t>
      </w:r>
      <w:r>
        <w:rPr>
          <w:rFonts w:cs="Calibri"/>
        </w:rPr>
        <w:t>that</w:t>
      </w:r>
      <w:r w:rsidRPr="00AE62EF">
        <w:rPr>
          <w:rFonts w:cs="Calibri"/>
        </w:rPr>
        <w:t xml:space="preserve"> circumvent the disciplines in the SCM Agreement. </w:t>
      </w:r>
    </w:p>
    <w:p w14:paraId="4C425417" w14:textId="77777777" w:rsidR="00F71EA3" w:rsidRPr="00AE62EF" w:rsidRDefault="00F71EA3" w:rsidP="00F71EA3">
      <w:pPr>
        <w:pStyle w:val="P1-N1Paragraph1-Number1"/>
        <w:rPr>
          <w:rFonts w:cs="Calibri"/>
        </w:rPr>
      </w:pPr>
      <w:r w:rsidRPr="00AE62EF">
        <w:rPr>
          <w:rFonts w:cs="Calibri"/>
        </w:rPr>
        <w:t xml:space="preserve">Australia will also make submissions with respect to two further issues raised in this dispute, </w:t>
      </w:r>
      <w:r>
        <w:rPr>
          <w:rFonts w:cs="Calibri"/>
        </w:rPr>
        <w:t xml:space="preserve">namely </w:t>
      </w:r>
      <w:r w:rsidRPr="00AE62EF">
        <w:rPr>
          <w:rFonts w:cs="Calibri"/>
        </w:rPr>
        <w:t xml:space="preserve">the Commission's approach to determining specificity and the notice requirements under the SCM Agreement. Australia will submit that </w:t>
      </w:r>
      <w:bookmarkStart w:id="9" w:name="_Hlk157498673"/>
      <w:r w:rsidRPr="00AE62EF">
        <w:rPr>
          <w:rFonts w:cs="Calibri"/>
        </w:rPr>
        <w:t>where a good is provided for less than adequate remuneration,</w:t>
      </w:r>
      <w:bookmarkEnd w:id="9"/>
      <w:r w:rsidRPr="00AE62EF">
        <w:rPr>
          <w:rFonts w:cs="Calibri"/>
        </w:rPr>
        <w:t xml:space="preserve"> specificity may be evident from the 'inherent characteristics' of the good. Australia will also submit that the SCM Agreement does not prescribe the manner in which investigating authorities must give notice to interested parties.</w:t>
      </w:r>
    </w:p>
    <w:p w14:paraId="27A0DFB5" w14:textId="77777777" w:rsidR="00F71EA3" w:rsidRPr="00AE62EF" w:rsidRDefault="00F71EA3" w:rsidP="00F71EA3">
      <w:pPr>
        <w:pStyle w:val="P1-N1Paragraph1-Number1"/>
        <w:rPr>
          <w:rFonts w:cs="Calibri"/>
          <w:i/>
          <w:iCs/>
        </w:rPr>
      </w:pPr>
      <w:r w:rsidRPr="00AE62EF">
        <w:rPr>
          <w:rFonts w:cs="Calibri"/>
        </w:rPr>
        <w:t>Australia does not present any position on the specific facts of this dispute, and reserves the right to raise other issues at the third party hearing before the Panel.</w:t>
      </w:r>
    </w:p>
    <w:p w14:paraId="61B2E510" w14:textId="77777777" w:rsidR="00F71EA3" w:rsidRPr="00AE62EF" w:rsidRDefault="00F71EA3" w:rsidP="00F71EA3">
      <w:pPr>
        <w:pStyle w:val="HL1HeadingLevel1"/>
        <w:rPr>
          <w:rFonts w:cs="Calibri"/>
        </w:rPr>
      </w:pPr>
      <w:bookmarkStart w:id="10" w:name="_Toc157790645"/>
      <w:r w:rsidRPr="00AE62EF">
        <w:rPr>
          <w:rFonts w:cs="Calibri"/>
        </w:rPr>
        <w:t>Attribution</w:t>
      </w:r>
      <w:bookmarkEnd w:id="10"/>
    </w:p>
    <w:p w14:paraId="270A8D80" w14:textId="77777777" w:rsidR="00F71EA3" w:rsidRPr="00AE62EF" w:rsidRDefault="00F71EA3" w:rsidP="00F71EA3">
      <w:pPr>
        <w:pStyle w:val="P1-N1Paragraph1-Number1"/>
        <w:rPr>
          <w:rFonts w:cs="Calibri"/>
        </w:rPr>
      </w:pPr>
      <w:r w:rsidRPr="00AE62EF">
        <w:rPr>
          <w:rFonts w:cs="Calibri"/>
        </w:rPr>
        <w:t>Australia will make the following submissions to assist the Panel in its consideration of the parties' arguments with respect to attribution.</w:t>
      </w:r>
      <w:bookmarkStart w:id="11" w:name="_Toc156896957"/>
      <w:bookmarkEnd w:id="11"/>
    </w:p>
    <w:p w14:paraId="5AE3368C" w14:textId="77777777" w:rsidR="00F71EA3" w:rsidRPr="00AE62EF" w:rsidRDefault="00F71EA3" w:rsidP="00F71EA3">
      <w:pPr>
        <w:pStyle w:val="P2-B1Paragraph2-Bullet1"/>
        <w:rPr>
          <w:rFonts w:cs="Calibri"/>
        </w:rPr>
      </w:pPr>
      <w:r w:rsidRPr="00AE62EF">
        <w:rPr>
          <w:rFonts w:cs="Calibri"/>
        </w:rPr>
        <w:t xml:space="preserve">Firstly, Australia will </w:t>
      </w:r>
      <w:r>
        <w:rPr>
          <w:rFonts w:cs="Calibri"/>
        </w:rPr>
        <w:t>emphasise that</w:t>
      </w:r>
      <w:r w:rsidRPr="00AE62EF">
        <w:rPr>
          <w:rFonts w:cs="Calibri"/>
        </w:rPr>
        <w:t xml:space="preserve"> the task of the Panel i</w:t>
      </w:r>
      <w:r>
        <w:rPr>
          <w:rFonts w:cs="Calibri"/>
        </w:rPr>
        <w:t>s to</w:t>
      </w:r>
      <w:r w:rsidRPr="00AE62EF">
        <w:rPr>
          <w:rFonts w:cs="Calibri"/>
        </w:rPr>
        <w:t xml:space="preserve"> assess whether the Commission's conclusions were 'reasoned and adequate'</w:t>
      </w:r>
      <w:r>
        <w:rPr>
          <w:rFonts w:cs="Calibri"/>
        </w:rPr>
        <w:t xml:space="preserve"> in light of the evidence on the record</w:t>
      </w:r>
      <w:r w:rsidRPr="00AE62EF">
        <w:rPr>
          <w:rFonts w:cs="Calibri"/>
        </w:rPr>
        <w:t>.</w:t>
      </w:r>
      <w:bookmarkStart w:id="12" w:name="_Toc156896958"/>
      <w:bookmarkEnd w:id="12"/>
    </w:p>
    <w:p w14:paraId="59B08AE6" w14:textId="77777777" w:rsidR="00F71EA3" w:rsidRPr="00AE62EF" w:rsidRDefault="00F71EA3" w:rsidP="00F71EA3">
      <w:pPr>
        <w:pStyle w:val="P2-B1Paragraph2-Bullet1"/>
        <w:rPr>
          <w:rFonts w:cs="Calibri"/>
        </w:rPr>
      </w:pPr>
      <w:r w:rsidRPr="00AE62EF">
        <w:rPr>
          <w:rFonts w:cs="Calibri"/>
        </w:rPr>
        <w:lastRenderedPageBreak/>
        <w:t xml:space="preserve">Secondly, Australia will submit that the SCM Agreement should not be interpreted in a way </w:t>
      </w:r>
      <w:r>
        <w:rPr>
          <w:rFonts w:cs="Calibri"/>
        </w:rPr>
        <w:t>that</w:t>
      </w:r>
      <w:r w:rsidRPr="00AE62EF">
        <w:rPr>
          <w:rFonts w:cs="Calibri"/>
        </w:rPr>
        <w:t xml:space="preserve"> unintentionally provides Members with a pathway to circumvent WTO subsidy rules. </w:t>
      </w:r>
      <w:bookmarkStart w:id="13" w:name="_Toc156896959"/>
      <w:bookmarkEnd w:id="13"/>
    </w:p>
    <w:p w14:paraId="64CD84ED" w14:textId="77777777" w:rsidR="00F71EA3" w:rsidRPr="00AE62EF" w:rsidRDefault="00F71EA3" w:rsidP="00F71EA3">
      <w:pPr>
        <w:pStyle w:val="P2-B1Paragraph2-Bullet1"/>
        <w:rPr>
          <w:rFonts w:cs="Calibri"/>
        </w:rPr>
      </w:pPr>
      <w:r w:rsidRPr="00AE62EF">
        <w:rPr>
          <w:rFonts w:cs="Calibri"/>
        </w:rPr>
        <w:t xml:space="preserve">Thirdly, Australia will submit that the Panel should ensure that its findings do not inadvertently impact regular and commonplace funding arrangements between States. </w:t>
      </w:r>
      <w:bookmarkStart w:id="14" w:name="_Toc156896960"/>
      <w:bookmarkEnd w:id="14"/>
    </w:p>
    <w:p w14:paraId="3B715D1A" w14:textId="77777777" w:rsidR="00F71EA3" w:rsidRPr="00AE62EF" w:rsidRDefault="00F71EA3" w:rsidP="00F71EA3">
      <w:pPr>
        <w:pStyle w:val="P2-B1Paragraph2-Bullet1"/>
        <w:rPr>
          <w:rFonts w:cs="Calibri"/>
        </w:rPr>
      </w:pPr>
      <w:r w:rsidRPr="00AE62EF">
        <w:rPr>
          <w:rFonts w:cs="Calibri"/>
        </w:rPr>
        <w:t xml:space="preserve">Finally, Australia will make submissions to guide the Panel should it </w:t>
      </w:r>
      <w:bookmarkStart w:id="15" w:name="_Hlk157499215"/>
      <w:r w:rsidRPr="00AE62EF">
        <w:rPr>
          <w:rFonts w:cs="Calibri"/>
        </w:rPr>
        <w:t xml:space="preserve">consider it necessary to consider the relevance of Article 11 of the </w:t>
      </w:r>
      <w:bookmarkEnd w:id="15"/>
      <w:r>
        <w:rPr>
          <w:rFonts w:cs="Calibri"/>
        </w:rPr>
        <w:t>ILC Articles</w:t>
      </w:r>
      <w:r w:rsidRPr="00AE62EF">
        <w:rPr>
          <w:rFonts w:cs="Calibri"/>
        </w:rPr>
        <w:t>.</w:t>
      </w:r>
      <w:bookmarkStart w:id="16" w:name="_Toc156896961"/>
      <w:bookmarkEnd w:id="16"/>
    </w:p>
    <w:p w14:paraId="070D8298" w14:textId="77777777" w:rsidR="00F71EA3" w:rsidRPr="00AE62EF" w:rsidRDefault="00F71EA3" w:rsidP="00F71EA3">
      <w:pPr>
        <w:pStyle w:val="HL2HeadingLevel2"/>
        <w:rPr>
          <w:rFonts w:cs="Calibri"/>
        </w:rPr>
      </w:pPr>
      <w:bookmarkStart w:id="17" w:name="_Toc157790646"/>
      <w:r w:rsidRPr="00AE62EF">
        <w:rPr>
          <w:rFonts w:cs="Calibri"/>
        </w:rPr>
        <w:t>The task of the Panel is to consider whether the Commission reached 'reasoned and adequate conclusions' in light of the evidence on the record</w:t>
      </w:r>
      <w:bookmarkEnd w:id="17"/>
    </w:p>
    <w:p w14:paraId="2C57B406" w14:textId="77777777" w:rsidR="00F71EA3" w:rsidRPr="00AE62EF" w:rsidRDefault="00F71EA3" w:rsidP="00F71EA3">
      <w:pPr>
        <w:pStyle w:val="P1-N1Paragraph1-Number1"/>
        <w:rPr>
          <w:rFonts w:cs="Calibri"/>
        </w:rPr>
      </w:pPr>
      <w:r w:rsidRPr="00AE62EF">
        <w:rPr>
          <w:rFonts w:cs="Calibri"/>
        </w:rPr>
        <w:t xml:space="preserve">Australia recalls that a panel's role is not to undertake a </w:t>
      </w:r>
      <w:r w:rsidRPr="00AE62EF">
        <w:rPr>
          <w:rFonts w:cs="Calibri"/>
          <w:i/>
          <w:iCs/>
        </w:rPr>
        <w:t xml:space="preserve">de novo </w:t>
      </w:r>
      <w:r w:rsidRPr="00AE62EF">
        <w:rPr>
          <w:rFonts w:cs="Calibri"/>
        </w:rPr>
        <w:t>review, and neither should it defer to the conclusions of an investigating authority.</w:t>
      </w:r>
      <w:r w:rsidRPr="00AE62EF">
        <w:rPr>
          <w:rStyle w:val="FootnoteReference"/>
          <w:rFonts w:cs="Calibri"/>
        </w:rPr>
        <w:footnoteReference w:id="1"/>
      </w:r>
      <w:r w:rsidRPr="00AE62EF">
        <w:rPr>
          <w:rFonts w:cs="Calibri"/>
        </w:rPr>
        <w:t xml:space="preserve"> Instead, the task before the Panel is to test whether an investigating authority's reasoning is 'coherent and internally consistent', and to 'examine whether, in the light of the evidence on the record, the conclusions reached by the investigating authority are reasoned and adequate'.</w:t>
      </w:r>
      <w:r w:rsidRPr="00AE62EF">
        <w:rPr>
          <w:rStyle w:val="FootnoteReference"/>
          <w:rFonts w:cs="Calibri"/>
        </w:rPr>
        <w:footnoteReference w:id="2"/>
      </w:r>
      <w:r w:rsidRPr="00AE62EF">
        <w:rPr>
          <w:rFonts w:cs="Calibri"/>
        </w:rPr>
        <w:t xml:space="preserve"> </w:t>
      </w:r>
    </w:p>
    <w:p w14:paraId="3BA20380" w14:textId="77777777" w:rsidR="00F71EA3" w:rsidRPr="00AE62EF" w:rsidRDefault="00F71EA3" w:rsidP="00F71EA3">
      <w:pPr>
        <w:pStyle w:val="P1-N1Paragraph1-Number1"/>
        <w:rPr>
          <w:rFonts w:cs="Calibri"/>
        </w:rPr>
      </w:pPr>
      <w:r w:rsidRPr="00AE62EF">
        <w:rPr>
          <w:rFonts w:cs="Calibri"/>
        </w:rPr>
        <w:t xml:space="preserve">Australia submits that the words 'in the light of the evidence on the record' are particularly pertinent in the present case. In this regard, Australia observes that </w:t>
      </w:r>
      <w:r>
        <w:rPr>
          <w:rFonts w:cs="Calibri"/>
        </w:rPr>
        <w:t xml:space="preserve">in this case </w:t>
      </w:r>
      <w:r w:rsidRPr="00AE62EF">
        <w:rPr>
          <w:rFonts w:cs="Calibri"/>
        </w:rPr>
        <w:t>the Commission had before it a unique set of facts. Australia observes that the EU characterises the BRI arrangement at issue in this dispute as being 'remarkably different' from regular foreign direct investment arrangements.</w:t>
      </w:r>
      <w:r w:rsidRPr="00AE62EF">
        <w:rPr>
          <w:rStyle w:val="FootnoteReference"/>
          <w:rFonts w:cs="Calibri"/>
        </w:rPr>
        <w:footnoteReference w:id="3"/>
      </w:r>
      <w:r w:rsidRPr="00AE62EF">
        <w:rPr>
          <w:rFonts w:cs="Calibri"/>
        </w:rPr>
        <w:t xml:space="preserve"> The Commission found evidence of coordination between the governments of Indonesia and China that far surpassed general economic cooperation. Specifically, the Commission found and relied on 'extensive, detailed and unambiguous evidence demonstrating that the GOID consciously sought, acknowledged and adopted as its own financial support from the GOC'.</w:t>
      </w:r>
      <w:r w:rsidRPr="00AE62EF">
        <w:rPr>
          <w:rStyle w:val="FootnoteReference"/>
          <w:rFonts w:cs="Calibri"/>
        </w:rPr>
        <w:footnoteReference w:id="4"/>
      </w:r>
      <w:r w:rsidRPr="00AE62EF">
        <w:rPr>
          <w:rFonts w:cs="Calibri"/>
        </w:rPr>
        <w:t xml:space="preserve"> This included evidence that the Indonesian and Chinese governments 'agreed to join forces' to set up the </w:t>
      </w:r>
      <w:proofErr w:type="spellStart"/>
      <w:r w:rsidRPr="00AE62EF">
        <w:rPr>
          <w:rFonts w:cs="Calibri"/>
        </w:rPr>
        <w:t>Morowali</w:t>
      </w:r>
      <w:proofErr w:type="spellEnd"/>
      <w:r w:rsidRPr="00AE62EF">
        <w:rPr>
          <w:rFonts w:cs="Calibri"/>
        </w:rPr>
        <w:t xml:space="preserve"> Industrial </w:t>
      </w:r>
      <w:r w:rsidRPr="00AE62EF">
        <w:rPr>
          <w:rFonts w:cs="Calibri"/>
        </w:rPr>
        <w:lastRenderedPageBreak/>
        <w:t>Park, to support the objectives of both governments.</w:t>
      </w:r>
      <w:r w:rsidRPr="00AE62EF">
        <w:rPr>
          <w:rStyle w:val="FootnoteReference"/>
          <w:rFonts w:cs="Calibri"/>
        </w:rPr>
        <w:footnoteReference w:id="5"/>
      </w:r>
      <w:r w:rsidRPr="00AE62EF">
        <w:rPr>
          <w:rFonts w:cs="Calibri"/>
        </w:rPr>
        <w:t xml:space="preserve"> The extent of coordination was deep: in addition to concluding a series of bilateral cooperation agreements, the governments of Indonesia and China jointly implemented the project and monitored the operation of the </w:t>
      </w:r>
      <w:proofErr w:type="spellStart"/>
      <w:r w:rsidRPr="00AE62EF">
        <w:rPr>
          <w:rFonts w:cs="Calibri"/>
        </w:rPr>
        <w:t>Morowali</w:t>
      </w:r>
      <w:proofErr w:type="spellEnd"/>
      <w:r w:rsidRPr="00AE62EF">
        <w:rPr>
          <w:rFonts w:cs="Calibri"/>
        </w:rPr>
        <w:t xml:space="preserve"> Industrial Park.</w:t>
      </w:r>
      <w:r w:rsidRPr="00AE62EF">
        <w:rPr>
          <w:rStyle w:val="FootnoteReference"/>
          <w:rFonts w:cs="Calibri"/>
        </w:rPr>
        <w:footnoteReference w:id="6"/>
      </w:r>
      <w:r w:rsidRPr="00AE62EF">
        <w:rPr>
          <w:rFonts w:cs="Calibri"/>
        </w:rPr>
        <w:t xml:space="preserve"> The Panel should carefully consider the specific facts of this case when assessing whether the European Commission's conclusions in this dispute were 'reasoned and adequate' .</w:t>
      </w:r>
    </w:p>
    <w:p w14:paraId="516D1D9D" w14:textId="77777777" w:rsidR="00F71EA3" w:rsidRPr="00AE62EF" w:rsidRDefault="00F71EA3" w:rsidP="00F71EA3">
      <w:pPr>
        <w:pStyle w:val="HL2HeadingLevel2"/>
        <w:rPr>
          <w:rFonts w:cs="Calibri"/>
        </w:rPr>
      </w:pPr>
      <w:bookmarkStart w:id="18" w:name="_Toc157790647"/>
      <w:r w:rsidRPr="00AE62EF">
        <w:rPr>
          <w:rFonts w:cs="Calibri"/>
        </w:rPr>
        <w:t xml:space="preserve">The SCM Agreement should not be interpreted in a manner </w:t>
      </w:r>
      <w:r>
        <w:rPr>
          <w:rFonts w:cs="Calibri"/>
        </w:rPr>
        <w:t>that</w:t>
      </w:r>
      <w:r w:rsidRPr="00AE62EF">
        <w:rPr>
          <w:rFonts w:cs="Calibri"/>
        </w:rPr>
        <w:t xml:space="preserve"> unintentionally provides members with a pathway to circumvent subsidy rules</w:t>
      </w:r>
      <w:bookmarkEnd w:id="18"/>
    </w:p>
    <w:p w14:paraId="62160140" w14:textId="77777777" w:rsidR="00F71EA3" w:rsidRPr="00AE62EF" w:rsidRDefault="00F71EA3" w:rsidP="00F71EA3">
      <w:pPr>
        <w:pStyle w:val="P1-N1Paragraph1-Number1"/>
        <w:rPr>
          <w:rFonts w:cs="Calibri"/>
        </w:rPr>
      </w:pPr>
      <w:r w:rsidRPr="00AE62EF">
        <w:rPr>
          <w:rFonts w:cs="Calibri"/>
        </w:rPr>
        <w:t xml:space="preserve">Australia observes that the SCM Agreement provides a framework that governs the application of countervailing duties by a WTO Member. It sets out the substantive and procedural requirements </w:t>
      </w:r>
      <w:r>
        <w:rPr>
          <w:rFonts w:cs="Calibri"/>
        </w:rPr>
        <w:t>that</w:t>
      </w:r>
      <w:r w:rsidRPr="00AE62EF">
        <w:rPr>
          <w:rFonts w:cs="Calibri"/>
        </w:rPr>
        <w:t xml:space="preserve"> must be met in order for countervailing duties to be applied.  Australia also observes that the Panel in </w:t>
      </w:r>
      <w:r w:rsidRPr="00AE62EF">
        <w:rPr>
          <w:rFonts w:cs="Calibri"/>
          <w:i/>
          <w:iCs/>
        </w:rPr>
        <w:t>Brazil – Aircraft</w:t>
      </w:r>
      <w:r w:rsidRPr="00AE62EF">
        <w:rPr>
          <w:rFonts w:cs="Calibri"/>
        </w:rPr>
        <w:t xml:space="preserve"> explained that 'the object and purpose of the SCM Agreement is to impose multilateral disciplines on subsidies which distort international trade'.</w:t>
      </w:r>
      <w:r w:rsidRPr="00AE62EF">
        <w:rPr>
          <w:rStyle w:val="FootnoteReference"/>
          <w:rFonts w:cs="Calibri"/>
        </w:rPr>
        <w:footnoteReference w:id="7"/>
      </w:r>
    </w:p>
    <w:p w14:paraId="013ADFB4" w14:textId="77777777" w:rsidR="00F71EA3" w:rsidRPr="00AE62EF" w:rsidRDefault="00F71EA3" w:rsidP="00F71EA3">
      <w:pPr>
        <w:pStyle w:val="P1-N1Paragraph1-Number1"/>
        <w:rPr>
          <w:rFonts w:cs="Calibri"/>
        </w:rPr>
      </w:pPr>
      <w:r w:rsidRPr="00AE62EF">
        <w:rPr>
          <w:rFonts w:cs="Calibri"/>
        </w:rPr>
        <w:t xml:space="preserve">Australia notes that the SCM Agreement is silent on the issue of 'transnational subsidies' – that is, subsidies provided by a government or public body to a firm </w:t>
      </w:r>
      <w:r>
        <w:rPr>
          <w:rFonts w:cs="Calibri"/>
        </w:rPr>
        <w:t>that</w:t>
      </w:r>
      <w:r w:rsidRPr="00AE62EF">
        <w:rPr>
          <w:rFonts w:cs="Calibri"/>
        </w:rPr>
        <w:t xml:space="preserve"> is not within its territory. Importantly, however, the EU submits that the Panel in this case does not need to consider whether a 'transnational subsidy' can be validly countervailed in accordance with the SCM Agreement.</w:t>
      </w:r>
      <w:r w:rsidRPr="00AE62EF">
        <w:rPr>
          <w:rStyle w:val="FootnoteReference"/>
          <w:rFonts w:cs="Calibri"/>
        </w:rPr>
        <w:footnoteReference w:id="8"/>
      </w:r>
      <w:r w:rsidRPr="00AE62EF">
        <w:rPr>
          <w:rFonts w:cs="Calibri"/>
        </w:rPr>
        <w:t xml:space="preserve"> The EU argues instead that the funding originating in China is </w:t>
      </w:r>
      <w:r w:rsidRPr="00AE62EF">
        <w:rPr>
          <w:rFonts w:cs="Calibri"/>
          <w:i/>
          <w:iCs/>
        </w:rPr>
        <w:t>attributable</w:t>
      </w:r>
      <w:r w:rsidRPr="00AE62EF">
        <w:rPr>
          <w:rFonts w:cs="Calibri"/>
        </w:rPr>
        <w:t xml:space="preserve"> to the </w:t>
      </w:r>
      <w:r>
        <w:rPr>
          <w:rFonts w:cs="Calibri"/>
        </w:rPr>
        <w:t>GOID</w:t>
      </w:r>
      <w:r w:rsidRPr="00AE62EF">
        <w:rPr>
          <w:rFonts w:cs="Calibri"/>
        </w:rPr>
        <w:t xml:space="preserve"> for the purposes of the SCM Agreement – such that there is no 'transnational subsidy'. </w:t>
      </w:r>
    </w:p>
    <w:p w14:paraId="4AA49BA3" w14:textId="77777777" w:rsidR="00F71EA3" w:rsidRPr="00AE62EF" w:rsidRDefault="00F71EA3" w:rsidP="00F71EA3">
      <w:pPr>
        <w:pStyle w:val="P1-N1Paragraph1-Number1"/>
        <w:rPr>
          <w:rFonts w:cs="Calibri"/>
        </w:rPr>
      </w:pPr>
      <w:r w:rsidRPr="00AE62EF">
        <w:rPr>
          <w:rFonts w:cs="Calibri"/>
        </w:rPr>
        <w:t xml:space="preserve">Australia recalls that the SCM Agreement expressly contemplates the risk that its disciplines may be circumvented through various funding arrangements. To address this risk, the SCM Agreement provides that the actions of certain entities can be attributed to a WTO </w:t>
      </w:r>
      <w:r w:rsidRPr="00AE62EF">
        <w:rPr>
          <w:rFonts w:cs="Calibri"/>
        </w:rPr>
        <w:lastRenderedPageBreak/>
        <w:t>Member, such that they fall within the disciplines of the SCM Agreement. As the EU outlines,</w:t>
      </w:r>
      <w:r w:rsidRPr="00AE62EF">
        <w:rPr>
          <w:rStyle w:val="FootnoteReference"/>
          <w:rFonts w:cs="Calibri"/>
        </w:rPr>
        <w:footnoteReference w:id="9"/>
      </w:r>
      <w:r w:rsidRPr="00AE62EF">
        <w:rPr>
          <w:rFonts w:cs="Calibri"/>
        </w:rPr>
        <w:t xml:space="preserve"> this is explicitly contemplated by three parts of the subsidy definition:   </w:t>
      </w:r>
    </w:p>
    <w:p w14:paraId="27F38C3E" w14:textId="77777777" w:rsidR="00F71EA3" w:rsidRPr="00AE62EF" w:rsidRDefault="00F71EA3" w:rsidP="00F71EA3">
      <w:pPr>
        <w:pStyle w:val="P2-B1Paragraph2-Bullet1"/>
        <w:rPr>
          <w:rFonts w:cs="Calibri"/>
        </w:rPr>
      </w:pPr>
      <w:r w:rsidRPr="00AE62EF">
        <w:rPr>
          <w:rFonts w:cs="Calibri"/>
        </w:rPr>
        <w:t xml:space="preserve">the </w:t>
      </w:r>
      <w:r w:rsidRPr="0064162D">
        <w:rPr>
          <w:rFonts w:cs="Calibri"/>
          <w:i/>
          <w:iCs/>
        </w:rPr>
        <w:t>chapeau</w:t>
      </w:r>
      <w:r w:rsidRPr="00AE62EF">
        <w:rPr>
          <w:rFonts w:cs="Calibri"/>
        </w:rPr>
        <w:t xml:space="preserve"> of Article 1.1(a)(1), which ensures that a financial contribution by 'any public body within the territory of a Member' is captured within the subsidy definition; and </w:t>
      </w:r>
    </w:p>
    <w:p w14:paraId="4557E52A" w14:textId="77777777" w:rsidR="00F71EA3" w:rsidRPr="00AE62EF" w:rsidRDefault="00F71EA3" w:rsidP="00F71EA3">
      <w:pPr>
        <w:pStyle w:val="P2-B1Paragraph2-Bullet1"/>
        <w:rPr>
          <w:rFonts w:cs="Calibri"/>
        </w:rPr>
      </w:pPr>
      <w:r w:rsidRPr="00AE62EF">
        <w:rPr>
          <w:rFonts w:cs="Calibri"/>
        </w:rPr>
        <w:t>Article 1.1(a)(1)(iv), an anti-circumvention provision,</w:t>
      </w:r>
      <w:r w:rsidRPr="00AE62EF">
        <w:rPr>
          <w:rStyle w:val="FootnoteReference"/>
          <w:rFonts w:cs="Calibri"/>
        </w:rPr>
        <w:footnoteReference w:id="10"/>
      </w:r>
      <w:r w:rsidRPr="00AE62EF">
        <w:rPr>
          <w:rFonts w:cs="Calibri"/>
        </w:rPr>
        <w:t xml:space="preserve"> which captures:</w:t>
      </w:r>
    </w:p>
    <w:p w14:paraId="57FF5067" w14:textId="77777777" w:rsidR="00F71EA3" w:rsidRPr="00AE62EF" w:rsidRDefault="00F71EA3" w:rsidP="00F71EA3">
      <w:pPr>
        <w:pStyle w:val="P3-B2Paragraph3-Bullet2"/>
        <w:rPr>
          <w:rFonts w:cs="Calibri"/>
        </w:rPr>
      </w:pPr>
      <w:r w:rsidRPr="00AE62EF">
        <w:rPr>
          <w:rFonts w:cs="Calibri"/>
        </w:rPr>
        <w:t xml:space="preserve">payments made by a government via a funding mechanism (as opposed to direct payments to the recipient); and </w:t>
      </w:r>
    </w:p>
    <w:p w14:paraId="78BC5894" w14:textId="77777777" w:rsidR="00F71EA3" w:rsidRPr="00AE62EF" w:rsidRDefault="00F71EA3" w:rsidP="00F71EA3">
      <w:pPr>
        <w:pStyle w:val="P3-B2Paragraph3-Bullet2"/>
        <w:rPr>
          <w:rFonts w:cs="Calibri"/>
        </w:rPr>
      </w:pPr>
      <w:r w:rsidRPr="00AE62EF">
        <w:rPr>
          <w:rFonts w:cs="Calibri"/>
        </w:rPr>
        <w:t xml:space="preserve">financial contributions made by a private body, where that private body has been entrusted or directed by a government to make the financial contribution.  </w:t>
      </w:r>
    </w:p>
    <w:p w14:paraId="6C9F2BCF" w14:textId="77777777" w:rsidR="00F71EA3" w:rsidRPr="00AE62EF" w:rsidRDefault="00F71EA3" w:rsidP="00F71EA3">
      <w:pPr>
        <w:pStyle w:val="P1-N1Paragraph1-Number1"/>
        <w:rPr>
          <w:rFonts w:cs="Calibri"/>
        </w:rPr>
      </w:pPr>
      <w:r w:rsidRPr="00AE62EF">
        <w:rPr>
          <w:rFonts w:cs="Calibri"/>
        </w:rPr>
        <w:t xml:space="preserve">Australia notes that the anti-circumvention elements of the subsidy definition are broadly framed to encompass a wide range of actions and conduct that may be attributed to a WTO Member. The SCM Agreement sets out, in broad terms, the legal elements </w:t>
      </w:r>
      <w:r>
        <w:rPr>
          <w:rFonts w:cs="Calibri"/>
        </w:rPr>
        <w:t>that</w:t>
      </w:r>
      <w:r w:rsidRPr="00AE62EF">
        <w:rPr>
          <w:rFonts w:cs="Calibri"/>
        </w:rPr>
        <w:t xml:space="preserve"> are to be satisfied in order for conduct to be attributed. Australia also emphasises that the SCM Agreement does not contain an exhaustive list of the factual circumstances </w:t>
      </w:r>
      <w:r>
        <w:rPr>
          <w:rFonts w:cs="Calibri"/>
        </w:rPr>
        <w:t>that</w:t>
      </w:r>
      <w:r w:rsidRPr="00AE62EF">
        <w:rPr>
          <w:rFonts w:cs="Calibri"/>
        </w:rPr>
        <w:t xml:space="preserve"> will justify the attribution of conduct to a WTO Member. The Appellate Body has explained that the 'connecting factors' in the SCM Agreement, for the purposes of attribution, are 'the particular </w:t>
      </w:r>
      <w:r w:rsidRPr="00AE62EF">
        <w:rPr>
          <w:rFonts w:cs="Calibri"/>
          <w:i/>
          <w:iCs/>
        </w:rPr>
        <w:t xml:space="preserve">conduct </w:t>
      </w:r>
      <w:r w:rsidRPr="00AE62EF">
        <w:rPr>
          <w:rFonts w:cs="Calibri"/>
        </w:rPr>
        <w:t xml:space="preserve">and the </w:t>
      </w:r>
      <w:r w:rsidRPr="00AE62EF">
        <w:rPr>
          <w:rFonts w:cs="Calibri"/>
          <w:i/>
          <w:iCs/>
        </w:rPr>
        <w:t>type of entity</w:t>
      </w:r>
      <w:r w:rsidRPr="00AE62EF">
        <w:rPr>
          <w:rFonts w:cs="Calibri"/>
        </w:rPr>
        <w:t>'.</w:t>
      </w:r>
      <w:r w:rsidRPr="00AE62EF">
        <w:rPr>
          <w:rStyle w:val="FootnoteReference"/>
          <w:rFonts w:cs="Calibri"/>
        </w:rPr>
        <w:footnoteReference w:id="11"/>
      </w:r>
      <w:r w:rsidRPr="00AE62EF">
        <w:rPr>
          <w:rFonts w:cs="Calibri"/>
        </w:rPr>
        <w:t xml:space="preserve"> Whether or not an investigating authority is able to establish that conduct is attributable to a WTO Member under the SCM Agreement will necessarily turn on a factual assessment of the particular conduct and entity in question. </w:t>
      </w:r>
    </w:p>
    <w:p w14:paraId="3160A2C1" w14:textId="77777777" w:rsidR="00F71EA3" w:rsidRPr="00AE62EF" w:rsidRDefault="00F71EA3" w:rsidP="00F71EA3">
      <w:pPr>
        <w:pStyle w:val="P1-N1Paragraph1-Number1"/>
        <w:rPr>
          <w:rFonts w:cs="Calibri"/>
        </w:rPr>
      </w:pPr>
      <w:r w:rsidRPr="00AE62EF">
        <w:rPr>
          <w:rFonts w:cs="Calibri"/>
        </w:rPr>
        <w:t>As outlined above, the question before the Panel in this case is whether in light of the evidence on the record, the investigating authority has reached a 'reasoned and adequate conclusion'.</w:t>
      </w:r>
      <w:r w:rsidRPr="00AE62EF">
        <w:rPr>
          <w:rStyle w:val="FootnoteReference"/>
          <w:rFonts w:cs="Calibri"/>
        </w:rPr>
        <w:footnoteReference w:id="12"/>
      </w:r>
      <w:r w:rsidRPr="00AE62EF">
        <w:rPr>
          <w:rFonts w:cs="Calibri"/>
        </w:rPr>
        <w:t xml:space="preserve"> </w:t>
      </w:r>
      <w:r w:rsidRPr="00AE62EF">
        <w:rPr>
          <w:rFonts w:cs="Calibri"/>
          <w:i/>
          <w:iCs/>
        </w:rPr>
        <w:t xml:space="preserve"> </w:t>
      </w:r>
      <w:r w:rsidRPr="00AE62EF">
        <w:rPr>
          <w:rFonts w:cs="Calibri"/>
        </w:rPr>
        <w:t xml:space="preserve">Even if, </w:t>
      </w:r>
      <w:r w:rsidRPr="00AE62EF">
        <w:rPr>
          <w:rFonts w:cs="Calibri"/>
          <w:i/>
          <w:iCs/>
        </w:rPr>
        <w:t>arguendo</w:t>
      </w:r>
      <w:r w:rsidRPr="00AE62EF">
        <w:rPr>
          <w:rFonts w:cs="Calibri"/>
        </w:rPr>
        <w:t xml:space="preserve">, the Panel were to take the view in the present case that the Commission had not met this standard, the Panel need not delineate a general test or threshold </w:t>
      </w:r>
      <w:r>
        <w:rPr>
          <w:rFonts w:cs="Calibri"/>
        </w:rPr>
        <w:t>that</w:t>
      </w:r>
      <w:r w:rsidRPr="00AE62EF">
        <w:rPr>
          <w:rFonts w:cs="Calibri"/>
        </w:rPr>
        <w:t xml:space="preserve"> must be met in order for attribution to be permissible. Rather Australia </w:t>
      </w:r>
      <w:r w:rsidRPr="00AE62EF">
        <w:rPr>
          <w:rFonts w:cs="Calibri"/>
        </w:rPr>
        <w:lastRenderedPageBreak/>
        <w:t>respectfully submits the Panel should confine itself to making an 'objective assessment of the matter before it',</w:t>
      </w:r>
      <w:r w:rsidRPr="00AE62EF">
        <w:rPr>
          <w:rStyle w:val="FootnoteReference"/>
          <w:rFonts w:cs="Calibri"/>
        </w:rPr>
        <w:footnoteReference w:id="13"/>
      </w:r>
      <w:r w:rsidRPr="00AE62EF">
        <w:rPr>
          <w:rFonts w:cs="Calibri"/>
        </w:rPr>
        <w:t xml:space="preserve"> in order to determine whether the Commission discharged its obligations as an investigating authority.</w:t>
      </w:r>
    </w:p>
    <w:p w14:paraId="63509802" w14:textId="77777777" w:rsidR="00F71EA3" w:rsidRPr="00AE62EF" w:rsidRDefault="00F71EA3" w:rsidP="00F71EA3">
      <w:pPr>
        <w:pStyle w:val="P1-N1Paragraph1-Number1"/>
        <w:rPr>
          <w:rFonts w:cs="Calibri"/>
        </w:rPr>
      </w:pPr>
      <w:r w:rsidRPr="00AE62EF">
        <w:rPr>
          <w:rFonts w:cs="Calibri"/>
        </w:rPr>
        <w:t xml:space="preserve">Australia considers it evident from the text of Article 1.1(a)(1) of the SCM Agreement that the negotiators of the SCM Agreement were alive to the risk that WTO Members may attempt to circumvent the disciplines in the SCM Agreement. They did not seek to define the specific factual circumstances in which conduct may be attributable, and nor should the Panel. Accordingly, Australia submits that the Panel should not endorse an interpretation of the SCM Agreement that unduly constrains WTO Members from </w:t>
      </w:r>
      <w:proofErr w:type="gramStart"/>
      <w:r w:rsidRPr="00AE62EF">
        <w:rPr>
          <w:rFonts w:cs="Calibri"/>
        </w:rPr>
        <w:t>taking action</w:t>
      </w:r>
      <w:proofErr w:type="gramEnd"/>
      <w:r w:rsidRPr="00AE62EF">
        <w:rPr>
          <w:rFonts w:cs="Calibri"/>
        </w:rPr>
        <w:t xml:space="preserve"> against trade-distortive subsidies </w:t>
      </w:r>
      <w:r>
        <w:rPr>
          <w:rFonts w:cs="Calibri"/>
        </w:rPr>
        <w:t>that</w:t>
      </w:r>
      <w:r w:rsidRPr="00AE62EF">
        <w:rPr>
          <w:rFonts w:cs="Calibri"/>
        </w:rPr>
        <w:t xml:space="preserve"> circumvent the disciplines in the SCM Agreement. To do so would fundamentally undermine the subsidy disciplines in the SCM Agreement and render Members powerless to effectively address or </w:t>
      </w:r>
      <w:proofErr w:type="gramStart"/>
      <w:r w:rsidRPr="00AE62EF">
        <w:rPr>
          <w:rFonts w:cs="Calibri"/>
        </w:rPr>
        <w:t>take action</w:t>
      </w:r>
      <w:proofErr w:type="gramEnd"/>
      <w:r w:rsidRPr="00AE62EF">
        <w:rPr>
          <w:rFonts w:cs="Calibri"/>
        </w:rPr>
        <w:t xml:space="preserve"> against such subsidies. To permit the circumvention of the disciplines in the SCM Agreement would run counter to the object and purpose of the SCM Agreement and have significant systemic implications.</w:t>
      </w:r>
    </w:p>
    <w:p w14:paraId="25E47306" w14:textId="77777777" w:rsidR="00F71EA3" w:rsidRPr="00AE62EF" w:rsidRDefault="00F71EA3" w:rsidP="00F71EA3">
      <w:pPr>
        <w:pStyle w:val="HL2HeadingLevel2"/>
        <w:rPr>
          <w:rFonts w:cs="Calibri"/>
        </w:rPr>
      </w:pPr>
      <w:bookmarkStart w:id="19" w:name="_Toc157790648"/>
      <w:r w:rsidRPr="00AE62EF">
        <w:rPr>
          <w:rFonts w:cs="Calibri"/>
        </w:rPr>
        <w:t>The Panel should ensure its findings are confined to the specific facts at issue in this dispute</w:t>
      </w:r>
      <w:bookmarkEnd w:id="19"/>
    </w:p>
    <w:p w14:paraId="481D6F0B" w14:textId="77777777" w:rsidR="00F71EA3" w:rsidRPr="00AE62EF" w:rsidRDefault="00F71EA3" w:rsidP="00F71EA3">
      <w:pPr>
        <w:pStyle w:val="P1-N1Paragraph1-Number1"/>
        <w:rPr>
          <w:rFonts w:cs="Calibri"/>
        </w:rPr>
      </w:pPr>
      <w:r w:rsidRPr="00AE62EF">
        <w:rPr>
          <w:rFonts w:cs="Calibri"/>
        </w:rPr>
        <w:t xml:space="preserve">While Australia considers that the SCM Agreement should be interpreted as permitting WTO Members to address the circumvention of subsidy rules, Australia cautions the Panel against any undue expansion of the SCM Agreement that could capture regular and commonplace cooperation between States. The SCM Agreement's disciplines should not be interpreted so broadly as to limit the ability of WTO Members to attract investment. As outlined above, Australia respectfully submits that the Panel should focus its assessment on whether, given the particular evidence before it, the Commission reached a 'reasoned and adequate conclusion' that the relevant funding was attributable to Indonesia.  </w:t>
      </w:r>
      <w:bookmarkEnd w:id="0"/>
    </w:p>
    <w:p w14:paraId="2C39C5E0" w14:textId="77777777" w:rsidR="00F71EA3" w:rsidRPr="00AE62EF" w:rsidRDefault="00F71EA3" w:rsidP="00F71EA3">
      <w:pPr>
        <w:pStyle w:val="HL2HeadingLevel2"/>
        <w:rPr>
          <w:rFonts w:cs="Calibri"/>
        </w:rPr>
      </w:pPr>
      <w:bookmarkStart w:id="20" w:name="_Toc157790649"/>
      <w:r w:rsidRPr="00AE62EF">
        <w:rPr>
          <w:rFonts w:cs="Calibri"/>
        </w:rPr>
        <w:lastRenderedPageBreak/>
        <w:t>Article 11 of the ILC Articles</w:t>
      </w:r>
      <w:bookmarkEnd w:id="20"/>
    </w:p>
    <w:p w14:paraId="3F68E3CA" w14:textId="77777777" w:rsidR="00F71EA3" w:rsidRPr="00AE62EF" w:rsidRDefault="00F71EA3" w:rsidP="00F71EA3">
      <w:pPr>
        <w:pStyle w:val="P1-N1Paragraph1-Number1"/>
        <w:rPr>
          <w:rFonts w:cs="Calibri"/>
        </w:rPr>
      </w:pPr>
      <w:r w:rsidRPr="00AE62EF">
        <w:rPr>
          <w:rFonts w:cs="Calibri"/>
        </w:rPr>
        <w:t xml:space="preserve">Finally, Australia makes the following submissions to guide the Panel should it consider it necessary to consider the relevance of Article 11 </w:t>
      </w:r>
      <w:bookmarkStart w:id="21" w:name="_Hlk156486406"/>
      <w:r w:rsidRPr="00AE62EF">
        <w:rPr>
          <w:rFonts w:cs="Calibri"/>
        </w:rPr>
        <w:t xml:space="preserve">of the ILC Articles </w:t>
      </w:r>
      <w:bookmarkEnd w:id="21"/>
      <w:r w:rsidRPr="00AE62EF">
        <w:rPr>
          <w:rFonts w:cs="Calibri"/>
        </w:rPr>
        <w:t>in this dispute.</w:t>
      </w:r>
    </w:p>
    <w:p w14:paraId="35F785D0" w14:textId="77777777" w:rsidR="00F71EA3" w:rsidRPr="00AE62EF" w:rsidRDefault="00F71EA3" w:rsidP="00F71EA3">
      <w:pPr>
        <w:pStyle w:val="P1-N1Paragraph1-Number1"/>
        <w:rPr>
          <w:rFonts w:cs="Calibri"/>
        </w:rPr>
      </w:pPr>
      <w:r w:rsidRPr="00AE62EF">
        <w:rPr>
          <w:rFonts w:cs="Calibri"/>
        </w:rPr>
        <w:t xml:space="preserve">The EU submits that the </w:t>
      </w:r>
      <w:r w:rsidRPr="00AE62EF">
        <w:rPr>
          <w:rFonts w:cs="Calibri"/>
          <w:i/>
          <w:iCs/>
        </w:rPr>
        <w:t xml:space="preserve">chapeau </w:t>
      </w:r>
      <w:r w:rsidRPr="00AE62EF">
        <w:rPr>
          <w:rFonts w:cs="Calibri"/>
        </w:rPr>
        <w:t>of Article 1.1(a)(1) of the SCM Agreement, in view of its text, context, and object and purpose, includes situations where a financial contribution is provided by a third country government but is attributable to another government.</w:t>
      </w:r>
      <w:r w:rsidRPr="00AE62EF">
        <w:rPr>
          <w:rStyle w:val="FootnoteReference"/>
          <w:rFonts w:cs="Calibri"/>
        </w:rPr>
        <w:footnoteReference w:id="14"/>
      </w:r>
      <w:r w:rsidRPr="00AE62EF">
        <w:rPr>
          <w:rFonts w:cs="Calibri"/>
        </w:rPr>
        <w:t xml:space="preserve"> The EU submits that, if the Panel considers it necessary, Article 11 of the ILC Articles may be considered in accordance with Article 31.3(c) of the Vienna Convention to interpret the term 'by a government' in Article 1.1(a)(1) of the SCM Agreement.  According to the EU, Article 11 of the ILC Articles provide guidance and further support to their interpretation of Article 1.1(a)(1) of the SCM Agreement. </w:t>
      </w:r>
    </w:p>
    <w:p w14:paraId="73D556B3" w14:textId="77777777" w:rsidR="00F71EA3" w:rsidRPr="00AE62EF" w:rsidRDefault="00F71EA3" w:rsidP="00F71EA3">
      <w:pPr>
        <w:pStyle w:val="P1-N1Paragraph1-Number1"/>
        <w:rPr>
          <w:rFonts w:cs="Calibri"/>
        </w:rPr>
      </w:pPr>
      <w:bookmarkStart w:id="22" w:name="_Ref157078479"/>
      <w:r w:rsidRPr="00AE62EF">
        <w:rPr>
          <w:rFonts w:cs="Calibri"/>
        </w:rPr>
        <w:t>Indonesia submits that Article 11 of the ILC Articles:</w:t>
      </w:r>
      <w:bookmarkEnd w:id="22"/>
      <w:r w:rsidRPr="00AE62EF">
        <w:rPr>
          <w:rFonts w:cs="Calibri"/>
        </w:rPr>
        <w:t xml:space="preserve"> </w:t>
      </w:r>
    </w:p>
    <w:p w14:paraId="5A6BFE92" w14:textId="77777777" w:rsidR="00F71EA3" w:rsidRPr="00AE62EF" w:rsidRDefault="00F71EA3" w:rsidP="00F71EA3">
      <w:pPr>
        <w:pStyle w:val="P2-B1Paragraph2-Bullet1"/>
        <w:rPr>
          <w:rFonts w:cs="Calibri"/>
        </w:rPr>
      </w:pPr>
      <w:r w:rsidRPr="00AE62EF">
        <w:rPr>
          <w:rFonts w:cs="Calibri"/>
        </w:rPr>
        <w:t>does not constitute a rule of customary international law, and</w:t>
      </w:r>
    </w:p>
    <w:p w14:paraId="7C121674" w14:textId="77777777" w:rsidR="00F71EA3" w:rsidRPr="00AE62EF" w:rsidRDefault="00F71EA3" w:rsidP="00F71EA3">
      <w:pPr>
        <w:pStyle w:val="P2-B1Paragraph2-Bullet1"/>
        <w:rPr>
          <w:rFonts w:cs="Calibri"/>
        </w:rPr>
      </w:pPr>
      <w:r w:rsidRPr="00AE62EF">
        <w:rPr>
          <w:rFonts w:cs="Calibri"/>
        </w:rPr>
        <w:t>does not constitute a relevant rule of international law, in the sense of Article 31(3)(c) of the Vienna Convention,</w:t>
      </w:r>
    </w:p>
    <w:p w14:paraId="5CF4642A" w14:textId="77777777" w:rsidR="00F71EA3" w:rsidRPr="00AE62EF" w:rsidRDefault="00F71EA3" w:rsidP="00F71EA3">
      <w:pPr>
        <w:pStyle w:val="P2-B1Paragraph2-Bullet1"/>
        <w:numPr>
          <w:ilvl w:val="1"/>
          <w:numId w:val="0"/>
        </w:numPr>
        <w:rPr>
          <w:rFonts w:cs="Calibri"/>
        </w:rPr>
      </w:pPr>
      <w:r w:rsidRPr="00AE62EF">
        <w:rPr>
          <w:rFonts w:cs="Calibri"/>
        </w:rPr>
        <w:t>and should therefore not apply to the Panel's interpretation of the term 'by a government', such that it is not possible to attribute a financial contribution of one government to another under Article 1.1(a)(1) of the SCM Agreement.</w:t>
      </w:r>
    </w:p>
    <w:p w14:paraId="26B37B32" w14:textId="77777777" w:rsidR="00F71EA3" w:rsidRPr="00AE62EF" w:rsidRDefault="00F71EA3" w:rsidP="00F71EA3">
      <w:pPr>
        <w:pStyle w:val="P1-N1Paragraph1-Number1"/>
        <w:rPr>
          <w:rFonts w:cs="Calibri"/>
        </w:rPr>
      </w:pPr>
      <w:r w:rsidRPr="00AE62EF">
        <w:rPr>
          <w:rFonts w:cs="Calibri"/>
        </w:rPr>
        <w:t>Article 31.3(c) of the Vienna Convention requires the existence of a 'rule' of international law that must be 'relevant' and 'applicable in the relations between the parties'.</w:t>
      </w:r>
      <w:r w:rsidRPr="00AE62EF">
        <w:rPr>
          <w:rStyle w:val="FootnoteReference"/>
          <w:rFonts w:cs="Calibri"/>
        </w:rPr>
        <w:footnoteReference w:id="15"/>
      </w:r>
      <w:r w:rsidRPr="00AE62EF">
        <w:rPr>
          <w:rFonts w:cs="Calibri"/>
        </w:rPr>
        <w:t xml:space="preserve"> Where that rule is deemed to be a relevant rule of international law applicable between the parties, the second aspect of the article requires consideration of the rule 'together with the context'.</w:t>
      </w:r>
      <w:r w:rsidRPr="00AE62EF">
        <w:rPr>
          <w:rStyle w:val="FootnoteReference"/>
          <w:rFonts w:cs="Calibri"/>
        </w:rPr>
        <w:footnoteReference w:id="16"/>
      </w:r>
      <w:r w:rsidRPr="00AE62EF">
        <w:rPr>
          <w:rFonts w:cs="Calibri"/>
        </w:rPr>
        <w:t xml:space="preserve"> Therefore, under Article 31.3(c) of the Vienna Convention, relevant customary international law rules play a contextualising role. In this respect, Australia notes that Article 31.3(c) cannot be used to displace the treaty provision being interpreted.</w:t>
      </w:r>
      <w:r w:rsidRPr="00AE62EF" w:rsidDel="007F37C9">
        <w:rPr>
          <w:rStyle w:val="FootnoteReference"/>
          <w:rFonts w:cs="Calibri"/>
        </w:rPr>
        <w:t xml:space="preserve"> </w:t>
      </w:r>
      <w:r w:rsidRPr="00AE62EF">
        <w:rPr>
          <w:rFonts w:cs="Calibri"/>
        </w:rPr>
        <w:t xml:space="preserve"> </w:t>
      </w:r>
    </w:p>
    <w:p w14:paraId="4E8A0222" w14:textId="77777777" w:rsidR="00F71EA3" w:rsidRPr="00AE62EF" w:rsidRDefault="00F71EA3" w:rsidP="00F71EA3">
      <w:pPr>
        <w:pStyle w:val="P1-N1Paragraph1-Number1"/>
        <w:rPr>
          <w:rFonts w:cs="Calibri"/>
        </w:rPr>
      </w:pPr>
      <w:r w:rsidRPr="00AE62EF">
        <w:rPr>
          <w:rFonts w:cs="Calibri"/>
        </w:rPr>
        <w:lastRenderedPageBreak/>
        <w:t xml:space="preserve">As noted at paragraph </w:t>
      </w:r>
      <w:r w:rsidRPr="00AE62EF">
        <w:rPr>
          <w:rFonts w:cs="Calibri"/>
          <w:highlight w:val="lightGray"/>
        </w:rPr>
        <w:fldChar w:fldCharType="begin"/>
      </w:r>
      <w:r w:rsidRPr="00AE62EF">
        <w:rPr>
          <w:rFonts w:cs="Calibri"/>
        </w:rPr>
        <w:instrText xml:space="preserve"> REF _Ref157078479 \r \h </w:instrText>
      </w:r>
      <w:r w:rsidRPr="00AE62EF">
        <w:rPr>
          <w:rFonts w:cs="Calibri"/>
          <w:highlight w:val="lightGray"/>
        </w:rPr>
        <w:instrText xml:space="preserve"> \* MERGEFORMAT </w:instrText>
      </w:r>
      <w:r w:rsidRPr="00AE62EF">
        <w:rPr>
          <w:rFonts w:cs="Calibri"/>
          <w:highlight w:val="lightGray"/>
        </w:rPr>
      </w:r>
      <w:r w:rsidRPr="00AE62EF">
        <w:rPr>
          <w:rFonts w:cs="Calibri"/>
          <w:highlight w:val="lightGray"/>
        </w:rPr>
        <w:fldChar w:fldCharType="separate"/>
      </w:r>
      <w:r>
        <w:rPr>
          <w:rFonts w:cs="Calibri"/>
        </w:rPr>
        <w:t>17</w:t>
      </w:r>
      <w:r w:rsidRPr="00AE62EF">
        <w:rPr>
          <w:rFonts w:cs="Calibri"/>
          <w:highlight w:val="lightGray"/>
        </w:rPr>
        <w:fldChar w:fldCharType="end"/>
      </w:r>
      <w:r w:rsidRPr="00AE62EF">
        <w:rPr>
          <w:rFonts w:cs="Calibri"/>
        </w:rPr>
        <w:t xml:space="preserve">, whether Article 11 can be considered a rule of customary international law that is also relevant to the interpretation of Article 1.1(a)(1) of the SCM Agreement is at issue in this case. </w:t>
      </w:r>
    </w:p>
    <w:p w14:paraId="1F80AB72" w14:textId="77777777" w:rsidR="00F71EA3" w:rsidRPr="00AE62EF" w:rsidRDefault="00F71EA3" w:rsidP="00F71EA3">
      <w:pPr>
        <w:pStyle w:val="P1-N1Paragraph1-Number1"/>
        <w:rPr>
          <w:rFonts w:cs="Calibri"/>
        </w:rPr>
      </w:pPr>
      <w:r w:rsidRPr="00AE62EF">
        <w:rPr>
          <w:rFonts w:cs="Calibri"/>
        </w:rPr>
        <w:t>Indonesia's position, as Australia understands it, is that WTO jurisprudence does not provide any authority for the proposition that the ILC Articles, and, specifically, Article 11 are customary international law and, therefore, a relevant rule of international law in the context of Article 31.3(c) of the Vienna Convention.</w:t>
      </w:r>
      <w:r w:rsidRPr="00AE62EF">
        <w:rPr>
          <w:rStyle w:val="FootnoteReference"/>
          <w:rFonts w:cs="Calibri"/>
        </w:rPr>
        <w:footnoteReference w:id="17"/>
      </w:r>
      <w:r w:rsidRPr="00AE62EF">
        <w:rPr>
          <w:rFonts w:cs="Calibri"/>
        </w:rPr>
        <w:t xml:space="preserve"> </w:t>
      </w:r>
    </w:p>
    <w:p w14:paraId="263DE6C5" w14:textId="77777777" w:rsidR="00F71EA3" w:rsidRPr="00AE62EF" w:rsidRDefault="00F71EA3" w:rsidP="00F71EA3">
      <w:pPr>
        <w:pStyle w:val="P1-N1Paragraph1-Number1"/>
        <w:rPr>
          <w:rFonts w:cs="Calibri"/>
        </w:rPr>
      </w:pPr>
      <w:r w:rsidRPr="00AE62EF">
        <w:rPr>
          <w:rFonts w:cs="Calibri"/>
        </w:rPr>
        <w:t xml:space="preserve">In response, the EU noted the finding of the Appellate Body in </w:t>
      </w:r>
      <w:r w:rsidRPr="00AE62EF">
        <w:rPr>
          <w:rFonts w:cs="Calibri"/>
          <w:i/>
          <w:iCs/>
        </w:rPr>
        <w:t xml:space="preserve">US – Gasoline </w:t>
      </w:r>
      <w:r w:rsidRPr="00AE62EF">
        <w:rPr>
          <w:rFonts w:cs="Calibri"/>
        </w:rPr>
        <w:t>that 'WTO law cannot be read in clinical isolation from general international law'</w:t>
      </w:r>
      <w:r w:rsidRPr="00AE62EF">
        <w:rPr>
          <w:rStyle w:val="FootnoteReference"/>
          <w:rFonts w:cs="Calibri"/>
        </w:rPr>
        <w:footnoteReference w:id="18"/>
      </w:r>
      <w:r w:rsidRPr="00AE62EF">
        <w:rPr>
          <w:rFonts w:cs="Calibri"/>
        </w:rPr>
        <w:t xml:space="preserve"> and submits that the ILC Articles represent a codification of the relevant international rules on State responsibility.</w:t>
      </w:r>
      <w:r w:rsidRPr="00AE62EF">
        <w:rPr>
          <w:rStyle w:val="FootnoteReference"/>
          <w:rFonts w:cs="Calibri"/>
        </w:rPr>
        <w:footnoteReference w:id="19"/>
      </w:r>
    </w:p>
    <w:p w14:paraId="2FCAC971" w14:textId="77777777" w:rsidR="00F71EA3" w:rsidRPr="00AE62EF" w:rsidRDefault="00F71EA3" w:rsidP="00F71EA3">
      <w:pPr>
        <w:pStyle w:val="P1-N1Paragraph1-Number1"/>
        <w:rPr>
          <w:rFonts w:cs="Calibri"/>
        </w:rPr>
      </w:pPr>
      <w:r w:rsidRPr="00AE62EF">
        <w:rPr>
          <w:rFonts w:cs="Calibri"/>
        </w:rPr>
        <w:t xml:space="preserve">Australia observes that while ILC Articles are not themselves binding, the principles they embody largely reflect customary international law.  WTO panels and the Appellate Body have long cited and relied on the ILC Articles in their interpretation of WTO law. The Appellate Body in </w:t>
      </w:r>
      <w:r w:rsidRPr="00AE62EF">
        <w:rPr>
          <w:rFonts w:cs="Calibri"/>
          <w:i/>
          <w:iCs/>
        </w:rPr>
        <w:t>US – Anti-Dumping and Countervailing Duties (China)</w:t>
      </w:r>
      <w:r w:rsidRPr="00AE62EF">
        <w:rPr>
          <w:rFonts w:cs="Calibri"/>
        </w:rPr>
        <w:t xml:space="preserve"> confirmed that 'if…certain ILC Articles have been "cited as containing similar provisions to those in certain areas of the WTO Agreement" or "cited by way of contrast with the provisions of the WTO Agreement", this evinces that these ILC Articles have been "taken into account" in the sense of Article 31(3)(c) by panels and the Appellate Body in these cases'.</w:t>
      </w:r>
      <w:r w:rsidRPr="00AE62EF">
        <w:rPr>
          <w:rStyle w:val="FootnoteReference"/>
          <w:rFonts w:cs="Calibri"/>
        </w:rPr>
        <w:footnoteReference w:id="20"/>
      </w:r>
      <w:r w:rsidRPr="00AE62EF">
        <w:rPr>
          <w:rFonts w:cs="Calibri"/>
        </w:rPr>
        <w:t xml:space="preserve"> </w:t>
      </w:r>
    </w:p>
    <w:p w14:paraId="119EBE88" w14:textId="77777777" w:rsidR="00F71EA3" w:rsidRPr="00AE62EF" w:rsidRDefault="00F71EA3" w:rsidP="00F71EA3">
      <w:pPr>
        <w:pStyle w:val="P1-N1Paragraph1-Number1"/>
        <w:rPr>
          <w:rFonts w:cs="Calibri"/>
        </w:rPr>
      </w:pPr>
      <w:r w:rsidRPr="00AE62EF">
        <w:rPr>
          <w:rFonts w:cs="Calibri"/>
        </w:rPr>
        <w:t xml:space="preserve">For example, in </w:t>
      </w:r>
      <w:r w:rsidRPr="00AE62EF">
        <w:rPr>
          <w:rFonts w:cs="Calibri"/>
          <w:i/>
          <w:iCs/>
        </w:rPr>
        <w:t>Korea – Procurement</w:t>
      </w:r>
      <w:r w:rsidRPr="00AE62EF">
        <w:rPr>
          <w:rFonts w:cs="Calibri"/>
        </w:rPr>
        <w:t>, the Panel observed that its finding that there is an affirmative duty on parties to the GPA to answer questions 'fully, comprehensively and on behalf of the whole government' was 'supported by the long established international law principles of State responsibility'.</w:t>
      </w:r>
      <w:r w:rsidRPr="00AE62EF">
        <w:rPr>
          <w:rStyle w:val="FootnoteReference"/>
          <w:rFonts w:cs="Calibri"/>
        </w:rPr>
        <w:footnoteReference w:id="21"/>
      </w:r>
      <w:r w:rsidRPr="00AE62EF">
        <w:rPr>
          <w:rFonts w:cs="Calibri"/>
        </w:rPr>
        <w:t xml:space="preserve"> Citing the ILC Articles, the Panel noted that '[t]he actions and even omissions of State organs acting in that capacity are attributable to the State as such and engage its responsibility under international law'.</w:t>
      </w:r>
      <w:r w:rsidRPr="00AE62EF">
        <w:rPr>
          <w:rStyle w:val="FootnoteReference"/>
          <w:rFonts w:cs="Calibri"/>
        </w:rPr>
        <w:footnoteReference w:id="22"/>
      </w:r>
      <w:r w:rsidRPr="00AE62EF">
        <w:rPr>
          <w:rFonts w:cs="Calibri"/>
        </w:rPr>
        <w:t xml:space="preserve"> Similarly, in </w:t>
      </w:r>
      <w:r w:rsidRPr="00AE62EF">
        <w:rPr>
          <w:rFonts w:cs="Calibri"/>
          <w:i/>
          <w:iCs/>
        </w:rPr>
        <w:t>US – Line Pipe</w:t>
      </w:r>
      <w:r w:rsidRPr="00AE62EF">
        <w:rPr>
          <w:rFonts w:cs="Calibri"/>
        </w:rPr>
        <w:t xml:space="preserve">, the </w:t>
      </w:r>
      <w:r w:rsidRPr="00AE62EF">
        <w:rPr>
          <w:rFonts w:cs="Calibri"/>
        </w:rPr>
        <w:lastRenderedPageBreak/>
        <w:t xml:space="preserve">Appellate Body recalled and recited its view in </w:t>
      </w:r>
      <w:r w:rsidRPr="00AE62EF">
        <w:rPr>
          <w:rFonts w:cs="Calibri"/>
          <w:i/>
          <w:iCs/>
        </w:rPr>
        <w:t xml:space="preserve">US – Cotton Yarn </w:t>
      </w:r>
      <w:r w:rsidRPr="00AE62EF">
        <w:rPr>
          <w:rFonts w:cs="Calibri"/>
        </w:rPr>
        <w:t>that the rules of general international law on state responsibility supported its finding that countermeasures in response to breaches by States be proportionate to such breaches.</w:t>
      </w:r>
      <w:r w:rsidRPr="00AE62EF">
        <w:rPr>
          <w:rStyle w:val="FootnoteReference"/>
          <w:rFonts w:cs="Calibri"/>
        </w:rPr>
        <w:footnoteReference w:id="23"/>
      </w:r>
      <w:r w:rsidRPr="00AE62EF">
        <w:rPr>
          <w:rFonts w:cs="Calibri"/>
        </w:rPr>
        <w:t xml:space="preserve"> In doing so, the Appellate Body cited Article 51 of the ILC Articles and observed that 'although Article 51 is part of the International Law Commission's Draft Articles, which do not constitute a binding legal instrument as such, this provision sets out a recognized principle of customary international law'.</w:t>
      </w:r>
      <w:r w:rsidRPr="00AE62EF">
        <w:rPr>
          <w:rStyle w:val="FootnoteReference"/>
          <w:rFonts w:cs="Calibri"/>
        </w:rPr>
        <w:footnoteReference w:id="24"/>
      </w:r>
    </w:p>
    <w:p w14:paraId="12003004" w14:textId="77777777" w:rsidR="00F71EA3" w:rsidRPr="00AE62EF" w:rsidRDefault="00F71EA3" w:rsidP="00F71EA3">
      <w:pPr>
        <w:pStyle w:val="P1-N1Paragraph1-Number1"/>
        <w:rPr>
          <w:rFonts w:cs="Calibri"/>
        </w:rPr>
      </w:pPr>
      <w:r w:rsidRPr="00AE62EF">
        <w:rPr>
          <w:rFonts w:cs="Calibri"/>
        </w:rPr>
        <w:t xml:space="preserve">Indonesia considers that Article 11 of the ILC Articles is not a relevant rule of international law for the purposes of Article 31.3(c) of the Vienna Convention, citing the Appellate Body's general reluctance to adopt a position in </w:t>
      </w:r>
      <w:r w:rsidRPr="00AE62EF">
        <w:rPr>
          <w:rFonts w:cs="Calibri"/>
          <w:i/>
          <w:iCs/>
        </w:rPr>
        <w:t xml:space="preserve">US – Anti-Dumping and Countervailing Duties (China) </w:t>
      </w:r>
      <w:r w:rsidRPr="00AE62EF">
        <w:rPr>
          <w:rFonts w:cs="Calibri"/>
        </w:rPr>
        <w:t>as to whether all ILC Articles are relevant rules of international law.</w:t>
      </w:r>
      <w:r w:rsidRPr="00AE62EF">
        <w:rPr>
          <w:rStyle w:val="FootnoteReference"/>
          <w:rFonts w:cs="Calibri"/>
        </w:rPr>
        <w:footnoteReference w:id="25"/>
      </w:r>
      <w:r w:rsidRPr="00AE62EF">
        <w:rPr>
          <w:rFonts w:cs="Calibri"/>
        </w:rPr>
        <w:t xml:space="preserve"> Indonesia also submits that Article 11 of the ILC Articles is not relevant to interpret the concept of attribution in the term 'by a government' in Article 1.1(a)(1) of the SCM Agreement where, in its view, the SCM Agreement does not contemplate attribution in the sense of States adopting the conduct of another concurrently existing State.</w:t>
      </w:r>
      <w:r w:rsidRPr="00AE62EF">
        <w:rPr>
          <w:rStyle w:val="FootnoteReference"/>
          <w:rFonts w:cs="Calibri"/>
        </w:rPr>
        <w:footnoteReference w:id="26"/>
      </w:r>
      <w:r w:rsidRPr="00AE62EF">
        <w:rPr>
          <w:rFonts w:cs="Calibri"/>
        </w:rPr>
        <w:t xml:space="preserve"> If it is considered to be a relevant rule of international law applicable between the parties, Indonesia submits that the EU's argument should not be accepted because it uses Article 11 of the ILC Articles to extend the scope of Article 1.1(a)(1) of the SCM Agreement 'beyond its clear and exhaustive meaning, by squeezing in new attribution scenarios which are not expressly provided for in that provision'.</w:t>
      </w:r>
      <w:r w:rsidRPr="00AE62EF">
        <w:rPr>
          <w:rStyle w:val="FootnoteReference"/>
          <w:rFonts w:cs="Calibri"/>
        </w:rPr>
        <w:footnoteReference w:id="27"/>
      </w:r>
    </w:p>
    <w:p w14:paraId="2C3EBD4E" w14:textId="77777777" w:rsidR="00F71EA3" w:rsidRPr="00AE62EF" w:rsidRDefault="00F71EA3" w:rsidP="00F71EA3">
      <w:pPr>
        <w:pStyle w:val="P1-N1Paragraph1-Number1"/>
        <w:rPr>
          <w:rFonts w:cs="Calibri"/>
        </w:rPr>
      </w:pPr>
      <w:r w:rsidRPr="00AE62EF">
        <w:rPr>
          <w:rFonts w:cs="Calibri"/>
        </w:rPr>
        <w:t>The EU submits that the term 'by a government' in Article 1.1(a)(1) of the SCM Agreement invite</w:t>
      </w:r>
      <w:r>
        <w:rPr>
          <w:rFonts w:cs="Calibri"/>
        </w:rPr>
        <w:t>s</w:t>
      </w:r>
      <w:r w:rsidRPr="00AE62EF">
        <w:rPr>
          <w:rFonts w:cs="Calibri"/>
        </w:rPr>
        <w:t xml:space="preserve"> the interpretation that 'the ordinary meaning of 'by' indicates that something can be attributed/imputed to somebody as the subject matter action'.</w:t>
      </w:r>
      <w:r w:rsidRPr="00AE62EF">
        <w:rPr>
          <w:rStyle w:val="FootnoteReference"/>
          <w:rFonts w:cs="Calibri"/>
        </w:rPr>
        <w:footnoteReference w:id="28"/>
      </w:r>
      <w:r w:rsidRPr="00AE62EF">
        <w:rPr>
          <w:rFonts w:cs="Calibri"/>
        </w:rPr>
        <w:t xml:space="preserve"> In the EU's view, where Article 11 of the ILC Articles is placed under the chapter dealing with the </w:t>
      </w:r>
      <w:r w:rsidRPr="00AE62EF">
        <w:rPr>
          <w:rFonts w:cs="Calibri"/>
        </w:rPr>
        <w:lastRenderedPageBreak/>
        <w:t>'Attribution of conduct to a State', it is therefore relevant to interpret the notion of attribution in the SCM Agreement.</w:t>
      </w:r>
      <w:r w:rsidRPr="00AE62EF">
        <w:rPr>
          <w:rStyle w:val="FootnoteReference"/>
          <w:rFonts w:cs="Calibri"/>
        </w:rPr>
        <w:footnoteReference w:id="29"/>
      </w:r>
    </w:p>
    <w:p w14:paraId="7DF1277C" w14:textId="77777777" w:rsidR="00F71EA3" w:rsidRPr="00AE62EF" w:rsidRDefault="00F71EA3" w:rsidP="00F71EA3">
      <w:pPr>
        <w:pStyle w:val="P1-N1Paragraph1-Number1"/>
        <w:rPr>
          <w:rFonts w:cs="Calibri"/>
        </w:rPr>
      </w:pPr>
      <w:r w:rsidRPr="00AE62EF">
        <w:rPr>
          <w:rFonts w:cs="Calibri"/>
        </w:rPr>
        <w:t>Australia, like the EU,</w:t>
      </w:r>
      <w:r w:rsidRPr="00AE62EF">
        <w:rPr>
          <w:rStyle w:val="FootnoteReference"/>
          <w:rFonts w:cs="Calibri"/>
        </w:rPr>
        <w:footnoteReference w:id="30"/>
      </w:r>
      <w:r w:rsidRPr="00AE62EF">
        <w:rPr>
          <w:rFonts w:cs="Calibri"/>
        </w:rPr>
        <w:t xml:space="preserve"> observes that the requirement that a rule be 'relevant' has been found by the Appellate Body to concern the 'subject matter of the provision at issue'.</w:t>
      </w:r>
      <w:r w:rsidRPr="00AE62EF">
        <w:rPr>
          <w:rStyle w:val="FootnoteReference"/>
          <w:rFonts w:cs="Calibri"/>
        </w:rPr>
        <w:footnoteReference w:id="31"/>
      </w:r>
      <w:r w:rsidRPr="00AE62EF">
        <w:rPr>
          <w:rFonts w:cs="Calibri"/>
        </w:rPr>
        <w:t xml:space="preserve"> Where there is no conflict or inconsistency, or </w:t>
      </w:r>
      <w:r>
        <w:rPr>
          <w:rFonts w:cs="Calibri"/>
        </w:rPr>
        <w:t xml:space="preserve">where </w:t>
      </w:r>
      <w:r w:rsidRPr="00AE62EF">
        <w:rPr>
          <w:rFonts w:cs="Calibri"/>
        </w:rPr>
        <w:t xml:space="preserve">the SCM Agreement </w:t>
      </w:r>
      <w:r>
        <w:rPr>
          <w:rFonts w:cs="Calibri"/>
        </w:rPr>
        <w:t xml:space="preserve">does not </w:t>
      </w:r>
      <w:r w:rsidRPr="00AE62EF">
        <w:rPr>
          <w:rFonts w:cs="Calibri"/>
        </w:rPr>
        <w:t xml:space="preserve">otherwise seek to preclude the application of customary rules of international law, Article 11 of the ILC Articles could be considered to be a relevant rule for the purposes of Article 31.3(c) of the Vienna Convention which can be taken into account, together with the context, in the interpretation of the words </w:t>
      </w:r>
      <w:bookmarkStart w:id="23" w:name="_Hlk156204903"/>
      <w:r w:rsidRPr="00AE62EF">
        <w:rPr>
          <w:rFonts w:cs="Calibri"/>
        </w:rPr>
        <w:t xml:space="preserve">'by a government' in Article 1.1(a)(1). </w:t>
      </w:r>
      <w:bookmarkEnd w:id="23"/>
      <w:r w:rsidRPr="00AE62EF">
        <w:rPr>
          <w:rFonts w:cs="Calibri"/>
        </w:rPr>
        <w:t xml:space="preserve">Australia reiterates, however, </w:t>
      </w:r>
      <w:bookmarkStart w:id="24" w:name="_Hlk156205370"/>
      <w:r w:rsidRPr="00AE62EF">
        <w:rPr>
          <w:rFonts w:cs="Calibri"/>
        </w:rPr>
        <w:t>the task of the Panel also remains to interpret the treaty terms in good faith in accordance with the ordinary meaning to be given to the terms of the treaty, in their context and in light of its object and purpose</w:t>
      </w:r>
      <w:bookmarkEnd w:id="24"/>
      <w:r w:rsidRPr="00AE62EF">
        <w:rPr>
          <w:rFonts w:cs="Calibri"/>
        </w:rPr>
        <w:t>.</w:t>
      </w:r>
      <w:r w:rsidRPr="00AE62EF">
        <w:rPr>
          <w:rStyle w:val="FootnoteReference"/>
          <w:rFonts w:cs="Calibri"/>
        </w:rPr>
        <w:footnoteReference w:id="32"/>
      </w:r>
    </w:p>
    <w:p w14:paraId="2784AB32" w14:textId="77777777" w:rsidR="00F71EA3" w:rsidRPr="00AE62EF" w:rsidRDefault="00F71EA3" w:rsidP="00F71EA3">
      <w:pPr>
        <w:pStyle w:val="HL1HeadingLevel1"/>
        <w:rPr>
          <w:rFonts w:cs="Calibri"/>
        </w:rPr>
      </w:pPr>
      <w:bookmarkStart w:id="25" w:name="_Toc157790650"/>
      <w:r w:rsidRPr="00AE62EF">
        <w:rPr>
          <w:rFonts w:cs="Calibri"/>
        </w:rPr>
        <w:t>Specificity</w:t>
      </w:r>
      <w:bookmarkEnd w:id="25"/>
    </w:p>
    <w:p w14:paraId="27A86D6A" w14:textId="77777777" w:rsidR="00F71EA3" w:rsidRPr="00AE62EF" w:rsidRDefault="00F71EA3" w:rsidP="00F71EA3">
      <w:pPr>
        <w:pStyle w:val="P1-N1Paragraph1-Number1"/>
        <w:rPr>
          <w:rFonts w:cs="Calibri"/>
        </w:rPr>
      </w:pPr>
      <w:r w:rsidRPr="00AE62EF">
        <w:rPr>
          <w:rFonts w:cs="Calibri"/>
        </w:rPr>
        <w:t xml:space="preserve">Indonesia makes a number of claims concerning the Commission's findings in respect of the alleged provision of nickel ore to the stainless steel industry for less than adequate remuneration. One of Indonesia's claims is that the Commission's determination that the alleged subsidy was specific to the stainless steel industry was flawed. The crux of its complaint is that the EU failed to establish that access to the subsidy was explicitly limited to the stainless steel sector. Indonesia refers to the Appellate Body's statement in </w:t>
      </w:r>
      <w:r w:rsidRPr="00AE62EF">
        <w:rPr>
          <w:rFonts w:cs="Calibri"/>
          <w:i/>
          <w:iCs/>
        </w:rPr>
        <w:t>US – Anti-dumping and Countervailing Duties (China)</w:t>
      </w:r>
      <w:r w:rsidRPr="00AE62EF">
        <w:rPr>
          <w:rFonts w:cs="Calibri"/>
        </w:rPr>
        <w:t xml:space="preserve"> that </w:t>
      </w:r>
      <w:r>
        <w:rPr>
          <w:rFonts w:cs="Calibri"/>
        </w:rPr>
        <w:t>'</w:t>
      </w:r>
      <w:r w:rsidRPr="00AE62EF">
        <w:rPr>
          <w:rFonts w:cs="Calibri"/>
        </w:rPr>
        <w:t>the limitation on access to the subsidy to certain enterprises [must be] express, unambiguous, or clear from the content of the relevant instrument, and not merely 'implied' or 'suggested'</w:t>
      </w:r>
      <w:r>
        <w:rPr>
          <w:rFonts w:cs="Calibri"/>
        </w:rPr>
        <w:t>'</w:t>
      </w:r>
      <w:r w:rsidRPr="00AE62EF">
        <w:rPr>
          <w:rFonts w:cs="Calibri"/>
        </w:rPr>
        <w:t>.</w:t>
      </w:r>
      <w:r w:rsidRPr="00AE62EF">
        <w:rPr>
          <w:rStyle w:val="FootnoteReference"/>
          <w:rFonts w:cs="Calibri"/>
        </w:rPr>
        <w:footnoteReference w:id="33"/>
      </w:r>
      <w:r w:rsidRPr="00AE62EF">
        <w:rPr>
          <w:rFonts w:cs="Calibri"/>
        </w:rPr>
        <w:t xml:space="preserve"> </w:t>
      </w:r>
    </w:p>
    <w:p w14:paraId="037A4398" w14:textId="77777777" w:rsidR="00F71EA3" w:rsidRPr="00AE62EF" w:rsidRDefault="00F71EA3" w:rsidP="00F71EA3">
      <w:pPr>
        <w:pStyle w:val="P1-N1Paragraph1-Number1"/>
        <w:rPr>
          <w:rFonts w:cs="Calibri"/>
        </w:rPr>
      </w:pPr>
      <w:r w:rsidRPr="00AE62EF">
        <w:rPr>
          <w:rFonts w:cs="Calibri"/>
        </w:rPr>
        <w:t>The EU submits that the Commission explicitly found a limitation on access to the subsidy at issue.</w:t>
      </w:r>
      <w:r w:rsidRPr="00AE62EF">
        <w:rPr>
          <w:rStyle w:val="FootnoteReference"/>
          <w:rFonts w:cs="Calibri"/>
        </w:rPr>
        <w:footnoteReference w:id="34"/>
      </w:r>
      <w:r w:rsidRPr="00AE62EF">
        <w:rPr>
          <w:rFonts w:cs="Calibri"/>
        </w:rPr>
        <w:t xml:space="preserve"> The EU argues that the inherent characteristics of the good provided by </w:t>
      </w:r>
      <w:r w:rsidRPr="00AE62EF">
        <w:rPr>
          <w:rFonts w:cs="Calibri"/>
        </w:rPr>
        <w:lastRenderedPageBreak/>
        <w:t>Indonesia, nickel ore, limits its possible use to certain industries only (i.e. industries that are active in the nickel value chain).</w:t>
      </w:r>
      <w:r w:rsidRPr="00AE62EF">
        <w:rPr>
          <w:rStyle w:val="FootnoteReference"/>
          <w:rFonts w:cs="Calibri"/>
        </w:rPr>
        <w:footnoteReference w:id="35"/>
      </w:r>
      <w:r w:rsidRPr="00AE62EF">
        <w:rPr>
          <w:rFonts w:cs="Calibri"/>
        </w:rPr>
        <w:t xml:space="preserve"> The EU considers that the subsidy at issue is therefore specific.</w:t>
      </w:r>
    </w:p>
    <w:p w14:paraId="047FC7A8" w14:textId="77777777" w:rsidR="00F71EA3" w:rsidRPr="00AE62EF" w:rsidRDefault="00F71EA3" w:rsidP="00F71EA3">
      <w:pPr>
        <w:pStyle w:val="P1-N1Paragraph1-Number1"/>
        <w:rPr>
          <w:rFonts w:cs="Calibri"/>
        </w:rPr>
      </w:pPr>
      <w:r w:rsidRPr="00AE62EF">
        <w:rPr>
          <w:rFonts w:cs="Calibri"/>
        </w:rPr>
        <w:t xml:space="preserve">Australia submits that where a good has been provided for less than adequate remuneration, specificity may be evident from the 'inherent characteristics' of a relevant good. The Panel in </w:t>
      </w:r>
      <w:r w:rsidRPr="00AE62EF">
        <w:rPr>
          <w:rFonts w:cs="Calibri"/>
          <w:i/>
          <w:iCs/>
        </w:rPr>
        <w:t>US – Carbon Steel (India)</w:t>
      </w:r>
      <w:r w:rsidRPr="00AE62EF">
        <w:rPr>
          <w:rFonts w:cs="Calibri"/>
        </w:rPr>
        <w:t xml:space="preserve"> explained that 'if access is limited by virtue of the fact that only certain enterprises may use the subsidized product, the subsidy is specific'.</w:t>
      </w:r>
      <w:r w:rsidRPr="00AE62EF">
        <w:rPr>
          <w:rStyle w:val="FootnoteReference"/>
          <w:rFonts w:cs="Calibri"/>
        </w:rPr>
        <w:footnoteReference w:id="36"/>
      </w:r>
      <w:r w:rsidRPr="00AE62EF">
        <w:rPr>
          <w:rFonts w:cs="Calibri"/>
        </w:rPr>
        <w:t xml:space="preserve"> The Panel in </w:t>
      </w:r>
      <w:r w:rsidRPr="00AE62EF">
        <w:rPr>
          <w:rFonts w:cs="Calibri"/>
          <w:i/>
          <w:iCs/>
        </w:rPr>
        <w:t xml:space="preserve">US – Softwood Lumber IV </w:t>
      </w:r>
      <w:r w:rsidRPr="00AE62EF">
        <w:rPr>
          <w:rFonts w:cs="Calibri"/>
        </w:rPr>
        <w:t>provided helpful examples of when the provision of natural resources for less than adequate remuneration would and would not be considered a 'specific' subsidy.</w:t>
      </w:r>
      <w:r w:rsidRPr="00AE62EF">
        <w:rPr>
          <w:rStyle w:val="FootnoteReference"/>
          <w:rFonts w:cs="Calibri"/>
        </w:rPr>
        <w:footnoteReference w:id="37"/>
      </w:r>
      <w:r w:rsidRPr="00AE62EF">
        <w:rPr>
          <w:rFonts w:cs="Calibri"/>
        </w:rPr>
        <w:t xml:space="preserve"> It first clarified that '[we] do not consider that… any provision of a good in the form of a natural resource automatically would be specific'.</w:t>
      </w:r>
      <w:r w:rsidRPr="00AE62EF">
        <w:rPr>
          <w:rStyle w:val="FootnoteReference"/>
          <w:rFonts w:cs="Calibri"/>
        </w:rPr>
        <w:footnoteReference w:id="38"/>
      </w:r>
      <w:r w:rsidRPr="00AE62EF">
        <w:rPr>
          <w:rFonts w:cs="Calibri"/>
        </w:rPr>
        <w:t xml:space="preserve"> It then distinguished between different types of natural resources, remarking that goods such as oil, gas and water 'may be used by an indefinite number of industries', while the 'inherent characteristics' of standing timber 'limit its possible use to “certain enterprises” only'.</w:t>
      </w:r>
      <w:r w:rsidRPr="00AE62EF">
        <w:rPr>
          <w:rStyle w:val="FootnoteReference"/>
          <w:rFonts w:cs="Calibri"/>
        </w:rPr>
        <w:footnoteReference w:id="39"/>
      </w:r>
      <w:r w:rsidRPr="00AE62EF">
        <w:rPr>
          <w:rFonts w:cs="Calibri"/>
        </w:rPr>
        <w:t xml:space="preserve"> The relevant question is therefore, in Australia's view, whether a relevant natural resource may be used by an 'indefinite number of industries', or whether its use is limited to 'certain enterprises' only. Australia considers that it is difficult to see how the natural resource at issue in this dispute, nickel ore, could be used by an 'indefinite number of industries'.</w:t>
      </w:r>
    </w:p>
    <w:p w14:paraId="351B3CAB" w14:textId="77777777" w:rsidR="00F71EA3" w:rsidRPr="00AE62EF" w:rsidRDefault="00F71EA3" w:rsidP="00F71EA3">
      <w:pPr>
        <w:pStyle w:val="HL1HeadingLevel1"/>
        <w:rPr>
          <w:rFonts w:cs="Calibri"/>
        </w:rPr>
      </w:pPr>
      <w:bookmarkStart w:id="26" w:name="_Toc157790651"/>
      <w:r w:rsidRPr="00AE62EF">
        <w:rPr>
          <w:rFonts w:cs="Calibri"/>
        </w:rPr>
        <w:t>Notice requirements</w:t>
      </w:r>
      <w:bookmarkEnd w:id="26"/>
    </w:p>
    <w:p w14:paraId="70F32E48" w14:textId="77777777" w:rsidR="00F71EA3" w:rsidRPr="00AE62EF" w:rsidRDefault="00F71EA3" w:rsidP="00F71EA3">
      <w:pPr>
        <w:pStyle w:val="P1-N1Paragraph1-Number1"/>
        <w:rPr>
          <w:rFonts w:cs="Calibri"/>
        </w:rPr>
      </w:pPr>
      <w:r w:rsidRPr="00AE62EF">
        <w:rPr>
          <w:rFonts w:eastAsia="Times New Roman" w:cs="Calibri"/>
        </w:rPr>
        <w:t xml:space="preserve">Indonesia makes a number of procedural claims with respect to the manner in which the Commission conducted its investigation. Indonesia claims, </w:t>
      </w:r>
      <w:r w:rsidRPr="00AE62EF">
        <w:rPr>
          <w:rFonts w:eastAsia="Times New Roman" w:cs="Calibri"/>
          <w:i/>
          <w:iCs/>
        </w:rPr>
        <w:t>inter alia</w:t>
      </w:r>
      <w:r w:rsidRPr="00AE62EF">
        <w:rPr>
          <w:rFonts w:eastAsia="Times New Roman" w:cs="Calibri"/>
        </w:rPr>
        <w:t xml:space="preserve">, that </w:t>
      </w:r>
      <w:r w:rsidRPr="00AE62EF">
        <w:rPr>
          <w:rFonts w:cs="Calibri"/>
        </w:rPr>
        <w:t xml:space="preserve">the Commission erred by requiring the </w:t>
      </w:r>
      <w:r>
        <w:rPr>
          <w:rFonts w:eastAsia="Times New Roman" w:cs="Calibri"/>
        </w:rPr>
        <w:t>GOID</w:t>
      </w:r>
      <w:r w:rsidRPr="00AE62EF">
        <w:rPr>
          <w:rFonts w:cs="Calibri"/>
        </w:rPr>
        <w:t xml:space="preserve"> to send questionnaires to nickel ore mining companies seeking certain information. </w:t>
      </w:r>
      <w:r w:rsidRPr="00AE62EF">
        <w:rPr>
          <w:rFonts w:eastAsia="Times New Roman" w:cs="Calibri"/>
        </w:rPr>
        <w:t>Indonesia claims that this error gave rise to inconsistency with Article</w:t>
      </w:r>
      <w:r>
        <w:rPr>
          <w:rFonts w:eastAsia="Times New Roman" w:cs="Calibri"/>
        </w:rPr>
        <w:t>s</w:t>
      </w:r>
      <w:r w:rsidRPr="00AE62EF">
        <w:rPr>
          <w:rFonts w:eastAsia="Times New Roman" w:cs="Calibri"/>
        </w:rPr>
        <w:t xml:space="preserve"> 10 and 12 of the SCM Agreement. Indonesia argues that as 'interested parties', the nickel ore </w:t>
      </w:r>
      <w:r w:rsidRPr="00AE62EF">
        <w:rPr>
          <w:rFonts w:eastAsia="Times New Roman" w:cs="Calibri"/>
        </w:rPr>
        <w:lastRenderedPageBreak/>
        <w:t xml:space="preserve">mining companies were entitled to receive a notice directly from the Commission, rather than receiving a notice from the </w:t>
      </w:r>
      <w:r>
        <w:rPr>
          <w:rFonts w:eastAsia="Times New Roman" w:cs="Calibri"/>
        </w:rPr>
        <w:t>GOID</w:t>
      </w:r>
      <w:r w:rsidRPr="00AE62EF">
        <w:rPr>
          <w:rFonts w:eastAsia="Times New Roman" w:cs="Calibri"/>
        </w:rPr>
        <w:t>.</w:t>
      </w:r>
      <w:r w:rsidRPr="00AE62EF">
        <w:rPr>
          <w:rStyle w:val="FootnoteReference"/>
          <w:rFonts w:eastAsia="Times New Roman" w:cs="Calibri"/>
        </w:rPr>
        <w:footnoteReference w:id="40"/>
      </w:r>
      <w:r w:rsidRPr="00AE62EF">
        <w:rPr>
          <w:rFonts w:eastAsia="Times New Roman" w:cs="Calibri"/>
        </w:rPr>
        <w:t xml:space="preserve">  </w:t>
      </w:r>
    </w:p>
    <w:p w14:paraId="3C4368E8" w14:textId="77777777" w:rsidR="00F71EA3" w:rsidRPr="00AE62EF" w:rsidRDefault="00F71EA3" w:rsidP="00F71EA3">
      <w:pPr>
        <w:pStyle w:val="P1-N1Paragraph1-Number1"/>
        <w:rPr>
          <w:rFonts w:cs="Calibri"/>
        </w:rPr>
      </w:pPr>
      <w:r w:rsidRPr="00AE62EF">
        <w:rPr>
          <w:rFonts w:cs="Calibri"/>
        </w:rPr>
        <w:t xml:space="preserve">The EU argues that the Commission's approach of requesting the </w:t>
      </w:r>
      <w:r>
        <w:rPr>
          <w:rFonts w:cs="Calibri"/>
        </w:rPr>
        <w:t>GOID</w:t>
      </w:r>
      <w:r w:rsidRPr="00AE62EF">
        <w:rPr>
          <w:rFonts w:cs="Calibri"/>
        </w:rPr>
        <w:t xml:space="preserve"> to collect certain information from nickel ore mining companies was not inconsistent with Articles 10 and 12 of the SCM Agreement. The EU does not dispute that interested parties are entitled to receive notice 'from' the investigating authority.</w:t>
      </w:r>
      <w:r w:rsidRPr="00AE62EF">
        <w:rPr>
          <w:rStyle w:val="FootnoteReference"/>
          <w:rFonts w:cs="Calibri"/>
        </w:rPr>
        <w:footnoteReference w:id="41"/>
      </w:r>
      <w:r w:rsidRPr="00AE62EF">
        <w:rPr>
          <w:rFonts w:cs="Calibri"/>
        </w:rPr>
        <w:t xml:space="preserve"> However, the EU considers that Article 12.1 does not require </w:t>
      </w:r>
      <w:r w:rsidRPr="00AE62EF">
        <w:rPr>
          <w:rFonts w:cs="Calibri"/>
          <w:i/>
          <w:iCs/>
        </w:rPr>
        <w:t>direct</w:t>
      </w:r>
      <w:r w:rsidRPr="00AE62EF">
        <w:rPr>
          <w:rFonts w:cs="Calibri"/>
        </w:rPr>
        <w:t xml:space="preserve"> delivery of the questionnaires to interested parties by the investigating authority.</w:t>
      </w:r>
      <w:r w:rsidRPr="00AE62EF">
        <w:rPr>
          <w:rStyle w:val="FootnoteReference"/>
          <w:rFonts w:cs="Calibri"/>
        </w:rPr>
        <w:footnoteReference w:id="42"/>
      </w:r>
      <w:r w:rsidRPr="00AE62EF">
        <w:rPr>
          <w:rFonts w:cs="Calibri"/>
        </w:rPr>
        <w:t xml:space="preserve"> The EU submits that it is open to an investigating authority to use 'more effective ways' to communicate the relevant notice.</w:t>
      </w:r>
      <w:r w:rsidRPr="00AE62EF">
        <w:rPr>
          <w:rStyle w:val="FootnoteReference"/>
          <w:rFonts w:cs="Calibri"/>
        </w:rPr>
        <w:footnoteReference w:id="43"/>
      </w:r>
      <w:r w:rsidRPr="00AE62EF">
        <w:rPr>
          <w:rFonts w:cs="Calibri"/>
        </w:rPr>
        <w:t xml:space="preserve"> </w:t>
      </w:r>
    </w:p>
    <w:p w14:paraId="011C63BA" w14:textId="77777777" w:rsidR="00F71EA3" w:rsidRPr="00AE62EF" w:rsidRDefault="00F71EA3" w:rsidP="00F71EA3">
      <w:pPr>
        <w:pStyle w:val="P1-N1Paragraph1-Number1"/>
        <w:rPr>
          <w:rFonts w:cs="Calibri"/>
        </w:rPr>
      </w:pPr>
      <w:r w:rsidRPr="00AE62EF">
        <w:rPr>
          <w:rFonts w:cs="Calibri"/>
        </w:rPr>
        <w:t xml:space="preserve">Australia recalls that Article 12.1 of the SCM Agreement provides that '[interested] Members and all interested parties in a countervailing duty investigation </w:t>
      </w:r>
      <w:r w:rsidRPr="00AE62EF">
        <w:rPr>
          <w:rFonts w:cs="Calibri"/>
          <w:i/>
          <w:iCs/>
        </w:rPr>
        <w:t>shall be given</w:t>
      </w:r>
      <w:r w:rsidRPr="00AE62EF">
        <w:rPr>
          <w:rFonts w:cs="Calibri"/>
        </w:rPr>
        <w:t xml:space="preserve"> notice of the information which the authorities require'. Whether or not notice is given is ultimately a question of fact. Australia observes that Article 12.1 of the SCM Agreement is not prescriptive about the </w:t>
      </w:r>
      <w:r w:rsidRPr="00AE62EF">
        <w:rPr>
          <w:rFonts w:cs="Calibri"/>
          <w:i/>
          <w:iCs/>
        </w:rPr>
        <w:t>manner</w:t>
      </w:r>
      <w:r w:rsidRPr="00AE62EF">
        <w:rPr>
          <w:rFonts w:cs="Calibri"/>
        </w:rPr>
        <w:t xml:space="preserve"> in which notice must be given to interested parties. In particular, Australia observes that Article 12.1 does not impose an obligation on the investigating authority to deliver questionnaires </w:t>
      </w:r>
      <w:r w:rsidRPr="00AE62EF">
        <w:rPr>
          <w:rFonts w:cs="Calibri"/>
          <w:i/>
          <w:iCs/>
        </w:rPr>
        <w:t xml:space="preserve">directly </w:t>
      </w:r>
      <w:r w:rsidRPr="00AE62EF">
        <w:rPr>
          <w:rFonts w:cs="Calibri"/>
        </w:rPr>
        <w:t xml:space="preserve">to interested parties. Australia recalls that the Panel in </w:t>
      </w:r>
      <w:r w:rsidRPr="00AE62EF">
        <w:rPr>
          <w:rFonts w:cs="Calibri"/>
          <w:i/>
          <w:iCs/>
        </w:rPr>
        <w:t xml:space="preserve">Mexico – Olive Oil </w:t>
      </w:r>
      <w:r w:rsidRPr="00AE62EF">
        <w:rPr>
          <w:rFonts w:cs="Calibri"/>
        </w:rPr>
        <w:t>emphasised the 'considerable discretion' of Members to 'define their own procedures' under Article 12.</w:t>
      </w:r>
      <w:r w:rsidRPr="00AE62EF">
        <w:rPr>
          <w:rStyle w:val="FootnoteReference"/>
          <w:rFonts w:cs="Calibri"/>
        </w:rPr>
        <w:footnoteReference w:id="44"/>
      </w:r>
      <w:r w:rsidRPr="00AE62EF">
        <w:rPr>
          <w:rFonts w:cs="Calibri"/>
        </w:rPr>
        <w:t xml:space="preserve"> Similarly, the Panel in </w:t>
      </w:r>
      <w:r w:rsidRPr="00AE62EF">
        <w:rPr>
          <w:rFonts w:cs="Calibri"/>
          <w:i/>
          <w:iCs/>
        </w:rPr>
        <w:t xml:space="preserve">China – Broiler Products (Article 21.5 – US) </w:t>
      </w:r>
      <w:r w:rsidRPr="00AE62EF">
        <w:rPr>
          <w:rFonts w:cs="Calibri"/>
        </w:rPr>
        <w:t>confirmed that investigating authorities have discretion under Article 12.1, observing that 'an investigating authority may choose a manner of giving the required notice that imposes less of an administrative burden'.</w:t>
      </w:r>
      <w:r w:rsidRPr="00AE62EF">
        <w:rPr>
          <w:rStyle w:val="FootnoteReference"/>
          <w:rFonts w:cs="Calibri"/>
        </w:rPr>
        <w:footnoteReference w:id="45"/>
      </w:r>
      <w:r w:rsidRPr="00AE62EF">
        <w:rPr>
          <w:rFonts w:cs="Calibri"/>
        </w:rPr>
        <w:t xml:space="preserve"> </w:t>
      </w:r>
    </w:p>
    <w:p w14:paraId="392A8913" w14:textId="77777777" w:rsidR="00F71EA3" w:rsidRPr="00AE62EF" w:rsidRDefault="00F71EA3" w:rsidP="00F71EA3">
      <w:pPr>
        <w:pStyle w:val="P1-N1Paragraph1-Number1"/>
        <w:rPr>
          <w:rFonts w:cs="Calibri"/>
        </w:rPr>
      </w:pPr>
      <w:r w:rsidRPr="00AE62EF">
        <w:rPr>
          <w:rFonts w:cs="Calibri"/>
        </w:rPr>
        <w:t xml:space="preserve">In light of the above statements from previous panels and the text of Article 12.1, Australia does not consider that asking a foreign government to send questionnaires to companies based in its own territory is inconsistent with the SCM Agreement. Instead, </w:t>
      </w:r>
      <w:r w:rsidRPr="00AE62EF">
        <w:rPr>
          <w:rFonts w:cs="Calibri"/>
        </w:rPr>
        <w:lastRenderedPageBreak/>
        <w:t xml:space="preserve">Australia submits that this approach is a sensible and reasonable means of lessening the administrative burden on an investigating authority, while discharging the notice requirement in Article 12.1 of the SCM Agreement.  </w:t>
      </w:r>
    </w:p>
    <w:p w14:paraId="2FD961B7" w14:textId="77777777" w:rsidR="00F71EA3" w:rsidRPr="00AE62EF" w:rsidRDefault="00F71EA3" w:rsidP="00F71EA3">
      <w:pPr>
        <w:pStyle w:val="HL1HeadingLevel1"/>
        <w:rPr>
          <w:rFonts w:cs="Calibri"/>
        </w:rPr>
      </w:pPr>
      <w:bookmarkStart w:id="27" w:name="_Toc157790652"/>
      <w:r w:rsidRPr="00AE62EF">
        <w:rPr>
          <w:rFonts w:cs="Calibri"/>
        </w:rPr>
        <w:t>Conclusion</w:t>
      </w:r>
      <w:bookmarkEnd w:id="27"/>
      <w:r w:rsidRPr="00AE62EF">
        <w:rPr>
          <w:rFonts w:cs="Calibri"/>
        </w:rPr>
        <w:t xml:space="preserve"> </w:t>
      </w:r>
    </w:p>
    <w:p w14:paraId="4186772E" w14:textId="77777777" w:rsidR="00F71EA3" w:rsidRPr="00AE62EF" w:rsidRDefault="00F71EA3" w:rsidP="00F71EA3">
      <w:pPr>
        <w:pStyle w:val="P1-N1Paragraph1-Number1"/>
        <w:rPr>
          <w:rFonts w:cs="Calibri"/>
        </w:rPr>
      </w:pPr>
      <w:r w:rsidRPr="00AE62EF">
        <w:rPr>
          <w:rFonts w:cs="Calibri"/>
        </w:rPr>
        <w:t>Australia observes that this dispute raises important systemic questions about the flexibility of current WTO rules, and the ability for Members to prevent the circumvention of the disciplines in the SCM Agreement. In this regard, as the Appellate Body has stated:</w:t>
      </w:r>
      <w:r w:rsidRPr="00AE62EF">
        <w:rPr>
          <w:rStyle w:val="FootnoteReference"/>
          <w:rFonts w:cs="Calibri"/>
        </w:rPr>
        <w:footnoteReference w:id="46"/>
      </w:r>
    </w:p>
    <w:p w14:paraId="5E970769" w14:textId="77777777" w:rsidR="00F71EA3" w:rsidRPr="00AE62EF" w:rsidRDefault="00F71EA3" w:rsidP="00F71EA3">
      <w:pPr>
        <w:pStyle w:val="P1-N1Paragraph1-Number1"/>
        <w:numPr>
          <w:ilvl w:val="0"/>
          <w:numId w:val="0"/>
        </w:numPr>
        <w:spacing w:line="276" w:lineRule="auto"/>
        <w:ind w:left="851"/>
        <w:rPr>
          <w:rFonts w:cs="Calibri"/>
          <w:sz w:val="22"/>
          <w:szCs w:val="22"/>
        </w:rPr>
      </w:pPr>
      <w:r w:rsidRPr="00AE62EF">
        <w:rPr>
          <w:rFonts w:cs="Calibri"/>
          <w:sz w:val="22"/>
          <w:szCs w:val="22"/>
        </w:rPr>
        <w:t>WTO rules are reliable, comprehensible and enforceable. WTO rules are not so rigid or so inflexible as not to leave room for reasoned judgements in confronting the endless and ever</w:t>
      </w:r>
      <w:r>
        <w:rPr>
          <w:rFonts w:cs="Calibri"/>
          <w:sz w:val="22"/>
          <w:szCs w:val="22"/>
        </w:rPr>
        <w:noBreakHyphen/>
      </w:r>
      <w:r w:rsidRPr="00AE62EF">
        <w:rPr>
          <w:rFonts w:cs="Calibri"/>
          <w:sz w:val="22"/>
          <w:szCs w:val="22"/>
        </w:rPr>
        <w:t>changing ebb and flow of real facts in real cases in the real world. They will serve the multilateral trading system best if they are interpreted with that in mind. In that way, we will achieve the "security and predictability" sought for the multilateral trading system by the Members of the WTO through the establishment of the dispute settlement system.</w:t>
      </w:r>
    </w:p>
    <w:p w14:paraId="63042FF8" w14:textId="77777777" w:rsidR="00F71EA3" w:rsidRPr="00AE62EF" w:rsidRDefault="00F71EA3" w:rsidP="00F71EA3">
      <w:pPr>
        <w:pStyle w:val="P1-N1Paragraph1-Number1"/>
        <w:rPr>
          <w:rFonts w:cs="Calibri"/>
        </w:rPr>
      </w:pPr>
      <w:r w:rsidRPr="00AE62EF">
        <w:rPr>
          <w:rFonts w:cs="Calibri"/>
        </w:rPr>
        <w:t>Australia thanks the Panel for the opportunity to submit these views.</w:t>
      </w:r>
    </w:p>
    <w:p w14:paraId="737EF4EE" w14:textId="77777777" w:rsidR="00FA06B8" w:rsidRDefault="00FA06B8"/>
    <w:sectPr w:rsidR="00FA06B8" w:rsidSect="008F5B14">
      <w:headerReference w:type="default" r:id="rId7"/>
      <w:footerReference w:type="default" r:id="rId8"/>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D50F" w14:textId="77777777" w:rsidR="00F71EA3" w:rsidRDefault="00F71EA3" w:rsidP="00F71EA3">
      <w:pPr>
        <w:spacing w:after="0" w:line="240" w:lineRule="auto"/>
      </w:pPr>
      <w:r>
        <w:separator/>
      </w:r>
    </w:p>
  </w:endnote>
  <w:endnote w:type="continuationSeparator" w:id="0">
    <w:p w14:paraId="064FC261" w14:textId="77777777" w:rsidR="00F71EA3" w:rsidRDefault="00F71EA3" w:rsidP="00F7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D8B" w14:textId="77777777" w:rsidR="00635A10" w:rsidRDefault="00635A10">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C42F" w14:textId="77777777" w:rsidR="00F71EA3" w:rsidRDefault="00F71EA3" w:rsidP="00F71EA3">
      <w:pPr>
        <w:spacing w:after="0" w:line="240" w:lineRule="auto"/>
      </w:pPr>
      <w:r>
        <w:separator/>
      </w:r>
    </w:p>
  </w:footnote>
  <w:footnote w:type="continuationSeparator" w:id="0">
    <w:p w14:paraId="50CEE4E8" w14:textId="77777777" w:rsidR="00F71EA3" w:rsidRDefault="00F71EA3" w:rsidP="00F71EA3">
      <w:pPr>
        <w:spacing w:after="0" w:line="240" w:lineRule="auto"/>
      </w:pPr>
      <w:r>
        <w:continuationSeparator/>
      </w:r>
    </w:p>
  </w:footnote>
  <w:footnote w:id="1">
    <w:p w14:paraId="32B11B5B" w14:textId="77777777" w:rsidR="00F71EA3" w:rsidRPr="005450E1" w:rsidRDefault="00F71EA3" w:rsidP="00F71EA3">
      <w:pPr>
        <w:pStyle w:val="FootnoteText"/>
        <w:rPr>
          <w:rFonts w:cs="Calibri"/>
          <w:szCs w:val="18"/>
        </w:rPr>
      </w:pPr>
      <w:r w:rsidRPr="005450E1">
        <w:rPr>
          <w:rStyle w:val="FootnoteReference"/>
          <w:rFonts w:cs="Calibri"/>
          <w:szCs w:val="18"/>
        </w:rPr>
        <w:footnoteRef/>
      </w:r>
      <w:r w:rsidRPr="005450E1">
        <w:rPr>
          <w:rFonts w:cs="Calibri"/>
          <w:szCs w:val="18"/>
        </w:rPr>
        <w:t xml:space="preserve"> Appellate Body Report, </w:t>
      </w:r>
      <w:r w:rsidRPr="00FE4F2F">
        <w:rPr>
          <w:rFonts w:cs="Calibri"/>
          <w:i/>
          <w:iCs/>
          <w:szCs w:val="18"/>
        </w:rPr>
        <w:t>US – Softwood Lumber VI (Article 21.5 – Canada)</w:t>
      </w:r>
      <w:r w:rsidRPr="005450E1">
        <w:rPr>
          <w:rFonts w:cs="Calibri"/>
          <w:szCs w:val="18"/>
        </w:rPr>
        <w:t xml:space="preserve">, para. 93.  </w:t>
      </w:r>
    </w:p>
  </w:footnote>
  <w:footnote w:id="2">
    <w:p w14:paraId="4F7338DD" w14:textId="77777777" w:rsidR="00F71EA3" w:rsidRPr="005450E1" w:rsidRDefault="00F71EA3" w:rsidP="00F71EA3">
      <w:pPr>
        <w:pStyle w:val="FootnoteText"/>
        <w:rPr>
          <w:rFonts w:cs="Calibri"/>
          <w:szCs w:val="18"/>
        </w:rPr>
      </w:pPr>
      <w:r w:rsidRPr="005450E1">
        <w:rPr>
          <w:rStyle w:val="FootnoteReference"/>
          <w:rFonts w:cs="Calibri"/>
          <w:szCs w:val="18"/>
        </w:rPr>
        <w:footnoteRef/>
      </w:r>
      <w:r w:rsidRPr="005450E1">
        <w:rPr>
          <w:rFonts w:cs="Calibri"/>
          <w:szCs w:val="18"/>
        </w:rPr>
        <w:t xml:space="preserve"> Appellate Body Report, </w:t>
      </w:r>
      <w:r w:rsidRPr="00D14DD5">
        <w:rPr>
          <w:rFonts w:cs="Calibri"/>
          <w:i/>
          <w:iCs/>
          <w:szCs w:val="18"/>
        </w:rPr>
        <w:t>US – Softwood Lumber VI (Article 21.5 – Canada)</w:t>
      </w:r>
      <w:r w:rsidRPr="005450E1">
        <w:rPr>
          <w:rFonts w:cs="Calibri"/>
          <w:szCs w:val="18"/>
        </w:rPr>
        <w:t xml:space="preserve">, para. 93.  </w:t>
      </w:r>
    </w:p>
  </w:footnote>
  <w:footnote w:id="3">
    <w:p w14:paraId="12596914" w14:textId="77777777" w:rsidR="00F71EA3" w:rsidRPr="005450E1" w:rsidRDefault="00F71EA3" w:rsidP="00F71EA3">
      <w:pPr>
        <w:pStyle w:val="FootnoteText"/>
        <w:rPr>
          <w:rFonts w:cs="Calibri"/>
          <w:szCs w:val="18"/>
        </w:rPr>
      </w:pPr>
      <w:r w:rsidRPr="005450E1">
        <w:rPr>
          <w:rStyle w:val="FootnoteReference"/>
          <w:rFonts w:cs="Calibri"/>
          <w:szCs w:val="18"/>
        </w:rPr>
        <w:footnoteRef/>
      </w:r>
      <w:r w:rsidRPr="005450E1">
        <w:rPr>
          <w:rFonts w:cs="Calibri"/>
          <w:szCs w:val="18"/>
        </w:rPr>
        <w:t xml:space="preserve"> </w:t>
      </w:r>
      <w:r>
        <w:rPr>
          <w:rFonts w:cs="Calibri"/>
          <w:szCs w:val="18"/>
        </w:rPr>
        <w:t>European Union's first written submission</w:t>
      </w:r>
      <w:r w:rsidRPr="005450E1">
        <w:rPr>
          <w:rFonts w:cs="Calibri"/>
          <w:szCs w:val="18"/>
        </w:rPr>
        <w:t>,</w:t>
      </w:r>
      <w:r>
        <w:rPr>
          <w:rFonts w:cs="Calibri"/>
          <w:szCs w:val="18"/>
        </w:rPr>
        <w:t xml:space="preserve"> para.</w:t>
      </w:r>
      <w:r w:rsidRPr="005450E1">
        <w:rPr>
          <w:rFonts w:cs="Calibri"/>
          <w:szCs w:val="18"/>
        </w:rPr>
        <w:t xml:space="preserve"> 9.</w:t>
      </w:r>
    </w:p>
  </w:footnote>
  <w:footnote w:id="4">
    <w:p w14:paraId="0B20E23C" w14:textId="77777777" w:rsidR="00F71EA3" w:rsidRPr="005450E1" w:rsidRDefault="00F71EA3" w:rsidP="00F71EA3">
      <w:pPr>
        <w:pStyle w:val="FootnoteText"/>
        <w:rPr>
          <w:rFonts w:cs="Calibri"/>
          <w:szCs w:val="18"/>
        </w:rPr>
      </w:pPr>
      <w:r w:rsidRPr="005450E1">
        <w:rPr>
          <w:rStyle w:val="FootnoteReference"/>
          <w:rFonts w:cs="Calibri"/>
          <w:szCs w:val="18"/>
        </w:rPr>
        <w:footnoteRef/>
      </w:r>
      <w:r w:rsidRPr="005450E1">
        <w:rPr>
          <w:rFonts w:cs="Calibri"/>
          <w:szCs w:val="18"/>
        </w:rPr>
        <w:t xml:space="preserve"> </w:t>
      </w:r>
      <w:r>
        <w:rPr>
          <w:rFonts w:cs="Calibri"/>
          <w:szCs w:val="18"/>
        </w:rPr>
        <w:t>European Union's first written submission</w:t>
      </w:r>
      <w:r w:rsidRPr="005450E1">
        <w:rPr>
          <w:rFonts w:cs="Calibri"/>
          <w:szCs w:val="18"/>
        </w:rPr>
        <w:t xml:space="preserve">, </w:t>
      </w:r>
      <w:r>
        <w:rPr>
          <w:rFonts w:cs="Calibri"/>
          <w:szCs w:val="18"/>
        </w:rPr>
        <w:t xml:space="preserve">para. </w:t>
      </w:r>
      <w:r w:rsidRPr="005450E1">
        <w:rPr>
          <w:rFonts w:cs="Calibri"/>
          <w:szCs w:val="18"/>
        </w:rPr>
        <w:t>14.</w:t>
      </w:r>
    </w:p>
  </w:footnote>
  <w:footnote w:id="5">
    <w:p w14:paraId="0793D398" w14:textId="77777777" w:rsidR="00F71EA3" w:rsidRPr="005450E1" w:rsidRDefault="00F71EA3" w:rsidP="00F71EA3">
      <w:pPr>
        <w:pStyle w:val="FootnoteText"/>
        <w:rPr>
          <w:rFonts w:cs="Calibri"/>
          <w:szCs w:val="18"/>
        </w:rPr>
      </w:pPr>
      <w:r w:rsidRPr="005450E1">
        <w:rPr>
          <w:rStyle w:val="FootnoteReference"/>
          <w:rFonts w:cs="Calibri"/>
          <w:szCs w:val="18"/>
        </w:rPr>
        <w:footnoteRef/>
      </w:r>
      <w:r w:rsidRPr="005450E1">
        <w:rPr>
          <w:rFonts w:cs="Calibri"/>
          <w:szCs w:val="18"/>
        </w:rPr>
        <w:t xml:space="preserve"> </w:t>
      </w:r>
      <w:r>
        <w:rPr>
          <w:rFonts w:cs="Calibri"/>
          <w:szCs w:val="18"/>
        </w:rPr>
        <w:t>European Union's first written submission</w:t>
      </w:r>
      <w:r w:rsidRPr="005450E1">
        <w:rPr>
          <w:rFonts w:cs="Calibri"/>
          <w:szCs w:val="18"/>
        </w:rPr>
        <w:t xml:space="preserve">, </w:t>
      </w:r>
      <w:r>
        <w:rPr>
          <w:rFonts w:cs="Calibri"/>
          <w:szCs w:val="18"/>
        </w:rPr>
        <w:t xml:space="preserve">para. </w:t>
      </w:r>
      <w:r w:rsidRPr="005450E1">
        <w:rPr>
          <w:rFonts w:cs="Calibri"/>
          <w:szCs w:val="18"/>
        </w:rPr>
        <w:t>9.</w:t>
      </w:r>
    </w:p>
  </w:footnote>
  <w:footnote w:id="6">
    <w:p w14:paraId="4D291FBF" w14:textId="77777777" w:rsidR="00F71EA3" w:rsidRPr="005450E1" w:rsidRDefault="00F71EA3" w:rsidP="00F71EA3">
      <w:pPr>
        <w:pStyle w:val="FootnoteText"/>
        <w:rPr>
          <w:rFonts w:cs="Calibri"/>
          <w:szCs w:val="18"/>
        </w:rPr>
      </w:pPr>
      <w:r w:rsidRPr="005450E1">
        <w:rPr>
          <w:rStyle w:val="FootnoteReference"/>
          <w:rFonts w:cs="Calibri"/>
          <w:szCs w:val="18"/>
        </w:rPr>
        <w:footnoteRef/>
      </w:r>
      <w:r w:rsidRPr="005450E1">
        <w:rPr>
          <w:rFonts w:cs="Calibri"/>
          <w:szCs w:val="18"/>
        </w:rPr>
        <w:t xml:space="preserve"> </w:t>
      </w:r>
      <w:r>
        <w:rPr>
          <w:rFonts w:cs="Calibri"/>
          <w:szCs w:val="18"/>
        </w:rPr>
        <w:t>European Union's first written submission</w:t>
      </w:r>
      <w:r w:rsidRPr="005450E1">
        <w:rPr>
          <w:rFonts w:cs="Calibri"/>
          <w:szCs w:val="18"/>
        </w:rPr>
        <w:t xml:space="preserve">, </w:t>
      </w:r>
      <w:r>
        <w:rPr>
          <w:rFonts w:cs="Calibri"/>
          <w:szCs w:val="18"/>
        </w:rPr>
        <w:t xml:space="preserve">para. </w:t>
      </w:r>
      <w:r w:rsidRPr="005450E1">
        <w:rPr>
          <w:rFonts w:cs="Calibri"/>
          <w:szCs w:val="18"/>
        </w:rPr>
        <w:t>12.</w:t>
      </w:r>
    </w:p>
  </w:footnote>
  <w:footnote w:id="7">
    <w:p w14:paraId="3DB3BEB3" w14:textId="77777777" w:rsidR="00F71EA3" w:rsidRPr="005450E1" w:rsidRDefault="00F71EA3" w:rsidP="00F71EA3">
      <w:pPr>
        <w:pStyle w:val="FootnoteText"/>
        <w:rPr>
          <w:rFonts w:cs="Calibri"/>
          <w:szCs w:val="18"/>
        </w:rPr>
      </w:pPr>
      <w:r w:rsidRPr="005450E1">
        <w:rPr>
          <w:rStyle w:val="FootnoteReference"/>
          <w:rFonts w:cs="Calibri"/>
          <w:szCs w:val="18"/>
        </w:rPr>
        <w:footnoteRef/>
      </w:r>
      <w:r w:rsidRPr="005450E1">
        <w:rPr>
          <w:rFonts w:cs="Calibri"/>
          <w:szCs w:val="18"/>
        </w:rPr>
        <w:t xml:space="preserve"> </w:t>
      </w:r>
      <w:r w:rsidRPr="0017222E">
        <w:rPr>
          <w:rFonts w:cs="Calibri"/>
          <w:color w:val="2A2A2A"/>
          <w:szCs w:val="18"/>
          <w:shd w:val="clear" w:color="auto" w:fill="FFFFFF"/>
        </w:rPr>
        <w:t>Panel Report, </w:t>
      </w:r>
      <w:r w:rsidRPr="00FE4F2F">
        <w:rPr>
          <w:rFonts w:cs="Calibri"/>
          <w:i/>
          <w:iCs/>
          <w:color w:val="2A2A2A"/>
          <w:szCs w:val="18"/>
          <w:shd w:val="clear" w:color="auto" w:fill="FFFFFF"/>
        </w:rPr>
        <w:t>Brazil – Aircraft</w:t>
      </w:r>
      <w:r w:rsidRPr="0017222E">
        <w:rPr>
          <w:rFonts w:cs="Calibri"/>
          <w:color w:val="2A2A2A"/>
          <w:szCs w:val="18"/>
          <w:shd w:val="clear" w:color="auto" w:fill="FFFFFF"/>
        </w:rPr>
        <w:t xml:space="preserve">, </w:t>
      </w:r>
      <w:r w:rsidRPr="005450E1">
        <w:rPr>
          <w:rFonts w:cs="Calibri"/>
          <w:szCs w:val="18"/>
        </w:rPr>
        <w:t>para. 7.26.</w:t>
      </w:r>
      <w:r w:rsidRPr="005450E1" w:rsidDel="00F621FD">
        <w:rPr>
          <w:rFonts w:cs="Calibri"/>
          <w:szCs w:val="18"/>
        </w:rPr>
        <w:t xml:space="preserve"> </w:t>
      </w:r>
    </w:p>
  </w:footnote>
  <w:footnote w:id="8">
    <w:p w14:paraId="33A7AA7A" w14:textId="77777777" w:rsidR="00F71EA3" w:rsidRPr="005450E1" w:rsidRDefault="00F71EA3" w:rsidP="00F71EA3">
      <w:pPr>
        <w:pStyle w:val="FootnoteText"/>
        <w:rPr>
          <w:rFonts w:cs="Calibri"/>
          <w:szCs w:val="18"/>
        </w:rPr>
      </w:pPr>
      <w:r w:rsidRPr="005450E1">
        <w:rPr>
          <w:rStyle w:val="FootnoteReference"/>
          <w:rFonts w:cs="Calibri"/>
          <w:szCs w:val="18"/>
        </w:rPr>
        <w:footnoteRef/>
      </w:r>
      <w:r w:rsidRPr="005450E1">
        <w:rPr>
          <w:rFonts w:cs="Calibri"/>
          <w:szCs w:val="18"/>
        </w:rPr>
        <w:t xml:space="preserve"> </w:t>
      </w:r>
      <w:r>
        <w:rPr>
          <w:rFonts w:cs="Calibri"/>
          <w:szCs w:val="18"/>
        </w:rPr>
        <w:t>European Union's first written submission</w:t>
      </w:r>
      <w:r w:rsidRPr="005450E1">
        <w:rPr>
          <w:rFonts w:cs="Calibri"/>
          <w:szCs w:val="18"/>
        </w:rPr>
        <w:t xml:space="preserve">, </w:t>
      </w:r>
      <w:r>
        <w:rPr>
          <w:rFonts w:cs="Calibri"/>
          <w:szCs w:val="18"/>
        </w:rPr>
        <w:t>fn.</w:t>
      </w:r>
      <w:r w:rsidRPr="005450E1">
        <w:rPr>
          <w:rFonts w:cs="Calibri"/>
          <w:szCs w:val="18"/>
        </w:rPr>
        <w:t xml:space="preserve"> 22.</w:t>
      </w:r>
    </w:p>
  </w:footnote>
  <w:footnote w:id="9">
    <w:p w14:paraId="4243CECE" w14:textId="77777777" w:rsidR="00F71EA3" w:rsidRDefault="00F71EA3" w:rsidP="00F71EA3">
      <w:pPr>
        <w:pStyle w:val="FootnoteText"/>
      </w:pPr>
      <w:r>
        <w:rPr>
          <w:rStyle w:val="FootnoteReference"/>
        </w:rPr>
        <w:footnoteRef/>
      </w:r>
      <w:r>
        <w:t xml:space="preserve"> </w:t>
      </w:r>
      <w:r>
        <w:rPr>
          <w:rFonts w:cs="Calibri"/>
          <w:szCs w:val="18"/>
        </w:rPr>
        <w:t>European Union's first written submission</w:t>
      </w:r>
      <w:r>
        <w:t>, para. 59.</w:t>
      </w:r>
    </w:p>
  </w:footnote>
  <w:footnote w:id="10">
    <w:p w14:paraId="3E618F6D" w14:textId="77777777" w:rsidR="00F71EA3" w:rsidRPr="00971AA8" w:rsidRDefault="00F71EA3" w:rsidP="00F71EA3">
      <w:pPr>
        <w:pStyle w:val="FootnoteText"/>
      </w:pPr>
      <w:r>
        <w:rPr>
          <w:rStyle w:val="FootnoteReference"/>
        </w:rPr>
        <w:footnoteRef/>
      </w:r>
      <w:r>
        <w:t xml:space="preserve"> Appellate Body Report, </w:t>
      </w:r>
      <w:r>
        <w:rPr>
          <w:i/>
          <w:iCs/>
        </w:rPr>
        <w:t>US – Softwood Lumber IV</w:t>
      </w:r>
      <w:r>
        <w:t>, para. 52.</w:t>
      </w:r>
    </w:p>
  </w:footnote>
  <w:footnote w:id="11">
    <w:p w14:paraId="3FC8133A" w14:textId="77777777" w:rsidR="00F71EA3" w:rsidRPr="00DE746C" w:rsidRDefault="00F71EA3" w:rsidP="00F71EA3">
      <w:pPr>
        <w:pStyle w:val="FootnoteText"/>
      </w:pPr>
      <w:r>
        <w:rPr>
          <w:rStyle w:val="FootnoteReference"/>
        </w:rPr>
        <w:footnoteRef/>
      </w:r>
      <w:r>
        <w:t xml:space="preserve"> Appellate Body Report, </w:t>
      </w:r>
      <w:r>
        <w:rPr>
          <w:i/>
          <w:iCs/>
        </w:rPr>
        <w:t xml:space="preserve">US – </w:t>
      </w:r>
      <w:r>
        <w:rPr>
          <w:i/>
          <w:iCs/>
          <w:szCs w:val="18"/>
        </w:rPr>
        <w:t xml:space="preserve">Anti-Dumping and </w:t>
      </w:r>
      <w:r>
        <w:rPr>
          <w:i/>
          <w:iCs/>
        </w:rPr>
        <w:t>Countervailing Duties (China)</w:t>
      </w:r>
      <w:r>
        <w:t>, para. 309.</w:t>
      </w:r>
    </w:p>
  </w:footnote>
  <w:footnote w:id="12">
    <w:p w14:paraId="79966E9C" w14:textId="77777777" w:rsidR="00F71EA3" w:rsidRPr="00DE746C" w:rsidRDefault="00F71EA3" w:rsidP="00F71EA3">
      <w:pPr>
        <w:pStyle w:val="FootnoteText"/>
        <w:rPr>
          <w:rFonts w:cs="Calibri"/>
          <w:szCs w:val="18"/>
        </w:rPr>
      </w:pPr>
      <w:r>
        <w:rPr>
          <w:rStyle w:val="FootnoteReference"/>
        </w:rPr>
        <w:footnoteRef/>
      </w:r>
      <w:r>
        <w:t xml:space="preserve"> </w:t>
      </w:r>
      <w:r w:rsidRPr="005450E1">
        <w:rPr>
          <w:rFonts w:cs="Calibri"/>
          <w:szCs w:val="18"/>
        </w:rPr>
        <w:t xml:space="preserve">Appellate Body Report, </w:t>
      </w:r>
      <w:r w:rsidRPr="00D14DD5">
        <w:rPr>
          <w:rFonts w:cs="Calibri"/>
          <w:i/>
          <w:iCs/>
          <w:szCs w:val="18"/>
        </w:rPr>
        <w:t>US – Softwood Lumber VI (Article 21.5 – Canada)</w:t>
      </w:r>
      <w:r w:rsidRPr="005450E1">
        <w:rPr>
          <w:rFonts w:cs="Calibri"/>
          <w:szCs w:val="18"/>
        </w:rPr>
        <w:t xml:space="preserve">, para. 93.  </w:t>
      </w:r>
    </w:p>
  </w:footnote>
  <w:footnote w:id="13">
    <w:p w14:paraId="1B1E4F02" w14:textId="77777777" w:rsidR="00F71EA3" w:rsidRDefault="00F71EA3" w:rsidP="00F71EA3">
      <w:pPr>
        <w:pStyle w:val="FootnoteText"/>
      </w:pPr>
      <w:r>
        <w:rPr>
          <w:rStyle w:val="FootnoteReference"/>
        </w:rPr>
        <w:footnoteRef/>
      </w:r>
      <w:r>
        <w:t xml:space="preserve"> Article 11, DSU.</w:t>
      </w:r>
    </w:p>
  </w:footnote>
  <w:footnote w:id="14">
    <w:p w14:paraId="74C9CEC6" w14:textId="77777777" w:rsidR="00F71EA3" w:rsidRDefault="00F71EA3" w:rsidP="00F71EA3">
      <w:pPr>
        <w:pStyle w:val="FootnoteText"/>
      </w:pPr>
      <w:r>
        <w:rPr>
          <w:rStyle w:val="FootnoteReference"/>
        </w:rPr>
        <w:footnoteRef/>
      </w:r>
      <w:r>
        <w:t xml:space="preserve"> </w:t>
      </w:r>
      <w:r>
        <w:rPr>
          <w:rFonts w:cs="Calibri"/>
          <w:szCs w:val="18"/>
        </w:rPr>
        <w:t>European Union's first written submission</w:t>
      </w:r>
      <w:r>
        <w:t xml:space="preserve">, para. 99. </w:t>
      </w:r>
    </w:p>
  </w:footnote>
  <w:footnote w:id="15">
    <w:p w14:paraId="7D0E73F8" w14:textId="77777777" w:rsidR="00F71EA3" w:rsidRPr="00F72377" w:rsidRDefault="00F71EA3" w:rsidP="00F71EA3">
      <w:pPr>
        <w:pStyle w:val="FootnoteText"/>
        <w:rPr>
          <w:rFonts w:asciiTheme="minorHAnsi" w:hAnsiTheme="minorHAnsi" w:cstheme="minorHAnsi"/>
          <w:szCs w:val="18"/>
        </w:rPr>
      </w:pPr>
      <w:r w:rsidRPr="00F72377">
        <w:rPr>
          <w:rStyle w:val="FootnoteReference"/>
          <w:rFonts w:asciiTheme="minorHAnsi" w:hAnsiTheme="minorHAnsi" w:cstheme="minorHAnsi"/>
          <w:szCs w:val="18"/>
        </w:rPr>
        <w:footnoteRef/>
      </w:r>
      <w:r w:rsidRPr="00F72377">
        <w:rPr>
          <w:rFonts w:asciiTheme="minorHAnsi" w:hAnsiTheme="minorHAnsi" w:cstheme="minorHAnsi"/>
          <w:szCs w:val="18"/>
        </w:rPr>
        <w:t xml:space="preserve"> V</w:t>
      </w:r>
      <w:r>
        <w:rPr>
          <w:rFonts w:asciiTheme="minorHAnsi" w:hAnsiTheme="minorHAnsi" w:cstheme="minorHAnsi"/>
          <w:szCs w:val="18"/>
        </w:rPr>
        <w:t>ienna Convention</w:t>
      </w:r>
      <w:r w:rsidRPr="00F72377">
        <w:rPr>
          <w:rFonts w:asciiTheme="minorHAnsi" w:hAnsiTheme="minorHAnsi" w:cstheme="minorHAnsi"/>
          <w:szCs w:val="18"/>
        </w:rPr>
        <w:t>, Article 31</w:t>
      </w:r>
      <w:r>
        <w:rPr>
          <w:rFonts w:asciiTheme="minorHAnsi" w:hAnsiTheme="minorHAnsi" w:cstheme="minorHAnsi"/>
          <w:szCs w:val="18"/>
        </w:rPr>
        <w:t>.3(</w:t>
      </w:r>
      <w:r w:rsidRPr="00F72377">
        <w:rPr>
          <w:rFonts w:asciiTheme="minorHAnsi" w:hAnsiTheme="minorHAnsi" w:cstheme="minorHAnsi"/>
          <w:szCs w:val="18"/>
        </w:rPr>
        <w:t>c).</w:t>
      </w:r>
    </w:p>
  </w:footnote>
  <w:footnote w:id="16">
    <w:p w14:paraId="2E83DC9E" w14:textId="77777777" w:rsidR="00F71EA3" w:rsidRPr="00F72377" w:rsidRDefault="00F71EA3" w:rsidP="00F71EA3">
      <w:pPr>
        <w:pStyle w:val="FootnoteText"/>
        <w:rPr>
          <w:rFonts w:asciiTheme="minorHAnsi" w:hAnsiTheme="minorHAnsi" w:cstheme="minorHAnsi"/>
          <w:szCs w:val="18"/>
        </w:rPr>
      </w:pPr>
      <w:r w:rsidRPr="00F72377">
        <w:rPr>
          <w:rStyle w:val="FootnoteReference"/>
          <w:rFonts w:asciiTheme="minorHAnsi" w:hAnsiTheme="minorHAnsi" w:cstheme="minorHAnsi"/>
          <w:szCs w:val="18"/>
        </w:rPr>
        <w:footnoteRef/>
      </w:r>
      <w:r w:rsidRPr="00F72377">
        <w:rPr>
          <w:rFonts w:asciiTheme="minorHAnsi" w:hAnsiTheme="minorHAnsi" w:cstheme="minorHAnsi"/>
          <w:szCs w:val="18"/>
        </w:rPr>
        <w:t xml:space="preserve"> V</w:t>
      </w:r>
      <w:r>
        <w:rPr>
          <w:rFonts w:asciiTheme="minorHAnsi" w:hAnsiTheme="minorHAnsi" w:cstheme="minorHAnsi"/>
          <w:szCs w:val="18"/>
        </w:rPr>
        <w:t>ienna Convention</w:t>
      </w:r>
      <w:r w:rsidRPr="00F72377">
        <w:rPr>
          <w:rFonts w:asciiTheme="minorHAnsi" w:hAnsiTheme="minorHAnsi" w:cstheme="minorHAnsi"/>
          <w:szCs w:val="18"/>
        </w:rPr>
        <w:t>, Article 31</w:t>
      </w:r>
      <w:r>
        <w:rPr>
          <w:rFonts w:asciiTheme="minorHAnsi" w:hAnsiTheme="minorHAnsi" w:cstheme="minorHAnsi"/>
          <w:szCs w:val="18"/>
        </w:rPr>
        <w:t>.3(</w:t>
      </w:r>
      <w:r w:rsidRPr="00F72377">
        <w:rPr>
          <w:rFonts w:asciiTheme="minorHAnsi" w:hAnsiTheme="minorHAnsi" w:cstheme="minorHAnsi"/>
          <w:szCs w:val="18"/>
        </w:rPr>
        <w:t>c).</w:t>
      </w:r>
    </w:p>
  </w:footnote>
  <w:footnote w:id="17">
    <w:p w14:paraId="13B3660E" w14:textId="77777777" w:rsidR="00F71EA3" w:rsidRDefault="00F71EA3" w:rsidP="00F71EA3">
      <w:pPr>
        <w:pStyle w:val="FootnoteText"/>
        <w:rPr>
          <w:rFonts w:asciiTheme="minorHAnsi" w:hAnsiTheme="minorHAnsi"/>
        </w:rPr>
      </w:pPr>
      <w:r w:rsidRPr="70530FD7">
        <w:rPr>
          <w:rStyle w:val="FootnoteReference"/>
          <w:rFonts w:asciiTheme="minorHAnsi" w:hAnsiTheme="minorHAnsi"/>
        </w:rPr>
        <w:footnoteRef/>
      </w:r>
      <w:r w:rsidRPr="70530FD7">
        <w:rPr>
          <w:rFonts w:asciiTheme="minorHAnsi" w:hAnsiTheme="minorHAnsi"/>
        </w:rPr>
        <w:t xml:space="preserve"> Indonesia</w:t>
      </w:r>
      <w:r>
        <w:rPr>
          <w:rFonts w:asciiTheme="minorHAnsi" w:hAnsiTheme="minorHAnsi"/>
        </w:rPr>
        <w:t>'</w:t>
      </w:r>
      <w:r w:rsidRPr="70530FD7">
        <w:rPr>
          <w:rFonts w:asciiTheme="minorHAnsi" w:hAnsiTheme="minorHAnsi"/>
        </w:rPr>
        <w:t xml:space="preserve">s </w:t>
      </w:r>
      <w:r>
        <w:rPr>
          <w:rFonts w:asciiTheme="minorHAnsi" w:hAnsiTheme="minorHAnsi"/>
        </w:rPr>
        <w:t>f</w:t>
      </w:r>
      <w:r w:rsidRPr="70530FD7">
        <w:rPr>
          <w:rFonts w:asciiTheme="minorHAnsi" w:hAnsiTheme="minorHAnsi"/>
        </w:rPr>
        <w:t xml:space="preserve">irst </w:t>
      </w:r>
      <w:r>
        <w:rPr>
          <w:rFonts w:asciiTheme="minorHAnsi" w:hAnsiTheme="minorHAnsi"/>
        </w:rPr>
        <w:t>w</w:t>
      </w:r>
      <w:r w:rsidRPr="70530FD7">
        <w:rPr>
          <w:rFonts w:asciiTheme="minorHAnsi" w:hAnsiTheme="minorHAnsi"/>
        </w:rPr>
        <w:t xml:space="preserve">ritten </w:t>
      </w:r>
      <w:r>
        <w:rPr>
          <w:rFonts w:asciiTheme="minorHAnsi" w:hAnsiTheme="minorHAnsi"/>
        </w:rPr>
        <w:t>s</w:t>
      </w:r>
      <w:r w:rsidRPr="70530FD7">
        <w:rPr>
          <w:rFonts w:asciiTheme="minorHAnsi" w:hAnsiTheme="minorHAnsi"/>
        </w:rPr>
        <w:t>ubmissio</w:t>
      </w:r>
      <w:r>
        <w:rPr>
          <w:rFonts w:asciiTheme="minorHAnsi" w:hAnsiTheme="minorHAnsi"/>
        </w:rPr>
        <w:t xml:space="preserve">n, para. </w:t>
      </w:r>
      <w:r w:rsidRPr="70530FD7">
        <w:rPr>
          <w:rFonts w:asciiTheme="minorHAnsi" w:hAnsiTheme="minorHAnsi"/>
        </w:rPr>
        <w:t>156.</w:t>
      </w:r>
    </w:p>
  </w:footnote>
  <w:footnote w:id="18">
    <w:p w14:paraId="645ED397" w14:textId="77777777" w:rsidR="00F71EA3" w:rsidRDefault="00F71EA3" w:rsidP="00F71EA3">
      <w:pPr>
        <w:pStyle w:val="FootnoteText"/>
      </w:pPr>
      <w:r>
        <w:rPr>
          <w:rStyle w:val="FootnoteReference"/>
        </w:rPr>
        <w:footnoteRef/>
      </w:r>
      <w:r>
        <w:t xml:space="preserve"> European Union's first written submission, para. 101, citing </w:t>
      </w:r>
      <w:r w:rsidRPr="00FE4F2F">
        <w:t xml:space="preserve">Appellate Body Report, </w:t>
      </w:r>
      <w:r w:rsidRPr="00FE4F2F">
        <w:rPr>
          <w:i/>
          <w:iCs/>
        </w:rPr>
        <w:t>US – Gasoline</w:t>
      </w:r>
      <w:r w:rsidRPr="00FE4F2F">
        <w:t>,  p</w:t>
      </w:r>
      <w:r>
        <w:t>.</w:t>
      </w:r>
      <w:r w:rsidRPr="00FE4F2F">
        <w:t xml:space="preserve"> 17</w:t>
      </w:r>
      <w:r w:rsidRPr="00EA21A1">
        <w:t>.</w:t>
      </w:r>
    </w:p>
  </w:footnote>
  <w:footnote w:id="19">
    <w:p w14:paraId="24E84403" w14:textId="77777777" w:rsidR="00F71EA3" w:rsidRDefault="00F71EA3" w:rsidP="00F71EA3">
      <w:pPr>
        <w:pStyle w:val="FootnoteText"/>
      </w:pPr>
      <w:r>
        <w:rPr>
          <w:rStyle w:val="FootnoteReference"/>
        </w:rPr>
        <w:footnoteRef/>
      </w:r>
      <w:r>
        <w:t xml:space="preserve"> European Union's first written submission, para. 102.</w:t>
      </w:r>
    </w:p>
  </w:footnote>
  <w:footnote w:id="20">
    <w:p w14:paraId="7D86001A" w14:textId="77777777" w:rsidR="00F71EA3" w:rsidRPr="00AF1ED5" w:rsidRDefault="00F71EA3" w:rsidP="00F71EA3">
      <w:pPr>
        <w:pStyle w:val="FootnoteText"/>
        <w:rPr>
          <w:rFonts w:asciiTheme="minorHAnsi" w:hAnsiTheme="minorHAnsi"/>
          <w:highlight w:val="yellow"/>
        </w:rPr>
      </w:pPr>
      <w:r w:rsidRPr="00B473E0">
        <w:rPr>
          <w:rStyle w:val="FootnoteReference"/>
          <w:rFonts w:asciiTheme="minorHAnsi" w:hAnsiTheme="minorHAnsi"/>
        </w:rPr>
        <w:footnoteRef/>
      </w:r>
      <w:r w:rsidRPr="00B473E0">
        <w:rPr>
          <w:rFonts w:asciiTheme="minorHAnsi" w:hAnsiTheme="minorHAnsi"/>
        </w:rPr>
        <w:t xml:space="preserve"> </w:t>
      </w:r>
      <w:r w:rsidRPr="00FE4F2F">
        <w:rPr>
          <w:rFonts w:asciiTheme="minorHAnsi" w:hAnsiTheme="minorHAnsi"/>
        </w:rPr>
        <w:t xml:space="preserve">Appellate Body Report, </w:t>
      </w:r>
      <w:r w:rsidRPr="00B473E0">
        <w:rPr>
          <w:rFonts w:asciiTheme="minorHAnsi" w:hAnsiTheme="minorHAnsi"/>
          <w:i/>
          <w:iCs/>
        </w:rPr>
        <w:t>US – Anti-Dumping and Countervailing Duties (China)</w:t>
      </w:r>
      <w:r w:rsidRPr="00FE4F2F">
        <w:rPr>
          <w:rFonts w:asciiTheme="minorHAnsi" w:hAnsiTheme="minorHAnsi"/>
        </w:rPr>
        <w:t>, para.</w:t>
      </w:r>
      <w:r w:rsidRPr="00B473E0">
        <w:rPr>
          <w:rFonts w:asciiTheme="minorHAnsi" w:hAnsiTheme="minorHAnsi"/>
        </w:rPr>
        <w:t xml:space="preserve"> 313.</w:t>
      </w:r>
    </w:p>
  </w:footnote>
  <w:footnote w:id="21">
    <w:p w14:paraId="18BEDD8F" w14:textId="77777777" w:rsidR="00F71EA3" w:rsidRPr="00AF1ED5" w:rsidRDefault="00F71EA3" w:rsidP="00F71EA3">
      <w:pPr>
        <w:pStyle w:val="FootnoteText"/>
        <w:rPr>
          <w:rFonts w:asciiTheme="minorHAnsi" w:hAnsiTheme="minorHAnsi"/>
          <w:b/>
          <w:bCs/>
          <w:u w:val="single"/>
        </w:rPr>
      </w:pPr>
      <w:r w:rsidRPr="00AF1ED5">
        <w:rPr>
          <w:rStyle w:val="FootnoteReference"/>
        </w:rPr>
        <w:footnoteRef/>
      </w:r>
      <w:r w:rsidRPr="00AF1ED5">
        <w:t xml:space="preserve"> Panel Report, </w:t>
      </w:r>
      <w:r w:rsidRPr="00AF1ED5">
        <w:rPr>
          <w:rFonts w:asciiTheme="minorHAnsi" w:hAnsiTheme="minorHAnsi"/>
          <w:i/>
          <w:iCs/>
        </w:rPr>
        <w:t>Korea – Procurement</w:t>
      </w:r>
      <w:r w:rsidRPr="00AF1ED5">
        <w:rPr>
          <w:rFonts w:asciiTheme="minorHAnsi" w:hAnsiTheme="minorHAnsi"/>
        </w:rPr>
        <w:t>, para. 6.5</w:t>
      </w:r>
      <w:r w:rsidRPr="00AF1ED5">
        <w:t>.</w:t>
      </w:r>
    </w:p>
  </w:footnote>
  <w:footnote w:id="22">
    <w:p w14:paraId="6D467104" w14:textId="77777777" w:rsidR="00F71EA3" w:rsidRPr="00B473E0" w:rsidRDefault="00F71EA3" w:rsidP="00F71EA3">
      <w:pPr>
        <w:pStyle w:val="FootnoteText"/>
      </w:pPr>
      <w:r w:rsidRPr="00B473E0">
        <w:rPr>
          <w:rStyle w:val="FootnoteReference"/>
        </w:rPr>
        <w:footnoteRef/>
      </w:r>
      <w:r w:rsidRPr="00B473E0">
        <w:t xml:space="preserve"> </w:t>
      </w:r>
      <w:r w:rsidRPr="00AF1ED5">
        <w:t xml:space="preserve">Panel Report, </w:t>
      </w:r>
      <w:r w:rsidRPr="00AF1ED5">
        <w:rPr>
          <w:rFonts w:asciiTheme="minorHAnsi" w:hAnsiTheme="minorHAnsi"/>
          <w:i/>
          <w:iCs/>
        </w:rPr>
        <w:t>Korea – Procurement</w:t>
      </w:r>
      <w:r w:rsidRPr="00AF1ED5">
        <w:rPr>
          <w:rFonts w:asciiTheme="minorHAnsi" w:hAnsiTheme="minorHAnsi"/>
        </w:rPr>
        <w:t>, para. 6.5</w:t>
      </w:r>
      <w:r w:rsidRPr="00B473E0">
        <w:t>.</w:t>
      </w:r>
    </w:p>
  </w:footnote>
  <w:footnote w:id="23">
    <w:p w14:paraId="426A9DE4" w14:textId="77777777" w:rsidR="00F71EA3" w:rsidRPr="00AF1ED5" w:rsidRDefault="00F71EA3" w:rsidP="00F71EA3">
      <w:pPr>
        <w:pStyle w:val="FootnoteText"/>
      </w:pPr>
      <w:r w:rsidRPr="009D63A9">
        <w:rPr>
          <w:rStyle w:val="FootnoteReference"/>
        </w:rPr>
        <w:footnoteRef/>
      </w:r>
      <w:r w:rsidRPr="009D63A9">
        <w:t xml:space="preserve"> Appellate Body Report, </w:t>
      </w:r>
      <w:r w:rsidRPr="009D63A9">
        <w:rPr>
          <w:i/>
          <w:iCs/>
        </w:rPr>
        <w:t>US – Line Pipe</w:t>
      </w:r>
      <w:r w:rsidRPr="009D63A9">
        <w:t xml:space="preserve">, para. 259, citing Appellate Body Report, </w:t>
      </w:r>
      <w:r w:rsidRPr="009D63A9">
        <w:rPr>
          <w:i/>
          <w:iCs/>
        </w:rPr>
        <w:t>US – Cotton Yarn</w:t>
      </w:r>
      <w:r w:rsidRPr="009D63A9">
        <w:t xml:space="preserve">, para. 120. </w:t>
      </w:r>
    </w:p>
  </w:footnote>
  <w:footnote w:id="24">
    <w:p w14:paraId="0F37FBFD" w14:textId="77777777" w:rsidR="00F71EA3" w:rsidRPr="005869D4" w:rsidRDefault="00F71EA3" w:rsidP="00F71EA3">
      <w:pPr>
        <w:pStyle w:val="FootnoteText"/>
      </w:pPr>
      <w:r w:rsidRPr="00B473E0">
        <w:rPr>
          <w:rStyle w:val="FootnoteReference"/>
        </w:rPr>
        <w:footnoteRef/>
      </w:r>
      <w:r w:rsidRPr="00B473E0">
        <w:t xml:space="preserve"> </w:t>
      </w:r>
      <w:r w:rsidRPr="009D63A9">
        <w:t xml:space="preserve">Appellate Body Report, </w:t>
      </w:r>
      <w:r w:rsidRPr="009D63A9">
        <w:rPr>
          <w:i/>
          <w:iCs/>
        </w:rPr>
        <w:t>US – Line Pipe</w:t>
      </w:r>
      <w:r w:rsidRPr="009D63A9">
        <w:t>, para. 259</w:t>
      </w:r>
      <w:r w:rsidRPr="00B473E0">
        <w:t>.</w:t>
      </w:r>
    </w:p>
  </w:footnote>
  <w:footnote w:id="25">
    <w:p w14:paraId="71CAC950" w14:textId="77777777" w:rsidR="00F71EA3" w:rsidRPr="00F72377" w:rsidRDefault="00F71EA3" w:rsidP="00F71EA3">
      <w:pPr>
        <w:pStyle w:val="FootnoteText"/>
        <w:rPr>
          <w:rFonts w:asciiTheme="minorHAnsi" w:hAnsiTheme="minorHAnsi" w:cstheme="minorHAnsi"/>
          <w:szCs w:val="18"/>
        </w:rPr>
      </w:pPr>
      <w:r w:rsidRPr="00F72377">
        <w:rPr>
          <w:rStyle w:val="FootnoteReference"/>
          <w:rFonts w:asciiTheme="minorHAnsi" w:hAnsiTheme="minorHAnsi" w:cstheme="minorHAnsi"/>
          <w:szCs w:val="18"/>
        </w:rPr>
        <w:footnoteRef/>
      </w:r>
      <w:r w:rsidRPr="00F72377">
        <w:rPr>
          <w:rFonts w:asciiTheme="minorHAnsi" w:hAnsiTheme="minorHAnsi" w:cstheme="minorHAnsi"/>
          <w:szCs w:val="18"/>
        </w:rPr>
        <w:t xml:space="preserve"> Indonesia</w:t>
      </w:r>
      <w:r>
        <w:rPr>
          <w:rFonts w:asciiTheme="minorHAnsi" w:hAnsiTheme="minorHAnsi" w:cstheme="minorHAnsi"/>
          <w:szCs w:val="18"/>
        </w:rPr>
        <w:t>'</w:t>
      </w:r>
      <w:r w:rsidRPr="00F72377">
        <w:rPr>
          <w:rFonts w:asciiTheme="minorHAnsi" w:hAnsiTheme="minorHAnsi" w:cstheme="minorHAnsi"/>
          <w:szCs w:val="18"/>
        </w:rPr>
        <w:t xml:space="preserve">s </w:t>
      </w:r>
      <w:r>
        <w:rPr>
          <w:rFonts w:asciiTheme="minorHAnsi" w:hAnsiTheme="minorHAnsi" w:cstheme="minorHAnsi"/>
          <w:szCs w:val="18"/>
        </w:rPr>
        <w:t>f</w:t>
      </w:r>
      <w:r w:rsidRPr="00F72377">
        <w:rPr>
          <w:rFonts w:asciiTheme="minorHAnsi" w:hAnsiTheme="minorHAnsi" w:cstheme="minorHAnsi"/>
          <w:szCs w:val="18"/>
        </w:rPr>
        <w:t xml:space="preserve">irst </w:t>
      </w:r>
      <w:r>
        <w:rPr>
          <w:rFonts w:asciiTheme="minorHAnsi" w:hAnsiTheme="minorHAnsi" w:cstheme="minorHAnsi"/>
          <w:szCs w:val="18"/>
        </w:rPr>
        <w:t>w</w:t>
      </w:r>
      <w:r w:rsidRPr="00F72377">
        <w:rPr>
          <w:rFonts w:asciiTheme="minorHAnsi" w:hAnsiTheme="minorHAnsi" w:cstheme="minorHAnsi"/>
          <w:szCs w:val="18"/>
        </w:rPr>
        <w:t xml:space="preserve">ritten </w:t>
      </w:r>
      <w:r>
        <w:rPr>
          <w:rFonts w:asciiTheme="minorHAnsi" w:hAnsiTheme="minorHAnsi" w:cstheme="minorHAnsi"/>
          <w:szCs w:val="18"/>
        </w:rPr>
        <w:t>s</w:t>
      </w:r>
      <w:r w:rsidRPr="00F72377">
        <w:rPr>
          <w:rFonts w:asciiTheme="minorHAnsi" w:hAnsiTheme="minorHAnsi" w:cstheme="minorHAnsi"/>
          <w:szCs w:val="18"/>
        </w:rPr>
        <w:t>ubmission</w:t>
      </w:r>
      <w:r>
        <w:rPr>
          <w:rFonts w:asciiTheme="minorHAnsi" w:hAnsiTheme="minorHAnsi" w:cstheme="minorHAnsi"/>
          <w:szCs w:val="18"/>
        </w:rPr>
        <w:t>, paras.</w:t>
      </w:r>
      <w:r w:rsidRPr="00F72377">
        <w:rPr>
          <w:rFonts w:asciiTheme="minorHAnsi" w:hAnsiTheme="minorHAnsi" w:cstheme="minorHAnsi"/>
          <w:szCs w:val="18"/>
        </w:rPr>
        <w:t xml:space="preserve"> 159 </w:t>
      </w:r>
      <w:r>
        <w:rPr>
          <w:rFonts w:asciiTheme="minorHAnsi" w:hAnsiTheme="minorHAnsi" w:cstheme="minorHAnsi"/>
          <w:szCs w:val="18"/>
        </w:rPr>
        <w:t xml:space="preserve">– </w:t>
      </w:r>
      <w:r w:rsidRPr="00F72377">
        <w:rPr>
          <w:rFonts w:asciiTheme="minorHAnsi" w:hAnsiTheme="minorHAnsi" w:cstheme="minorHAnsi"/>
          <w:szCs w:val="18"/>
        </w:rPr>
        <w:t xml:space="preserve">165. </w:t>
      </w:r>
    </w:p>
  </w:footnote>
  <w:footnote w:id="26">
    <w:p w14:paraId="0B99E8F1" w14:textId="77777777" w:rsidR="00F71EA3" w:rsidRDefault="00F71EA3" w:rsidP="00F71EA3">
      <w:pPr>
        <w:pStyle w:val="FootnoteText"/>
      </w:pPr>
      <w:r>
        <w:rPr>
          <w:rStyle w:val="FootnoteReference"/>
        </w:rPr>
        <w:footnoteRef/>
      </w:r>
      <w:r>
        <w:t xml:space="preserve"> Indonesia's first written submission, paras. 166 </w:t>
      </w:r>
      <w:r>
        <w:rPr>
          <w:rFonts w:asciiTheme="minorHAnsi" w:hAnsiTheme="minorHAnsi" w:cstheme="minorHAnsi"/>
          <w:szCs w:val="18"/>
        </w:rPr>
        <w:t xml:space="preserve">– </w:t>
      </w:r>
      <w:r>
        <w:t>175.</w:t>
      </w:r>
    </w:p>
  </w:footnote>
  <w:footnote w:id="27">
    <w:p w14:paraId="2A8A282A" w14:textId="77777777" w:rsidR="00F71EA3" w:rsidRDefault="00F71EA3" w:rsidP="00F71EA3">
      <w:pPr>
        <w:pStyle w:val="FootnoteText"/>
      </w:pPr>
      <w:r>
        <w:rPr>
          <w:rStyle w:val="FootnoteReference"/>
        </w:rPr>
        <w:footnoteRef/>
      </w:r>
      <w:r>
        <w:t xml:space="preserve"> </w:t>
      </w:r>
      <w:r w:rsidRPr="00F72377">
        <w:rPr>
          <w:rFonts w:asciiTheme="minorHAnsi" w:hAnsiTheme="minorHAnsi" w:cstheme="minorHAnsi"/>
          <w:szCs w:val="18"/>
        </w:rPr>
        <w:t>Indonesia</w:t>
      </w:r>
      <w:r>
        <w:rPr>
          <w:rFonts w:asciiTheme="minorHAnsi" w:hAnsiTheme="minorHAnsi" w:cstheme="minorHAnsi"/>
          <w:szCs w:val="18"/>
        </w:rPr>
        <w:t>'</w:t>
      </w:r>
      <w:r w:rsidRPr="00F72377">
        <w:rPr>
          <w:rFonts w:asciiTheme="minorHAnsi" w:hAnsiTheme="minorHAnsi" w:cstheme="minorHAnsi"/>
          <w:szCs w:val="18"/>
        </w:rPr>
        <w:t xml:space="preserve">s </w:t>
      </w:r>
      <w:r>
        <w:rPr>
          <w:rFonts w:asciiTheme="minorHAnsi" w:hAnsiTheme="minorHAnsi" w:cstheme="minorHAnsi"/>
          <w:szCs w:val="18"/>
        </w:rPr>
        <w:t>f</w:t>
      </w:r>
      <w:r w:rsidRPr="00F72377">
        <w:rPr>
          <w:rFonts w:asciiTheme="minorHAnsi" w:hAnsiTheme="minorHAnsi" w:cstheme="minorHAnsi"/>
          <w:szCs w:val="18"/>
        </w:rPr>
        <w:t xml:space="preserve">irst </w:t>
      </w:r>
      <w:r>
        <w:rPr>
          <w:rFonts w:asciiTheme="minorHAnsi" w:hAnsiTheme="minorHAnsi" w:cstheme="minorHAnsi"/>
          <w:szCs w:val="18"/>
        </w:rPr>
        <w:t>w</w:t>
      </w:r>
      <w:r w:rsidRPr="00F72377">
        <w:rPr>
          <w:rFonts w:asciiTheme="minorHAnsi" w:hAnsiTheme="minorHAnsi" w:cstheme="minorHAnsi"/>
          <w:szCs w:val="18"/>
        </w:rPr>
        <w:t xml:space="preserve">ritten </w:t>
      </w:r>
      <w:r>
        <w:rPr>
          <w:rFonts w:asciiTheme="minorHAnsi" w:hAnsiTheme="minorHAnsi" w:cstheme="minorHAnsi"/>
          <w:szCs w:val="18"/>
        </w:rPr>
        <w:t>s</w:t>
      </w:r>
      <w:r w:rsidRPr="00F72377">
        <w:rPr>
          <w:rFonts w:asciiTheme="minorHAnsi" w:hAnsiTheme="minorHAnsi" w:cstheme="minorHAnsi"/>
          <w:szCs w:val="18"/>
        </w:rPr>
        <w:t>ubmission</w:t>
      </w:r>
      <w:r>
        <w:rPr>
          <w:rFonts w:asciiTheme="minorHAnsi" w:hAnsiTheme="minorHAnsi" w:cstheme="minorHAnsi"/>
          <w:szCs w:val="18"/>
        </w:rPr>
        <w:t>,</w:t>
      </w:r>
      <w:r w:rsidRPr="00F72377">
        <w:rPr>
          <w:rFonts w:asciiTheme="minorHAnsi" w:hAnsiTheme="minorHAnsi" w:cstheme="minorHAnsi"/>
          <w:szCs w:val="18"/>
        </w:rPr>
        <w:t xml:space="preserve"> </w:t>
      </w:r>
      <w:r>
        <w:rPr>
          <w:rFonts w:asciiTheme="minorHAnsi" w:hAnsiTheme="minorHAnsi" w:cstheme="minorHAnsi"/>
          <w:szCs w:val="18"/>
        </w:rPr>
        <w:t>para.</w:t>
      </w:r>
      <w:r w:rsidRPr="00F72377">
        <w:rPr>
          <w:rFonts w:asciiTheme="minorHAnsi" w:hAnsiTheme="minorHAnsi" w:cstheme="minorHAnsi"/>
          <w:szCs w:val="18"/>
        </w:rPr>
        <w:t xml:space="preserve"> </w:t>
      </w:r>
      <w:r>
        <w:rPr>
          <w:rFonts w:asciiTheme="minorHAnsi" w:hAnsiTheme="minorHAnsi" w:cstheme="minorHAnsi"/>
          <w:szCs w:val="18"/>
        </w:rPr>
        <w:t>182</w:t>
      </w:r>
      <w:r w:rsidRPr="00F72377">
        <w:rPr>
          <w:rFonts w:asciiTheme="minorHAnsi" w:hAnsiTheme="minorHAnsi" w:cstheme="minorHAnsi"/>
          <w:szCs w:val="18"/>
        </w:rPr>
        <w:t>.</w:t>
      </w:r>
    </w:p>
  </w:footnote>
  <w:footnote w:id="28">
    <w:p w14:paraId="11339918" w14:textId="77777777" w:rsidR="00F71EA3" w:rsidRDefault="00F71EA3" w:rsidP="00F71EA3">
      <w:pPr>
        <w:pStyle w:val="FootnoteText"/>
      </w:pPr>
      <w:r>
        <w:rPr>
          <w:rStyle w:val="FootnoteReference"/>
        </w:rPr>
        <w:footnoteRef/>
      </w:r>
      <w:r>
        <w:t xml:space="preserve"> European Union's </w:t>
      </w:r>
      <w:r>
        <w:rPr>
          <w:rFonts w:asciiTheme="minorHAnsi" w:hAnsiTheme="minorHAnsi" w:cstheme="minorHAnsi"/>
          <w:szCs w:val="18"/>
        </w:rPr>
        <w:t>f</w:t>
      </w:r>
      <w:r w:rsidRPr="00F72377">
        <w:rPr>
          <w:rFonts w:asciiTheme="minorHAnsi" w:hAnsiTheme="minorHAnsi" w:cstheme="minorHAnsi"/>
          <w:szCs w:val="18"/>
        </w:rPr>
        <w:t xml:space="preserve">irst </w:t>
      </w:r>
      <w:r>
        <w:rPr>
          <w:rFonts w:asciiTheme="minorHAnsi" w:hAnsiTheme="minorHAnsi" w:cstheme="minorHAnsi"/>
          <w:szCs w:val="18"/>
        </w:rPr>
        <w:t>w</w:t>
      </w:r>
      <w:r w:rsidRPr="00F72377">
        <w:rPr>
          <w:rFonts w:asciiTheme="minorHAnsi" w:hAnsiTheme="minorHAnsi" w:cstheme="minorHAnsi"/>
          <w:szCs w:val="18"/>
        </w:rPr>
        <w:t xml:space="preserve">ritten </w:t>
      </w:r>
      <w:r>
        <w:rPr>
          <w:rFonts w:asciiTheme="minorHAnsi" w:hAnsiTheme="minorHAnsi" w:cstheme="minorHAnsi"/>
          <w:szCs w:val="18"/>
        </w:rPr>
        <w:t>s</w:t>
      </w:r>
      <w:r w:rsidRPr="00F72377">
        <w:rPr>
          <w:rFonts w:asciiTheme="minorHAnsi" w:hAnsiTheme="minorHAnsi" w:cstheme="minorHAnsi"/>
          <w:szCs w:val="18"/>
        </w:rPr>
        <w:t>ubmission</w:t>
      </w:r>
      <w:r>
        <w:t>, para. 108.</w:t>
      </w:r>
    </w:p>
  </w:footnote>
  <w:footnote w:id="29">
    <w:p w14:paraId="0384EC4A" w14:textId="77777777" w:rsidR="00F71EA3" w:rsidRDefault="00F71EA3" w:rsidP="00F71EA3">
      <w:pPr>
        <w:pStyle w:val="FootnoteText"/>
      </w:pPr>
      <w:r>
        <w:rPr>
          <w:rStyle w:val="FootnoteReference"/>
        </w:rPr>
        <w:footnoteRef/>
      </w:r>
      <w:r>
        <w:t xml:space="preserve"> European Union's </w:t>
      </w:r>
      <w:r>
        <w:rPr>
          <w:rFonts w:asciiTheme="minorHAnsi" w:hAnsiTheme="minorHAnsi" w:cstheme="minorHAnsi"/>
          <w:szCs w:val="18"/>
        </w:rPr>
        <w:t>f</w:t>
      </w:r>
      <w:r w:rsidRPr="00F72377">
        <w:rPr>
          <w:rFonts w:asciiTheme="minorHAnsi" w:hAnsiTheme="minorHAnsi" w:cstheme="minorHAnsi"/>
          <w:szCs w:val="18"/>
        </w:rPr>
        <w:t xml:space="preserve">irst </w:t>
      </w:r>
      <w:r>
        <w:rPr>
          <w:rFonts w:asciiTheme="minorHAnsi" w:hAnsiTheme="minorHAnsi" w:cstheme="minorHAnsi"/>
          <w:szCs w:val="18"/>
        </w:rPr>
        <w:t>w</w:t>
      </w:r>
      <w:r w:rsidRPr="00F72377">
        <w:rPr>
          <w:rFonts w:asciiTheme="minorHAnsi" w:hAnsiTheme="minorHAnsi" w:cstheme="minorHAnsi"/>
          <w:szCs w:val="18"/>
        </w:rPr>
        <w:t xml:space="preserve">ritten </w:t>
      </w:r>
      <w:r>
        <w:rPr>
          <w:rFonts w:asciiTheme="minorHAnsi" w:hAnsiTheme="minorHAnsi" w:cstheme="minorHAnsi"/>
          <w:szCs w:val="18"/>
        </w:rPr>
        <w:t>s</w:t>
      </w:r>
      <w:r w:rsidRPr="00F72377">
        <w:rPr>
          <w:rFonts w:asciiTheme="minorHAnsi" w:hAnsiTheme="minorHAnsi" w:cstheme="minorHAnsi"/>
          <w:szCs w:val="18"/>
        </w:rPr>
        <w:t>ubmission</w:t>
      </w:r>
      <w:r>
        <w:t>, para. 109.</w:t>
      </w:r>
    </w:p>
  </w:footnote>
  <w:footnote w:id="30">
    <w:p w14:paraId="1D6979B3" w14:textId="77777777" w:rsidR="00F71EA3" w:rsidRDefault="00F71EA3" w:rsidP="00F71EA3">
      <w:pPr>
        <w:pStyle w:val="FootnoteText"/>
      </w:pPr>
      <w:r>
        <w:rPr>
          <w:rStyle w:val="FootnoteReference"/>
        </w:rPr>
        <w:footnoteRef/>
      </w:r>
      <w:r>
        <w:t xml:space="preserve"> European Union's </w:t>
      </w:r>
      <w:r>
        <w:rPr>
          <w:rFonts w:asciiTheme="minorHAnsi" w:hAnsiTheme="minorHAnsi" w:cstheme="minorHAnsi"/>
          <w:szCs w:val="18"/>
        </w:rPr>
        <w:t>f</w:t>
      </w:r>
      <w:r w:rsidRPr="00F72377">
        <w:rPr>
          <w:rFonts w:asciiTheme="minorHAnsi" w:hAnsiTheme="minorHAnsi" w:cstheme="minorHAnsi"/>
          <w:szCs w:val="18"/>
        </w:rPr>
        <w:t xml:space="preserve">irst </w:t>
      </w:r>
      <w:r>
        <w:rPr>
          <w:rFonts w:asciiTheme="minorHAnsi" w:hAnsiTheme="minorHAnsi" w:cstheme="minorHAnsi"/>
          <w:szCs w:val="18"/>
        </w:rPr>
        <w:t>w</w:t>
      </w:r>
      <w:r w:rsidRPr="00F72377">
        <w:rPr>
          <w:rFonts w:asciiTheme="minorHAnsi" w:hAnsiTheme="minorHAnsi" w:cstheme="minorHAnsi"/>
          <w:szCs w:val="18"/>
        </w:rPr>
        <w:t xml:space="preserve">ritten </w:t>
      </w:r>
      <w:r>
        <w:rPr>
          <w:rFonts w:asciiTheme="minorHAnsi" w:hAnsiTheme="minorHAnsi" w:cstheme="minorHAnsi"/>
          <w:szCs w:val="18"/>
        </w:rPr>
        <w:t>s</w:t>
      </w:r>
      <w:r w:rsidRPr="00F72377">
        <w:rPr>
          <w:rFonts w:asciiTheme="minorHAnsi" w:hAnsiTheme="minorHAnsi" w:cstheme="minorHAnsi"/>
          <w:szCs w:val="18"/>
        </w:rPr>
        <w:t>ubmission</w:t>
      </w:r>
      <w:r>
        <w:rPr>
          <w:rFonts w:asciiTheme="minorHAnsi" w:hAnsiTheme="minorHAnsi" w:cstheme="minorHAnsi"/>
          <w:szCs w:val="18"/>
        </w:rPr>
        <w:t xml:space="preserve">, para. </w:t>
      </w:r>
      <w:r>
        <w:t>108.</w:t>
      </w:r>
    </w:p>
  </w:footnote>
  <w:footnote w:id="31">
    <w:p w14:paraId="726E7EF2" w14:textId="77777777" w:rsidR="00F71EA3" w:rsidRDefault="00F71EA3" w:rsidP="00F71EA3">
      <w:pPr>
        <w:pStyle w:val="FootnoteText"/>
      </w:pPr>
      <w:r w:rsidRPr="48B1F3A6">
        <w:rPr>
          <w:rStyle w:val="FootnoteReference"/>
          <w:rFonts w:asciiTheme="minorHAnsi" w:hAnsiTheme="minorHAnsi"/>
        </w:rPr>
        <w:footnoteRef/>
      </w:r>
      <w:r w:rsidRPr="48B1F3A6">
        <w:rPr>
          <w:rFonts w:asciiTheme="minorHAnsi" w:hAnsiTheme="minorHAnsi"/>
        </w:rPr>
        <w:t xml:space="preserve"> </w:t>
      </w:r>
      <w:r>
        <w:rPr>
          <w:rFonts w:asciiTheme="minorHAnsi" w:hAnsiTheme="minorHAnsi"/>
        </w:rPr>
        <w:t xml:space="preserve">Appellate Body Report, </w:t>
      </w:r>
      <w:r w:rsidRPr="00DB54C3">
        <w:rPr>
          <w:rFonts w:asciiTheme="minorHAnsi" w:hAnsiTheme="minorHAnsi"/>
          <w:i/>
          <w:iCs/>
        </w:rPr>
        <w:t>EC and certain member States – Large Civil Aircraft</w:t>
      </w:r>
      <w:r>
        <w:rPr>
          <w:rFonts w:asciiTheme="minorHAnsi" w:hAnsiTheme="minorHAnsi"/>
        </w:rPr>
        <w:t>, para. 846.</w:t>
      </w:r>
    </w:p>
  </w:footnote>
  <w:footnote w:id="32">
    <w:p w14:paraId="14090F97" w14:textId="77777777" w:rsidR="00F71EA3" w:rsidRDefault="00F71EA3" w:rsidP="00F71EA3">
      <w:pPr>
        <w:pStyle w:val="FootnoteText"/>
      </w:pPr>
      <w:r>
        <w:rPr>
          <w:rStyle w:val="FootnoteReference"/>
        </w:rPr>
        <w:footnoteRef/>
      </w:r>
      <w:r>
        <w:t xml:space="preserve"> Vienna Convention, Article 31(1). </w:t>
      </w:r>
    </w:p>
  </w:footnote>
  <w:footnote w:id="33">
    <w:p w14:paraId="3AA7C921" w14:textId="77777777" w:rsidR="00F71EA3" w:rsidRPr="00C739AA" w:rsidRDefault="00F71EA3" w:rsidP="00F71EA3">
      <w:pPr>
        <w:pStyle w:val="FootnoteText"/>
        <w:rPr>
          <w:szCs w:val="18"/>
        </w:rPr>
      </w:pPr>
      <w:r w:rsidRPr="00C739AA">
        <w:rPr>
          <w:rStyle w:val="FootnoteReference"/>
          <w:szCs w:val="18"/>
        </w:rPr>
        <w:footnoteRef/>
      </w:r>
      <w:r w:rsidRPr="00C739AA">
        <w:rPr>
          <w:szCs w:val="18"/>
        </w:rPr>
        <w:t xml:space="preserve"> </w:t>
      </w:r>
      <w:r>
        <w:rPr>
          <w:szCs w:val="18"/>
        </w:rPr>
        <w:t>Indonesia's</w:t>
      </w:r>
      <w:r w:rsidRPr="00C739AA">
        <w:rPr>
          <w:szCs w:val="18"/>
        </w:rPr>
        <w:t xml:space="preserve"> </w:t>
      </w:r>
      <w:r w:rsidRPr="00C739AA">
        <w:rPr>
          <w:rFonts w:asciiTheme="minorHAnsi" w:hAnsiTheme="minorHAnsi" w:cstheme="minorHAnsi"/>
          <w:szCs w:val="18"/>
        </w:rPr>
        <w:t xml:space="preserve">first written submission, para. </w:t>
      </w:r>
      <w:r>
        <w:rPr>
          <w:szCs w:val="18"/>
        </w:rPr>
        <w:t xml:space="preserve">738; </w:t>
      </w:r>
      <w:r w:rsidRPr="00C739AA">
        <w:rPr>
          <w:szCs w:val="18"/>
        </w:rPr>
        <w:t xml:space="preserve">Appellate Body </w:t>
      </w:r>
      <w:r>
        <w:rPr>
          <w:szCs w:val="18"/>
        </w:rPr>
        <w:t>R</w:t>
      </w:r>
      <w:r w:rsidRPr="00C739AA">
        <w:rPr>
          <w:szCs w:val="18"/>
        </w:rPr>
        <w:t xml:space="preserve">eport, </w:t>
      </w:r>
      <w:r w:rsidRPr="00C739AA">
        <w:rPr>
          <w:i/>
          <w:iCs/>
          <w:szCs w:val="18"/>
        </w:rPr>
        <w:t>US – Anti-dumping and Countervailing Duties (China)</w:t>
      </w:r>
      <w:r w:rsidRPr="00C739AA">
        <w:rPr>
          <w:szCs w:val="18"/>
        </w:rPr>
        <w:t xml:space="preserve">, para. 372. </w:t>
      </w:r>
    </w:p>
  </w:footnote>
  <w:footnote w:id="34">
    <w:p w14:paraId="51DBD672" w14:textId="77777777" w:rsidR="00F71EA3" w:rsidRDefault="00F71EA3" w:rsidP="00F71EA3">
      <w:pPr>
        <w:pStyle w:val="FootnoteText"/>
      </w:pPr>
      <w:r>
        <w:rPr>
          <w:rStyle w:val="FootnoteReference"/>
        </w:rPr>
        <w:footnoteRef/>
      </w:r>
      <w:r>
        <w:t xml:space="preserve"> </w:t>
      </w:r>
      <w:r w:rsidRPr="00C739AA">
        <w:rPr>
          <w:szCs w:val="18"/>
        </w:rPr>
        <w:t>European Union</w:t>
      </w:r>
      <w:r>
        <w:rPr>
          <w:szCs w:val="18"/>
        </w:rPr>
        <w:t>'</w:t>
      </w:r>
      <w:r w:rsidRPr="00C739AA">
        <w:rPr>
          <w:szCs w:val="18"/>
        </w:rPr>
        <w:t xml:space="preserve">s </w:t>
      </w:r>
      <w:r w:rsidRPr="00C739AA">
        <w:rPr>
          <w:rFonts w:asciiTheme="minorHAnsi" w:hAnsiTheme="minorHAnsi" w:cstheme="minorHAnsi"/>
          <w:szCs w:val="18"/>
        </w:rPr>
        <w:t xml:space="preserve">first written submission, para. </w:t>
      </w:r>
      <w:r>
        <w:rPr>
          <w:szCs w:val="18"/>
        </w:rPr>
        <w:t>464.</w:t>
      </w:r>
    </w:p>
  </w:footnote>
  <w:footnote w:id="35">
    <w:p w14:paraId="79BEBCFC" w14:textId="77777777" w:rsidR="00F71EA3" w:rsidRDefault="00F71EA3" w:rsidP="00F71EA3">
      <w:pPr>
        <w:pStyle w:val="FootnoteText"/>
      </w:pPr>
      <w:r>
        <w:rPr>
          <w:rStyle w:val="FootnoteReference"/>
        </w:rPr>
        <w:footnoteRef/>
      </w:r>
      <w:r>
        <w:t xml:space="preserve"> </w:t>
      </w:r>
      <w:r w:rsidRPr="00C739AA">
        <w:rPr>
          <w:szCs w:val="18"/>
        </w:rPr>
        <w:t>European Union</w:t>
      </w:r>
      <w:r>
        <w:rPr>
          <w:szCs w:val="18"/>
        </w:rPr>
        <w:t>'</w:t>
      </w:r>
      <w:r w:rsidRPr="00C739AA">
        <w:rPr>
          <w:szCs w:val="18"/>
        </w:rPr>
        <w:t xml:space="preserve">s </w:t>
      </w:r>
      <w:r w:rsidRPr="00C739AA">
        <w:rPr>
          <w:rFonts w:asciiTheme="minorHAnsi" w:hAnsiTheme="minorHAnsi" w:cstheme="minorHAnsi"/>
          <w:szCs w:val="18"/>
        </w:rPr>
        <w:t xml:space="preserve">first written submission, para. </w:t>
      </w:r>
      <w:r>
        <w:rPr>
          <w:szCs w:val="18"/>
        </w:rPr>
        <w:t>460.</w:t>
      </w:r>
    </w:p>
  </w:footnote>
  <w:footnote w:id="36">
    <w:p w14:paraId="25650D21" w14:textId="77777777" w:rsidR="00F71EA3" w:rsidRPr="00C739AA" w:rsidRDefault="00F71EA3" w:rsidP="00F71EA3">
      <w:pPr>
        <w:pStyle w:val="FootnoteText"/>
        <w:rPr>
          <w:szCs w:val="18"/>
        </w:rPr>
      </w:pPr>
      <w:r w:rsidRPr="00C739AA">
        <w:rPr>
          <w:rStyle w:val="FootnoteReference"/>
          <w:szCs w:val="18"/>
        </w:rPr>
        <w:footnoteRef/>
      </w:r>
      <w:r w:rsidRPr="00C739AA">
        <w:rPr>
          <w:szCs w:val="18"/>
        </w:rPr>
        <w:t xml:space="preserve"> Panel Report, </w:t>
      </w:r>
      <w:r w:rsidRPr="00C739AA">
        <w:rPr>
          <w:i/>
          <w:iCs/>
          <w:szCs w:val="18"/>
        </w:rPr>
        <w:t>US – Carbon Steel (India)</w:t>
      </w:r>
      <w:r w:rsidRPr="00C739AA">
        <w:rPr>
          <w:szCs w:val="18"/>
        </w:rPr>
        <w:t xml:space="preserve">, para. 7.131. </w:t>
      </w:r>
    </w:p>
  </w:footnote>
  <w:footnote w:id="37">
    <w:p w14:paraId="30B56EF3" w14:textId="77777777" w:rsidR="00F71EA3" w:rsidRPr="00C739AA" w:rsidRDefault="00F71EA3" w:rsidP="00F71EA3">
      <w:pPr>
        <w:pStyle w:val="FootnoteText"/>
        <w:rPr>
          <w:szCs w:val="18"/>
        </w:rPr>
      </w:pPr>
      <w:r w:rsidRPr="00C739AA">
        <w:rPr>
          <w:rStyle w:val="FootnoteReference"/>
          <w:szCs w:val="18"/>
        </w:rPr>
        <w:footnoteRef/>
      </w:r>
      <w:r w:rsidRPr="00C739AA">
        <w:rPr>
          <w:szCs w:val="18"/>
        </w:rPr>
        <w:t xml:space="preserve"> Panel Report, </w:t>
      </w:r>
      <w:r w:rsidRPr="00C739AA">
        <w:rPr>
          <w:i/>
          <w:iCs/>
          <w:szCs w:val="18"/>
        </w:rPr>
        <w:t>US – Softwood Lumber IV</w:t>
      </w:r>
      <w:r w:rsidRPr="00C739AA">
        <w:rPr>
          <w:szCs w:val="18"/>
        </w:rPr>
        <w:t>, para. 7.116.</w:t>
      </w:r>
    </w:p>
  </w:footnote>
  <w:footnote w:id="38">
    <w:p w14:paraId="3B6E3074" w14:textId="77777777" w:rsidR="00F71EA3" w:rsidRPr="00C739AA" w:rsidRDefault="00F71EA3" w:rsidP="00F71EA3">
      <w:pPr>
        <w:pStyle w:val="FootnoteText"/>
        <w:rPr>
          <w:szCs w:val="18"/>
        </w:rPr>
      </w:pPr>
      <w:r w:rsidRPr="00C739AA">
        <w:rPr>
          <w:rStyle w:val="FootnoteReference"/>
          <w:szCs w:val="18"/>
        </w:rPr>
        <w:footnoteRef/>
      </w:r>
      <w:r w:rsidRPr="00C739AA">
        <w:rPr>
          <w:szCs w:val="18"/>
        </w:rPr>
        <w:t xml:space="preserve"> Panel Report, </w:t>
      </w:r>
      <w:r w:rsidRPr="00C739AA">
        <w:rPr>
          <w:i/>
          <w:iCs/>
          <w:szCs w:val="18"/>
        </w:rPr>
        <w:t>US – Softwood Lumber IV</w:t>
      </w:r>
      <w:r w:rsidRPr="00C739AA">
        <w:rPr>
          <w:szCs w:val="18"/>
        </w:rPr>
        <w:t>, para. 7.116.</w:t>
      </w:r>
    </w:p>
  </w:footnote>
  <w:footnote w:id="39">
    <w:p w14:paraId="0D459342" w14:textId="77777777" w:rsidR="00F71EA3" w:rsidRPr="00C739AA" w:rsidRDefault="00F71EA3" w:rsidP="00F71EA3">
      <w:pPr>
        <w:pStyle w:val="FootnoteText"/>
        <w:rPr>
          <w:szCs w:val="18"/>
        </w:rPr>
      </w:pPr>
      <w:r w:rsidRPr="00C739AA">
        <w:rPr>
          <w:rStyle w:val="FootnoteReference"/>
          <w:szCs w:val="18"/>
        </w:rPr>
        <w:footnoteRef/>
      </w:r>
      <w:r w:rsidRPr="00C739AA">
        <w:rPr>
          <w:szCs w:val="18"/>
        </w:rPr>
        <w:t xml:space="preserve"> Panel Report, </w:t>
      </w:r>
      <w:r w:rsidRPr="00C739AA">
        <w:rPr>
          <w:i/>
          <w:iCs/>
          <w:szCs w:val="18"/>
        </w:rPr>
        <w:t>US – Softwood Lumber IV</w:t>
      </w:r>
      <w:r w:rsidRPr="00C739AA">
        <w:rPr>
          <w:szCs w:val="18"/>
        </w:rPr>
        <w:t>, para. 7.116.</w:t>
      </w:r>
    </w:p>
  </w:footnote>
  <w:footnote w:id="40">
    <w:p w14:paraId="412EF889" w14:textId="77777777" w:rsidR="00F71EA3" w:rsidRPr="00C739AA" w:rsidRDefault="00F71EA3" w:rsidP="00F71EA3">
      <w:pPr>
        <w:pStyle w:val="FootnoteText"/>
        <w:rPr>
          <w:szCs w:val="18"/>
        </w:rPr>
      </w:pPr>
      <w:r w:rsidRPr="00C739AA">
        <w:rPr>
          <w:rStyle w:val="FootnoteReference"/>
          <w:szCs w:val="18"/>
        </w:rPr>
        <w:footnoteRef/>
      </w:r>
      <w:r w:rsidRPr="00C739AA">
        <w:rPr>
          <w:szCs w:val="18"/>
        </w:rPr>
        <w:t xml:space="preserve"> </w:t>
      </w:r>
      <w:r>
        <w:rPr>
          <w:szCs w:val="18"/>
        </w:rPr>
        <w:t>Indonesia's</w:t>
      </w:r>
      <w:r w:rsidRPr="00C739AA">
        <w:rPr>
          <w:szCs w:val="18"/>
        </w:rPr>
        <w:t xml:space="preserve"> </w:t>
      </w:r>
      <w:r w:rsidRPr="00C739AA">
        <w:rPr>
          <w:rFonts w:asciiTheme="minorHAnsi" w:hAnsiTheme="minorHAnsi" w:cstheme="minorHAnsi"/>
          <w:szCs w:val="18"/>
        </w:rPr>
        <w:t xml:space="preserve">first written submission, para. </w:t>
      </w:r>
      <w:r>
        <w:rPr>
          <w:szCs w:val="18"/>
        </w:rPr>
        <w:t>923. Australia n</w:t>
      </w:r>
      <w:r w:rsidRPr="00C739AA">
        <w:rPr>
          <w:szCs w:val="18"/>
        </w:rPr>
        <w:t>ote</w:t>
      </w:r>
      <w:r>
        <w:rPr>
          <w:szCs w:val="18"/>
        </w:rPr>
        <w:t>s</w:t>
      </w:r>
      <w:r w:rsidRPr="00C739AA">
        <w:rPr>
          <w:szCs w:val="18"/>
        </w:rPr>
        <w:t xml:space="preserve"> that the EU disputes Indonesia</w:t>
      </w:r>
      <w:r>
        <w:rPr>
          <w:szCs w:val="18"/>
        </w:rPr>
        <w:t>'</w:t>
      </w:r>
      <w:r w:rsidRPr="00C739AA">
        <w:rPr>
          <w:szCs w:val="18"/>
        </w:rPr>
        <w:t xml:space="preserve">s claim that the Commission should have treated nickel ore mining companies as </w:t>
      </w:r>
      <w:r>
        <w:rPr>
          <w:szCs w:val="18"/>
        </w:rPr>
        <w:t>'</w:t>
      </w:r>
      <w:r w:rsidRPr="00C739AA">
        <w:rPr>
          <w:szCs w:val="18"/>
        </w:rPr>
        <w:t>interested parties</w:t>
      </w:r>
      <w:r>
        <w:rPr>
          <w:szCs w:val="18"/>
        </w:rPr>
        <w:t>'</w:t>
      </w:r>
      <w:r w:rsidRPr="00C739AA">
        <w:rPr>
          <w:szCs w:val="18"/>
        </w:rPr>
        <w:t xml:space="preserve"> for the purposes of its investigation. Australia does not </w:t>
      </w:r>
      <w:r>
        <w:rPr>
          <w:szCs w:val="18"/>
        </w:rPr>
        <w:t>take a position</w:t>
      </w:r>
      <w:r w:rsidRPr="00C739AA">
        <w:rPr>
          <w:szCs w:val="18"/>
        </w:rPr>
        <w:t xml:space="preserve"> on the factual question of whether the nickel ore mining companies should have been treated as </w:t>
      </w:r>
      <w:r>
        <w:rPr>
          <w:szCs w:val="18"/>
        </w:rPr>
        <w:t>'</w:t>
      </w:r>
      <w:r w:rsidRPr="00C739AA">
        <w:rPr>
          <w:szCs w:val="18"/>
        </w:rPr>
        <w:t>interested parties</w:t>
      </w:r>
      <w:r>
        <w:rPr>
          <w:szCs w:val="18"/>
        </w:rPr>
        <w:t>'</w:t>
      </w:r>
      <w:r w:rsidRPr="00C739AA">
        <w:rPr>
          <w:szCs w:val="18"/>
        </w:rPr>
        <w:t xml:space="preserve"> in </w:t>
      </w:r>
      <w:r>
        <w:rPr>
          <w:szCs w:val="18"/>
        </w:rPr>
        <w:t>the investigation</w:t>
      </w:r>
      <w:r w:rsidRPr="00C739AA">
        <w:rPr>
          <w:szCs w:val="18"/>
        </w:rPr>
        <w:t>.</w:t>
      </w:r>
    </w:p>
  </w:footnote>
  <w:footnote w:id="41">
    <w:p w14:paraId="42016408" w14:textId="77777777" w:rsidR="00F71EA3" w:rsidRDefault="00F71EA3" w:rsidP="00F71EA3">
      <w:pPr>
        <w:pStyle w:val="FootnoteText"/>
      </w:pPr>
      <w:r>
        <w:rPr>
          <w:rStyle w:val="FootnoteReference"/>
        </w:rPr>
        <w:footnoteRef/>
      </w:r>
      <w:r>
        <w:t xml:space="preserve"> </w:t>
      </w:r>
      <w:r w:rsidRPr="00C739AA">
        <w:rPr>
          <w:szCs w:val="18"/>
        </w:rPr>
        <w:t>European Union</w:t>
      </w:r>
      <w:r>
        <w:rPr>
          <w:szCs w:val="18"/>
        </w:rPr>
        <w:t>'</w:t>
      </w:r>
      <w:r w:rsidRPr="00C739AA">
        <w:rPr>
          <w:szCs w:val="18"/>
        </w:rPr>
        <w:t xml:space="preserve">s </w:t>
      </w:r>
      <w:r w:rsidRPr="00C739AA">
        <w:rPr>
          <w:rFonts w:asciiTheme="minorHAnsi" w:hAnsiTheme="minorHAnsi" w:cstheme="minorHAnsi"/>
          <w:szCs w:val="18"/>
        </w:rPr>
        <w:t xml:space="preserve">first written submission, para. </w:t>
      </w:r>
      <w:r>
        <w:rPr>
          <w:szCs w:val="18"/>
        </w:rPr>
        <w:t>601.</w:t>
      </w:r>
    </w:p>
  </w:footnote>
  <w:footnote w:id="42">
    <w:p w14:paraId="4A674C97" w14:textId="77777777" w:rsidR="00F71EA3" w:rsidRDefault="00F71EA3" w:rsidP="00F71EA3">
      <w:pPr>
        <w:pStyle w:val="FootnoteText"/>
      </w:pPr>
      <w:r>
        <w:rPr>
          <w:rStyle w:val="FootnoteReference"/>
        </w:rPr>
        <w:footnoteRef/>
      </w:r>
      <w:r>
        <w:t xml:space="preserve"> </w:t>
      </w:r>
      <w:r w:rsidRPr="00C739AA">
        <w:rPr>
          <w:szCs w:val="18"/>
        </w:rPr>
        <w:t>European Union</w:t>
      </w:r>
      <w:r>
        <w:rPr>
          <w:szCs w:val="18"/>
        </w:rPr>
        <w:t>'</w:t>
      </w:r>
      <w:r w:rsidRPr="00C739AA">
        <w:rPr>
          <w:szCs w:val="18"/>
        </w:rPr>
        <w:t xml:space="preserve">s </w:t>
      </w:r>
      <w:r w:rsidRPr="00C739AA">
        <w:rPr>
          <w:rFonts w:asciiTheme="minorHAnsi" w:hAnsiTheme="minorHAnsi" w:cstheme="minorHAnsi"/>
          <w:szCs w:val="18"/>
        </w:rPr>
        <w:t xml:space="preserve">first written submission, para. </w:t>
      </w:r>
      <w:r>
        <w:rPr>
          <w:szCs w:val="18"/>
        </w:rPr>
        <w:t>601.</w:t>
      </w:r>
    </w:p>
  </w:footnote>
  <w:footnote w:id="43">
    <w:p w14:paraId="77F213D8" w14:textId="77777777" w:rsidR="00F71EA3" w:rsidRDefault="00F71EA3" w:rsidP="00F71EA3">
      <w:pPr>
        <w:pStyle w:val="FootnoteText"/>
      </w:pPr>
      <w:r>
        <w:rPr>
          <w:rStyle w:val="FootnoteReference"/>
        </w:rPr>
        <w:footnoteRef/>
      </w:r>
      <w:r>
        <w:t xml:space="preserve"> </w:t>
      </w:r>
      <w:r w:rsidRPr="00C739AA">
        <w:rPr>
          <w:szCs w:val="18"/>
        </w:rPr>
        <w:t>European Union</w:t>
      </w:r>
      <w:r>
        <w:rPr>
          <w:szCs w:val="18"/>
        </w:rPr>
        <w:t>'</w:t>
      </w:r>
      <w:r w:rsidRPr="00C739AA">
        <w:rPr>
          <w:szCs w:val="18"/>
        </w:rPr>
        <w:t xml:space="preserve">s </w:t>
      </w:r>
      <w:r w:rsidRPr="00C739AA">
        <w:rPr>
          <w:rFonts w:asciiTheme="minorHAnsi" w:hAnsiTheme="minorHAnsi" w:cstheme="minorHAnsi"/>
          <w:szCs w:val="18"/>
        </w:rPr>
        <w:t xml:space="preserve">first written submission, para. </w:t>
      </w:r>
      <w:r>
        <w:rPr>
          <w:szCs w:val="18"/>
        </w:rPr>
        <w:t>601.</w:t>
      </w:r>
    </w:p>
  </w:footnote>
  <w:footnote w:id="44">
    <w:p w14:paraId="1CF04141" w14:textId="77777777" w:rsidR="00F71EA3" w:rsidRPr="00C739AA" w:rsidRDefault="00F71EA3" w:rsidP="00F71EA3">
      <w:pPr>
        <w:pStyle w:val="FootnoteText"/>
        <w:rPr>
          <w:szCs w:val="18"/>
        </w:rPr>
      </w:pPr>
      <w:r w:rsidRPr="00C739AA">
        <w:rPr>
          <w:rStyle w:val="FootnoteReference"/>
          <w:szCs w:val="18"/>
        </w:rPr>
        <w:footnoteRef/>
      </w:r>
      <w:r w:rsidRPr="00C739AA">
        <w:rPr>
          <w:szCs w:val="18"/>
        </w:rPr>
        <w:t xml:space="preserve"> Panel Report, </w:t>
      </w:r>
      <w:r w:rsidRPr="00E500C8">
        <w:rPr>
          <w:i/>
          <w:iCs/>
          <w:szCs w:val="18"/>
        </w:rPr>
        <w:t>Mexico – Olive Oil</w:t>
      </w:r>
      <w:r w:rsidRPr="00C739AA">
        <w:rPr>
          <w:szCs w:val="18"/>
        </w:rPr>
        <w:t>, fn</w:t>
      </w:r>
      <w:r>
        <w:rPr>
          <w:szCs w:val="18"/>
        </w:rPr>
        <w:t>.</w:t>
      </w:r>
      <w:r w:rsidRPr="00C739AA">
        <w:rPr>
          <w:szCs w:val="18"/>
        </w:rPr>
        <w:t xml:space="preserve"> 63.</w:t>
      </w:r>
    </w:p>
  </w:footnote>
  <w:footnote w:id="45">
    <w:p w14:paraId="480410C9" w14:textId="77777777" w:rsidR="00F71EA3" w:rsidRPr="00C739AA" w:rsidRDefault="00F71EA3" w:rsidP="00F71EA3">
      <w:pPr>
        <w:pStyle w:val="FootnoteText"/>
        <w:rPr>
          <w:szCs w:val="18"/>
        </w:rPr>
      </w:pPr>
      <w:r w:rsidRPr="00C739AA">
        <w:rPr>
          <w:rStyle w:val="FootnoteReference"/>
          <w:szCs w:val="18"/>
        </w:rPr>
        <w:footnoteRef/>
      </w:r>
      <w:r w:rsidRPr="00C739AA">
        <w:rPr>
          <w:szCs w:val="18"/>
        </w:rPr>
        <w:t xml:space="preserve"> Panel </w:t>
      </w:r>
      <w:r>
        <w:rPr>
          <w:szCs w:val="18"/>
        </w:rPr>
        <w:t>R</w:t>
      </w:r>
      <w:r w:rsidRPr="00C739AA">
        <w:rPr>
          <w:szCs w:val="18"/>
        </w:rPr>
        <w:t xml:space="preserve">eport, </w:t>
      </w:r>
      <w:r w:rsidRPr="00C739AA">
        <w:rPr>
          <w:i/>
          <w:iCs/>
          <w:szCs w:val="18"/>
        </w:rPr>
        <w:t>China – Broiler Products (Article 21.5 – US)</w:t>
      </w:r>
      <w:r w:rsidRPr="00C739AA">
        <w:rPr>
          <w:szCs w:val="18"/>
        </w:rPr>
        <w:t xml:space="preserve">, </w:t>
      </w:r>
      <w:r>
        <w:rPr>
          <w:szCs w:val="18"/>
        </w:rPr>
        <w:t xml:space="preserve">para. </w:t>
      </w:r>
      <w:r w:rsidRPr="00C739AA">
        <w:rPr>
          <w:szCs w:val="18"/>
        </w:rPr>
        <w:t>7.231.</w:t>
      </w:r>
    </w:p>
  </w:footnote>
  <w:footnote w:id="46">
    <w:p w14:paraId="5F04D55F" w14:textId="77777777" w:rsidR="00F71EA3" w:rsidRDefault="00F71EA3" w:rsidP="00F71EA3">
      <w:pPr>
        <w:pStyle w:val="FootnoteText"/>
      </w:pPr>
      <w:r>
        <w:rPr>
          <w:rStyle w:val="FootnoteReference"/>
        </w:rPr>
        <w:footnoteRef/>
      </w:r>
      <w:r>
        <w:t xml:space="preserve"> </w:t>
      </w:r>
      <w:r>
        <w:rPr>
          <w:rFonts w:cs="Calibri"/>
          <w:szCs w:val="18"/>
        </w:rPr>
        <w:t xml:space="preserve">Appellate Body Report, </w:t>
      </w:r>
      <w:r>
        <w:rPr>
          <w:rFonts w:ascii="Calibri-Italic" w:hAnsi="Calibri-Italic" w:cs="Calibri-Italic"/>
          <w:i/>
          <w:iCs/>
          <w:szCs w:val="18"/>
        </w:rPr>
        <w:t>Japan – Alcoholic Beverages II</w:t>
      </w:r>
      <w:r>
        <w:rPr>
          <w:rFonts w:cs="Calibri"/>
          <w:szCs w:val="18"/>
        </w:rPr>
        <w:t>, p. 31 (referring to Article 3.2 of the DSU).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BFF" w14:textId="77777777" w:rsidR="00635A10" w:rsidRDefault="00635A10">
    <w:pPr>
      <w:pStyle w:val="Header"/>
      <w:rPr>
        <w:i/>
        <w:iCs/>
      </w:rPr>
    </w:pPr>
    <w:r>
      <w:rPr>
        <w:i/>
        <w:iCs/>
      </w:rPr>
      <w:t xml:space="preserve">European Union – Countervailing and Anti-Dumping </w:t>
    </w:r>
    <w:r>
      <w:rPr>
        <w:i/>
        <w:iCs/>
      </w:rPr>
      <w:tab/>
      <w:t>Third party written submission of Australia</w:t>
    </w:r>
  </w:p>
  <w:p w14:paraId="10F3C15A" w14:textId="77777777" w:rsidR="00635A10" w:rsidRDefault="00635A10">
    <w:pPr>
      <w:pStyle w:val="Header"/>
      <w:rPr>
        <w:i/>
        <w:iCs/>
      </w:rPr>
    </w:pPr>
    <w:r>
      <w:rPr>
        <w:i/>
        <w:iCs/>
      </w:rPr>
      <w:t>Duties on Stainless Steel Cold-Rolled Flat Products</w:t>
    </w:r>
    <w:r>
      <w:rPr>
        <w:i/>
        <w:iCs/>
      </w:rPr>
      <w:tab/>
    </w:r>
    <w:r>
      <w:rPr>
        <w:i/>
        <w:iCs/>
      </w:rPr>
      <w:tab/>
    </w:r>
    <w:r>
      <w:t>2 February 2024</w:t>
    </w:r>
  </w:p>
  <w:p w14:paraId="724D59C2" w14:textId="77777777" w:rsidR="00635A10" w:rsidRDefault="00635A10">
    <w:pPr>
      <w:pStyle w:val="Header"/>
      <w:rPr>
        <w:i/>
        <w:iCs/>
      </w:rPr>
    </w:pPr>
    <w:r>
      <w:rPr>
        <w:i/>
        <w:iCs/>
      </w:rPr>
      <w:t xml:space="preserve">from Indonesia </w:t>
    </w:r>
    <w:r>
      <w:t>(DS616)</w:t>
    </w:r>
    <w:r>
      <w:rPr>
        <w:i/>
        <w:iCs/>
      </w:rPr>
      <w:t xml:space="preserve"> </w:t>
    </w:r>
    <w:r>
      <w:rPr>
        <w:i/>
        <w:iCs/>
      </w:rPr>
      <w:tab/>
    </w:r>
    <w:r>
      <w:rPr>
        <w:i/>
        <w:iCs/>
      </w:rPr>
      <w:tab/>
    </w:r>
  </w:p>
  <w:p w14:paraId="1C794CEF" w14:textId="77777777" w:rsidR="00635A10" w:rsidRDefault="00635A10">
    <w:pPr>
      <w:pStyle w:val="Header"/>
      <w:rPr>
        <w:i/>
        <w:iCs/>
      </w:rPr>
    </w:pPr>
    <w:r>
      <w:rPr>
        <w:i/>
        <w:iCs/>
      </w:rPr>
      <w:tab/>
    </w:r>
    <w:r>
      <w:rPr>
        <w:i/>
        <w:iCs/>
      </w:rPr>
      <w:tab/>
    </w:r>
  </w:p>
  <w:p w14:paraId="74891E33" w14:textId="77777777" w:rsidR="00635A10" w:rsidRDefault="00635A10">
    <w:pPr>
      <w:pStyle w:val="Header"/>
    </w:pP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8243105"/>
    <w:multiLevelType w:val="hybridMultilevel"/>
    <w:tmpl w:val="4CD859C8"/>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num w:numId="1" w16cid:durableId="2069500102">
    <w:abstractNumId w:val="1"/>
  </w:num>
  <w:num w:numId="2" w16cid:durableId="84640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A3"/>
    <w:rsid w:val="002B4B92"/>
    <w:rsid w:val="00376CC9"/>
    <w:rsid w:val="003D5634"/>
    <w:rsid w:val="00635A10"/>
    <w:rsid w:val="00A86386"/>
    <w:rsid w:val="00B2465A"/>
    <w:rsid w:val="00F71EA3"/>
    <w:rsid w:val="00FA0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0B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3"/>
    <w:pPr>
      <w:spacing w:line="360" w:lineRule="auto"/>
      <w:jc w:val="both"/>
    </w:pPr>
    <w:rPr>
      <w:rFonts w:ascii="Calibri" w:hAnsi="Calibri"/>
      <w:kern w:val="0"/>
      <w:sz w:val="24"/>
      <w:szCs w:val="24"/>
      <w14:ligatures w14:val="none"/>
    </w:rPr>
  </w:style>
  <w:style w:type="paragraph" w:styleId="Heading1">
    <w:name w:val="heading 1"/>
    <w:basedOn w:val="Normal"/>
    <w:next w:val="Normal"/>
    <w:link w:val="Heading1Char"/>
    <w:uiPriority w:val="9"/>
    <w:qFormat/>
    <w:rsid w:val="00F71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1E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1EA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71E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E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E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E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E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F71EA3"/>
  </w:style>
  <w:style w:type="character" w:customStyle="1" w:styleId="BTBodyTextChar">
    <w:name w:val="[BT] Body Text Char"/>
    <w:basedOn w:val="DefaultParagraphFont"/>
    <w:link w:val="BTBodyText"/>
    <w:uiPriority w:val="2"/>
    <w:rsid w:val="00F71EA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71EA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71EA3"/>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F71EA3"/>
    <w:pPr>
      <w:numPr>
        <w:numId w:val="1"/>
      </w:numPr>
    </w:pPr>
  </w:style>
  <w:style w:type="paragraph" w:customStyle="1" w:styleId="P2-B1Paragraph2-Bullet1">
    <w:name w:val="[P2-B1] Paragraph 2 - Bullet 1"/>
    <w:basedOn w:val="BTBodyText"/>
    <w:link w:val="P2-B1Paragraph2-Bullet1Char"/>
    <w:uiPriority w:val="6"/>
    <w:qFormat/>
    <w:rsid w:val="00F71EA3"/>
    <w:pPr>
      <w:numPr>
        <w:ilvl w:val="1"/>
        <w:numId w:val="1"/>
      </w:numPr>
      <w:spacing w:after="120"/>
    </w:pPr>
  </w:style>
  <w:style w:type="character" w:customStyle="1" w:styleId="P1-N1Paragraph1-Number1Char">
    <w:name w:val="[P1-N1] Paragraph 1 - Number 1 Char"/>
    <w:basedOn w:val="BTBodyTextChar"/>
    <w:link w:val="P1-N1Paragraph1-Number1"/>
    <w:uiPriority w:val="6"/>
    <w:rsid w:val="00F71EA3"/>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F71EA3"/>
    <w:pPr>
      <w:numPr>
        <w:ilvl w:val="2"/>
        <w:numId w:val="1"/>
      </w:numPr>
      <w:spacing w:after="120"/>
    </w:pPr>
  </w:style>
  <w:style w:type="character" w:customStyle="1" w:styleId="P2-B1Paragraph2-Bullet1Char">
    <w:name w:val="[P2-B1] Paragraph 2 - Bullet 1 Char"/>
    <w:basedOn w:val="BTBodyTextChar"/>
    <w:link w:val="P2-B1Paragraph2-Bullet1"/>
    <w:uiPriority w:val="6"/>
    <w:rsid w:val="00F71EA3"/>
    <w:rPr>
      <w:rFonts w:ascii="Calibri" w:hAnsi="Calibri"/>
      <w:kern w:val="0"/>
      <w:sz w:val="24"/>
      <w:szCs w:val="24"/>
      <w14:ligatures w14:val="none"/>
    </w:rPr>
  </w:style>
  <w:style w:type="paragraph" w:customStyle="1" w:styleId="P4-B3Paragraph4-Bullet3">
    <w:name w:val="[P4-B3] Paragraph 4 - Bullet 3"/>
    <w:basedOn w:val="BTBodyText"/>
    <w:uiPriority w:val="6"/>
    <w:rsid w:val="00F71EA3"/>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F71EA3"/>
    <w:rPr>
      <w:rFonts w:ascii="Calibri" w:hAnsi="Calibri"/>
      <w:kern w:val="0"/>
      <w:sz w:val="24"/>
      <w:szCs w:val="24"/>
      <w14:ligatures w14:val="none"/>
    </w:rPr>
  </w:style>
  <w:style w:type="paragraph" w:customStyle="1" w:styleId="P5-B4Paragraph5-Bullet4">
    <w:name w:val="[P5-B4] Paragraph 5 - Bullet 4"/>
    <w:basedOn w:val="BTBodyText"/>
    <w:uiPriority w:val="6"/>
    <w:rsid w:val="00F71EA3"/>
    <w:pPr>
      <w:numPr>
        <w:ilvl w:val="4"/>
        <w:numId w:val="1"/>
      </w:numPr>
      <w:spacing w:after="120"/>
    </w:pPr>
  </w:style>
  <w:style w:type="paragraph" w:customStyle="1" w:styleId="P6-B5Paragraph6-Bullet5">
    <w:name w:val="[P6-B5] Paragraph 6 - Bullet 5"/>
    <w:basedOn w:val="BTBodyText"/>
    <w:uiPriority w:val="6"/>
    <w:rsid w:val="00F71EA3"/>
    <w:pPr>
      <w:numPr>
        <w:ilvl w:val="5"/>
        <w:numId w:val="1"/>
      </w:numPr>
      <w:spacing w:after="120"/>
      <w:ind w:left="5104" w:hanging="851"/>
    </w:pPr>
  </w:style>
  <w:style w:type="paragraph" w:customStyle="1" w:styleId="P7-B6Paragraph7-Bullet6">
    <w:name w:val="[P7-B6] Paragraph 7 - Bullet 6"/>
    <w:basedOn w:val="BTBodyText"/>
    <w:uiPriority w:val="6"/>
    <w:rsid w:val="00F71EA3"/>
    <w:pPr>
      <w:numPr>
        <w:ilvl w:val="6"/>
        <w:numId w:val="1"/>
      </w:numPr>
      <w:spacing w:after="120"/>
    </w:pPr>
  </w:style>
  <w:style w:type="paragraph" w:customStyle="1" w:styleId="P8-B7Paragraph8-Bullet7">
    <w:name w:val="[P8-B7] Paragraph 8 - Bullet 7"/>
    <w:basedOn w:val="BTBodyText"/>
    <w:uiPriority w:val="6"/>
    <w:rsid w:val="00F71EA3"/>
    <w:pPr>
      <w:numPr>
        <w:ilvl w:val="7"/>
        <w:numId w:val="1"/>
      </w:numPr>
      <w:spacing w:after="120"/>
      <w:ind w:left="6805" w:hanging="851"/>
    </w:pPr>
  </w:style>
  <w:style w:type="paragraph" w:customStyle="1" w:styleId="P9-B8Paragraph9-Bullet8">
    <w:name w:val="[P9-B8] Paragraph 9 - Bullet 8"/>
    <w:basedOn w:val="BTBodyText"/>
    <w:uiPriority w:val="6"/>
    <w:rsid w:val="00F71EA3"/>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F71EA3"/>
    <w:pPr>
      <w:numPr>
        <w:numId w:val="2"/>
      </w:numPr>
      <w:spacing w:before="0" w:after="160"/>
    </w:pPr>
    <w:rPr>
      <w:rFonts w:ascii="Calibri" w:hAnsi="Calibri"/>
      <w:b/>
      <w:caps/>
      <w:color w:val="auto"/>
      <w:sz w:val="28"/>
    </w:rPr>
  </w:style>
  <w:style w:type="paragraph" w:customStyle="1" w:styleId="HL2HeadingLevel2">
    <w:name w:val="[HL2] Heading Level 2"/>
    <w:basedOn w:val="Heading2"/>
    <w:next w:val="P1-N1Paragraph1-Number1"/>
    <w:link w:val="HL2HeadingLevel2Char"/>
    <w:uiPriority w:val="4"/>
    <w:qFormat/>
    <w:rsid w:val="00F71EA3"/>
    <w:pPr>
      <w:numPr>
        <w:ilvl w:val="1"/>
        <w:numId w:val="2"/>
      </w:numPr>
      <w:spacing w:before="0" w:after="160"/>
    </w:pPr>
    <w:rPr>
      <w:rFonts w:ascii="Calibri" w:hAnsi="Calibri"/>
      <w:b/>
      <w:smallCaps/>
      <w:color w:val="auto"/>
      <w:sz w:val="28"/>
    </w:rPr>
  </w:style>
  <w:style w:type="character" w:customStyle="1" w:styleId="HL1HeadingLevel1Char">
    <w:name w:val="[HL1] Heading Level 1 Char"/>
    <w:basedOn w:val="BTBodyTextChar"/>
    <w:link w:val="HL1HeadingLevel1"/>
    <w:uiPriority w:val="4"/>
    <w:rsid w:val="00F71EA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F71EA3"/>
    <w:pPr>
      <w:numPr>
        <w:ilvl w:val="2"/>
        <w:numId w:val="2"/>
      </w:numPr>
      <w:spacing w:before="0" w:after="160"/>
    </w:pPr>
    <w:rPr>
      <w:rFonts w:ascii="Calibri" w:hAnsi="Calibri"/>
      <w:b/>
      <w:color w:val="auto"/>
    </w:rPr>
  </w:style>
  <w:style w:type="character" w:customStyle="1" w:styleId="HL2HeadingLevel2Char">
    <w:name w:val="[HL2] Heading Level 2 Char"/>
    <w:basedOn w:val="BTBodyTextChar"/>
    <w:link w:val="HL2HeadingLevel2"/>
    <w:uiPriority w:val="4"/>
    <w:rsid w:val="00F71EA3"/>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F71EA3"/>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F71EA3"/>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F71EA3"/>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F71EA3"/>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F71EA3"/>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F71EA3"/>
    <w:pPr>
      <w:numPr>
        <w:ilvl w:val="8"/>
        <w:numId w:val="2"/>
      </w:numPr>
      <w:spacing w:before="0" w:after="160"/>
    </w:pPr>
    <w:rPr>
      <w:rFonts w:ascii="Calibri" w:hAnsi="Calibri"/>
      <w:color w:val="auto"/>
      <w:sz w:val="24"/>
    </w:rPr>
  </w:style>
  <w:style w:type="paragraph" w:customStyle="1" w:styleId="SHSectionHeading">
    <w:name w:val="[SH] Section Heading"/>
    <w:basedOn w:val="Heading1"/>
    <w:next w:val="BTBodyText"/>
    <w:link w:val="SHSectionHeadingChar"/>
    <w:uiPriority w:val="12"/>
    <w:qFormat/>
    <w:rsid w:val="00F71EA3"/>
    <w:pPr>
      <w:jc w:val="center"/>
    </w:pPr>
    <w:rPr>
      <w:rFonts w:ascii="Calibri" w:hAnsi="Calibri"/>
      <w:b/>
      <w:caps/>
      <w:sz w:val="24"/>
    </w:rPr>
  </w:style>
  <w:style w:type="character" w:customStyle="1" w:styleId="Heading1Char">
    <w:name w:val="Heading 1 Char"/>
    <w:basedOn w:val="DefaultParagraphFont"/>
    <w:link w:val="Heading1"/>
    <w:uiPriority w:val="9"/>
    <w:rsid w:val="00F71EA3"/>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Normal"/>
    <w:next w:val="Normal"/>
    <w:uiPriority w:val="39"/>
    <w:unhideWhenUsed/>
    <w:qFormat/>
    <w:rsid w:val="00F71EA3"/>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F71EA3"/>
    <w:rPr>
      <w:rFonts w:ascii="Calibri" w:eastAsiaTheme="majorEastAsia" w:hAnsi="Calibri" w:cstheme="majorBidi"/>
      <w:b/>
      <w:caps/>
      <w:color w:val="2F5496" w:themeColor="accent1" w:themeShade="BF"/>
      <w:kern w:val="0"/>
      <w:sz w:val="24"/>
      <w:szCs w:val="32"/>
      <w14:ligatures w14:val="none"/>
    </w:rPr>
  </w:style>
  <w:style w:type="paragraph" w:styleId="TOC1">
    <w:name w:val="toc 1"/>
    <w:basedOn w:val="Normal"/>
    <w:next w:val="Normal"/>
    <w:autoRedefine/>
    <w:uiPriority w:val="39"/>
    <w:unhideWhenUsed/>
    <w:rsid w:val="00F71EA3"/>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F71EA3"/>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F71EA3"/>
    <w:rPr>
      <w:color w:val="0563C1" w:themeColor="hyperlink"/>
      <w:u w:val="single"/>
    </w:rPr>
  </w:style>
  <w:style w:type="table" w:styleId="TableGrid">
    <w:name w:val="Table Grid"/>
    <w:basedOn w:val="TableNormal"/>
    <w:uiPriority w:val="39"/>
    <w:rsid w:val="00F71EA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F71EA3"/>
    <w:pPr>
      <w:spacing w:before="40" w:after="40" w:line="240" w:lineRule="auto"/>
      <w:jc w:val="left"/>
    </w:pPr>
  </w:style>
  <w:style w:type="paragraph" w:customStyle="1" w:styleId="THTableHeading">
    <w:name w:val="[TH] Table Heading"/>
    <w:basedOn w:val="TTTableText"/>
    <w:link w:val="THTableHeadingChar"/>
    <w:uiPriority w:val="19"/>
    <w:qFormat/>
    <w:rsid w:val="00F71EA3"/>
    <w:rPr>
      <w:b/>
    </w:rPr>
  </w:style>
  <w:style w:type="character" w:customStyle="1" w:styleId="TTTableTextChar">
    <w:name w:val="[TT] Table Text Char"/>
    <w:basedOn w:val="BTBodyTextChar"/>
    <w:link w:val="TTTableText"/>
    <w:uiPriority w:val="19"/>
    <w:rsid w:val="00F71EA3"/>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F71EA3"/>
    <w:rPr>
      <w:rFonts w:ascii="Calibri" w:hAnsi="Calibri"/>
      <w:b/>
      <w:kern w:val="0"/>
      <w:sz w:val="24"/>
      <w:szCs w:val="24"/>
      <w14:ligatures w14:val="none"/>
    </w:rPr>
  </w:style>
  <w:style w:type="paragraph" w:styleId="Header">
    <w:name w:val="header"/>
    <w:basedOn w:val="Normal"/>
    <w:link w:val="HeaderChar"/>
    <w:uiPriority w:val="99"/>
    <w:unhideWhenUsed/>
    <w:rsid w:val="00F71EA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71EA3"/>
    <w:rPr>
      <w:rFonts w:ascii="Calibri" w:hAnsi="Calibri"/>
      <w:kern w:val="0"/>
      <w:szCs w:val="24"/>
      <w14:ligatures w14:val="none"/>
    </w:rPr>
  </w:style>
  <w:style w:type="paragraph" w:styleId="Footer">
    <w:name w:val="footer"/>
    <w:basedOn w:val="Normal"/>
    <w:link w:val="FooterChar"/>
    <w:uiPriority w:val="99"/>
    <w:unhideWhenUsed/>
    <w:rsid w:val="00F71EA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71EA3"/>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F71EA3"/>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F71EA3"/>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F71EA3"/>
    <w:rPr>
      <w:rFonts w:ascii="Calibri" w:hAnsi="Calibri"/>
      <w:vertAlign w:val="superscript"/>
    </w:rPr>
  </w:style>
  <w:style w:type="paragraph" w:customStyle="1" w:styleId="WTODTWTODisputeTitle">
    <w:name w:val="[WTODT] WTO Dispute Title"/>
    <w:basedOn w:val="BTBodyText"/>
    <w:link w:val="WTODTWTODisputeTitleChar"/>
    <w:uiPriority w:val="27"/>
    <w:rsid w:val="00F71EA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71EA3"/>
    <w:pPr>
      <w:spacing w:line="240" w:lineRule="auto"/>
      <w:jc w:val="center"/>
    </w:pPr>
  </w:style>
  <w:style w:type="character" w:customStyle="1" w:styleId="WTODTWTODisputeTitleChar">
    <w:name w:val="[WTODT] WTO Dispute Title Char"/>
    <w:basedOn w:val="BTBodyTextChar"/>
    <w:link w:val="WTODTWTODisputeTitle"/>
    <w:uiPriority w:val="27"/>
    <w:rsid w:val="00F71EA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71EA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71EA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71EA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71EA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71EA3"/>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F71EA3"/>
    <w:pPr>
      <w:spacing w:after="240"/>
      <w:jc w:val="center"/>
    </w:pPr>
    <w:rPr>
      <w:kern w:val="2"/>
      <w:sz w:val="22"/>
      <w:szCs w:val="22"/>
      <w:vertAlign w:val="superscript"/>
      <w14:ligatures w14:val="standardContextual"/>
    </w:rPr>
  </w:style>
  <w:style w:type="character" w:customStyle="1" w:styleId="Heading2Char">
    <w:name w:val="Heading 2 Char"/>
    <w:basedOn w:val="DefaultParagraphFont"/>
    <w:link w:val="Heading2"/>
    <w:uiPriority w:val="9"/>
    <w:semiHidden/>
    <w:rsid w:val="00F71EA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71EA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F71EA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F71EA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F71EA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71EA3"/>
    <w:rPr>
      <w:rFonts w:asciiTheme="majorHAnsi" w:eastAsiaTheme="majorEastAsia" w:hAnsiTheme="majorHAnsi" w:cstheme="majorBidi"/>
      <w:i/>
      <w:iCs/>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4308</Words>
  <Characters>23488</Characters>
  <Application>Microsoft Office Word</Application>
  <DocSecurity>0</DocSecurity>
  <Lines>431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 – COUNTERVAILING AND ANTI-DUMPING</dc:title>
  <dc:subject/>
  <dc:creator/>
  <cp:keywords/>
  <dc:description/>
  <cp:lastModifiedBy/>
  <cp:revision>1</cp:revision>
  <dcterms:created xsi:type="dcterms:W3CDTF">2024-02-22T02:22:00Z</dcterms:created>
  <dcterms:modified xsi:type="dcterms:W3CDTF">2024-02-22T02:23:00Z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ies>
</file>