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E4C4" w14:textId="7DA3AF5F" w:rsidR="006D1346" w:rsidRDefault="006D6E6A" w:rsidP="00744F2A">
      <w:pPr>
        <w:spacing w:after="0"/>
        <w:jc w:val="center"/>
        <w:rPr>
          <w:b/>
          <w:sz w:val="26"/>
          <w:szCs w:val="26"/>
        </w:rPr>
      </w:pPr>
      <w:r>
        <w:rPr>
          <w:b/>
          <w:sz w:val="26"/>
          <w:szCs w:val="26"/>
        </w:rPr>
        <w:t xml:space="preserve">DFAT </w:t>
      </w:r>
      <w:r w:rsidR="00FF7B85" w:rsidRPr="009A2586">
        <w:rPr>
          <w:b/>
          <w:sz w:val="26"/>
          <w:szCs w:val="26"/>
        </w:rPr>
        <w:t>Management Response to</w:t>
      </w:r>
      <w:r>
        <w:rPr>
          <w:b/>
          <w:sz w:val="26"/>
          <w:szCs w:val="26"/>
        </w:rPr>
        <w:t xml:space="preserve"> the</w:t>
      </w:r>
      <w:r w:rsidR="002643DC" w:rsidRPr="009A2586">
        <w:rPr>
          <w:b/>
          <w:sz w:val="26"/>
          <w:szCs w:val="26"/>
        </w:rPr>
        <w:t xml:space="preserve"> </w:t>
      </w:r>
      <w:r w:rsidR="00A820AC">
        <w:rPr>
          <w:b/>
          <w:sz w:val="26"/>
          <w:szCs w:val="26"/>
        </w:rPr>
        <w:t>Independent Mid-Term Revie</w:t>
      </w:r>
      <w:r w:rsidR="00D0489C">
        <w:rPr>
          <w:b/>
          <w:sz w:val="26"/>
          <w:szCs w:val="26"/>
        </w:rPr>
        <w:t>w of the</w:t>
      </w:r>
      <w:r w:rsidR="00D0489C">
        <w:rPr>
          <w:b/>
          <w:sz w:val="26"/>
          <w:szCs w:val="26"/>
        </w:rPr>
        <w:br/>
        <w:t>Australia-World Bank Indonesia Partnership (ABIP) Program</w:t>
      </w:r>
      <w:r w:rsidR="00FF7B85" w:rsidRPr="009A2586">
        <w:rPr>
          <w:b/>
          <w:sz w:val="26"/>
          <w:szCs w:val="26"/>
        </w:rPr>
        <w:t xml:space="preserve"> </w:t>
      </w:r>
    </w:p>
    <w:p w14:paraId="0740A35F" w14:textId="6B324166" w:rsidR="00FF7B85" w:rsidRPr="009A2586" w:rsidRDefault="000D753E" w:rsidP="002643DC">
      <w:pPr>
        <w:spacing w:after="0"/>
        <w:jc w:val="center"/>
        <w:rPr>
          <w:b/>
          <w:sz w:val="26"/>
          <w:szCs w:val="26"/>
        </w:rPr>
      </w:pPr>
      <w:r>
        <w:rPr>
          <w:b/>
          <w:sz w:val="26"/>
          <w:szCs w:val="26"/>
        </w:rPr>
        <w:t>December 2022</w:t>
      </w:r>
    </w:p>
    <w:p w14:paraId="55C821BE" w14:textId="77777777" w:rsidR="00FF7B85" w:rsidRPr="00AA063F" w:rsidRDefault="00FF7B85" w:rsidP="00FF7B85">
      <w:pPr>
        <w:spacing w:after="0"/>
        <w:rPr>
          <w:sz w:val="23"/>
          <w:szCs w:val="23"/>
        </w:rPr>
      </w:pPr>
    </w:p>
    <w:p w14:paraId="32A7EED8" w14:textId="1DDCA6B0" w:rsidR="00FF7B85" w:rsidRPr="00AA063F" w:rsidRDefault="0054775C" w:rsidP="00B149C5">
      <w:pPr>
        <w:spacing w:before="240" w:after="0"/>
        <w:jc w:val="both"/>
        <w:rPr>
          <w:sz w:val="23"/>
          <w:szCs w:val="23"/>
        </w:rPr>
      </w:pPr>
      <w:r>
        <w:rPr>
          <w:sz w:val="23"/>
          <w:szCs w:val="23"/>
        </w:rPr>
        <w:t xml:space="preserve">DFAT commissioned </w:t>
      </w:r>
      <w:r w:rsidR="00483F85" w:rsidRPr="007C6D43">
        <w:rPr>
          <w:sz w:val="23"/>
          <w:szCs w:val="23"/>
        </w:rPr>
        <w:t>a</w:t>
      </w:r>
      <w:r w:rsidR="00F451D6" w:rsidRPr="007C6D43">
        <w:rPr>
          <w:sz w:val="23"/>
          <w:szCs w:val="23"/>
        </w:rPr>
        <w:t>n independent</w:t>
      </w:r>
      <w:r w:rsidR="00483F85" w:rsidRPr="007C6D43">
        <w:rPr>
          <w:sz w:val="23"/>
          <w:szCs w:val="23"/>
        </w:rPr>
        <w:t xml:space="preserve"> </w:t>
      </w:r>
      <w:r w:rsidR="00F451D6" w:rsidRPr="007C6D43">
        <w:rPr>
          <w:sz w:val="23"/>
          <w:szCs w:val="23"/>
        </w:rPr>
        <w:t xml:space="preserve">mid-term review </w:t>
      </w:r>
      <w:r w:rsidR="006F57A8" w:rsidRPr="007C6D43">
        <w:rPr>
          <w:sz w:val="23"/>
          <w:szCs w:val="23"/>
        </w:rPr>
        <w:t xml:space="preserve">(IMTR) </w:t>
      </w:r>
      <w:r w:rsidR="00F451D6" w:rsidRPr="007C6D43">
        <w:rPr>
          <w:sz w:val="23"/>
          <w:szCs w:val="23"/>
        </w:rPr>
        <w:t>o</w:t>
      </w:r>
      <w:r w:rsidR="00A4410F">
        <w:rPr>
          <w:sz w:val="23"/>
          <w:szCs w:val="23"/>
        </w:rPr>
        <w:t>f</w:t>
      </w:r>
      <w:r w:rsidR="00F451D6" w:rsidRPr="007C6D43">
        <w:rPr>
          <w:sz w:val="23"/>
          <w:szCs w:val="23"/>
        </w:rPr>
        <w:t xml:space="preserve"> the </w:t>
      </w:r>
      <w:r w:rsidR="00810E49" w:rsidRPr="007C6D43">
        <w:rPr>
          <w:sz w:val="23"/>
          <w:szCs w:val="23"/>
        </w:rPr>
        <w:t>Australia-World Bank Indonesia Partnership (ABIP) program</w:t>
      </w:r>
      <w:r w:rsidR="00FE3342">
        <w:rPr>
          <w:sz w:val="23"/>
          <w:szCs w:val="23"/>
        </w:rPr>
        <w:t>, conducted</w:t>
      </w:r>
      <w:r w:rsidR="00D76D52">
        <w:rPr>
          <w:sz w:val="23"/>
          <w:szCs w:val="23"/>
        </w:rPr>
        <w:t xml:space="preserve"> </w:t>
      </w:r>
      <w:r w:rsidR="00066375">
        <w:rPr>
          <w:sz w:val="23"/>
          <w:szCs w:val="23"/>
        </w:rPr>
        <w:t>between</w:t>
      </w:r>
      <w:r w:rsidR="006F5A2C">
        <w:rPr>
          <w:sz w:val="23"/>
          <w:szCs w:val="23"/>
        </w:rPr>
        <w:t xml:space="preserve"> </w:t>
      </w:r>
      <w:r w:rsidR="009726EE">
        <w:rPr>
          <w:sz w:val="23"/>
          <w:szCs w:val="23"/>
        </w:rPr>
        <w:t xml:space="preserve">September- December </w:t>
      </w:r>
      <w:r>
        <w:rPr>
          <w:sz w:val="23"/>
          <w:szCs w:val="23"/>
        </w:rPr>
        <w:t>2022</w:t>
      </w:r>
      <w:r w:rsidR="006F57A8" w:rsidRPr="007C6D43">
        <w:rPr>
          <w:sz w:val="23"/>
          <w:szCs w:val="23"/>
        </w:rPr>
        <w:t>.</w:t>
      </w:r>
      <w:r w:rsidR="000F1F07" w:rsidRPr="007C6D43">
        <w:rPr>
          <w:sz w:val="23"/>
          <w:szCs w:val="23"/>
        </w:rPr>
        <w:t xml:space="preserve"> </w:t>
      </w:r>
      <w:r w:rsidR="006F57A8" w:rsidRPr="007C6D43">
        <w:rPr>
          <w:sz w:val="23"/>
          <w:szCs w:val="23"/>
        </w:rPr>
        <w:t xml:space="preserve">The IMTR </w:t>
      </w:r>
      <w:r>
        <w:rPr>
          <w:sz w:val="23"/>
          <w:szCs w:val="23"/>
        </w:rPr>
        <w:t>assessed</w:t>
      </w:r>
      <w:r w:rsidR="000F1F07" w:rsidRPr="007C6D43">
        <w:rPr>
          <w:sz w:val="23"/>
          <w:szCs w:val="23"/>
        </w:rPr>
        <w:t xml:space="preserve"> performance of the first single donor country trust fund </w:t>
      </w:r>
      <w:r w:rsidR="006F57A8" w:rsidRPr="007C6D43">
        <w:rPr>
          <w:sz w:val="23"/>
          <w:szCs w:val="23"/>
        </w:rPr>
        <w:t>between DFAT and the World Bank</w:t>
      </w:r>
      <w:r w:rsidR="00C56D8E">
        <w:rPr>
          <w:sz w:val="23"/>
          <w:szCs w:val="23"/>
        </w:rPr>
        <w:t xml:space="preserve"> in Indonesia</w:t>
      </w:r>
      <w:r w:rsidR="004566F4" w:rsidRPr="007C6D43">
        <w:rPr>
          <w:sz w:val="23"/>
          <w:szCs w:val="23"/>
        </w:rPr>
        <w:t>.</w:t>
      </w:r>
      <w:r w:rsidR="005B3376">
        <w:rPr>
          <w:sz w:val="23"/>
          <w:szCs w:val="23"/>
        </w:rPr>
        <w:t xml:space="preserve"> The review </w:t>
      </w:r>
      <w:r>
        <w:rPr>
          <w:sz w:val="23"/>
          <w:szCs w:val="23"/>
        </w:rPr>
        <w:t>considered</w:t>
      </w:r>
      <w:r w:rsidR="002F5CF3" w:rsidRPr="002F5CF3">
        <w:rPr>
          <w:sz w:val="23"/>
          <w:szCs w:val="23"/>
        </w:rPr>
        <w:t xml:space="preserve"> whether ABIP </w:t>
      </w:r>
      <w:r w:rsidR="000E5B51">
        <w:rPr>
          <w:sz w:val="23"/>
          <w:szCs w:val="23"/>
        </w:rPr>
        <w:t>was</w:t>
      </w:r>
      <w:r w:rsidR="002F5CF3" w:rsidRPr="002F5CF3">
        <w:rPr>
          <w:sz w:val="23"/>
          <w:szCs w:val="23"/>
        </w:rPr>
        <w:t xml:space="preserve"> achieving the expected efficiency, collaboration, and coordination gains from consolidating multiple trust funds into a single arrangement</w:t>
      </w:r>
      <w:r w:rsidR="00B41B0D">
        <w:rPr>
          <w:sz w:val="23"/>
          <w:szCs w:val="23"/>
        </w:rPr>
        <w:t>,</w:t>
      </w:r>
      <w:r w:rsidR="000C57EA">
        <w:rPr>
          <w:sz w:val="23"/>
          <w:szCs w:val="23"/>
        </w:rPr>
        <w:t xml:space="preserve"> and </w:t>
      </w:r>
      <w:r>
        <w:rPr>
          <w:sz w:val="23"/>
          <w:szCs w:val="23"/>
        </w:rPr>
        <w:t>generated</w:t>
      </w:r>
      <w:r w:rsidR="00673196" w:rsidRPr="00673196">
        <w:rPr>
          <w:sz w:val="23"/>
          <w:szCs w:val="23"/>
        </w:rPr>
        <w:t xml:space="preserve"> recommendations to strengthen implementation and management for </w:t>
      </w:r>
      <w:r w:rsidR="00A4410F">
        <w:rPr>
          <w:sz w:val="23"/>
          <w:szCs w:val="23"/>
        </w:rPr>
        <w:t>any</w:t>
      </w:r>
      <w:r w:rsidR="00A4410F" w:rsidRPr="00673196">
        <w:rPr>
          <w:sz w:val="23"/>
          <w:szCs w:val="23"/>
        </w:rPr>
        <w:t xml:space="preserve"> </w:t>
      </w:r>
      <w:r w:rsidR="00673196" w:rsidRPr="00673196">
        <w:rPr>
          <w:sz w:val="23"/>
          <w:szCs w:val="23"/>
        </w:rPr>
        <w:t>second phase</w:t>
      </w:r>
      <w:r w:rsidR="0092044E">
        <w:rPr>
          <w:sz w:val="23"/>
          <w:szCs w:val="23"/>
        </w:rPr>
        <w:t>.</w:t>
      </w:r>
      <w:r w:rsidR="00AA063F">
        <w:rPr>
          <w:sz w:val="23"/>
          <w:szCs w:val="23"/>
        </w:rPr>
        <w:t xml:space="preserve"> </w:t>
      </w:r>
      <w:r w:rsidR="00483F85" w:rsidRPr="00AA063F">
        <w:rPr>
          <w:sz w:val="23"/>
          <w:szCs w:val="23"/>
        </w:rPr>
        <w:t xml:space="preserve">It also </w:t>
      </w:r>
      <w:r>
        <w:rPr>
          <w:sz w:val="23"/>
          <w:szCs w:val="23"/>
        </w:rPr>
        <w:t>reviewed</w:t>
      </w:r>
      <w:r w:rsidR="006B0A4B">
        <w:rPr>
          <w:sz w:val="23"/>
          <w:szCs w:val="23"/>
        </w:rPr>
        <w:t xml:space="preserve"> how ABIP </w:t>
      </w:r>
      <w:r w:rsidR="00C61EC4">
        <w:rPr>
          <w:sz w:val="23"/>
          <w:szCs w:val="23"/>
        </w:rPr>
        <w:t>is progressing</w:t>
      </w:r>
      <w:r w:rsidR="00EE1A00">
        <w:rPr>
          <w:sz w:val="23"/>
          <w:szCs w:val="23"/>
        </w:rPr>
        <w:t xml:space="preserve"> towards</w:t>
      </w:r>
      <w:r w:rsidR="006B0A4B">
        <w:rPr>
          <w:sz w:val="23"/>
          <w:szCs w:val="23"/>
        </w:rPr>
        <w:t xml:space="preserve"> intended</w:t>
      </w:r>
      <w:r w:rsidR="00483F85" w:rsidRPr="00AA063F">
        <w:rPr>
          <w:sz w:val="23"/>
          <w:szCs w:val="23"/>
        </w:rPr>
        <w:t xml:space="preserve"> outcomes</w:t>
      </w:r>
      <w:r w:rsidR="00AD6E53">
        <w:rPr>
          <w:sz w:val="23"/>
          <w:szCs w:val="23"/>
        </w:rPr>
        <w:t>, effectiveness in</w:t>
      </w:r>
      <w:r w:rsidR="00CD733A">
        <w:rPr>
          <w:sz w:val="23"/>
          <w:szCs w:val="23"/>
        </w:rPr>
        <w:t xml:space="preserve"> influencing policy</w:t>
      </w:r>
      <w:r w:rsidR="00A14703">
        <w:rPr>
          <w:sz w:val="23"/>
          <w:szCs w:val="23"/>
        </w:rPr>
        <w:t>,</w:t>
      </w:r>
      <w:r w:rsidR="00483F85" w:rsidRPr="00AA063F">
        <w:rPr>
          <w:sz w:val="23"/>
          <w:szCs w:val="23"/>
        </w:rPr>
        <w:t xml:space="preserve"> and </w:t>
      </w:r>
      <w:r w:rsidR="00AD6E53">
        <w:rPr>
          <w:sz w:val="23"/>
          <w:szCs w:val="23"/>
        </w:rPr>
        <w:t>progress on promoting gender equality</w:t>
      </w:r>
      <w:r w:rsidR="00483F85" w:rsidRPr="00AA063F">
        <w:rPr>
          <w:sz w:val="23"/>
          <w:szCs w:val="23"/>
        </w:rPr>
        <w:t>.</w:t>
      </w:r>
      <w:r w:rsidR="00526E1C" w:rsidRPr="00AA063F">
        <w:rPr>
          <w:sz w:val="23"/>
          <w:szCs w:val="23"/>
        </w:rPr>
        <w:t xml:space="preserve"> </w:t>
      </w:r>
      <w:r w:rsidR="000D4F76">
        <w:rPr>
          <w:sz w:val="23"/>
          <w:szCs w:val="23"/>
        </w:rPr>
        <w:t xml:space="preserve">In consultation with the World Bank, </w:t>
      </w:r>
      <w:r w:rsidR="000B4F49" w:rsidRPr="00AA063F">
        <w:rPr>
          <w:sz w:val="23"/>
          <w:szCs w:val="23"/>
        </w:rPr>
        <w:t xml:space="preserve">DFAT’s response to the recommendations </w:t>
      </w:r>
      <w:r w:rsidR="00526E1C" w:rsidRPr="00AA063F">
        <w:rPr>
          <w:sz w:val="23"/>
          <w:szCs w:val="23"/>
        </w:rPr>
        <w:t>is</w:t>
      </w:r>
      <w:r w:rsidR="000B4F49" w:rsidRPr="00AA063F">
        <w:rPr>
          <w:sz w:val="23"/>
          <w:szCs w:val="23"/>
        </w:rPr>
        <w:t xml:space="preserve"> as follows:</w:t>
      </w:r>
    </w:p>
    <w:p w14:paraId="08315958" w14:textId="77777777" w:rsidR="00A749A8" w:rsidRDefault="00A749A8" w:rsidP="00FF7B85">
      <w:pPr>
        <w:spacing w:after="0"/>
      </w:pPr>
    </w:p>
    <w:tbl>
      <w:tblPr>
        <w:tblStyle w:val="TableGrid"/>
        <w:tblW w:w="15735" w:type="dxa"/>
        <w:tblInd w:w="-5" w:type="dxa"/>
        <w:tblCellMar>
          <w:top w:w="57" w:type="dxa"/>
          <w:bottom w:w="57" w:type="dxa"/>
        </w:tblCellMar>
        <w:tblLook w:val="04A0" w:firstRow="1" w:lastRow="0" w:firstColumn="1" w:lastColumn="0" w:noHBand="0" w:noVBand="1"/>
      </w:tblPr>
      <w:tblGrid>
        <w:gridCol w:w="4820"/>
        <w:gridCol w:w="1559"/>
        <w:gridCol w:w="3735"/>
        <w:gridCol w:w="4014"/>
        <w:gridCol w:w="1607"/>
      </w:tblGrid>
      <w:tr w:rsidR="00083AAD" w:rsidRPr="00083AAD" w14:paraId="64B47D1C" w14:textId="42E397AF" w:rsidTr="00DD0F1D">
        <w:trPr>
          <w:cantSplit/>
          <w:trHeight w:val="435"/>
          <w:tblHeader/>
        </w:trPr>
        <w:tc>
          <w:tcPr>
            <w:tcW w:w="4820" w:type="dxa"/>
            <w:tcBorders>
              <w:right w:val="single" w:sz="4" w:space="0" w:color="FFFFFF" w:themeColor="background1"/>
            </w:tcBorders>
            <w:shd w:val="clear" w:color="auto" w:fill="1F4E79" w:themeFill="accent1" w:themeFillShade="80"/>
            <w:vAlign w:val="center"/>
          </w:tcPr>
          <w:p w14:paraId="6F829FC5" w14:textId="77777777" w:rsidR="006D1346" w:rsidRPr="00083AAD" w:rsidRDefault="006D1346" w:rsidP="00DA1EAF">
            <w:pPr>
              <w:rPr>
                <w:b/>
                <w:color w:val="FFFFFF" w:themeColor="background1"/>
              </w:rPr>
            </w:pPr>
            <w:bookmarkStart w:id="0" w:name="_Hlk122435484"/>
            <w:r w:rsidRPr="00083AAD">
              <w:rPr>
                <w:b/>
                <w:color w:val="FFFFFF" w:themeColor="background1"/>
              </w:rPr>
              <w:t>Recommendations</w:t>
            </w:r>
          </w:p>
        </w:tc>
        <w:tc>
          <w:tcPr>
            <w:tcW w:w="1559" w:type="dxa"/>
            <w:tcBorders>
              <w:left w:val="single" w:sz="4" w:space="0" w:color="FFFFFF" w:themeColor="background1"/>
              <w:right w:val="single" w:sz="4" w:space="0" w:color="FFFFFF" w:themeColor="background1"/>
            </w:tcBorders>
            <w:shd w:val="clear" w:color="auto" w:fill="1F4E79" w:themeFill="accent1" w:themeFillShade="80"/>
            <w:vAlign w:val="center"/>
          </w:tcPr>
          <w:p w14:paraId="3E2B0A21" w14:textId="4353FF83" w:rsidR="006D1346" w:rsidRPr="00083AAD" w:rsidRDefault="006D1346" w:rsidP="007712F1">
            <w:pPr>
              <w:jc w:val="center"/>
              <w:rPr>
                <w:b/>
                <w:color w:val="FFFFFF" w:themeColor="background1"/>
              </w:rPr>
            </w:pPr>
            <w:r w:rsidRPr="00083AAD">
              <w:rPr>
                <w:b/>
                <w:color w:val="FFFFFF" w:themeColor="background1"/>
              </w:rPr>
              <w:t>Response</w:t>
            </w:r>
          </w:p>
        </w:tc>
        <w:tc>
          <w:tcPr>
            <w:tcW w:w="3735" w:type="dxa"/>
            <w:tcBorders>
              <w:left w:val="single" w:sz="4" w:space="0" w:color="FFFFFF" w:themeColor="background1"/>
              <w:right w:val="single" w:sz="4" w:space="0" w:color="FFFFFF" w:themeColor="background1"/>
            </w:tcBorders>
            <w:shd w:val="clear" w:color="auto" w:fill="1F4E79" w:themeFill="accent1" w:themeFillShade="80"/>
            <w:vAlign w:val="center"/>
          </w:tcPr>
          <w:p w14:paraId="01383777" w14:textId="1471A811" w:rsidR="006D1346" w:rsidRPr="00083AAD" w:rsidRDefault="006D1346" w:rsidP="00DA1EAF">
            <w:pPr>
              <w:rPr>
                <w:b/>
                <w:color w:val="FFFFFF" w:themeColor="background1"/>
              </w:rPr>
            </w:pPr>
            <w:r w:rsidRPr="00083AAD">
              <w:rPr>
                <w:b/>
                <w:color w:val="FFFFFF" w:themeColor="background1"/>
              </w:rPr>
              <w:t>Explanation</w:t>
            </w:r>
          </w:p>
        </w:tc>
        <w:tc>
          <w:tcPr>
            <w:tcW w:w="4014" w:type="dxa"/>
            <w:tcBorders>
              <w:left w:val="single" w:sz="4" w:space="0" w:color="FFFFFF" w:themeColor="background1"/>
              <w:right w:val="single" w:sz="4" w:space="0" w:color="FFFFFF" w:themeColor="background1"/>
            </w:tcBorders>
            <w:shd w:val="clear" w:color="auto" w:fill="1F4E79" w:themeFill="accent1" w:themeFillShade="80"/>
            <w:vAlign w:val="center"/>
          </w:tcPr>
          <w:p w14:paraId="2AB9361B" w14:textId="5D0094EA" w:rsidR="006D1346" w:rsidRPr="00083AAD" w:rsidRDefault="006D1346" w:rsidP="00DA1EAF">
            <w:pPr>
              <w:rPr>
                <w:b/>
                <w:color w:val="FFFFFF" w:themeColor="background1"/>
              </w:rPr>
            </w:pPr>
            <w:r w:rsidRPr="00083AAD">
              <w:rPr>
                <w:b/>
                <w:color w:val="FFFFFF" w:themeColor="background1"/>
              </w:rPr>
              <w:t>Action Plan</w:t>
            </w:r>
          </w:p>
        </w:tc>
        <w:tc>
          <w:tcPr>
            <w:tcW w:w="1607" w:type="dxa"/>
            <w:tcBorders>
              <w:left w:val="single" w:sz="4" w:space="0" w:color="FFFFFF" w:themeColor="background1"/>
            </w:tcBorders>
            <w:shd w:val="clear" w:color="auto" w:fill="1F4E79" w:themeFill="accent1" w:themeFillShade="80"/>
            <w:vAlign w:val="center"/>
          </w:tcPr>
          <w:p w14:paraId="303EE679" w14:textId="5BA8BC34" w:rsidR="006D1346" w:rsidRPr="00083AAD" w:rsidRDefault="006D1346" w:rsidP="00DA1EAF">
            <w:pPr>
              <w:rPr>
                <w:b/>
                <w:color w:val="FFFFFF" w:themeColor="background1"/>
              </w:rPr>
            </w:pPr>
            <w:proofErr w:type="gramStart"/>
            <w:r w:rsidRPr="00083AAD">
              <w:rPr>
                <w:b/>
                <w:color w:val="FFFFFF" w:themeColor="background1"/>
              </w:rPr>
              <w:t>Time-frame</w:t>
            </w:r>
            <w:proofErr w:type="gramEnd"/>
          </w:p>
        </w:tc>
      </w:tr>
      <w:bookmarkEnd w:id="0"/>
      <w:tr w:rsidR="006D1346" w14:paraId="07E3B080" w14:textId="781C77E3" w:rsidTr="00B149C5">
        <w:tc>
          <w:tcPr>
            <w:tcW w:w="4820" w:type="dxa"/>
            <w:shd w:val="clear" w:color="auto" w:fill="DEEAF6" w:themeFill="accent1" w:themeFillTint="33"/>
          </w:tcPr>
          <w:p w14:paraId="29C7B45E" w14:textId="3198A698" w:rsidR="00146B46" w:rsidRDefault="004A56C6" w:rsidP="00545607">
            <w:pPr>
              <w:ind w:left="323" w:hanging="323"/>
              <w:rPr>
                <w:u w:val="single"/>
              </w:rPr>
            </w:pPr>
            <w:r>
              <w:rPr>
                <w:u w:val="single"/>
              </w:rPr>
              <w:t>Opp</w:t>
            </w:r>
            <w:r w:rsidR="00545607">
              <w:rPr>
                <w:u w:val="single"/>
              </w:rPr>
              <w:t>ortunity</w:t>
            </w:r>
          </w:p>
          <w:p w14:paraId="143E6C44" w14:textId="3B13095E" w:rsidR="00146B46" w:rsidRPr="00F139E3" w:rsidRDefault="00CE500F" w:rsidP="00545607">
            <w:pPr>
              <w:spacing w:after="120"/>
              <w:ind w:left="323" w:hanging="323"/>
            </w:pPr>
            <w:r w:rsidRPr="00F139E3">
              <w:t>Continuation of the ABIP investment</w:t>
            </w:r>
            <w:r w:rsidR="00545607" w:rsidRPr="00F139E3">
              <w:t>.</w:t>
            </w:r>
          </w:p>
          <w:p w14:paraId="23367701" w14:textId="2EB114E8" w:rsidR="004A56C6" w:rsidRPr="00AB03B0" w:rsidRDefault="004A56C6" w:rsidP="004A56C6">
            <w:pPr>
              <w:spacing w:after="120"/>
              <w:ind w:left="323" w:hanging="323"/>
              <w:rPr>
                <w:b/>
                <w:bCs/>
                <w:u w:val="single"/>
              </w:rPr>
            </w:pPr>
            <w:r w:rsidRPr="00AB03B0">
              <w:rPr>
                <w:b/>
                <w:bCs/>
                <w:u w:val="single"/>
              </w:rPr>
              <w:t>Recommendation 1</w:t>
            </w:r>
          </w:p>
          <w:p w14:paraId="07DA97DF" w14:textId="6B30BBF1" w:rsidR="00CC1A44" w:rsidRDefault="00097841" w:rsidP="00F7182E">
            <w:pPr>
              <w:pStyle w:val="ListParagraph"/>
              <w:numPr>
                <w:ilvl w:val="0"/>
                <w:numId w:val="9"/>
              </w:numPr>
              <w:ind w:left="467"/>
              <w:rPr>
                <w:i/>
                <w:iCs/>
              </w:rPr>
            </w:pPr>
            <w:r w:rsidRPr="00097841">
              <w:rPr>
                <w:i/>
                <w:iCs/>
              </w:rPr>
              <w:t>Continue ABIP into a second phase following the completion of the current phase in December 2024.</w:t>
            </w:r>
          </w:p>
          <w:p w14:paraId="6304890C" w14:textId="75B8BBBD" w:rsidR="00CC1A44" w:rsidRPr="009453CB" w:rsidRDefault="00097841" w:rsidP="00F7182E">
            <w:pPr>
              <w:pStyle w:val="ListParagraph"/>
              <w:numPr>
                <w:ilvl w:val="0"/>
                <w:numId w:val="9"/>
              </w:numPr>
              <w:ind w:left="467"/>
              <w:rPr>
                <w:i/>
                <w:iCs/>
              </w:rPr>
            </w:pPr>
            <w:r w:rsidRPr="009453CB">
              <w:rPr>
                <w:i/>
                <w:iCs/>
              </w:rPr>
              <w:t>Maintain broad-based ABIP funding at current levels.</w:t>
            </w:r>
          </w:p>
          <w:p w14:paraId="11A33C13" w14:textId="3AEFEC37" w:rsidR="006D1346" w:rsidRDefault="00097841" w:rsidP="00F7182E">
            <w:pPr>
              <w:pStyle w:val="ListParagraph"/>
              <w:numPr>
                <w:ilvl w:val="0"/>
                <w:numId w:val="9"/>
              </w:numPr>
              <w:ind w:left="467"/>
            </w:pPr>
            <w:r w:rsidRPr="009453CB">
              <w:rPr>
                <w:i/>
                <w:iCs/>
              </w:rPr>
              <w:t>Target any increased funding (above base) to priority areas of engagement, as has been done with gender</w:t>
            </w:r>
          </w:p>
        </w:tc>
        <w:tc>
          <w:tcPr>
            <w:tcW w:w="1559" w:type="dxa"/>
            <w:shd w:val="clear" w:color="auto" w:fill="92D050"/>
            <w:vAlign w:val="center"/>
          </w:tcPr>
          <w:p w14:paraId="7F52924D" w14:textId="77777777" w:rsidR="000102DB" w:rsidRDefault="000102DB" w:rsidP="00404EE5">
            <w:pPr>
              <w:jc w:val="center"/>
              <w:rPr>
                <w:u w:val="single"/>
              </w:rPr>
            </w:pPr>
            <w:r>
              <w:rPr>
                <w:u w:val="single"/>
              </w:rPr>
              <w:t>Agree</w:t>
            </w:r>
          </w:p>
          <w:p w14:paraId="1E90CB1B" w14:textId="681229BE" w:rsidR="000102DB" w:rsidRPr="00D35EC2" w:rsidRDefault="000102DB" w:rsidP="00404EE5">
            <w:pPr>
              <w:jc w:val="center"/>
              <w:rPr>
                <w:u w:val="single"/>
              </w:rPr>
            </w:pPr>
          </w:p>
        </w:tc>
        <w:tc>
          <w:tcPr>
            <w:tcW w:w="3735" w:type="dxa"/>
            <w:shd w:val="clear" w:color="auto" w:fill="DEEAF6" w:themeFill="accent1" w:themeFillTint="33"/>
          </w:tcPr>
          <w:p w14:paraId="1DD6A162" w14:textId="77777777" w:rsidR="004F720B" w:rsidRDefault="004F720B" w:rsidP="00D021BD">
            <w:r>
              <w:t>DFAT notes the IMTR’s findings that the World Bank remains a relevant and valued partner in Indonesia. DFAT also notes the findings that the ABIP mechanism is valued by the World Bank and has led to efficient and effective delivery of support.</w:t>
            </w:r>
          </w:p>
          <w:p w14:paraId="08A59374" w14:textId="77777777" w:rsidR="004F720B" w:rsidRDefault="004F720B" w:rsidP="00D021BD"/>
          <w:p w14:paraId="21574BA8" w14:textId="76AE75D4" w:rsidR="004F720B" w:rsidRDefault="004F720B" w:rsidP="00D021BD">
            <w:r>
              <w:t xml:space="preserve">The review findings will inform a </w:t>
            </w:r>
            <w:r w:rsidR="002913E9">
              <w:t xml:space="preserve">review of the current design in 2023, and a </w:t>
            </w:r>
            <w:r>
              <w:t xml:space="preserve">proposal to the relevant delegate to continue support </w:t>
            </w:r>
            <w:r w:rsidR="002913E9">
              <w:t>at</w:t>
            </w:r>
            <w:r>
              <w:t xml:space="preserve"> current </w:t>
            </w:r>
            <w:r w:rsidR="002913E9">
              <w:t xml:space="preserve">base </w:t>
            </w:r>
            <w:r>
              <w:t>level</w:t>
            </w:r>
            <w:r w:rsidR="002913E9">
              <w:t>s</w:t>
            </w:r>
            <w:r>
              <w:t xml:space="preserve"> when the first phase ends in December 2024. </w:t>
            </w:r>
          </w:p>
          <w:p w14:paraId="7C7D103D" w14:textId="64E4E347" w:rsidR="002913E9" w:rsidRDefault="002913E9" w:rsidP="00D021BD"/>
          <w:p w14:paraId="3D567D08" w14:textId="014EEE25" w:rsidR="0054775C" w:rsidRDefault="002913E9" w:rsidP="00D021BD">
            <w:r>
              <w:t>Any additional funding provided above base during the remainder of the first phase will be targeted to priority areas, in line with existing practice.</w:t>
            </w:r>
          </w:p>
          <w:p w14:paraId="2DE01072" w14:textId="1A0A64D2" w:rsidR="007A29A7" w:rsidRPr="009F3DA2" w:rsidRDefault="007A29A7" w:rsidP="009726EE"/>
        </w:tc>
        <w:tc>
          <w:tcPr>
            <w:tcW w:w="4014" w:type="dxa"/>
            <w:shd w:val="clear" w:color="auto" w:fill="DEEAF6" w:themeFill="accent1" w:themeFillTint="33"/>
          </w:tcPr>
          <w:p w14:paraId="75D0AF98" w14:textId="77777777" w:rsidR="002913E9" w:rsidRDefault="002913E9" w:rsidP="00AD1224">
            <w:r>
              <w:t>DFAT and the World Bank will work together to review the current design and identify any opportunities for improvements in a second phase, including by considering IMTR recommendations.</w:t>
            </w:r>
          </w:p>
          <w:p w14:paraId="67F24727" w14:textId="77777777" w:rsidR="002913E9" w:rsidRDefault="002913E9" w:rsidP="00AD1224"/>
          <w:p w14:paraId="033478A1" w14:textId="45A4425C" w:rsidR="009D4CD6" w:rsidRPr="009F3DA2" w:rsidRDefault="002913E9" w:rsidP="009726EE">
            <w:pPr>
              <w:rPr>
                <w:i/>
                <w:iCs/>
                <w:u w:val="single"/>
              </w:rPr>
            </w:pPr>
            <w:r>
              <w:t>DFAT will then propose an extension of ABIP to the relevant delegate.</w:t>
            </w:r>
          </w:p>
        </w:tc>
        <w:tc>
          <w:tcPr>
            <w:tcW w:w="1607" w:type="dxa"/>
            <w:shd w:val="clear" w:color="auto" w:fill="DEEAF6" w:themeFill="accent1" w:themeFillTint="33"/>
          </w:tcPr>
          <w:p w14:paraId="773027B0" w14:textId="1148C9FD" w:rsidR="00BE3D00" w:rsidRPr="009F3DA2" w:rsidRDefault="0054775C" w:rsidP="009726EE">
            <w:r>
              <w:t>End 2024</w:t>
            </w:r>
          </w:p>
        </w:tc>
      </w:tr>
    </w:tbl>
    <w:p w14:paraId="7EEDDC2B" w14:textId="77777777" w:rsidR="00A0121D" w:rsidRDefault="00A0121D">
      <w:r>
        <w:br w:type="page"/>
      </w:r>
    </w:p>
    <w:tbl>
      <w:tblPr>
        <w:tblStyle w:val="TableGrid"/>
        <w:tblW w:w="15735" w:type="dxa"/>
        <w:tblInd w:w="-5" w:type="dxa"/>
        <w:tblCellMar>
          <w:top w:w="57" w:type="dxa"/>
          <w:bottom w:w="57" w:type="dxa"/>
        </w:tblCellMar>
        <w:tblLook w:val="04A0" w:firstRow="1" w:lastRow="0" w:firstColumn="1" w:lastColumn="0" w:noHBand="0" w:noVBand="1"/>
      </w:tblPr>
      <w:tblGrid>
        <w:gridCol w:w="4801"/>
        <w:gridCol w:w="1555"/>
        <w:gridCol w:w="3758"/>
        <w:gridCol w:w="4014"/>
        <w:gridCol w:w="1607"/>
      </w:tblGrid>
      <w:tr w:rsidR="001B473B" w:rsidRPr="00083AAD" w14:paraId="493888AF" w14:textId="77777777" w:rsidTr="006062AB">
        <w:trPr>
          <w:cantSplit/>
          <w:trHeight w:val="435"/>
          <w:tblHeader/>
        </w:trPr>
        <w:tc>
          <w:tcPr>
            <w:tcW w:w="4801" w:type="dxa"/>
            <w:tcBorders>
              <w:right w:val="single" w:sz="4" w:space="0" w:color="FFFFFF" w:themeColor="background1"/>
            </w:tcBorders>
            <w:shd w:val="clear" w:color="auto" w:fill="1F4E79" w:themeFill="accent1" w:themeFillShade="80"/>
            <w:vAlign w:val="center"/>
          </w:tcPr>
          <w:p w14:paraId="0FC02881" w14:textId="77777777" w:rsidR="00A0121D" w:rsidRPr="00083AAD" w:rsidRDefault="00A0121D" w:rsidP="0044599C">
            <w:pPr>
              <w:rPr>
                <w:b/>
                <w:color w:val="FFFFFF" w:themeColor="background1"/>
              </w:rPr>
            </w:pPr>
            <w:r w:rsidRPr="00083AAD">
              <w:rPr>
                <w:b/>
                <w:color w:val="FFFFFF" w:themeColor="background1"/>
              </w:rPr>
              <w:lastRenderedPageBreak/>
              <w:t>Recommendations</w:t>
            </w:r>
          </w:p>
        </w:tc>
        <w:tc>
          <w:tcPr>
            <w:tcW w:w="1555" w:type="dxa"/>
            <w:tcBorders>
              <w:left w:val="single" w:sz="4" w:space="0" w:color="FFFFFF" w:themeColor="background1"/>
              <w:right w:val="single" w:sz="4" w:space="0" w:color="FFFFFF" w:themeColor="background1"/>
            </w:tcBorders>
            <w:shd w:val="clear" w:color="auto" w:fill="1F4E79" w:themeFill="accent1" w:themeFillShade="80"/>
            <w:vAlign w:val="center"/>
          </w:tcPr>
          <w:p w14:paraId="59DE98A8" w14:textId="77777777" w:rsidR="00A0121D" w:rsidRPr="00083AAD" w:rsidRDefault="00A0121D" w:rsidP="007712F1">
            <w:pPr>
              <w:jc w:val="center"/>
              <w:rPr>
                <w:b/>
                <w:color w:val="FFFFFF" w:themeColor="background1"/>
              </w:rPr>
            </w:pPr>
            <w:r w:rsidRPr="00083AAD">
              <w:rPr>
                <w:b/>
                <w:color w:val="FFFFFF" w:themeColor="background1"/>
              </w:rPr>
              <w:t>Response</w:t>
            </w:r>
          </w:p>
        </w:tc>
        <w:tc>
          <w:tcPr>
            <w:tcW w:w="3758" w:type="dxa"/>
            <w:tcBorders>
              <w:left w:val="single" w:sz="4" w:space="0" w:color="FFFFFF" w:themeColor="background1"/>
              <w:right w:val="single" w:sz="4" w:space="0" w:color="FFFFFF" w:themeColor="background1"/>
            </w:tcBorders>
            <w:shd w:val="clear" w:color="auto" w:fill="1F4E79" w:themeFill="accent1" w:themeFillShade="80"/>
            <w:vAlign w:val="center"/>
          </w:tcPr>
          <w:p w14:paraId="4B933CEC" w14:textId="77777777" w:rsidR="00A0121D" w:rsidRPr="00083AAD" w:rsidRDefault="00A0121D" w:rsidP="0044599C">
            <w:pPr>
              <w:rPr>
                <w:b/>
                <w:color w:val="FFFFFF" w:themeColor="background1"/>
              </w:rPr>
            </w:pPr>
            <w:r w:rsidRPr="00083AAD">
              <w:rPr>
                <w:b/>
                <w:color w:val="FFFFFF" w:themeColor="background1"/>
              </w:rPr>
              <w:t>Explanation</w:t>
            </w:r>
          </w:p>
        </w:tc>
        <w:tc>
          <w:tcPr>
            <w:tcW w:w="4014" w:type="dxa"/>
            <w:tcBorders>
              <w:left w:val="single" w:sz="4" w:space="0" w:color="FFFFFF" w:themeColor="background1"/>
              <w:right w:val="single" w:sz="4" w:space="0" w:color="FFFFFF" w:themeColor="background1"/>
            </w:tcBorders>
            <w:shd w:val="clear" w:color="auto" w:fill="1F4E79" w:themeFill="accent1" w:themeFillShade="80"/>
            <w:vAlign w:val="center"/>
          </w:tcPr>
          <w:p w14:paraId="6A95060B" w14:textId="77777777" w:rsidR="00A0121D" w:rsidRPr="00083AAD" w:rsidRDefault="00A0121D" w:rsidP="0044599C">
            <w:pPr>
              <w:rPr>
                <w:b/>
                <w:color w:val="FFFFFF" w:themeColor="background1"/>
              </w:rPr>
            </w:pPr>
            <w:r w:rsidRPr="00083AAD">
              <w:rPr>
                <w:b/>
                <w:color w:val="FFFFFF" w:themeColor="background1"/>
              </w:rPr>
              <w:t>Action Plan</w:t>
            </w:r>
          </w:p>
        </w:tc>
        <w:tc>
          <w:tcPr>
            <w:tcW w:w="1607" w:type="dxa"/>
            <w:tcBorders>
              <w:left w:val="single" w:sz="4" w:space="0" w:color="FFFFFF" w:themeColor="background1"/>
            </w:tcBorders>
            <w:shd w:val="clear" w:color="auto" w:fill="1F4E79" w:themeFill="accent1" w:themeFillShade="80"/>
            <w:vAlign w:val="center"/>
          </w:tcPr>
          <w:p w14:paraId="7215CBCE" w14:textId="77777777" w:rsidR="00A0121D" w:rsidRPr="00083AAD" w:rsidRDefault="00A0121D" w:rsidP="0044599C">
            <w:pPr>
              <w:rPr>
                <w:b/>
                <w:color w:val="FFFFFF" w:themeColor="background1"/>
              </w:rPr>
            </w:pPr>
            <w:proofErr w:type="gramStart"/>
            <w:r w:rsidRPr="00083AAD">
              <w:rPr>
                <w:b/>
                <w:color w:val="FFFFFF" w:themeColor="background1"/>
              </w:rPr>
              <w:t>Time-frame</w:t>
            </w:r>
            <w:proofErr w:type="gramEnd"/>
          </w:p>
        </w:tc>
      </w:tr>
      <w:tr w:rsidR="000102DB" w14:paraId="27F64A4E" w14:textId="0D6F7E41" w:rsidTr="00F408DA">
        <w:tc>
          <w:tcPr>
            <w:tcW w:w="4801" w:type="dxa"/>
            <w:shd w:val="clear" w:color="auto" w:fill="9CC2E5" w:themeFill="accent1" w:themeFillTint="99"/>
          </w:tcPr>
          <w:p w14:paraId="6568D468" w14:textId="2960BAE0" w:rsidR="002007D3" w:rsidRDefault="002007D3" w:rsidP="002007D3">
            <w:pPr>
              <w:ind w:left="323" w:hanging="323"/>
              <w:rPr>
                <w:u w:val="single"/>
              </w:rPr>
            </w:pPr>
            <w:r>
              <w:rPr>
                <w:u w:val="single"/>
              </w:rPr>
              <w:t>Opportunity</w:t>
            </w:r>
          </w:p>
          <w:p w14:paraId="5DF059C3" w14:textId="718D4736" w:rsidR="000102DB" w:rsidRPr="00F139E3" w:rsidRDefault="00884DCF" w:rsidP="00D1754C">
            <w:pPr>
              <w:spacing w:after="120"/>
            </w:pPr>
            <w:r w:rsidRPr="00884DCF">
              <w:t>Developing and supporting a stronger Australian position on Australia’s contribution to development financing in Indonesia could enhance with a view to more intentionally aligned ABIP investments</w:t>
            </w:r>
            <w:r w:rsidR="002007D3" w:rsidRPr="00F139E3">
              <w:t>.</w:t>
            </w:r>
          </w:p>
          <w:p w14:paraId="683E7EC0" w14:textId="10F4F879" w:rsidR="002007D3" w:rsidRPr="00AB03B0" w:rsidRDefault="002007D3" w:rsidP="002007D3">
            <w:pPr>
              <w:spacing w:after="120"/>
              <w:ind w:left="323" w:hanging="323"/>
              <w:rPr>
                <w:b/>
                <w:bCs/>
                <w:u w:val="single"/>
              </w:rPr>
            </w:pPr>
            <w:r w:rsidRPr="00AB03B0">
              <w:rPr>
                <w:b/>
                <w:bCs/>
                <w:u w:val="single"/>
              </w:rPr>
              <w:t>Recommendation 2</w:t>
            </w:r>
          </w:p>
          <w:p w14:paraId="499AAFBF" w14:textId="49ED7C1F" w:rsidR="005D436D" w:rsidRPr="00713553" w:rsidRDefault="00AA39E2" w:rsidP="00713553">
            <w:pPr>
              <w:ind w:left="-39"/>
              <w:rPr>
                <w:i/>
                <w:iCs/>
              </w:rPr>
            </w:pPr>
            <w:r w:rsidRPr="00AA39E2">
              <w:rPr>
                <w:i/>
                <w:iCs/>
              </w:rPr>
              <w:t>DFAT to develop a coherent strategic vision for Australia’s contribution to development financing in Indonesia with a view to more intentionally aligned ABIP investments</w:t>
            </w:r>
            <w:r w:rsidR="005D436D" w:rsidRPr="00713553">
              <w:rPr>
                <w:i/>
                <w:iCs/>
              </w:rPr>
              <w:t>.</w:t>
            </w:r>
          </w:p>
        </w:tc>
        <w:tc>
          <w:tcPr>
            <w:tcW w:w="1555" w:type="dxa"/>
            <w:tcBorders>
              <w:bottom w:val="single" w:sz="4" w:space="0" w:color="auto"/>
            </w:tcBorders>
            <w:shd w:val="clear" w:color="auto" w:fill="92D050"/>
            <w:vAlign w:val="center"/>
          </w:tcPr>
          <w:p w14:paraId="4B7695C1" w14:textId="667EEB86" w:rsidR="000102DB" w:rsidRPr="00AB30F6" w:rsidRDefault="000102DB" w:rsidP="00F408DA">
            <w:pPr>
              <w:jc w:val="center"/>
              <w:rPr>
                <w:u w:val="single"/>
              </w:rPr>
            </w:pPr>
            <w:r w:rsidRPr="00D35EC2">
              <w:rPr>
                <w:u w:val="single"/>
              </w:rPr>
              <w:t>Agree</w:t>
            </w:r>
          </w:p>
        </w:tc>
        <w:tc>
          <w:tcPr>
            <w:tcW w:w="3758" w:type="dxa"/>
            <w:shd w:val="clear" w:color="auto" w:fill="9CC2E5" w:themeFill="accent1" w:themeFillTint="99"/>
          </w:tcPr>
          <w:p w14:paraId="267F27A1" w14:textId="2C8F74FB" w:rsidR="00F70B48" w:rsidRDefault="00F70B48" w:rsidP="000102DB">
            <w:r>
              <w:t xml:space="preserve">DFAT acknowledges the IMTR’s finding that there are opportunities for Australia to increase the impact of its development financing in Indonesia by developing a strategy to guide how and where it provides support, in discussion with Indonesian counterparts. </w:t>
            </w:r>
          </w:p>
          <w:p w14:paraId="21E11744" w14:textId="77777777" w:rsidR="00F70B48" w:rsidRDefault="00F70B48" w:rsidP="000102DB"/>
          <w:p w14:paraId="681EE8F3" w14:textId="7720015C" w:rsidR="000102DB" w:rsidRDefault="008F1479" w:rsidP="000102DB">
            <w:r w:rsidRPr="009726EE">
              <w:t xml:space="preserve">DFAT’s future </w:t>
            </w:r>
            <w:r w:rsidR="00917CF7" w:rsidRPr="009726EE">
              <w:t xml:space="preserve">position </w:t>
            </w:r>
            <w:r w:rsidRPr="009726EE">
              <w:t>and policy engagement will be shaped</w:t>
            </w:r>
            <w:r w:rsidR="00917CF7" w:rsidRPr="009726EE">
              <w:t xml:space="preserve"> by the outcomes on </w:t>
            </w:r>
            <w:r w:rsidR="00A83744" w:rsidRPr="009726EE">
              <w:t>its</w:t>
            </w:r>
            <w:r w:rsidR="00917CF7" w:rsidRPr="009726EE">
              <w:t xml:space="preserve"> 2022 Development Fi</w:t>
            </w:r>
            <w:r w:rsidR="004A7D4E" w:rsidRPr="009726EE">
              <w:t xml:space="preserve">nance </w:t>
            </w:r>
            <w:r w:rsidR="00CB6C87" w:rsidRPr="009726EE">
              <w:t>R</w:t>
            </w:r>
            <w:r w:rsidR="004A7D4E" w:rsidRPr="009726EE">
              <w:t>eview</w:t>
            </w:r>
            <w:r w:rsidR="00CB6C87" w:rsidRPr="009726EE">
              <w:t xml:space="preserve"> (DFR)</w:t>
            </w:r>
            <w:r w:rsidR="004A7D4E" w:rsidRPr="009726EE">
              <w:t>.</w:t>
            </w:r>
          </w:p>
          <w:p w14:paraId="78C8A7F8" w14:textId="77777777" w:rsidR="00F70B48" w:rsidRDefault="00F70B48" w:rsidP="000102DB"/>
          <w:p w14:paraId="40E4E371" w14:textId="04DBA153" w:rsidR="00F70B48" w:rsidRPr="009726EE" w:rsidRDefault="00F70B48" w:rsidP="009726EE">
            <w:pPr>
              <w:tabs>
                <w:tab w:val="left" w:pos="284"/>
              </w:tabs>
              <w:spacing w:after="60" w:line="280" w:lineRule="exact"/>
            </w:pPr>
          </w:p>
        </w:tc>
        <w:tc>
          <w:tcPr>
            <w:tcW w:w="4014" w:type="dxa"/>
            <w:shd w:val="clear" w:color="auto" w:fill="9CC2E5" w:themeFill="accent1" w:themeFillTint="99"/>
          </w:tcPr>
          <w:p w14:paraId="379A9550" w14:textId="0E198FAA" w:rsidR="000102DB" w:rsidRPr="009726EE" w:rsidRDefault="002913E9" w:rsidP="000102DB">
            <w:r>
              <w:t xml:space="preserve">DFAT will consider </w:t>
            </w:r>
            <w:r w:rsidR="000A3E8F">
              <w:t xml:space="preserve">the </w:t>
            </w:r>
            <w:r>
              <w:t>develop</w:t>
            </w:r>
            <w:r w:rsidR="000A3E8F">
              <w:t>ment of</w:t>
            </w:r>
            <w:r>
              <w:t xml:space="preserve"> a strateg</w:t>
            </w:r>
            <w:r w:rsidR="000A3E8F">
              <w:t>ic vision</w:t>
            </w:r>
            <w:r>
              <w:t xml:space="preserve"> on how it contributes to developing financing in Indonesia following the finalisation of the DFR</w:t>
            </w:r>
            <w:r w:rsidR="000A3137">
              <w:t xml:space="preserve"> and associated guidance from </w:t>
            </w:r>
            <w:r w:rsidR="00786E45">
              <w:t>Canberra</w:t>
            </w:r>
            <w:r>
              <w:t>.</w:t>
            </w:r>
          </w:p>
        </w:tc>
        <w:tc>
          <w:tcPr>
            <w:tcW w:w="1607" w:type="dxa"/>
            <w:shd w:val="clear" w:color="auto" w:fill="9CC2E5" w:themeFill="accent1" w:themeFillTint="99"/>
          </w:tcPr>
          <w:p w14:paraId="3E7C7EF9" w14:textId="573426AA" w:rsidR="000102DB" w:rsidRPr="009726EE" w:rsidRDefault="002913E9" w:rsidP="000102DB">
            <w:r>
              <w:t>2023</w:t>
            </w:r>
            <w:r w:rsidR="00F70B48">
              <w:t xml:space="preserve"> and ongoing</w:t>
            </w:r>
          </w:p>
          <w:p w14:paraId="67109F46" w14:textId="77777777" w:rsidR="000102DB" w:rsidRPr="002913E9" w:rsidRDefault="000102DB" w:rsidP="000102DB"/>
          <w:p w14:paraId="3F415454" w14:textId="77777777" w:rsidR="000102DB" w:rsidRPr="002913E9" w:rsidRDefault="000102DB" w:rsidP="000102DB"/>
          <w:p w14:paraId="4BC2B32B" w14:textId="77777777" w:rsidR="000102DB" w:rsidRPr="00F70B48" w:rsidRDefault="000102DB" w:rsidP="000102DB"/>
          <w:p w14:paraId="094B4C13" w14:textId="216CC51A" w:rsidR="000102DB" w:rsidRPr="007B58B8" w:rsidRDefault="000102DB" w:rsidP="000102DB"/>
        </w:tc>
      </w:tr>
      <w:tr w:rsidR="00CD1171" w14:paraId="3BE82422" w14:textId="28B21AD1" w:rsidTr="006062AB">
        <w:tc>
          <w:tcPr>
            <w:tcW w:w="4801" w:type="dxa"/>
            <w:shd w:val="clear" w:color="auto" w:fill="DEEAF6" w:themeFill="accent1" w:themeFillTint="33"/>
          </w:tcPr>
          <w:p w14:paraId="142060A7" w14:textId="77777777" w:rsidR="00F139E3" w:rsidRDefault="00F139E3" w:rsidP="00F139E3">
            <w:pPr>
              <w:ind w:left="323" w:hanging="323"/>
              <w:rPr>
                <w:u w:val="single"/>
              </w:rPr>
            </w:pPr>
            <w:r>
              <w:rPr>
                <w:u w:val="single"/>
              </w:rPr>
              <w:t>Opportunity</w:t>
            </w:r>
          </w:p>
          <w:p w14:paraId="095EF1CE" w14:textId="7008F1AE" w:rsidR="009127BE" w:rsidRPr="00F139E3" w:rsidRDefault="001C7DB5" w:rsidP="00F139E3">
            <w:pPr>
              <w:spacing w:after="120"/>
            </w:pPr>
            <w:r w:rsidRPr="00F139E3">
              <w:t>More DFAT sector teams could engage in policy dialogue with Bank counterparts to influence the shaping of ABIP activities.</w:t>
            </w:r>
          </w:p>
          <w:p w14:paraId="222C855E" w14:textId="5B56D76F" w:rsidR="00F139E3" w:rsidRPr="00F139E3" w:rsidRDefault="00F139E3" w:rsidP="00F139E3">
            <w:pPr>
              <w:spacing w:after="120"/>
              <w:ind w:left="323" w:hanging="323"/>
              <w:rPr>
                <w:b/>
                <w:bCs/>
                <w:u w:val="single"/>
              </w:rPr>
            </w:pPr>
            <w:r w:rsidRPr="00F139E3">
              <w:rPr>
                <w:b/>
                <w:bCs/>
                <w:u w:val="single"/>
              </w:rPr>
              <w:t>Recommendation 3</w:t>
            </w:r>
          </w:p>
          <w:p w14:paraId="02AF89B2" w14:textId="692E04A0" w:rsidR="000102DB" w:rsidRDefault="009A39EC" w:rsidP="00713553">
            <w:pPr>
              <w:ind w:left="-39"/>
            </w:pPr>
            <w:r w:rsidRPr="00713553">
              <w:rPr>
                <w:i/>
                <w:iCs/>
              </w:rPr>
              <w:t>Build capacity and incentives for DFAT and bilateral program teams to engage with World Bank staff in regular dialogue on priorities in their respective sectors.</w:t>
            </w:r>
          </w:p>
        </w:tc>
        <w:tc>
          <w:tcPr>
            <w:tcW w:w="1555" w:type="dxa"/>
            <w:shd w:val="clear" w:color="auto" w:fill="92D050"/>
            <w:vAlign w:val="center"/>
          </w:tcPr>
          <w:p w14:paraId="2441EA1B" w14:textId="7C2487FA" w:rsidR="000102DB" w:rsidRPr="00AB30F6" w:rsidRDefault="008A34AB" w:rsidP="00D71417">
            <w:pPr>
              <w:jc w:val="center"/>
              <w:rPr>
                <w:u w:val="single"/>
              </w:rPr>
            </w:pPr>
            <w:r w:rsidRPr="00D35EC2">
              <w:rPr>
                <w:u w:val="single"/>
              </w:rPr>
              <w:t>Agree</w:t>
            </w:r>
          </w:p>
        </w:tc>
        <w:tc>
          <w:tcPr>
            <w:tcW w:w="3758" w:type="dxa"/>
            <w:shd w:val="clear" w:color="auto" w:fill="DEEAF6" w:themeFill="accent1" w:themeFillTint="33"/>
          </w:tcPr>
          <w:p w14:paraId="667FAD67" w14:textId="20818EC3" w:rsidR="00F70B48" w:rsidRDefault="00F70B48" w:rsidP="00C064E0">
            <w:pPr>
              <w:spacing w:after="120"/>
              <w:ind w:left="42"/>
              <w:rPr>
                <w:color w:val="000000" w:themeColor="text1"/>
              </w:rPr>
            </w:pPr>
            <w:r>
              <w:rPr>
                <w:color w:val="000000" w:themeColor="text1"/>
              </w:rPr>
              <w:t>DFAT agrees with the IMTR’s finding that effective policy dialogue and collaboration across DFAT and World Bank teams support ABIP’s outcomes.</w:t>
            </w:r>
          </w:p>
          <w:p w14:paraId="0C56A27F" w14:textId="72A48859" w:rsidR="00F70B48" w:rsidRDefault="00F70B48" w:rsidP="00C064E0">
            <w:pPr>
              <w:spacing w:after="120"/>
              <w:ind w:left="42"/>
              <w:rPr>
                <w:color w:val="000000" w:themeColor="text1"/>
              </w:rPr>
            </w:pPr>
          </w:p>
          <w:p w14:paraId="4D74BEA5" w14:textId="621BC1AA" w:rsidR="000102DB" w:rsidRPr="006A6957" w:rsidRDefault="00F70B48" w:rsidP="00F70B48">
            <w:pPr>
              <w:spacing w:after="120"/>
              <w:ind w:left="42"/>
              <w:rPr>
                <w:color w:val="000000" w:themeColor="text1"/>
              </w:rPr>
            </w:pPr>
            <w:r>
              <w:rPr>
                <w:color w:val="000000" w:themeColor="text1"/>
              </w:rPr>
              <w:t xml:space="preserve">DFAT will consider opportunities to build capacity and incentives that support increased engagement following </w:t>
            </w:r>
            <w:r w:rsidR="0054775C">
              <w:rPr>
                <w:color w:val="000000" w:themeColor="text1"/>
              </w:rPr>
              <w:t>finalisation of</w:t>
            </w:r>
            <w:r w:rsidR="00EA56A5" w:rsidRPr="006A6957">
              <w:rPr>
                <w:color w:val="000000" w:themeColor="text1"/>
              </w:rPr>
              <w:t xml:space="preserve"> </w:t>
            </w:r>
            <w:r>
              <w:rPr>
                <w:color w:val="000000" w:themeColor="text1"/>
              </w:rPr>
              <w:t>a</w:t>
            </w:r>
            <w:r w:rsidRPr="006A6957">
              <w:rPr>
                <w:color w:val="000000" w:themeColor="text1"/>
              </w:rPr>
              <w:t xml:space="preserve"> </w:t>
            </w:r>
            <w:r w:rsidR="00A94B74" w:rsidRPr="006A6957">
              <w:rPr>
                <w:color w:val="000000" w:themeColor="text1"/>
              </w:rPr>
              <w:t xml:space="preserve">2022 </w:t>
            </w:r>
            <w:r w:rsidR="007A3DE5" w:rsidRPr="006A6957">
              <w:rPr>
                <w:color w:val="000000" w:themeColor="text1"/>
              </w:rPr>
              <w:t xml:space="preserve">Indonesia Development Program Health Check and </w:t>
            </w:r>
            <w:r w:rsidR="0054775C">
              <w:rPr>
                <w:color w:val="000000" w:themeColor="text1"/>
              </w:rPr>
              <w:t>Australia</w:t>
            </w:r>
            <w:r w:rsidR="0054775C" w:rsidRPr="006A6957">
              <w:rPr>
                <w:color w:val="000000" w:themeColor="text1"/>
              </w:rPr>
              <w:t xml:space="preserve">’s </w:t>
            </w:r>
            <w:r w:rsidR="007356F3" w:rsidRPr="006A6957">
              <w:rPr>
                <w:color w:val="000000" w:themeColor="text1"/>
              </w:rPr>
              <w:t>new Development Policy</w:t>
            </w:r>
            <w:r w:rsidR="00BE5243" w:rsidRPr="006A6957">
              <w:rPr>
                <w:color w:val="000000" w:themeColor="text1"/>
              </w:rPr>
              <w:t>.</w:t>
            </w:r>
          </w:p>
          <w:p w14:paraId="2342273D" w14:textId="663D778D" w:rsidR="00BE5243" w:rsidRPr="006A6957" w:rsidRDefault="00BE5243" w:rsidP="006A6957">
            <w:pPr>
              <w:ind w:left="42"/>
              <w:rPr>
                <w:color w:val="000000" w:themeColor="text1"/>
              </w:rPr>
            </w:pPr>
          </w:p>
        </w:tc>
        <w:tc>
          <w:tcPr>
            <w:tcW w:w="4014" w:type="dxa"/>
            <w:shd w:val="clear" w:color="auto" w:fill="DEEAF6" w:themeFill="accent1" w:themeFillTint="33"/>
          </w:tcPr>
          <w:p w14:paraId="2E1152E7" w14:textId="5065C375" w:rsidR="000102DB" w:rsidRPr="006A6957" w:rsidRDefault="005F0B97" w:rsidP="00E30C69">
            <w:r w:rsidRPr="006A6957">
              <w:t xml:space="preserve">DFAT </w:t>
            </w:r>
            <w:r w:rsidR="00C90BDC" w:rsidRPr="006A6957">
              <w:t>will</w:t>
            </w:r>
            <w:r w:rsidR="00E30C69" w:rsidRPr="006A6957">
              <w:t xml:space="preserve"> </w:t>
            </w:r>
            <w:r w:rsidR="00C90BDC" w:rsidRPr="006A6957">
              <w:rPr>
                <w:color w:val="000000" w:themeColor="text1"/>
              </w:rPr>
              <w:t>u</w:t>
            </w:r>
            <w:r w:rsidR="003C3FE5" w:rsidRPr="006A6957">
              <w:rPr>
                <w:color w:val="000000" w:themeColor="text1"/>
              </w:rPr>
              <w:t>ndertake</w:t>
            </w:r>
            <w:r w:rsidR="003451BB" w:rsidRPr="006A6957">
              <w:rPr>
                <w:color w:val="000000" w:themeColor="text1"/>
              </w:rPr>
              <w:t xml:space="preserve"> </w:t>
            </w:r>
            <w:r w:rsidR="003C3FE5" w:rsidRPr="006A6957">
              <w:rPr>
                <w:color w:val="000000" w:themeColor="text1"/>
              </w:rPr>
              <w:t xml:space="preserve">Embassy consultations </w:t>
            </w:r>
            <w:r w:rsidR="0094617B" w:rsidRPr="006A6957">
              <w:rPr>
                <w:color w:val="000000" w:themeColor="text1"/>
              </w:rPr>
              <w:t xml:space="preserve">on </w:t>
            </w:r>
            <w:r w:rsidR="00441284">
              <w:rPr>
                <w:color w:val="000000" w:themeColor="text1"/>
              </w:rPr>
              <w:t xml:space="preserve">opportunities for </w:t>
            </w:r>
            <w:r w:rsidR="00F5302F" w:rsidRPr="006A6957">
              <w:rPr>
                <w:color w:val="000000" w:themeColor="text1"/>
              </w:rPr>
              <w:t>increased engagement</w:t>
            </w:r>
            <w:r w:rsidR="00441284">
              <w:rPr>
                <w:color w:val="000000" w:themeColor="text1"/>
              </w:rPr>
              <w:t>. These consultations will be undertaken in discussion with the World Bank and will draw on recommendations and outcomes</w:t>
            </w:r>
            <w:r w:rsidR="009304CB" w:rsidRPr="006A6957">
              <w:rPr>
                <w:color w:val="000000" w:themeColor="text1"/>
              </w:rPr>
              <w:t xml:space="preserve"> from the Health Check</w:t>
            </w:r>
            <w:r w:rsidR="0054775C">
              <w:rPr>
                <w:color w:val="000000" w:themeColor="text1"/>
              </w:rPr>
              <w:t>, and in line with the new Development Policy</w:t>
            </w:r>
            <w:r w:rsidR="003C3FE5" w:rsidRPr="006A6957">
              <w:rPr>
                <w:color w:val="000000" w:themeColor="text1"/>
              </w:rPr>
              <w:t>.</w:t>
            </w:r>
          </w:p>
          <w:p w14:paraId="128D964E" w14:textId="3A537F02" w:rsidR="00440A8B" w:rsidRPr="006A6957" w:rsidRDefault="00440A8B" w:rsidP="006A6957">
            <w:pPr>
              <w:rPr>
                <w:color w:val="000000" w:themeColor="text1"/>
              </w:rPr>
            </w:pPr>
          </w:p>
        </w:tc>
        <w:tc>
          <w:tcPr>
            <w:tcW w:w="1607" w:type="dxa"/>
            <w:shd w:val="clear" w:color="auto" w:fill="DEEAF6" w:themeFill="accent1" w:themeFillTint="33"/>
          </w:tcPr>
          <w:p w14:paraId="53BB9A51" w14:textId="5ACAB416" w:rsidR="00CE4108" w:rsidRPr="006A6957" w:rsidRDefault="0054775C" w:rsidP="00F5302F">
            <w:pPr>
              <w:spacing w:after="120"/>
            </w:pPr>
            <w:r>
              <w:t xml:space="preserve">Mid </w:t>
            </w:r>
            <w:r w:rsidR="00CE4108" w:rsidRPr="006A6957">
              <w:t>2023</w:t>
            </w:r>
          </w:p>
        </w:tc>
      </w:tr>
    </w:tbl>
    <w:p w14:paraId="6B69CCA3" w14:textId="77777777" w:rsidR="00AB3910" w:rsidRDefault="00AB3910">
      <w:r>
        <w:br w:type="page"/>
      </w:r>
    </w:p>
    <w:tbl>
      <w:tblPr>
        <w:tblStyle w:val="TableGrid"/>
        <w:tblW w:w="15735" w:type="dxa"/>
        <w:tblInd w:w="-5" w:type="dxa"/>
        <w:tblCellMar>
          <w:top w:w="57" w:type="dxa"/>
          <w:bottom w:w="57" w:type="dxa"/>
        </w:tblCellMar>
        <w:tblLook w:val="04A0" w:firstRow="1" w:lastRow="0" w:firstColumn="1" w:lastColumn="0" w:noHBand="0" w:noVBand="1"/>
      </w:tblPr>
      <w:tblGrid>
        <w:gridCol w:w="4962"/>
        <w:gridCol w:w="1394"/>
        <w:gridCol w:w="3765"/>
        <w:gridCol w:w="4003"/>
        <w:gridCol w:w="1611"/>
      </w:tblGrid>
      <w:tr w:rsidR="006062AB" w:rsidRPr="00083AAD" w14:paraId="6EC501B7" w14:textId="77777777" w:rsidTr="006062AB">
        <w:trPr>
          <w:trHeight w:val="435"/>
          <w:tblHeader/>
        </w:trPr>
        <w:tc>
          <w:tcPr>
            <w:tcW w:w="4962" w:type="dxa"/>
            <w:tcBorders>
              <w:right w:val="single" w:sz="4" w:space="0" w:color="FFFFFF" w:themeColor="background1"/>
            </w:tcBorders>
            <w:shd w:val="clear" w:color="auto" w:fill="1F4E79" w:themeFill="accent1" w:themeFillShade="80"/>
            <w:vAlign w:val="center"/>
          </w:tcPr>
          <w:p w14:paraId="3568AADB" w14:textId="77777777" w:rsidR="00AB3910" w:rsidRPr="00083AAD" w:rsidRDefault="00AB3910" w:rsidP="0044599C">
            <w:pPr>
              <w:rPr>
                <w:b/>
                <w:color w:val="FFFFFF" w:themeColor="background1"/>
              </w:rPr>
            </w:pPr>
            <w:r w:rsidRPr="00083AAD">
              <w:rPr>
                <w:b/>
                <w:color w:val="FFFFFF" w:themeColor="background1"/>
              </w:rPr>
              <w:lastRenderedPageBreak/>
              <w:t>Recommendations</w:t>
            </w:r>
          </w:p>
        </w:tc>
        <w:tc>
          <w:tcPr>
            <w:tcW w:w="1394" w:type="dxa"/>
            <w:tcBorders>
              <w:left w:val="single" w:sz="4" w:space="0" w:color="FFFFFF" w:themeColor="background1"/>
              <w:right w:val="single" w:sz="4" w:space="0" w:color="FFFFFF" w:themeColor="background1"/>
            </w:tcBorders>
            <w:shd w:val="clear" w:color="auto" w:fill="1F4E79" w:themeFill="accent1" w:themeFillShade="80"/>
            <w:vAlign w:val="center"/>
          </w:tcPr>
          <w:p w14:paraId="0B6F60F7" w14:textId="77777777" w:rsidR="00AB3910" w:rsidRPr="00083AAD" w:rsidRDefault="00AB3910" w:rsidP="007712F1">
            <w:pPr>
              <w:jc w:val="center"/>
              <w:rPr>
                <w:b/>
                <w:color w:val="FFFFFF" w:themeColor="background1"/>
              </w:rPr>
            </w:pPr>
            <w:r w:rsidRPr="00083AAD">
              <w:rPr>
                <w:b/>
                <w:color w:val="FFFFFF" w:themeColor="background1"/>
              </w:rPr>
              <w:t>Response</w:t>
            </w:r>
          </w:p>
        </w:tc>
        <w:tc>
          <w:tcPr>
            <w:tcW w:w="3765" w:type="dxa"/>
            <w:tcBorders>
              <w:left w:val="single" w:sz="4" w:space="0" w:color="FFFFFF" w:themeColor="background1"/>
              <w:right w:val="single" w:sz="4" w:space="0" w:color="FFFFFF" w:themeColor="background1"/>
            </w:tcBorders>
            <w:shd w:val="clear" w:color="auto" w:fill="1F4E79" w:themeFill="accent1" w:themeFillShade="80"/>
            <w:vAlign w:val="center"/>
          </w:tcPr>
          <w:p w14:paraId="4AE78932" w14:textId="77777777" w:rsidR="00AB3910" w:rsidRPr="00083AAD" w:rsidRDefault="00AB3910" w:rsidP="0044599C">
            <w:pPr>
              <w:rPr>
                <w:b/>
                <w:color w:val="FFFFFF" w:themeColor="background1"/>
              </w:rPr>
            </w:pPr>
            <w:r w:rsidRPr="00083AAD">
              <w:rPr>
                <w:b/>
                <w:color w:val="FFFFFF" w:themeColor="background1"/>
              </w:rPr>
              <w:t>Explanation</w:t>
            </w:r>
          </w:p>
        </w:tc>
        <w:tc>
          <w:tcPr>
            <w:tcW w:w="4003" w:type="dxa"/>
            <w:tcBorders>
              <w:left w:val="single" w:sz="4" w:space="0" w:color="FFFFFF" w:themeColor="background1"/>
              <w:right w:val="single" w:sz="4" w:space="0" w:color="FFFFFF" w:themeColor="background1"/>
            </w:tcBorders>
            <w:shd w:val="clear" w:color="auto" w:fill="1F4E79" w:themeFill="accent1" w:themeFillShade="80"/>
            <w:vAlign w:val="center"/>
          </w:tcPr>
          <w:p w14:paraId="2F87161C" w14:textId="77777777" w:rsidR="00AB3910" w:rsidRPr="00083AAD" w:rsidRDefault="00AB3910" w:rsidP="0044599C">
            <w:pPr>
              <w:rPr>
                <w:b/>
                <w:color w:val="FFFFFF" w:themeColor="background1"/>
              </w:rPr>
            </w:pPr>
            <w:r w:rsidRPr="00083AAD">
              <w:rPr>
                <w:b/>
                <w:color w:val="FFFFFF" w:themeColor="background1"/>
              </w:rPr>
              <w:t>Action Plan</w:t>
            </w:r>
          </w:p>
        </w:tc>
        <w:tc>
          <w:tcPr>
            <w:tcW w:w="1611" w:type="dxa"/>
            <w:tcBorders>
              <w:left w:val="single" w:sz="4" w:space="0" w:color="FFFFFF" w:themeColor="background1"/>
            </w:tcBorders>
            <w:shd w:val="clear" w:color="auto" w:fill="1F4E79" w:themeFill="accent1" w:themeFillShade="80"/>
            <w:vAlign w:val="center"/>
          </w:tcPr>
          <w:p w14:paraId="6C680CEE" w14:textId="77777777" w:rsidR="00AB3910" w:rsidRPr="00083AAD" w:rsidRDefault="00AB3910" w:rsidP="0044599C">
            <w:pPr>
              <w:rPr>
                <w:b/>
                <w:color w:val="FFFFFF" w:themeColor="background1"/>
              </w:rPr>
            </w:pPr>
            <w:proofErr w:type="gramStart"/>
            <w:r w:rsidRPr="00083AAD">
              <w:rPr>
                <w:b/>
                <w:color w:val="FFFFFF" w:themeColor="background1"/>
              </w:rPr>
              <w:t>Time-frame</w:t>
            </w:r>
            <w:proofErr w:type="gramEnd"/>
          </w:p>
        </w:tc>
      </w:tr>
      <w:tr w:rsidR="000102DB" w14:paraId="570A46F6" w14:textId="5F1BFFD3" w:rsidTr="006062AB">
        <w:tc>
          <w:tcPr>
            <w:tcW w:w="4962" w:type="dxa"/>
            <w:shd w:val="clear" w:color="auto" w:fill="9CC2E5" w:themeFill="accent1" w:themeFillTint="99"/>
          </w:tcPr>
          <w:p w14:paraId="628F4919" w14:textId="1348D03F" w:rsidR="0020394E" w:rsidRDefault="0020394E" w:rsidP="0020394E">
            <w:pPr>
              <w:ind w:left="323" w:hanging="323"/>
              <w:rPr>
                <w:u w:val="single"/>
              </w:rPr>
            </w:pPr>
            <w:r>
              <w:rPr>
                <w:u w:val="single"/>
              </w:rPr>
              <w:t>Opportunity</w:t>
            </w:r>
          </w:p>
          <w:p w14:paraId="3B5535B2" w14:textId="77777777" w:rsidR="000102DB" w:rsidRPr="0020394E" w:rsidRDefault="00F47A35" w:rsidP="0020394E">
            <w:pPr>
              <w:spacing w:after="120"/>
            </w:pPr>
            <w:r w:rsidRPr="0020394E">
              <w:t>The role of the DFAT ABIP Secretariat could be expanded beyond current (essential) management and coordination functions.</w:t>
            </w:r>
          </w:p>
          <w:p w14:paraId="2E09CFAC" w14:textId="77777777" w:rsidR="00A31CE1" w:rsidRPr="00A31CE1" w:rsidRDefault="0020394E" w:rsidP="00A31CE1">
            <w:pPr>
              <w:spacing w:after="120"/>
              <w:ind w:left="323" w:hanging="323"/>
              <w:rPr>
                <w:b/>
                <w:bCs/>
                <w:u w:val="single"/>
              </w:rPr>
            </w:pPr>
            <w:r w:rsidRPr="00A31CE1">
              <w:rPr>
                <w:b/>
                <w:bCs/>
                <w:u w:val="single"/>
              </w:rPr>
              <w:t>Recommendation 4</w:t>
            </w:r>
          </w:p>
          <w:p w14:paraId="67D95E05" w14:textId="77777777" w:rsidR="000C252A" w:rsidRPr="00713553" w:rsidRDefault="000C252A" w:rsidP="00713553">
            <w:pPr>
              <w:ind w:left="-31"/>
              <w:rPr>
                <w:i/>
                <w:iCs/>
              </w:rPr>
            </w:pPr>
            <w:r w:rsidRPr="00713553">
              <w:rPr>
                <w:i/>
                <w:iCs/>
              </w:rPr>
              <w:t>Support the DFAT Secretariat to:</w:t>
            </w:r>
          </w:p>
          <w:p w14:paraId="18F8D277" w14:textId="762D4510" w:rsidR="000C252A" w:rsidRPr="000C252A" w:rsidRDefault="000C252A" w:rsidP="00F7182E">
            <w:pPr>
              <w:pStyle w:val="ListParagraph"/>
              <w:numPr>
                <w:ilvl w:val="1"/>
                <w:numId w:val="12"/>
              </w:numPr>
              <w:ind w:left="462"/>
              <w:rPr>
                <w:i/>
                <w:iCs/>
              </w:rPr>
            </w:pPr>
            <w:r w:rsidRPr="000C252A">
              <w:rPr>
                <w:i/>
                <w:iCs/>
              </w:rPr>
              <w:t xml:space="preserve">Develop direct relationships with </w:t>
            </w:r>
            <w:proofErr w:type="spellStart"/>
            <w:r w:rsidRPr="000C252A">
              <w:rPr>
                <w:i/>
                <w:iCs/>
              </w:rPr>
              <w:t>GoI</w:t>
            </w:r>
            <w:proofErr w:type="spellEnd"/>
            <w:r w:rsidRPr="000C252A">
              <w:rPr>
                <w:i/>
                <w:iCs/>
              </w:rPr>
              <w:t xml:space="preserve"> officials</w:t>
            </w:r>
            <w:r w:rsidR="00A2685F">
              <w:rPr>
                <w:i/>
                <w:iCs/>
              </w:rPr>
              <w:t xml:space="preserve"> (where useful)</w:t>
            </w:r>
            <w:r w:rsidRPr="000C252A">
              <w:rPr>
                <w:i/>
                <w:iCs/>
              </w:rPr>
              <w:t>, especially for the purpose of reinvigorating activity-level governance.</w:t>
            </w:r>
          </w:p>
          <w:p w14:paraId="1CAEE13F" w14:textId="77777777" w:rsidR="000C252A" w:rsidRPr="000C252A" w:rsidRDefault="000C252A" w:rsidP="00F7182E">
            <w:pPr>
              <w:pStyle w:val="ListParagraph"/>
              <w:numPr>
                <w:ilvl w:val="1"/>
                <w:numId w:val="12"/>
              </w:numPr>
              <w:ind w:left="462"/>
              <w:rPr>
                <w:i/>
                <w:iCs/>
              </w:rPr>
            </w:pPr>
            <w:r w:rsidRPr="000C252A">
              <w:rPr>
                <w:i/>
                <w:iCs/>
              </w:rPr>
              <w:t>Engage directly with World Bank sector teams on selected topics (for example, poverty and inequality, gender for growth).</w:t>
            </w:r>
          </w:p>
          <w:p w14:paraId="42CB1FC4" w14:textId="77777777" w:rsidR="0020394E" w:rsidRPr="006A6957" w:rsidRDefault="000C252A" w:rsidP="00F7182E">
            <w:pPr>
              <w:pStyle w:val="ListParagraph"/>
              <w:numPr>
                <w:ilvl w:val="1"/>
                <w:numId w:val="12"/>
              </w:numPr>
              <w:ind w:left="462"/>
              <w:rPr>
                <w:u w:val="single"/>
              </w:rPr>
            </w:pPr>
            <w:r w:rsidRPr="000C252A">
              <w:rPr>
                <w:i/>
                <w:iCs/>
              </w:rPr>
              <w:t>Support DFAT staff learning about ABIP and ways of working with the World Bank</w:t>
            </w:r>
          </w:p>
          <w:p w14:paraId="5FF35347" w14:textId="72E12812" w:rsidR="0054775C" w:rsidRPr="0020394E" w:rsidRDefault="0054775C" w:rsidP="006A6957">
            <w:pPr>
              <w:pStyle w:val="ListParagraph"/>
              <w:ind w:left="462"/>
              <w:rPr>
                <w:u w:val="single"/>
              </w:rPr>
            </w:pPr>
          </w:p>
        </w:tc>
        <w:tc>
          <w:tcPr>
            <w:tcW w:w="1394" w:type="dxa"/>
            <w:shd w:val="clear" w:color="auto" w:fill="92D050"/>
            <w:vAlign w:val="center"/>
          </w:tcPr>
          <w:p w14:paraId="28D2681A" w14:textId="677AFB6B" w:rsidR="000102DB" w:rsidRPr="00AB30F6" w:rsidRDefault="005B5E56" w:rsidP="002E2490">
            <w:pPr>
              <w:jc w:val="center"/>
              <w:rPr>
                <w:u w:val="single"/>
              </w:rPr>
            </w:pPr>
            <w:r w:rsidRPr="00D35EC2">
              <w:rPr>
                <w:u w:val="single"/>
              </w:rPr>
              <w:t>Agree</w:t>
            </w:r>
          </w:p>
        </w:tc>
        <w:tc>
          <w:tcPr>
            <w:tcW w:w="3765" w:type="dxa"/>
            <w:shd w:val="clear" w:color="auto" w:fill="9CC2E5" w:themeFill="accent1" w:themeFillTint="99"/>
          </w:tcPr>
          <w:p w14:paraId="184E2A4F" w14:textId="68EB8CE1" w:rsidR="000102DB" w:rsidRDefault="007B58B8" w:rsidP="008F1479">
            <w:pPr>
              <w:rPr>
                <w:color w:val="000000" w:themeColor="text1"/>
              </w:rPr>
            </w:pPr>
            <w:r>
              <w:rPr>
                <w:color w:val="000000" w:themeColor="text1"/>
              </w:rPr>
              <w:t xml:space="preserve">DFAT agrees that strong ABIP Secretariat functions have been created and there are opportunities to strengthen the impact of the Secretariat, including through building relationships with relevant government officials, thematic engagement.  </w:t>
            </w:r>
          </w:p>
          <w:p w14:paraId="6F2B802D" w14:textId="77777777" w:rsidR="0054775C" w:rsidRPr="006A6957" w:rsidRDefault="0054775C" w:rsidP="008F1479">
            <w:pPr>
              <w:rPr>
                <w:color w:val="000000" w:themeColor="text1"/>
              </w:rPr>
            </w:pPr>
          </w:p>
          <w:p w14:paraId="49938398" w14:textId="77777777" w:rsidR="009C648A" w:rsidRDefault="009C648A" w:rsidP="008F1479"/>
          <w:p w14:paraId="2A94C771" w14:textId="77777777" w:rsidR="007B58B8" w:rsidRDefault="007B58B8" w:rsidP="008F1479"/>
          <w:p w14:paraId="14CEA7DB" w14:textId="3B2C3908" w:rsidR="007B58B8" w:rsidRPr="006A6957" w:rsidRDefault="007B58B8" w:rsidP="006A6957">
            <w:pPr>
              <w:tabs>
                <w:tab w:val="left" w:pos="284"/>
              </w:tabs>
              <w:spacing w:after="60" w:line="280" w:lineRule="exact"/>
            </w:pPr>
          </w:p>
        </w:tc>
        <w:tc>
          <w:tcPr>
            <w:tcW w:w="4003" w:type="dxa"/>
            <w:shd w:val="clear" w:color="auto" w:fill="9CC2E5" w:themeFill="accent1" w:themeFillTint="99"/>
          </w:tcPr>
          <w:p w14:paraId="1657A694" w14:textId="4A017D1E" w:rsidR="007B58B8" w:rsidRPr="006A6957" w:rsidRDefault="007B58B8" w:rsidP="006A6957">
            <w:pPr>
              <w:pStyle w:val="ListParagraph"/>
              <w:ind w:left="0"/>
            </w:pPr>
            <w:r>
              <w:t xml:space="preserve">DFAT will develop a stakeholder engagement plan for the Secretariat that includes governance and thematic relationships. This will be developed </w:t>
            </w:r>
            <w:r w:rsidR="00066375">
              <w:t xml:space="preserve">in </w:t>
            </w:r>
            <w:r>
              <w:t>discussion with the World Bank’s equivalent team.</w:t>
            </w:r>
          </w:p>
        </w:tc>
        <w:tc>
          <w:tcPr>
            <w:tcW w:w="1611" w:type="dxa"/>
            <w:shd w:val="clear" w:color="auto" w:fill="9CC2E5" w:themeFill="accent1" w:themeFillTint="99"/>
          </w:tcPr>
          <w:p w14:paraId="503218CB" w14:textId="0E7A030E" w:rsidR="008438AC" w:rsidRPr="006A6957" w:rsidRDefault="007B58B8" w:rsidP="006A6957">
            <w:r>
              <w:t>By end April 2023</w:t>
            </w:r>
          </w:p>
        </w:tc>
      </w:tr>
      <w:tr w:rsidR="00CD1171" w14:paraId="01F0D67B" w14:textId="77777777" w:rsidTr="006062AB">
        <w:tc>
          <w:tcPr>
            <w:tcW w:w="4962" w:type="dxa"/>
            <w:shd w:val="clear" w:color="auto" w:fill="DEEAF6" w:themeFill="accent1" w:themeFillTint="33"/>
          </w:tcPr>
          <w:p w14:paraId="51220DA3" w14:textId="77777777" w:rsidR="00412F2F" w:rsidRDefault="00412F2F" w:rsidP="00412F2F">
            <w:pPr>
              <w:ind w:left="323" w:hanging="323"/>
              <w:rPr>
                <w:u w:val="single"/>
              </w:rPr>
            </w:pPr>
            <w:r>
              <w:rPr>
                <w:u w:val="single"/>
              </w:rPr>
              <w:t>Opportunity</w:t>
            </w:r>
          </w:p>
          <w:p w14:paraId="0B2EBA07" w14:textId="77777777" w:rsidR="00D3069C" w:rsidRPr="00412F2F" w:rsidRDefault="0007153B" w:rsidP="00412F2F">
            <w:pPr>
              <w:spacing w:after="120"/>
            </w:pPr>
            <w:r w:rsidRPr="00412F2F">
              <w:t xml:space="preserve">DFAT and the Bank reconsider governance arrangements and re-engage </w:t>
            </w:r>
            <w:proofErr w:type="spellStart"/>
            <w:r w:rsidRPr="00412F2F">
              <w:t>GoI</w:t>
            </w:r>
            <w:proofErr w:type="spellEnd"/>
            <w:r w:rsidRPr="00412F2F">
              <w:t xml:space="preserve"> representatives on the right mechanism and level for effective engagement.</w:t>
            </w:r>
          </w:p>
          <w:p w14:paraId="1AA36295" w14:textId="77777777" w:rsidR="00412F2F" w:rsidRPr="00AE2233" w:rsidRDefault="00412F2F" w:rsidP="00412F2F">
            <w:pPr>
              <w:spacing w:after="120"/>
              <w:ind w:left="323" w:hanging="323"/>
              <w:rPr>
                <w:b/>
                <w:bCs/>
                <w:u w:val="single"/>
              </w:rPr>
            </w:pPr>
            <w:r w:rsidRPr="00AE2233">
              <w:rPr>
                <w:b/>
                <w:bCs/>
                <w:u w:val="single"/>
              </w:rPr>
              <w:t>Recommendation 5</w:t>
            </w:r>
          </w:p>
          <w:p w14:paraId="79271217" w14:textId="71AABD52" w:rsidR="00AE2233" w:rsidRPr="00870BEE" w:rsidRDefault="00870BEE" w:rsidP="00F7182E">
            <w:pPr>
              <w:pStyle w:val="ListParagraph"/>
              <w:numPr>
                <w:ilvl w:val="0"/>
                <w:numId w:val="1"/>
              </w:numPr>
              <w:ind w:left="321"/>
              <w:rPr>
                <w:i/>
                <w:iCs/>
              </w:rPr>
            </w:pPr>
            <w:r w:rsidRPr="00870BEE">
              <w:rPr>
                <w:i/>
                <w:iCs/>
              </w:rPr>
              <w:t xml:space="preserve">Review ABIP stakeholder (DFAT, </w:t>
            </w:r>
            <w:proofErr w:type="spellStart"/>
            <w:r w:rsidRPr="00870BEE">
              <w:rPr>
                <w:i/>
                <w:iCs/>
              </w:rPr>
              <w:t>GoI</w:t>
            </w:r>
            <w:proofErr w:type="spellEnd"/>
            <w:r w:rsidRPr="00870BEE">
              <w:rPr>
                <w:i/>
                <w:iCs/>
              </w:rPr>
              <w:t>, World Bank) strategic decision-making and accountability needs and consider changes to governance arrangements to ensure these needs are met, possibly through partnerships brokering discussions</w:t>
            </w:r>
            <w:r w:rsidR="00AE2233" w:rsidRPr="00870BEE">
              <w:rPr>
                <w:i/>
                <w:iCs/>
              </w:rPr>
              <w:t xml:space="preserve">. </w:t>
            </w:r>
          </w:p>
          <w:p w14:paraId="25A076E8" w14:textId="01AEE4F5" w:rsidR="00412F2F" w:rsidRPr="008A524E" w:rsidRDefault="00AE2233" w:rsidP="00F7182E">
            <w:pPr>
              <w:pStyle w:val="ListParagraph"/>
              <w:numPr>
                <w:ilvl w:val="0"/>
                <w:numId w:val="1"/>
              </w:numPr>
              <w:ind w:left="321"/>
              <w:rPr>
                <w:i/>
                <w:iCs/>
                <w:u w:val="single"/>
              </w:rPr>
            </w:pPr>
            <w:r w:rsidRPr="008A524E">
              <w:rPr>
                <w:i/>
                <w:iCs/>
              </w:rPr>
              <w:t>Re-engage</w:t>
            </w:r>
            <w:r w:rsidRPr="008A524E">
              <w:rPr>
                <w:rFonts w:eastAsia="Times New Roman" w:cstheme="minorHAnsi"/>
                <w:i/>
                <w:iCs/>
                <w:szCs w:val="21"/>
              </w:rPr>
              <w:t xml:space="preserve"> with </w:t>
            </w:r>
            <w:proofErr w:type="spellStart"/>
            <w:r w:rsidRPr="008A524E">
              <w:rPr>
                <w:rFonts w:eastAsia="Times New Roman" w:cstheme="minorHAnsi"/>
                <w:i/>
                <w:iCs/>
                <w:szCs w:val="21"/>
              </w:rPr>
              <w:t>GoI</w:t>
            </w:r>
            <w:proofErr w:type="spellEnd"/>
            <w:r w:rsidRPr="008A524E">
              <w:rPr>
                <w:rFonts w:eastAsia="Times New Roman" w:cstheme="minorHAnsi"/>
                <w:i/>
                <w:iCs/>
                <w:szCs w:val="21"/>
              </w:rPr>
              <w:t xml:space="preserve"> stakeholders at Deputy Minister/Director General level to improve engagement in Activity Committees.</w:t>
            </w:r>
            <w:r w:rsidR="00F6539F" w:rsidRPr="008A524E">
              <w:rPr>
                <w:rFonts w:eastAsia="Times New Roman" w:cstheme="minorHAnsi"/>
                <w:i/>
                <w:iCs/>
                <w:szCs w:val="21"/>
              </w:rPr>
              <w:br/>
            </w:r>
          </w:p>
        </w:tc>
        <w:tc>
          <w:tcPr>
            <w:tcW w:w="1394" w:type="dxa"/>
            <w:shd w:val="clear" w:color="auto" w:fill="92D050"/>
            <w:vAlign w:val="center"/>
          </w:tcPr>
          <w:p w14:paraId="17FE6066" w14:textId="1851EB7B" w:rsidR="00D3069C" w:rsidRDefault="00D3069C" w:rsidP="00B14D54">
            <w:pPr>
              <w:jc w:val="center"/>
              <w:rPr>
                <w:u w:val="single"/>
              </w:rPr>
            </w:pPr>
            <w:r>
              <w:rPr>
                <w:u w:val="single"/>
              </w:rPr>
              <w:t>Agree</w:t>
            </w:r>
          </w:p>
        </w:tc>
        <w:tc>
          <w:tcPr>
            <w:tcW w:w="3765" w:type="dxa"/>
            <w:shd w:val="clear" w:color="auto" w:fill="DEEAF6" w:themeFill="accent1" w:themeFillTint="33"/>
          </w:tcPr>
          <w:p w14:paraId="6AC71C73" w14:textId="4ADB78AF" w:rsidR="007B58B8" w:rsidRDefault="007B58B8" w:rsidP="00964EDA">
            <w:pPr>
              <w:rPr>
                <w:rFonts w:eastAsia="Times New Roman" w:cs="Times New Roman"/>
                <w:szCs w:val="24"/>
              </w:rPr>
            </w:pPr>
            <w:r>
              <w:rPr>
                <w:color w:val="000000" w:themeColor="text1"/>
              </w:rPr>
              <w:t xml:space="preserve">DFAT acknowledges the </w:t>
            </w:r>
            <w:r w:rsidR="00E524DE">
              <w:rPr>
                <w:color w:val="000000" w:themeColor="text1"/>
              </w:rPr>
              <w:t>IMTR’s</w:t>
            </w:r>
            <w:r>
              <w:rPr>
                <w:color w:val="000000" w:themeColor="text1"/>
              </w:rPr>
              <w:t xml:space="preserve"> findings regarding the complexity of governance arrangements for investments like ABIP, including on the most appropriate way to ensure senior Indonesian government strategic oversight. </w:t>
            </w:r>
          </w:p>
          <w:p w14:paraId="14C4F2C9" w14:textId="53589405" w:rsidR="007B58B8" w:rsidRPr="00964EDA" w:rsidRDefault="007B58B8" w:rsidP="000102DB">
            <w:pPr>
              <w:rPr>
                <w:color w:val="000000" w:themeColor="text1"/>
              </w:rPr>
            </w:pPr>
          </w:p>
        </w:tc>
        <w:tc>
          <w:tcPr>
            <w:tcW w:w="4003" w:type="dxa"/>
            <w:shd w:val="clear" w:color="auto" w:fill="DEEAF6" w:themeFill="accent1" w:themeFillTint="33"/>
          </w:tcPr>
          <w:p w14:paraId="62A2D8AB" w14:textId="5FFEE97E" w:rsidR="00D3069C" w:rsidRPr="007B58B8" w:rsidRDefault="0053259C" w:rsidP="00964EDA">
            <w:r>
              <w:t>DFAT and the World Bank will review existing governance arrangements to ensure that senior Indonesian government engagement is effectively reflected, in line with IMTR recommendations</w:t>
            </w:r>
            <w:r w:rsidR="00E524DE">
              <w:t>.</w:t>
            </w:r>
          </w:p>
        </w:tc>
        <w:tc>
          <w:tcPr>
            <w:tcW w:w="1611" w:type="dxa"/>
            <w:shd w:val="clear" w:color="auto" w:fill="DEEAF6" w:themeFill="accent1" w:themeFillTint="33"/>
          </w:tcPr>
          <w:p w14:paraId="1C5EF52F" w14:textId="7D050F19" w:rsidR="00D3069C" w:rsidRPr="00964EDA" w:rsidRDefault="0053259C" w:rsidP="00964EDA">
            <w:r>
              <w:t>By end 2023</w:t>
            </w:r>
          </w:p>
        </w:tc>
      </w:tr>
    </w:tbl>
    <w:p w14:paraId="2123DD84" w14:textId="77777777" w:rsidR="00AB3910" w:rsidRDefault="00AB3910">
      <w:r>
        <w:br w:type="page"/>
      </w:r>
    </w:p>
    <w:tbl>
      <w:tblPr>
        <w:tblStyle w:val="TableGrid"/>
        <w:tblW w:w="15735" w:type="dxa"/>
        <w:tblInd w:w="-5" w:type="dxa"/>
        <w:tblCellMar>
          <w:top w:w="57" w:type="dxa"/>
          <w:bottom w:w="57" w:type="dxa"/>
        </w:tblCellMar>
        <w:tblLook w:val="04A0" w:firstRow="1" w:lastRow="0" w:firstColumn="1" w:lastColumn="0" w:noHBand="0" w:noVBand="1"/>
      </w:tblPr>
      <w:tblGrid>
        <w:gridCol w:w="4970"/>
        <w:gridCol w:w="1384"/>
        <w:gridCol w:w="3767"/>
        <w:gridCol w:w="3989"/>
        <w:gridCol w:w="1625"/>
      </w:tblGrid>
      <w:tr w:rsidR="006062AB" w:rsidRPr="00083AAD" w14:paraId="35186757" w14:textId="77777777" w:rsidTr="006062AB">
        <w:trPr>
          <w:trHeight w:val="435"/>
          <w:tblHeader/>
        </w:trPr>
        <w:tc>
          <w:tcPr>
            <w:tcW w:w="4970" w:type="dxa"/>
            <w:tcBorders>
              <w:right w:val="single" w:sz="4" w:space="0" w:color="FFFFFF" w:themeColor="background1"/>
            </w:tcBorders>
            <w:shd w:val="clear" w:color="auto" w:fill="1F4E79" w:themeFill="accent1" w:themeFillShade="80"/>
            <w:vAlign w:val="center"/>
          </w:tcPr>
          <w:p w14:paraId="2BC3E036" w14:textId="77777777" w:rsidR="00AB3910" w:rsidRPr="00083AAD" w:rsidRDefault="00AB3910" w:rsidP="0044599C">
            <w:pPr>
              <w:rPr>
                <w:b/>
                <w:color w:val="FFFFFF" w:themeColor="background1"/>
              </w:rPr>
            </w:pPr>
            <w:r w:rsidRPr="00083AAD">
              <w:rPr>
                <w:b/>
                <w:color w:val="FFFFFF" w:themeColor="background1"/>
              </w:rPr>
              <w:lastRenderedPageBreak/>
              <w:t>Recommendations</w:t>
            </w:r>
          </w:p>
        </w:tc>
        <w:tc>
          <w:tcPr>
            <w:tcW w:w="1384" w:type="dxa"/>
            <w:tcBorders>
              <w:left w:val="single" w:sz="4" w:space="0" w:color="FFFFFF" w:themeColor="background1"/>
              <w:right w:val="single" w:sz="4" w:space="0" w:color="FFFFFF" w:themeColor="background1"/>
            </w:tcBorders>
            <w:shd w:val="clear" w:color="auto" w:fill="1F4E79" w:themeFill="accent1" w:themeFillShade="80"/>
            <w:vAlign w:val="center"/>
          </w:tcPr>
          <w:p w14:paraId="147D3ECD" w14:textId="77777777" w:rsidR="00AB3910" w:rsidRPr="00083AAD" w:rsidRDefault="00AB3910" w:rsidP="007712F1">
            <w:pPr>
              <w:jc w:val="center"/>
              <w:rPr>
                <w:b/>
                <w:color w:val="FFFFFF" w:themeColor="background1"/>
              </w:rPr>
            </w:pPr>
            <w:r w:rsidRPr="00083AAD">
              <w:rPr>
                <w:b/>
                <w:color w:val="FFFFFF" w:themeColor="background1"/>
              </w:rPr>
              <w:t>Response</w:t>
            </w:r>
          </w:p>
        </w:tc>
        <w:tc>
          <w:tcPr>
            <w:tcW w:w="3767" w:type="dxa"/>
            <w:tcBorders>
              <w:left w:val="single" w:sz="4" w:space="0" w:color="FFFFFF" w:themeColor="background1"/>
              <w:right w:val="single" w:sz="4" w:space="0" w:color="FFFFFF" w:themeColor="background1"/>
            </w:tcBorders>
            <w:shd w:val="clear" w:color="auto" w:fill="1F4E79" w:themeFill="accent1" w:themeFillShade="80"/>
            <w:vAlign w:val="center"/>
          </w:tcPr>
          <w:p w14:paraId="23DF0761" w14:textId="77777777" w:rsidR="00AB3910" w:rsidRPr="00083AAD" w:rsidRDefault="00AB3910" w:rsidP="0044599C">
            <w:pPr>
              <w:rPr>
                <w:b/>
                <w:color w:val="FFFFFF" w:themeColor="background1"/>
              </w:rPr>
            </w:pPr>
            <w:r w:rsidRPr="00083AAD">
              <w:rPr>
                <w:b/>
                <w:color w:val="FFFFFF" w:themeColor="background1"/>
              </w:rPr>
              <w:t>Explanation</w:t>
            </w:r>
          </w:p>
        </w:tc>
        <w:tc>
          <w:tcPr>
            <w:tcW w:w="3989" w:type="dxa"/>
            <w:tcBorders>
              <w:left w:val="single" w:sz="4" w:space="0" w:color="FFFFFF" w:themeColor="background1"/>
              <w:right w:val="single" w:sz="4" w:space="0" w:color="FFFFFF" w:themeColor="background1"/>
            </w:tcBorders>
            <w:shd w:val="clear" w:color="auto" w:fill="1F4E79" w:themeFill="accent1" w:themeFillShade="80"/>
            <w:vAlign w:val="center"/>
          </w:tcPr>
          <w:p w14:paraId="3E2AE3F6" w14:textId="77777777" w:rsidR="00AB3910" w:rsidRPr="00083AAD" w:rsidRDefault="00AB3910" w:rsidP="0044599C">
            <w:pPr>
              <w:rPr>
                <w:b/>
                <w:color w:val="FFFFFF" w:themeColor="background1"/>
              </w:rPr>
            </w:pPr>
            <w:r w:rsidRPr="00083AAD">
              <w:rPr>
                <w:b/>
                <w:color w:val="FFFFFF" w:themeColor="background1"/>
              </w:rPr>
              <w:t>Action Plan</w:t>
            </w:r>
          </w:p>
        </w:tc>
        <w:tc>
          <w:tcPr>
            <w:tcW w:w="1625" w:type="dxa"/>
            <w:tcBorders>
              <w:left w:val="single" w:sz="4" w:space="0" w:color="FFFFFF" w:themeColor="background1"/>
            </w:tcBorders>
            <w:shd w:val="clear" w:color="auto" w:fill="1F4E79" w:themeFill="accent1" w:themeFillShade="80"/>
            <w:vAlign w:val="center"/>
          </w:tcPr>
          <w:p w14:paraId="0E783866" w14:textId="77777777" w:rsidR="00AB3910" w:rsidRPr="00083AAD" w:rsidRDefault="00AB3910" w:rsidP="0044599C">
            <w:pPr>
              <w:rPr>
                <w:b/>
                <w:color w:val="FFFFFF" w:themeColor="background1"/>
              </w:rPr>
            </w:pPr>
            <w:proofErr w:type="gramStart"/>
            <w:r w:rsidRPr="00083AAD">
              <w:rPr>
                <w:b/>
                <w:color w:val="FFFFFF" w:themeColor="background1"/>
              </w:rPr>
              <w:t>Time-frame</w:t>
            </w:r>
            <w:proofErr w:type="gramEnd"/>
          </w:p>
        </w:tc>
      </w:tr>
      <w:tr w:rsidR="00073F13" w14:paraId="023F61C5" w14:textId="77777777" w:rsidTr="006C696A">
        <w:tc>
          <w:tcPr>
            <w:tcW w:w="4970" w:type="dxa"/>
            <w:shd w:val="clear" w:color="auto" w:fill="9CC2E5" w:themeFill="accent1" w:themeFillTint="99"/>
          </w:tcPr>
          <w:p w14:paraId="3F003BDD" w14:textId="16DFC20B" w:rsidR="005677CB" w:rsidRDefault="005677CB" w:rsidP="005677CB">
            <w:pPr>
              <w:ind w:left="323" w:hanging="323"/>
              <w:rPr>
                <w:u w:val="single"/>
              </w:rPr>
            </w:pPr>
            <w:r>
              <w:rPr>
                <w:u w:val="single"/>
              </w:rPr>
              <w:t>Opportunity</w:t>
            </w:r>
          </w:p>
          <w:p w14:paraId="51F5DAA1" w14:textId="381351EA" w:rsidR="0007153B" w:rsidRPr="00035D3B" w:rsidRDefault="002E7FE8" w:rsidP="00035D3B">
            <w:pPr>
              <w:spacing w:after="120"/>
            </w:pPr>
            <w:r>
              <w:rPr>
                <w:rFonts w:eastAsia="Times New Roman" w:cstheme="minorHAnsi"/>
                <w:szCs w:val="21"/>
              </w:rPr>
              <w:t>Adopting elements of DFAT’s MEL guidance for Facilities may be useful for</w:t>
            </w:r>
            <w:r w:rsidRPr="00513FFB">
              <w:rPr>
                <w:rFonts w:eastAsia="Times New Roman" w:cstheme="minorHAnsi"/>
                <w:szCs w:val="21"/>
              </w:rPr>
              <w:t xml:space="preserve"> ABIP in the next phase (2025 forward)</w:t>
            </w:r>
            <w:r>
              <w:rPr>
                <w:rFonts w:eastAsia="Times New Roman" w:cstheme="minorHAnsi"/>
                <w:szCs w:val="21"/>
              </w:rPr>
              <w:t>. This may assist in framing</w:t>
            </w:r>
            <w:r w:rsidRPr="00513FFB">
              <w:rPr>
                <w:rFonts w:eastAsia="Times New Roman" w:cstheme="minorHAnsi"/>
                <w:szCs w:val="21"/>
              </w:rPr>
              <w:t xml:space="preserve"> expectations on </w:t>
            </w:r>
            <w:r>
              <w:rPr>
                <w:rFonts w:eastAsia="Times New Roman" w:cstheme="minorHAnsi"/>
                <w:szCs w:val="21"/>
              </w:rPr>
              <w:t xml:space="preserve">the link between investments and </w:t>
            </w:r>
            <w:r w:rsidRPr="00513FFB">
              <w:rPr>
                <w:rFonts w:eastAsia="Times New Roman" w:cstheme="minorHAnsi"/>
                <w:szCs w:val="21"/>
              </w:rPr>
              <w:t>outcomes</w:t>
            </w:r>
            <w:r>
              <w:rPr>
                <w:rFonts w:eastAsia="Times New Roman" w:cstheme="minorHAnsi"/>
                <w:szCs w:val="21"/>
              </w:rPr>
              <w:t>. It may offer useful</w:t>
            </w:r>
            <w:r w:rsidRPr="00513FFB">
              <w:rPr>
                <w:rFonts w:eastAsia="Times New Roman" w:cstheme="minorHAnsi"/>
                <w:szCs w:val="21"/>
              </w:rPr>
              <w:t xml:space="preserve"> </w:t>
            </w:r>
            <w:r>
              <w:rPr>
                <w:rFonts w:eastAsia="Times New Roman" w:cstheme="minorHAnsi"/>
                <w:szCs w:val="21"/>
              </w:rPr>
              <w:t>performance assessment</w:t>
            </w:r>
            <w:r w:rsidRPr="00513FFB">
              <w:rPr>
                <w:rFonts w:eastAsia="Times New Roman" w:cstheme="minorHAnsi"/>
                <w:szCs w:val="21"/>
              </w:rPr>
              <w:t xml:space="preserve"> indicators</w:t>
            </w:r>
            <w:r>
              <w:rPr>
                <w:rFonts w:eastAsia="Times New Roman" w:cstheme="minorHAnsi"/>
                <w:szCs w:val="21"/>
              </w:rPr>
              <w:t xml:space="preserve"> for partnership and program governance</w:t>
            </w:r>
            <w:r w:rsidRPr="00513FFB">
              <w:rPr>
                <w:rFonts w:eastAsia="Times New Roman" w:cstheme="minorHAnsi"/>
                <w:szCs w:val="21"/>
              </w:rPr>
              <w:t>.</w:t>
            </w:r>
          </w:p>
          <w:p w14:paraId="5FD1279B" w14:textId="77777777" w:rsidR="00DE4985" w:rsidRPr="00035D3B" w:rsidRDefault="00DE4985" w:rsidP="00DE4985">
            <w:pPr>
              <w:spacing w:after="120"/>
              <w:ind w:left="323" w:hanging="323"/>
              <w:rPr>
                <w:b/>
                <w:bCs/>
                <w:u w:val="single"/>
              </w:rPr>
            </w:pPr>
            <w:r w:rsidRPr="00035D3B">
              <w:rPr>
                <w:b/>
                <w:bCs/>
                <w:u w:val="single"/>
              </w:rPr>
              <w:t>Recommendation 6</w:t>
            </w:r>
          </w:p>
          <w:p w14:paraId="318B4193" w14:textId="11DFFFE6" w:rsidR="00DE4985" w:rsidRPr="00F6539F" w:rsidRDefault="006613BC" w:rsidP="00F7182E">
            <w:pPr>
              <w:pStyle w:val="ListParagraph"/>
              <w:numPr>
                <w:ilvl w:val="0"/>
                <w:numId w:val="2"/>
              </w:numPr>
              <w:ind w:left="321"/>
              <w:rPr>
                <w:i/>
                <w:iCs/>
              </w:rPr>
            </w:pPr>
            <w:r w:rsidRPr="006613BC">
              <w:rPr>
                <w:i/>
                <w:iCs/>
              </w:rPr>
              <w:t>Consider adopting relevant and useful elements of DFAT guidance on Performance Assessment Frameworks for Facilities in the next phase (2025 forward).</w:t>
            </w:r>
            <w:r w:rsidR="00F6539F">
              <w:rPr>
                <w:i/>
                <w:iCs/>
              </w:rPr>
              <w:br/>
            </w:r>
          </w:p>
        </w:tc>
        <w:tc>
          <w:tcPr>
            <w:tcW w:w="1384" w:type="dxa"/>
            <w:shd w:val="clear" w:color="auto" w:fill="92D050"/>
            <w:vAlign w:val="center"/>
          </w:tcPr>
          <w:p w14:paraId="465F81FD" w14:textId="5968D4C6" w:rsidR="00073F13" w:rsidRDefault="006C6E82" w:rsidP="009F642B">
            <w:pPr>
              <w:jc w:val="center"/>
              <w:rPr>
                <w:u w:val="single"/>
              </w:rPr>
            </w:pPr>
            <w:r>
              <w:rPr>
                <w:u w:val="single"/>
              </w:rPr>
              <w:t>Agree</w:t>
            </w:r>
          </w:p>
        </w:tc>
        <w:tc>
          <w:tcPr>
            <w:tcW w:w="3767" w:type="dxa"/>
            <w:shd w:val="clear" w:color="auto" w:fill="9CC2E5" w:themeFill="accent1" w:themeFillTint="99"/>
          </w:tcPr>
          <w:p w14:paraId="3218D9A6" w14:textId="491BDC93" w:rsidR="00C77A05" w:rsidRDefault="005B5B04" w:rsidP="00403507">
            <w:pPr>
              <w:spacing w:after="120"/>
            </w:pPr>
            <w:r w:rsidRPr="00964EDA">
              <w:t xml:space="preserve">DFAT </w:t>
            </w:r>
            <w:r w:rsidR="0001697D" w:rsidRPr="00964EDA">
              <w:t xml:space="preserve">notes </w:t>
            </w:r>
            <w:r w:rsidR="0053259C">
              <w:t xml:space="preserve">the IMTR’s reflection that ABIP’s multiple activities and streams of work contribute </w:t>
            </w:r>
            <w:r w:rsidR="0054775C">
              <w:t>to</w:t>
            </w:r>
            <w:r w:rsidR="0053259C">
              <w:t xml:space="preserve"> broad outcomes, but in complex ways that may be difficult to track contribution or attribution.</w:t>
            </w:r>
          </w:p>
          <w:p w14:paraId="590A9BBA" w14:textId="201417FE" w:rsidR="0053259C" w:rsidRPr="00964EDA" w:rsidRDefault="0053259C" w:rsidP="00AF7ED6">
            <w:pPr>
              <w:spacing w:after="120"/>
            </w:pPr>
          </w:p>
        </w:tc>
        <w:tc>
          <w:tcPr>
            <w:tcW w:w="3989" w:type="dxa"/>
            <w:shd w:val="clear" w:color="auto" w:fill="9CC2E5" w:themeFill="accent1" w:themeFillTint="99"/>
          </w:tcPr>
          <w:p w14:paraId="4BAF0275" w14:textId="3D7FC910" w:rsidR="0053259C" w:rsidRDefault="0053259C" w:rsidP="00832CB1">
            <w:r>
              <w:t xml:space="preserve">DFAT and the World Bank will consider </w:t>
            </w:r>
            <w:r w:rsidR="006C696A" w:rsidRPr="006C696A">
              <w:t>adopting relevant and useful elements of DFAT guidance on Performance Assessment Frameworks for Facilities in the next phase (2025 forward).</w:t>
            </w:r>
          </w:p>
          <w:p w14:paraId="07052017" w14:textId="197B447E" w:rsidR="00073F13" w:rsidRPr="00964EDA" w:rsidRDefault="00073F13" w:rsidP="00832CB1"/>
        </w:tc>
        <w:tc>
          <w:tcPr>
            <w:tcW w:w="1625" w:type="dxa"/>
            <w:shd w:val="clear" w:color="auto" w:fill="9CC2E5" w:themeFill="accent1" w:themeFillTint="99"/>
          </w:tcPr>
          <w:p w14:paraId="6AACCCF2" w14:textId="4B75BDD9" w:rsidR="00073F13" w:rsidRPr="00964EDA" w:rsidRDefault="006D04B2" w:rsidP="00832CB1">
            <w:r w:rsidRPr="00964EDA">
              <w:t>By end 2024</w:t>
            </w:r>
          </w:p>
        </w:tc>
      </w:tr>
      <w:tr w:rsidR="00073F13" w14:paraId="6B81C235" w14:textId="77777777" w:rsidTr="006062AB">
        <w:tc>
          <w:tcPr>
            <w:tcW w:w="4970" w:type="dxa"/>
            <w:shd w:val="clear" w:color="auto" w:fill="DEEAF6" w:themeFill="accent1" w:themeFillTint="33"/>
          </w:tcPr>
          <w:p w14:paraId="0705687A" w14:textId="77777777" w:rsidR="005677CB" w:rsidRDefault="005677CB" w:rsidP="005677CB">
            <w:pPr>
              <w:ind w:left="323" w:hanging="323"/>
              <w:rPr>
                <w:u w:val="single"/>
              </w:rPr>
            </w:pPr>
            <w:r>
              <w:rPr>
                <w:u w:val="single"/>
              </w:rPr>
              <w:t>Opportunity</w:t>
            </w:r>
          </w:p>
          <w:p w14:paraId="2F0A0B72" w14:textId="77777777" w:rsidR="00073F13" w:rsidRPr="00D1007F" w:rsidRDefault="00151394" w:rsidP="00151394">
            <w:pPr>
              <w:spacing w:after="120"/>
              <w:ind w:hanging="2"/>
            </w:pPr>
            <w:r w:rsidRPr="00D1007F">
              <w:t>A more explicit and deliberate localisation agenda could replace the current (outdated) “capacity building” narrative and enhance sustainability.</w:t>
            </w:r>
          </w:p>
          <w:p w14:paraId="2F65F333" w14:textId="77777777" w:rsidR="00DE4985" w:rsidRPr="00035D3B" w:rsidRDefault="00DE4985" w:rsidP="00DE4985">
            <w:pPr>
              <w:spacing w:after="120"/>
              <w:ind w:left="323" w:hanging="323"/>
              <w:rPr>
                <w:b/>
                <w:bCs/>
                <w:u w:val="single"/>
              </w:rPr>
            </w:pPr>
            <w:r w:rsidRPr="00035D3B">
              <w:rPr>
                <w:b/>
                <w:bCs/>
                <w:u w:val="single"/>
              </w:rPr>
              <w:t>Recommendation 7</w:t>
            </w:r>
          </w:p>
          <w:p w14:paraId="64691ACC" w14:textId="169A8C92" w:rsidR="00DE4985" w:rsidRPr="00D1007F" w:rsidRDefault="004824D0" w:rsidP="00F7182E">
            <w:pPr>
              <w:pStyle w:val="ListParagraph"/>
              <w:numPr>
                <w:ilvl w:val="0"/>
                <w:numId w:val="3"/>
              </w:numPr>
              <w:ind w:left="321"/>
              <w:rPr>
                <w:i/>
                <w:iCs/>
              </w:rPr>
            </w:pPr>
            <w:r w:rsidRPr="004824D0">
              <w:rPr>
                <w:i/>
                <w:iCs/>
              </w:rPr>
              <w:t>Consider a more explicit and deliberate localisation agenda in the next phase (2025 forward</w:t>
            </w:r>
            <w:r>
              <w:rPr>
                <w:i/>
                <w:iCs/>
              </w:rPr>
              <w:t>)</w:t>
            </w:r>
            <w:r w:rsidR="00D1007F" w:rsidRPr="00D1007F">
              <w:rPr>
                <w:i/>
                <w:iCs/>
              </w:rPr>
              <w:t>.</w:t>
            </w:r>
          </w:p>
        </w:tc>
        <w:tc>
          <w:tcPr>
            <w:tcW w:w="1384" w:type="dxa"/>
            <w:shd w:val="clear" w:color="auto" w:fill="92D050"/>
            <w:vAlign w:val="center"/>
          </w:tcPr>
          <w:p w14:paraId="2F35F554" w14:textId="33CDAD9B" w:rsidR="00073F13" w:rsidRDefault="00AD0DA1" w:rsidP="00083E68">
            <w:pPr>
              <w:jc w:val="center"/>
              <w:rPr>
                <w:u w:val="single"/>
              </w:rPr>
            </w:pPr>
            <w:r>
              <w:rPr>
                <w:u w:val="single"/>
              </w:rPr>
              <w:t>Agree</w:t>
            </w:r>
          </w:p>
        </w:tc>
        <w:tc>
          <w:tcPr>
            <w:tcW w:w="3767" w:type="dxa"/>
            <w:shd w:val="clear" w:color="auto" w:fill="DEEAF6" w:themeFill="accent1" w:themeFillTint="33"/>
          </w:tcPr>
          <w:p w14:paraId="44115C99" w14:textId="3705CC44" w:rsidR="0053259C" w:rsidRPr="00E909B5" w:rsidRDefault="0054775C" w:rsidP="0099468E">
            <w:pPr>
              <w:spacing w:after="120"/>
            </w:pPr>
            <w:r>
              <w:t xml:space="preserve">DFAT notes the IMTR’s finding that localisation is taking place through </w:t>
            </w:r>
            <w:proofErr w:type="gramStart"/>
            <w:r>
              <w:t>ABIP, but</w:t>
            </w:r>
            <w:proofErr w:type="gramEnd"/>
            <w:r>
              <w:t xml:space="preserve"> could be more explicit and deliberate to ensure sustainability. </w:t>
            </w:r>
          </w:p>
        </w:tc>
        <w:tc>
          <w:tcPr>
            <w:tcW w:w="3989" w:type="dxa"/>
            <w:shd w:val="clear" w:color="auto" w:fill="DEEAF6" w:themeFill="accent1" w:themeFillTint="33"/>
          </w:tcPr>
          <w:p w14:paraId="691A458D" w14:textId="3AEA24AE" w:rsidR="00073F13" w:rsidRPr="00E909B5" w:rsidRDefault="0054775C" w:rsidP="00073F13">
            <w:r>
              <w:t>DFAT and the World Bank will consider how to be more explicit about ABIP’s localisation approach, including through reframing existing ‘capacity building’ approaches, as part of the review of ABIP’s design and approach ahead of any second phase.</w:t>
            </w:r>
          </w:p>
        </w:tc>
        <w:tc>
          <w:tcPr>
            <w:tcW w:w="1625" w:type="dxa"/>
            <w:shd w:val="clear" w:color="auto" w:fill="DEEAF6" w:themeFill="accent1" w:themeFillTint="33"/>
          </w:tcPr>
          <w:p w14:paraId="2FEB289C" w14:textId="2162CAC2" w:rsidR="00073F13" w:rsidRPr="00E909B5" w:rsidRDefault="006D04B2" w:rsidP="00832CB1">
            <w:r w:rsidRPr="00E909B5">
              <w:t xml:space="preserve">By </w:t>
            </w:r>
            <w:r w:rsidR="00832CB1" w:rsidRPr="00E909B5">
              <w:t>end 2024</w:t>
            </w:r>
          </w:p>
        </w:tc>
      </w:tr>
      <w:tr w:rsidR="00E909B5" w14:paraId="15EFF9BF" w14:textId="77777777" w:rsidTr="006062AB">
        <w:tc>
          <w:tcPr>
            <w:tcW w:w="497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739B4EC" w14:textId="77777777" w:rsidR="00E909B5" w:rsidRDefault="00E909B5">
            <w:pPr>
              <w:ind w:left="323" w:hanging="323"/>
              <w:rPr>
                <w:u w:val="single"/>
              </w:rPr>
            </w:pPr>
            <w:r>
              <w:rPr>
                <w:u w:val="single"/>
              </w:rPr>
              <w:t>Opportunity</w:t>
            </w:r>
          </w:p>
          <w:p w14:paraId="1BDE6FD1" w14:textId="77777777" w:rsidR="00E909B5" w:rsidRDefault="00E909B5">
            <w:pPr>
              <w:spacing w:after="120"/>
              <w:ind w:hanging="2"/>
            </w:pPr>
            <w:r>
              <w:t>Increase the ambition on gender equality and broader inclusion and consider the creation of a separate gender equality pillar in the next phase (2025 forward).</w:t>
            </w:r>
          </w:p>
          <w:p w14:paraId="3F74739A" w14:textId="77777777" w:rsidR="00E909B5" w:rsidRDefault="00E909B5">
            <w:pPr>
              <w:spacing w:after="120"/>
              <w:ind w:left="323" w:hanging="323"/>
              <w:rPr>
                <w:b/>
                <w:bCs/>
                <w:u w:val="single"/>
              </w:rPr>
            </w:pPr>
            <w:r>
              <w:rPr>
                <w:b/>
                <w:bCs/>
                <w:u w:val="single"/>
              </w:rPr>
              <w:t>Recommendation 8</w:t>
            </w:r>
          </w:p>
          <w:p w14:paraId="7183AA24" w14:textId="77777777" w:rsidR="00E909B5" w:rsidRDefault="00E909B5" w:rsidP="00E909B5">
            <w:pPr>
              <w:pStyle w:val="ListParagraph"/>
              <w:numPr>
                <w:ilvl w:val="0"/>
                <w:numId w:val="27"/>
              </w:numPr>
              <w:ind w:left="321"/>
              <w:rPr>
                <w:i/>
                <w:iCs/>
              </w:rPr>
            </w:pPr>
            <w:r>
              <w:rPr>
                <w:i/>
                <w:iCs/>
              </w:rPr>
              <w:t xml:space="preserve">Continue and enhance the work on gender equality and strengthen attention to disability and social inclusion including ethnicity and indigenous inclusion by building on the progress made on gender equality to increase systematic </w:t>
            </w:r>
            <w:r>
              <w:rPr>
                <w:i/>
                <w:iCs/>
              </w:rPr>
              <w:lastRenderedPageBreak/>
              <w:t>attention to the needs and interests of disadvantaged population groups in their diversity.</w:t>
            </w:r>
          </w:p>
          <w:p w14:paraId="6323270E" w14:textId="77777777" w:rsidR="00E909B5" w:rsidRDefault="00E909B5" w:rsidP="00E909B5">
            <w:pPr>
              <w:pStyle w:val="ListParagraph"/>
              <w:numPr>
                <w:ilvl w:val="0"/>
                <w:numId w:val="27"/>
              </w:numPr>
              <w:ind w:left="321"/>
              <w:rPr>
                <w:u w:val="single"/>
              </w:rPr>
            </w:pPr>
            <w:r>
              <w:rPr>
                <w:i/>
                <w:iCs/>
              </w:rPr>
              <w:t>Elevate the work on Gender Equality to become an additional pillar in the next phase (2025 forward).</w:t>
            </w:r>
            <w:r>
              <w:rPr>
                <w:i/>
                <w:iCs/>
              </w:rPr>
              <w:br/>
            </w:r>
          </w:p>
        </w:tc>
        <w:tc>
          <w:tcPr>
            <w:tcW w:w="138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69E2737" w14:textId="77777777" w:rsidR="00E909B5" w:rsidRDefault="00E909B5">
            <w:pPr>
              <w:jc w:val="center"/>
              <w:rPr>
                <w:u w:val="single"/>
              </w:rPr>
            </w:pPr>
            <w:r>
              <w:rPr>
                <w:u w:val="single"/>
              </w:rPr>
              <w:lastRenderedPageBreak/>
              <w:t>Agree</w:t>
            </w:r>
          </w:p>
        </w:tc>
        <w:tc>
          <w:tcPr>
            <w:tcW w:w="37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7F236A" w14:textId="3E30762E" w:rsidR="00066375" w:rsidRDefault="00066375">
            <w:pPr>
              <w:spacing w:after="120"/>
              <w:ind w:left="40"/>
            </w:pPr>
            <w:r>
              <w:t>DFAT agrees with the IMTR’s finding that ABIP is advancing gender equality through its activities, and that there are opportunities to increase ambition on both gender equality and broader inclusion issues in the future</w:t>
            </w:r>
            <w:r w:rsidR="00976B91">
              <w:t>. DFAT also agrees that further consideration of these opportunities should address intersectionality</w:t>
            </w:r>
            <w:r>
              <w:t>.</w:t>
            </w:r>
          </w:p>
          <w:p w14:paraId="7B173452" w14:textId="77777777" w:rsidR="00066375" w:rsidRDefault="00066375">
            <w:pPr>
              <w:spacing w:after="120"/>
              <w:ind w:left="40"/>
            </w:pPr>
          </w:p>
          <w:p w14:paraId="6DF2D25F" w14:textId="77777777" w:rsidR="00E909B5" w:rsidRPr="0099468E" w:rsidRDefault="00E909B5" w:rsidP="00066375">
            <w:pPr>
              <w:ind w:left="42"/>
            </w:pPr>
          </w:p>
        </w:tc>
        <w:tc>
          <w:tcPr>
            <w:tcW w:w="39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4C39DDD" w14:textId="77777777" w:rsidR="00976B91" w:rsidRDefault="00066375" w:rsidP="00976B91">
            <w:r>
              <w:t xml:space="preserve">DFAT and the World Bank will identify opportunities to increase ambition around gender equality and broader inclusion in ABIP workstreams and activities. </w:t>
            </w:r>
          </w:p>
          <w:p w14:paraId="1411F3FB" w14:textId="77777777" w:rsidR="00976B91" w:rsidRDefault="00976B91" w:rsidP="00976B91"/>
          <w:p w14:paraId="6EE2E7B6" w14:textId="7545365F" w:rsidR="00E909B5" w:rsidRPr="0099468E" w:rsidRDefault="00066375">
            <w:r>
              <w:t>This will include considering elevating</w:t>
            </w:r>
            <w:r w:rsidR="00976B91">
              <w:t xml:space="preserve"> whether gender equality should become a separate pillar as part of the review of ABIP’s design and approach ahead of any second phase.</w:t>
            </w:r>
          </w:p>
        </w:tc>
        <w:tc>
          <w:tcPr>
            <w:tcW w:w="162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D6959F7" w14:textId="026256D1" w:rsidR="00976B91" w:rsidRDefault="00976B91" w:rsidP="00976B91">
            <w:r>
              <w:t>Identify opportunities for increased ambition – by mid-2023</w:t>
            </w:r>
          </w:p>
          <w:p w14:paraId="7ADE5E7E" w14:textId="77777777" w:rsidR="00976B91" w:rsidRDefault="00976B91" w:rsidP="00976B91"/>
          <w:p w14:paraId="50BA4B84" w14:textId="11A93757" w:rsidR="00E909B5" w:rsidRPr="0099468E" w:rsidRDefault="00976B91" w:rsidP="0099468E">
            <w:r>
              <w:t xml:space="preserve">Consider whether gender equality should be a separate pillar </w:t>
            </w:r>
            <w:proofErr w:type="gramStart"/>
            <w:r>
              <w:t>–  by</w:t>
            </w:r>
            <w:proofErr w:type="gramEnd"/>
            <w:r>
              <w:t xml:space="preserve"> </w:t>
            </w:r>
            <w:r w:rsidR="00E909B5" w:rsidRPr="0099468E">
              <w:t>end 2024</w:t>
            </w:r>
          </w:p>
        </w:tc>
      </w:tr>
      <w:tr w:rsidR="00073F13" w14:paraId="54EA6023" w14:textId="77777777" w:rsidTr="006062AB">
        <w:tc>
          <w:tcPr>
            <w:tcW w:w="4970" w:type="dxa"/>
            <w:shd w:val="clear" w:color="auto" w:fill="DEEAF6" w:themeFill="accent1" w:themeFillTint="33"/>
          </w:tcPr>
          <w:p w14:paraId="28089708" w14:textId="77777777" w:rsidR="005677CB" w:rsidRDefault="005677CB" w:rsidP="005677CB">
            <w:pPr>
              <w:ind w:left="323" w:hanging="323"/>
              <w:rPr>
                <w:u w:val="single"/>
              </w:rPr>
            </w:pPr>
            <w:r>
              <w:rPr>
                <w:u w:val="single"/>
              </w:rPr>
              <w:lastRenderedPageBreak/>
              <w:t>Opportunity</w:t>
            </w:r>
          </w:p>
          <w:p w14:paraId="661ED6E8" w14:textId="4C1BF991" w:rsidR="009B3E95" w:rsidRPr="00B5288A" w:rsidRDefault="0036195E" w:rsidP="009B3E95">
            <w:pPr>
              <w:spacing w:after="120"/>
              <w:ind w:hanging="2"/>
            </w:pPr>
            <w:r w:rsidRPr="00B5288A">
              <w:t>Enhance the visibility of gender in ABIP governance arrangements.</w:t>
            </w:r>
          </w:p>
          <w:p w14:paraId="68420039" w14:textId="6CA9DDB5" w:rsidR="00FD22E1" w:rsidRPr="00035D3B" w:rsidRDefault="00FD22E1" w:rsidP="00FD22E1">
            <w:pPr>
              <w:spacing w:after="120"/>
              <w:ind w:left="323" w:hanging="323"/>
              <w:rPr>
                <w:b/>
                <w:bCs/>
                <w:u w:val="single"/>
              </w:rPr>
            </w:pPr>
            <w:r w:rsidRPr="00035D3B">
              <w:rPr>
                <w:b/>
                <w:bCs/>
                <w:u w:val="single"/>
              </w:rPr>
              <w:t>Recommendation 9</w:t>
            </w:r>
          </w:p>
          <w:p w14:paraId="4D16E955" w14:textId="3AF31BE6" w:rsidR="0074117B" w:rsidRPr="0074117B" w:rsidRDefault="0074117B" w:rsidP="00F7182E">
            <w:pPr>
              <w:pStyle w:val="ListParagraph"/>
              <w:numPr>
                <w:ilvl w:val="0"/>
                <w:numId w:val="5"/>
              </w:numPr>
              <w:ind w:left="321" w:hanging="286"/>
              <w:rPr>
                <w:i/>
                <w:iCs/>
              </w:rPr>
            </w:pPr>
            <w:r w:rsidRPr="0074117B">
              <w:rPr>
                <w:i/>
                <w:iCs/>
              </w:rPr>
              <w:t xml:space="preserve">In the current phase, include gender as a standing agenda in Advisory Committee meetings and extend membership of the Advisory Committee to </w:t>
            </w:r>
            <w:proofErr w:type="spellStart"/>
            <w:r w:rsidRPr="0074117B">
              <w:rPr>
                <w:i/>
                <w:iCs/>
              </w:rPr>
              <w:t>MoWECP</w:t>
            </w:r>
            <w:proofErr w:type="spellEnd"/>
            <w:r w:rsidRPr="0074117B">
              <w:rPr>
                <w:i/>
                <w:iCs/>
              </w:rPr>
              <w:t>.</w:t>
            </w:r>
          </w:p>
          <w:p w14:paraId="2841CB2E" w14:textId="11BB14E8" w:rsidR="00073F13" w:rsidRPr="00AB30F6" w:rsidRDefault="00D01E47" w:rsidP="00F7182E">
            <w:pPr>
              <w:pStyle w:val="ListParagraph"/>
              <w:numPr>
                <w:ilvl w:val="0"/>
                <w:numId w:val="5"/>
              </w:numPr>
              <w:ind w:left="321" w:hanging="286"/>
              <w:rPr>
                <w:u w:val="single"/>
              </w:rPr>
            </w:pPr>
            <w:r w:rsidRPr="00D01E47">
              <w:rPr>
                <w:i/>
                <w:iCs/>
              </w:rPr>
              <w:t xml:space="preserve">In the next phase (2025 forward), </w:t>
            </w:r>
            <w:r w:rsidR="0074117B" w:rsidRPr="0074117B">
              <w:rPr>
                <w:i/>
                <w:iCs/>
              </w:rPr>
              <w:t>establish a separate Advisory Committee for gender equality to oversight the gender pillar</w:t>
            </w:r>
            <w:r w:rsidR="00275354">
              <w:rPr>
                <w:i/>
                <w:iCs/>
              </w:rPr>
              <w:br/>
            </w:r>
          </w:p>
        </w:tc>
        <w:tc>
          <w:tcPr>
            <w:tcW w:w="1384" w:type="dxa"/>
            <w:shd w:val="clear" w:color="auto" w:fill="92D050"/>
            <w:vAlign w:val="center"/>
          </w:tcPr>
          <w:p w14:paraId="7F1C72FB" w14:textId="1191DECB" w:rsidR="00073F13" w:rsidRDefault="003C43C8" w:rsidP="009E54C4">
            <w:pPr>
              <w:jc w:val="center"/>
              <w:rPr>
                <w:u w:val="single"/>
              </w:rPr>
            </w:pPr>
            <w:r>
              <w:rPr>
                <w:u w:val="single"/>
              </w:rPr>
              <w:t>Agree</w:t>
            </w:r>
          </w:p>
        </w:tc>
        <w:tc>
          <w:tcPr>
            <w:tcW w:w="3767" w:type="dxa"/>
            <w:shd w:val="clear" w:color="auto" w:fill="DEEAF6" w:themeFill="accent1" w:themeFillTint="33"/>
          </w:tcPr>
          <w:p w14:paraId="3160358B" w14:textId="77777777" w:rsidR="00E524DE" w:rsidRDefault="00E524DE" w:rsidP="00073F13">
            <w:pPr>
              <w:rPr>
                <w:color w:val="000000" w:themeColor="text1"/>
              </w:rPr>
            </w:pPr>
            <w:r>
              <w:rPr>
                <w:color w:val="000000" w:themeColor="text1"/>
              </w:rPr>
              <w:t xml:space="preserve">DFAT acknowledges the IMTR’s view that ABIP’s explicit focus on gender reflects DFAT’s commitment to gender outcomes and has harnessed World Bank momentum on gender issues. </w:t>
            </w:r>
          </w:p>
          <w:p w14:paraId="4C0E30D6" w14:textId="77777777" w:rsidR="00E524DE" w:rsidRDefault="00E524DE" w:rsidP="00073F13">
            <w:pPr>
              <w:rPr>
                <w:color w:val="000000" w:themeColor="text1"/>
              </w:rPr>
            </w:pPr>
          </w:p>
          <w:p w14:paraId="4B889086" w14:textId="307DEA2E" w:rsidR="00E524DE" w:rsidRDefault="00E524DE" w:rsidP="00E524DE">
            <w:pPr>
              <w:rPr>
                <w:i/>
                <w:iCs/>
                <w:color w:val="000000" w:themeColor="text1"/>
              </w:rPr>
            </w:pPr>
            <w:r>
              <w:rPr>
                <w:color w:val="000000" w:themeColor="text1"/>
              </w:rPr>
              <w:t xml:space="preserve">DFAT agrees that gender could be more effectively captured in ABIP’s governance discussions and structures, including </w:t>
            </w:r>
            <w:r w:rsidR="00066375">
              <w:rPr>
                <w:color w:val="000000" w:themeColor="text1"/>
              </w:rPr>
              <w:t xml:space="preserve">by </w:t>
            </w:r>
            <w:r>
              <w:rPr>
                <w:color w:val="000000" w:themeColor="text1"/>
              </w:rPr>
              <w:t>adopting gender as a standing agenda item in Advisory Committee meetings.</w:t>
            </w:r>
          </w:p>
          <w:p w14:paraId="01740E22" w14:textId="14F9BB06" w:rsidR="00E524DE" w:rsidRPr="00C0724F" w:rsidRDefault="00E524DE">
            <w:pPr>
              <w:rPr>
                <w:i/>
                <w:iCs/>
              </w:rPr>
            </w:pPr>
          </w:p>
        </w:tc>
        <w:tc>
          <w:tcPr>
            <w:tcW w:w="3989" w:type="dxa"/>
            <w:shd w:val="clear" w:color="auto" w:fill="DEEAF6" w:themeFill="accent1" w:themeFillTint="33"/>
          </w:tcPr>
          <w:p w14:paraId="58E72791" w14:textId="3E39707C" w:rsidR="002A1FC3" w:rsidRDefault="002A1FC3" w:rsidP="00E524DE">
            <w:r w:rsidRPr="00F16E72">
              <w:t xml:space="preserve">DFAT </w:t>
            </w:r>
            <w:r w:rsidR="00E524DE">
              <w:t>and the World Bank will adopt gender as a standing agenda item in all Advisory Committee meetings.</w:t>
            </w:r>
          </w:p>
          <w:p w14:paraId="5BD3210C" w14:textId="4DA7C07F" w:rsidR="00E524DE" w:rsidRDefault="00E524DE" w:rsidP="00E524DE"/>
          <w:p w14:paraId="37909AA2" w14:textId="5BAE962C" w:rsidR="00E524DE" w:rsidRDefault="00E524DE" w:rsidP="00E524DE">
            <w:r>
              <w:t xml:space="preserve">DFAT and the World Bank will discuss how to effectively include the Ministry of Women’s Empowerment and Child Protection in the Advisory Committee </w:t>
            </w:r>
            <w:r w:rsidR="00066375">
              <w:t>structure</w:t>
            </w:r>
            <w:r>
              <w:t>.</w:t>
            </w:r>
          </w:p>
          <w:p w14:paraId="060292C1" w14:textId="2BC4A7CB" w:rsidR="00E524DE" w:rsidRDefault="00E524DE" w:rsidP="00E524DE"/>
          <w:p w14:paraId="5C4EE712" w14:textId="5524B24E" w:rsidR="00BD2DEC" w:rsidRPr="00C0724F" w:rsidRDefault="00E524DE" w:rsidP="00F16E72">
            <w:pPr>
              <w:rPr>
                <w:i/>
                <w:iCs/>
              </w:rPr>
            </w:pPr>
            <w:r>
              <w:t>DFAT and the World Bank will consider a separate Gender Equality Advisory Committee to oversee gender activities as part of the ABIP design review.</w:t>
            </w:r>
          </w:p>
        </w:tc>
        <w:tc>
          <w:tcPr>
            <w:tcW w:w="1625" w:type="dxa"/>
            <w:shd w:val="clear" w:color="auto" w:fill="DEEAF6" w:themeFill="accent1" w:themeFillTint="33"/>
          </w:tcPr>
          <w:p w14:paraId="5851C068" w14:textId="6AF78FCC" w:rsidR="00E524DE" w:rsidRDefault="00E524DE" w:rsidP="00E524DE">
            <w:pPr>
              <w:rPr>
                <w:i/>
                <w:iCs/>
              </w:rPr>
            </w:pPr>
            <w:r>
              <w:t>Adopt gender as a standing item – January 2023</w:t>
            </w:r>
          </w:p>
          <w:p w14:paraId="22CE16D0" w14:textId="574DDF49" w:rsidR="00E524DE" w:rsidRDefault="00E524DE" w:rsidP="00E524DE">
            <w:pPr>
              <w:rPr>
                <w:i/>
                <w:iCs/>
              </w:rPr>
            </w:pPr>
          </w:p>
          <w:p w14:paraId="617BD66C" w14:textId="2A83D450" w:rsidR="00E524DE" w:rsidRDefault="00066375" w:rsidP="00E524DE">
            <w:r>
              <w:t xml:space="preserve">Consider possible </w:t>
            </w:r>
            <w:proofErr w:type="spellStart"/>
            <w:r>
              <w:t>MoWECP</w:t>
            </w:r>
            <w:proofErr w:type="spellEnd"/>
            <w:r>
              <w:t xml:space="preserve"> in Advisory Committees – mid 2023</w:t>
            </w:r>
          </w:p>
          <w:p w14:paraId="370B3BDF" w14:textId="4504B6A0" w:rsidR="00E524DE" w:rsidRDefault="00E524DE" w:rsidP="00E524DE"/>
          <w:p w14:paraId="60DEDF15" w14:textId="60F60A5F" w:rsidR="00E524DE" w:rsidRPr="004C5138" w:rsidRDefault="00E524DE" w:rsidP="00F16E72">
            <w:r>
              <w:t>Design review – end 2024</w:t>
            </w:r>
          </w:p>
          <w:p w14:paraId="5A038AA2" w14:textId="5AD2856C" w:rsidR="00073F13" w:rsidRPr="00E33ACC" w:rsidRDefault="00073F13" w:rsidP="00F16E72"/>
        </w:tc>
      </w:tr>
      <w:tr w:rsidR="00073F13" w14:paraId="6F292D1D" w14:textId="77777777" w:rsidTr="006062AB">
        <w:tc>
          <w:tcPr>
            <w:tcW w:w="4970" w:type="dxa"/>
            <w:shd w:val="clear" w:color="auto" w:fill="9CC2E5" w:themeFill="accent1" w:themeFillTint="99"/>
          </w:tcPr>
          <w:p w14:paraId="42BDB637" w14:textId="214AA6DE" w:rsidR="00DE4985" w:rsidRPr="00496196" w:rsidRDefault="00DE4985" w:rsidP="00DE4985">
            <w:pPr>
              <w:ind w:left="323" w:hanging="323"/>
              <w:rPr>
                <w:u w:val="single"/>
              </w:rPr>
            </w:pPr>
            <w:r w:rsidRPr="00496196">
              <w:rPr>
                <w:u w:val="single"/>
              </w:rPr>
              <w:t>Opportunity</w:t>
            </w:r>
          </w:p>
          <w:p w14:paraId="3AC06F18" w14:textId="120BA54B" w:rsidR="00073F13" w:rsidRPr="00496196" w:rsidRDefault="009C4A34" w:rsidP="009C4A34">
            <w:pPr>
              <w:spacing w:after="120"/>
              <w:ind w:hanging="2"/>
              <w:rPr>
                <w:rFonts w:ascii="Calibri" w:hAnsi="Calibri" w:cs="Calibri"/>
              </w:rPr>
            </w:pPr>
            <w:r w:rsidRPr="00496196">
              <w:rPr>
                <w:rFonts w:ascii="Calibri" w:hAnsi="Calibri" w:cs="Calibri"/>
              </w:rPr>
              <w:t>The Theory of Change and Results Frameworks could be refined, and a light touch revision is warranted.</w:t>
            </w:r>
          </w:p>
          <w:p w14:paraId="63D0EF95" w14:textId="5E89A8FF" w:rsidR="00FD22E1" w:rsidRPr="00710424" w:rsidRDefault="00FD22E1" w:rsidP="00FD22E1">
            <w:pPr>
              <w:spacing w:after="120"/>
              <w:ind w:left="323" w:hanging="323"/>
              <w:rPr>
                <w:rFonts w:ascii="Calibri" w:hAnsi="Calibri" w:cs="Calibri"/>
                <w:b/>
                <w:bCs/>
                <w:u w:val="single"/>
              </w:rPr>
            </w:pPr>
            <w:r w:rsidRPr="00710424">
              <w:rPr>
                <w:rFonts w:ascii="Calibri" w:hAnsi="Calibri" w:cs="Calibri"/>
                <w:b/>
                <w:bCs/>
                <w:u w:val="single"/>
              </w:rPr>
              <w:t>Recommendation 10</w:t>
            </w:r>
          </w:p>
          <w:p w14:paraId="2555068C" w14:textId="27F3EEA8" w:rsidR="00733600" w:rsidRPr="00496196" w:rsidRDefault="009B3170" w:rsidP="00F7182E">
            <w:pPr>
              <w:pStyle w:val="ListParagraph"/>
              <w:numPr>
                <w:ilvl w:val="0"/>
                <w:numId w:val="6"/>
              </w:numPr>
              <w:ind w:left="321" w:hanging="258"/>
              <w:rPr>
                <w:i/>
                <w:iCs/>
              </w:rPr>
            </w:pPr>
            <w:r w:rsidRPr="009B3170">
              <w:rPr>
                <w:i/>
                <w:iCs/>
              </w:rPr>
              <w:t>Undertake a collaborative review and light touch revision of the Theory of Change</w:t>
            </w:r>
            <w:r w:rsidR="00223DD4">
              <w:rPr>
                <w:i/>
                <w:iCs/>
              </w:rPr>
              <w:br/>
            </w:r>
          </w:p>
        </w:tc>
        <w:tc>
          <w:tcPr>
            <w:tcW w:w="1384" w:type="dxa"/>
            <w:shd w:val="clear" w:color="auto" w:fill="92D050"/>
            <w:vAlign w:val="center"/>
          </w:tcPr>
          <w:p w14:paraId="49E8E95F" w14:textId="64316B24" w:rsidR="00073F13" w:rsidRDefault="00157D6D" w:rsidP="00157D6D">
            <w:pPr>
              <w:jc w:val="center"/>
              <w:rPr>
                <w:u w:val="single"/>
              </w:rPr>
            </w:pPr>
            <w:r>
              <w:rPr>
                <w:u w:val="single"/>
              </w:rPr>
              <w:t>Agree</w:t>
            </w:r>
          </w:p>
        </w:tc>
        <w:tc>
          <w:tcPr>
            <w:tcW w:w="3767" w:type="dxa"/>
            <w:shd w:val="clear" w:color="auto" w:fill="9CC2E5" w:themeFill="accent1" w:themeFillTint="99"/>
          </w:tcPr>
          <w:p w14:paraId="1C2EB1CC" w14:textId="2911F77E" w:rsidR="00730361" w:rsidRDefault="00730361" w:rsidP="00073F13">
            <w:r>
              <w:t xml:space="preserve">DFAT notes the IMTR’s finding that ABIP’s approach to monitoring and evaluation is an efficient way to use existing DFAT and World Bank MEL systems to reduce unnecessary double data collection and </w:t>
            </w:r>
            <w:proofErr w:type="gramStart"/>
            <w:r>
              <w:t>reporting, and</w:t>
            </w:r>
            <w:proofErr w:type="gramEnd"/>
            <w:r>
              <w:t xml:space="preserve"> focuses on reporting outcomes and impact rather than outputs.</w:t>
            </w:r>
          </w:p>
          <w:p w14:paraId="31507304" w14:textId="76593CE9" w:rsidR="00730361" w:rsidRDefault="00730361" w:rsidP="00073F13"/>
          <w:p w14:paraId="074DCA6A" w14:textId="1974C44A" w:rsidR="00073F13" w:rsidRPr="00AF3038" w:rsidRDefault="00730361" w:rsidP="00C23582">
            <w:r>
              <w:t>DFAT acknowledges the recommendation that ABIP’s MEL framework should be refined.</w:t>
            </w:r>
          </w:p>
        </w:tc>
        <w:tc>
          <w:tcPr>
            <w:tcW w:w="3989" w:type="dxa"/>
            <w:shd w:val="clear" w:color="auto" w:fill="9CC2E5" w:themeFill="accent1" w:themeFillTint="99"/>
          </w:tcPr>
          <w:p w14:paraId="2C0BC4F1" w14:textId="3F13C717" w:rsidR="00073F13" w:rsidRPr="00976B91" w:rsidRDefault="008D77D7" w:rsidP="00073F13">
            <w:r w:rsidRPr="00066375">
              <w:t xml:space="preserve">DFAT has engaged </w:t>
            </w:r>
            <w:r w:rsidR="003D318D" w:rsidRPr="00066375">
              <w:t xml:space="preserve">Jakarta’s </w:t>
            </w:r>
            <w:r w:rsidR="005F5F9A" w:rsidRPr="00066375">
              <w:t>Quality Investment Support Services (</w:t>
            </w:r>
            <w:r w:rsidR="003D318D" w:rsidRPr="00976B91">
              <w:t>QISS</w:t>
            </w:r>
            <w:r w:rsidR="005F5F9A" w:rsidRPr="00976B91">
              <w:t>)</w:t>
            </w:r>
            <w:r w:rsidR="003D318D" w:rsidRPr="00976B91">
              <w:t xml:space="preserve"> </w:t>
            </w:r>
            <w:r w:rsidR="00AA2C42" w:rsidRPr="00976B91">
              <w:t xml:space="preserve">mechanism to </w:t>
            </w:r>
            <w:r w:rsidR="003A4A2C" w:rsidRPr="00976B91">
              <w:t xml:space="preserve">conduct and moderate a </w:t>
            </w:r>
            <w:r w:rsidR="00BA12A6" w:rsidRPr="00976B91">
              <w:t xml:space="preserve">workshop </w:t>
            </w:r>
            <w:r w:rsidR="00665F3D" w:rsidRPr="00976B91">
              <w:t>to:</w:t>
            </w:r>
          </w:p>
          <w:p w14:paraId="00B050C3" w14:textId="77777777" w:rsidR="00665F3D" w:rsidRPr="00976B91" w:rsidRDefault="00AC2A7F" w:rsidP="00F7182E">
            <w:pPr>
              <w:pStyle w:val="ListParagraph"/>
              <w:numPr>
                <w:ilvl w:val="0"/>
                <w:numId w:val="13"/>
              </w:numPr>
              <w:ind w:left="454" w:hanging="190"/>
            </w:pPr>
            <w:r w:rsidRPr="00976B91">
              <w:t>Adjust the TOC</w:t>
            </w:r>
          </w:p>
          <w:p w14:paraId="26765A4C" w14:textId="77777777" w:rsidR="00AC2A7F" w:rsidRPr="00976B91" w:rsidRDefault="00AC2A7F" w:rsidP="00F7182E">
            <w:pPr>
              <w:pStyle w:val="ListParagraph"/>
              <w:numPr>
                <w:ilvl w:val="0"/>
                <w:numId w:val="13"/>
              </w:numPr>
              <w:ind w:left="454" w:hanging="190"/>
            </w:pPr>
            <w:r w:rsidRPr="00976B91">
              <w:t>Update the Results Framework in line with new TOC</w:t>
            </w:r>
          </w:p>
          <w:p w14:paraId="4E5B035F" w14:textId="7828C3F6" w:rsidR="00AC2A7F" w:rsidRPr="0099468E" w:rsidRDefault="00AC2A7F" w:rsidP="00F7182E">
            <w:pPr>
              <w:pStyle w:val="ListParagraph"/>
              <w:numPr>
                <w:ilvl w:val="0"/>
                <w:numId w:val="13"/>
              </w:numPr>
              <w:ind w:left="454" w:hanging="190"/>
            </w:pPr>
            <w:r w:rsidRPr="00976B91">
              <w:t xml:space="preserve">Update ABIP’s Concept Note and </w:t>
            </w:r>
            <w:r w:rsidR="00E7316B" w:rsidRPr="00976B91">
              <w:t>Operations Manual</w:t>
            </w:r>
            <w:r w:rsidR="0000602F" w:rsidRPr="00976B91">
              <w:t xml:space="preserve">, </w:t>
            </w:r>
            <w:r w:rsidR="00E7316B" w:rsidRPr="00976B91">
              <w:t>reflect</w:t>
            </w:r>
            <w:r w:rsidR="007A459B" w:rsidRPr="00976B91">
              <w:t>ing</w:t>
            </w:r>
            <w:r w:rsidR="00E7316B" w:rsidRPr="00976B91">
              <w:t xml:space="preserve"> the </w:t>
            </w:r>
            <w:r w:rsidR="007A459B" w:rsidRPr="00976B91">
              <w:t xml:space="preserve">Partnership </w:t>
            </w:r>
            <w:r w:rsidR="00E7316B" w:rsidRPr="00976B91">
              <w:t>changes undertaken.</w:t>
            </w:r>
          </w:p>
        </w:tc>
        <w:tc>
          <w:tcPr>
            <w:tcW w:w="1625" w:type="dxa"/>
            <w:shd w:val="clear" w:color="auto" w:fill="9CC2E5" w:themeFill="accent1" w:themeFillTint="99"/>
          </w:tcPr>
          <w:p w14:paraId="62C6432E" w14:textId="1E74D56F" w:rsidR="00073F13" w:rsidRPr="00AF3038" w:rsidRDefault="007A459B" w:rsidP="0099468E">
            <w:pPr>
              <w:pStyle w:val="ListParagraph"/>
              <w:numPr>
                <w:ilvl w:val="0"/>
                <w:numId w:val="14"/>
              </w:numPr>
              <w:ind w:left="195" w:hanging="82"/>
            </w:pPr>
            <w:r w:rsidRPr="00AF3038">
              <w:t>Jan</w:t>
            </w:r>
            <w:r w:rsidR="00066375">
              <w:t>uary</w:t>
            </w:r>
            <w:r w:rsidRPr="00AF3038">
              <w:t xml:space="preserve"> 2023</w:t>
            </w:r>
          </w:p>
          <w:p w14:paraId="2F86B5C5" w14:textId="77777777" w:rsidR="0051777F" w:rsidRPr="00AF3038" w:rsidRDefault="004B0697" w:rsidP="0099468E">
            <w:pPr>
              <w:pStyle w:val="ListParagraph"/>
              <w:numPr>
                <w:ilvl w:val="0"/>
                <w:numId w:val="14"/>
              </w:numPr>
              <w:ind w:left="195" w:hanging="82"/>
            </w:pPr>
            <w:r w:rsidRPr="00AF3038">
              <w:t>Early 2023</w:t>
            </w:r>
          </w:p>
          <w:p w14:paraId="149D3C90" w14:textId="613A605D" w:rsidR="004B0697" w:rsidRPr="00AF3038" w:rsidRDefault="004B0697" w:rsidP="0099468E">
            <w:pPr>
              <w:pStyle w:val="ListParagraph"/>
              <w:numPr>
                <w:ilvl w:val="0"/>
                <w:numId w:val="14"/>
              </w:numPr>
              <w:ind w:left="195" w:hanging="82"/>
            </w:pPr>
            <w:r w:rsidRPr="00AF3038">
              <w:t>Early 2023</w:t>
            </w:r>
          </w:p>
        </w:tc>
      </w:tr>
    </w:tbl>
    <w:p w14:paraId="54D92636" w14:textId="5B71025E" w:rsidR="00AB3910" w:rsidRDefault="00AB3910"/>
    <w:tbl>
      <w:tblPr>
        <w:tblStyle w:val="TableGrid"/>
        <w:tblW w:w="15735" w:type="dxa"/>
        <w:tblInd w:w="-5" w:type="dxa"/>
        <w:tblCellMar>
          <w:top w:w="57" w:type="dxa"/>
          <w:bottom w:w="57" w:type="dxa"/>
        </w:tblCellMar>
        <w:tblLook w:val="04A0" w:firstRow="1" w:lastRow="0" w:firstColumn="1" w:lastColumn="0" w:noHBand="0" w:noVBand="1"/>
      </w:tblPr>
      <w:tblGrid>
        <w:gridCol w:w="4818"/>
        <w:gridCol w:w="1559"/>
        <w:gridCol w:w="3405"/>
        <w:gridCol w:w="4252"/>
        <w:gridCol w:w="1701"/>
      </w:tblGrid>
      <w:tr w:rsidR="00AB3910" w:rsidRPr="00083AAD" w14:paraId="1807FD37" w14:textId="77777777" w:rsidTr="00161D24">
        <w:trPr>
          <w:trHeight w:val="435"/>
          <w:tblHeader/>
        </w:trPr>
        <w:tc>
          <w:tcPr>
            <w:tcW w:w="4820" w:type="dxa"/>
            <w:tcBorders>
              <w:right w:val="single" w:sz="4" w:space="0" w:color="FFFFFF" w:themeColor="background1"/>
            </w:tcBorders>
            <w:shd w:val="clear" w:color="auto" w:fill="1F4E79" w:themeFill="accent1" w:themeFillShade="80"/>
            <w:vAlign w:val="center"/>
          </w:tcPr>
          <w:p w14:paraId="299BC527" w14:textId="77777777" w:rsidR="00AB3910" w:rsidRPr="00083AAD" w:rsidRDefault="00AB3910" w:rsidP="0044599C">
            <w:pPr>
              <w:rPr>
                <w:b/>
                <w:color w:val="FFFFFF" w:themeColor="background1"/>
              </w:rPr>
            </w:pPr>
            <w:r w:rsidRPr="00083AAD">
              <w:rPr>
                <w:b/>
                <w:color w:val="FFFFFF" w:themeColor="background1"/>
              </w:rPr>
              <w:lastRenderedPageBreak/>
              <w:t>Recommendations</w:t>
            </w:r>
          </w:p>
        </w:tc>
        <w:tc>
          <w:tcPr>
            <w:tcW w:w="1559" w:type="dxa"/>
            <w:tcBorders>
              <w:left w:val="single" w:sz="4" w:space="0" w:color="FFFFFF" w:themeColor="background1"/>
              <w:right w:val="single" w:sz="4" w:space="0" w:color="FFFFFF" w:themeColor="background1"/>
            </w:tcBorders>
            <w:shd w:val="clear" w:color="auto" w:fill="1F4E79" w:themeFill="accent1" w:themeFillShade="80"/>
            <w:vAlign w:val="center"/>
          </w:tcPr>
          <w:p w14:paraId="57E73359" w14:textId="77777777" w:rsidR="00AB3910" w:rsidRPr="00083AAD" w:rsidRDefault="00AB3910" w:rsidP="007712F1">
            <w:pPr>
              <w:jc w:val="center"/>
              <w:rPr>
                <w:b/>
                <w:color w:val="FFFFFF" w:themeColor="background1"/>
              </w:rPr>
            </w:pPr>
            <w:r w:rsidRPr="00083AAD">
              <w:rPr>
                <w:b/>
                <w:color w:val="FFFFFF" w:themeColor="background1"/>
              </w:rPr>
              <w:t>Response</w:t>
            </w:r>
          </w:p>
        </w:tc>
        <w:tc>
          <w:tcPr>
            <w:tcW w:w="3406" w:type="dxa"/>
            <w:tcBorders>
              <w:left w:val="single" w:sz="4" w:space="0" w:color="FFFFFF" w:themeColor="background1"/>
              <w:right w:val="single" w:sz="4" w:space="0" w:color="FFFFFF" w:themeColor="background1"/>
            </w:tcBorders>
            <w:shd w:val="clear" w:color="auto" w:fill="1F4E79" w:themeFill="accent1" w:themeFillShade="80"/>
            <w:vAlign w:val="center"/>
          </w:tcPr>
          <w:p w14:paraId="5BA9B06D" w14:textId="77777777" w:rsidR="00AB3910" w:rsidRPr="00083AAD" w:rsidRDefault="00AB3910" w:rsidP="0044599C">
            <w:pPr>
              <w:rPr>
                <w:b/>
                <w:color w:val="FFFFFF" w:themeColor="background1"/>
              </w:rPr>
            </w:pPr>
            <w:r w:rsidRPr="00083AAD">
              <w:rPr>
                <w:b/>
                <w:color w:val="FFFFFF" w:themeColor="background1"/>
              </w:rPr>
              <w:t>Explanation</w:t>
            </w:r>
          </w:p>
        </w:tc>
        <w:tc>
          <w:tcPr>
            <w:tcW w:w="4249" w:type="dxa"/>
            <w:tcBorders>
              <w:left w:val="single" w:sz="4" w:space="0" w:color="FFFFFF" w:themeColor="background1"/>
              <w:right w:val="single" w:sz="4" w:space="0" w:color="FFFFFF" w:themeColor="background1"/>
            </w:tcBorders>
            <w:shd w:val="clear" w:color="auto" w:fill="1F4E79" w:themeFill="accent1" w:themeFillShade="80"/>
            <w:vAlign w:val="center"/>
          </w:tcPr>
          <w:p w14:paraId="17E2304C" w14:textId="77777777" w:rsidR="00AB3910" w:rsidRPr="00083AAD" w:rsidRDefault="00AB3910" w:rsidP="0044599C">
            <w:pPr>
              <w:rPr>
                <w:b/>
                <w:color w:val="FFFFFF" w:themeColor="background1"/>
              </w:rPr>
            </w:pPr>
            <w:r w:rsidRPr="00083AAD">
              <w:rPr>
                <w:b/>
                <w:color w:val="FFFFFF" w:themeColor="background1"/>
              </w:rPr>
              <w:t>Action Plan</w:t>
            </w:r>
          </w:p>
        </w:tc>
        <w:tc>
          <w:tcPr>
            <w:tcW w:w="1701" w:type="dxa"/>
            <w:tcBorders>
              <w:left w:val="single" w:sz="4" w:space="0" w:color="FFFFFF" w:themeColor="background1"/>
            </w:tcBorders>
            <w:shd w:val="clear" w:color="auto" w:fill="1F4E79" w:themeFill="accent1" w:themeFillShade="80"/>
            <w:vAlign w:val="center"/>
          </w:tcPr>
          <w:p w14:paraId="5B63A042" w14:textId="77777777" w:rsidR="00AB3910" w:rsidRPr="00083AAD" w:rsidRDefault="00AB3910" w:rsidP="0044599C">
            <w:pPr>
              <w:rPr>
                <w:b/>
                <w:color w:val="FFFFFF" w:themeColor="background1"/>
              </w:rPr>
            </w:pPr>
            <w:proofErr w:type="gramStart"/>
            <w:r w:rsidRPr="00083AAD">
              <w:rPr>
                <w:b/>
                <w:color w:val="FFFFFF" w:themeColor="background1"/>
              </w:rPr>
              <w:t>Time-frame</w:t>
            </w:r>
            <w:proofErr w:type="gramEnd"/>
          </w:p>
        </w:tc>
      </w:tr>
      <w:tr w:rsidR="00AD788E" w14:paraId="54786595" w14:textId="77777777" w:rsidTr="00AD788E">
        <w:tc>
          <w:tcPr>
            <w:tcW w:w="4820" w:type="dxa"/>
            <w:shd w:val="clear" w:color="auto" w:fill="DEEAF6" w:themeFill="accent1" w:themeFillTint="33"/>
          </w:tcPr>
          <w:p w14:paraId="03043719" w14:textId="0441369F" w:rsidR="00AD788E" w:rsidRDefault="00AD788E" w:rsidP="00AD788E">
            <w:pPr>
              <w:ind w:left="323" w:hanging="323"/>
              <w:rPr>
                <w:u w:val="single"/>
              </w:rPr>
            </w:pPr>
            <w:r>
              <w:rPr>
                <w:u w:val="single"/>
              </w:rPr>
              <w:t>Opportunity</w:t>
            </w:r>
          </w:p>
          <w:p w14:paraId="243526A7" w14:textId="6E4FE25E" w:rsidR="00AD788E" w:rsidRPr="00035D3B" w:rsidRDefault="00AD788E" w:rsidP="00AD788E">
            <w:pPr>
              <w:spacing w:after="120"/>
              <w:ind w:hanging="2"/>
            </w:pPr>
            <w:r w:rsidRPr="00035D3B">
              <w:t xml:space="preserve">Funding of outcomes harvesting of Significant Policy Changes and other significant outcomes over the lifetime of the investment, and selective case studies that capture and detail successes (and sometimes failures) would be helpful for DFAT, </w:t>
            </w:r>
            <w:proofErr w:type="spellStart"/>
            <w:r w:rsidRPr="00035D3B">
              <w:t>GoI</w:t>
            </w:r>
            <w:proofErr w:type="spellEnd"/>
            <w:r w:rsidRPr="00035D3B">
              <w:t>, and the Bank.</w:t>
            </w:r>
          </w:p>
          <w:p w14:paraId="09AC27F6" w14:textId="261AFBAD" w:rsidR="00AD788E" w:rsidRPr="00035D3B" w:rsidRDefault="00AD788E" w:rsidP="00AD788E">
            <w:pPr>
              <w:spacing w:after="120"/>
              <w:ind w:left="323" w:hanging="323"/>
              <w:rPr>
                <w:b/>
                <w:bCs/>
                <w:u w:val="single"/>
              </w:rPr>
            </w:pPr>
            <w:r w:rsidRPr="00035D3B">
              <w:rPr>
                <w:b/>
                <w:bCs/>
                <w:u w:val="single"/>
              </w:rPr>
              <w:t>Recommendation 11</w:t>
            </w:r>
          </w:p>
          <w:p w14:paraId="41FE7CE6" w14:textId="70914F3E" w:rsidR="00AD788E" w:rsidRPr="00896F4A" w:rsidRDefault="00AD788E" w:rsidP="00AD788E">
            <w:pPr>
              <w:pStyle w:val="ListParagraph"/>
              <w:numPr>
                <w:ilvl w:val="0"/>
                <w:numId w:val="8"/>
              </w:numPr>
              <w:ind w:left="321" w:hanging="272"/>
              <w:rPr>
                <w:u w:val="single"/>
              </w:rPr>
            </w:pPr>
            <w:r w:rsidRPr="00896F4A">
              <w:rPr>
                <w:i/>
                <w:iCs/>
              </w:rPr>
              <w:t>Fund retrospective harvesting of Significant Policy Change and other outcomes.</w:t>
            </w:r>
            <w:r>
              <w:rPr>
                <w:i/>
                <w:iCs/>
              </w:rPr>
              <w:br/>
            </w:r>
          </w:p>
        </w:tc>
        <w:tc>
          <w:tcPr>
            <w:tcW w:w="1559" w:type="dxa"/>
            <w:shd w:val="clear" w:color="auto" w:fill="92D050"/>
            <w:vAlign w:val="center"/>
          </w:tcPr>
          <w:p w14:paraId="5B0A5453" w14:textId="4046F553" w:rsidR="00AD788E" w:rsidRPr="007F72BF" w:rsidRDefault="00AD788E" w:rsidP="00AD788E">
            <w:pPr>
              <w:jc w:val="center"/>
              <w:rPr>
                <w:highlight w:val="yellow"/>
                <w:u w:val="single"/>
              </w:rPr>
            </w:pPr>
            <w:r>
              <w:rPr>
                <w:u w:val="single"/>
              </w:rPr>
              <w:t>Agree</w:t>
            </w:r>
          </w:p>
        </w:tc>
        <w:tc>
          <w:tcPr>
            <w:tcW w:w="3402" w:type="dxa"/>
            <w:shd w:val="clear" w:color="auto" w:fill="DEEAF6" w:themeFill="accent1" w:themeFillTint="33"/>
          </w:tcPr>
          <w:p w14:paraId="37BE7DD1" w14:textId="21C8481A" w:rsidR="00AD788E" w:rsidRDefault="00730361" w:rsidP="00AD788E">
            <w:r>
              <w:t xml:space="preserve">DFAT agrees with the IMTR’s conclusion that case studies, results </w:t>
            </w:r>
            <w:r w:rsidR="00AF3038">
              <w:t>harvesting,</w:t>
            </w:r>
            <w:r>
              <w:t xml:space="preserve"> and Significant Policy Changes provide useful reflections on ABIP performance, both successes and failures.</w:t>
            </w:r>
          </w:p>
          <w:p w14:paraId="3273D4BF" w14:textId="77777777" w:rsidR="00730361" w:rsidRDefault="00730361" w:rsidP="00AD788E">
            <w:pPr>
              <w:rPr>
                <w:highlight w:val="yellow"/>
              </w:rPr>
            </w:pPr>
          </w:p>
          <w:p w14:paraId="3651ED03" w14:textId="21ED94D8" w:rsidR="00730361" w:rsidRPr="00AF3038" w:rsidRDefault="00730361" w:rsidP="00AF3038">
            <w:pPr>
              <w:tabs>
                <w:tab w:val="left" w:pos="284"/>
              </w:tabs>
              <w:spacing w:after="60" w:line="280" w:lineRule="exact"/>
              <w:rPr>
                <w:highlight w:val="yellow"/>
              </w:rPr>
            </w:pPr>
          </w:p>
        </w:tc>
        <w:tc>
          <w:tcPr>
            <w:tcW w:w="4253" w:type="dxa"/>
            <w:shd w:val="clear" w:color="auto" w:fill="DEEAF6" w:themeFill="accent1" w:themeFillTint="33"/>
          </w:tcPr>
          <w:p w14:paraId="7FFE6567" w14:textId="53949FD1" w:rsidR="00AD788E" w:rsidRPr="00C0724F" w:rsidRDefault="00730361" w:rsidP="00AD788E">
            <w:pPr>
              <w:rPr>
                <w:i/>
                <w:iCs/>
              </w:rPr>
            </w:pPr>
            <w:r>
              <w:t>DFAT and the World Bank will consider retrospective harvesting of Significant Policy Changes and other outcomes as part of the monitoring and evaluation workshop undertake to refresh the TOC and Results Framework.</w:t>
            </w:r>
          </w:p>
        </w:tc>
        <w:tc>
          <w:tcPr>
            <w:tcW w:w="1701" w:type="dxa"/>
            <w:shd w:val="clear" w:color="auto" w:fill="DEEAF6" w:themeFill="accent1" w:themeFillTint="33"/>
          </w:tcPr>
          <w:p w14:paraId="5D850E09" w14:textId="19F9DBB6" w:rsidR="00AD788E" w:rsidRPr="00AF3038" w:rsidRDefault="00730361" w:rsidP="00AD788E">
            <w:r>
              <w:t xml:space="preserve">Early </w:t>
            </w:r>
            <w:r w:rsidR="000043B3" w:rsidRPr="00AF3038">
              <w:t>2023</w:t>
            </w:r>
          </w:p>
        </w:tc>
      </w:tr>
      <w:tr w:rsidR="00073F13" w14:paraId="48076846" w14:textId="77777777" w:rsidTr="00D35C99">
        <w:tc>
          <w:tcPr>
            <w:tcW w:w="4820" w:type="dxa"/>
            <w:shd w:val="clear" w:color="auto" w:fill="9CC2E5" w:themeFill="accent1" w:themeFillTint="99"/>
          </w:tcPr>
          <w:p w14:paraId="53C268C3" w14:textId="77777777" w:rsidR="00DE4985" w:rsidRDefault="00DE4985" w:rsidP="00DE4985">
            <w:pPr>
              <w:ind w:left="323" w:hanging="323"/>
              <w:rPr>
                <w:u w:val="single"/>
              </w:rPr>
            </w:pPr>
            <w:r>
              <w:rPr>
                <w:u w:val="single"/>
              </w:rPr>
              <w:t>Opportunity</w:t>
            </w:r>
          </w:p>
          <w:p w14:paraId="59F1565A" w14:textId="4A1BC343" w:rsidR="001F10AA" w:rsidRPr="00035D3B" w:rsidRDefault="001F10AA" w:rsidP="001F10AA">
            <w:pPr>
              <w:spacing w:after="120"/>
              <w:ind w:hanging="2"/>
            </w:pPr>
            <w:r w:rsidRPr="00035D3B">
              <w:t>A stronger narrative about how ABIP is contributing to Bank lending would assist DFAT to put activities into context and demonstrate the relevance of the investment</w:t>
            </w:r>
            <w:r w:rsidR="00FD22E1" w:rsidRPr="00035D3B">
              <w:t>.</w:t>
            </w:r>
          </w:p>
          <w:p w14:paraId="4EFD808A" w14:textId="443C8236" w:rsidR="00FD22E1" w:rsidRPr="00FD22E1" w:rsidRDefault="00FD22E1" w:rsidP="00FD22E1">
            <w:pPr>
              <w:spacing w:after="120"/>
              <w:ind w:left="323" w:hanging="323"/>
              <w:rPr>
                <w:b/>
                <w:bCs/>
                <w:u w:val="single"/>
              </w:rPr>
            </w:pPr>
            <w:r w:rsidRPr="00FD22E1">
              <w:rPr>
                <w:b/>
                <w:bCs/>
                <w:u w:val="single"/>
              </w:rPr>
              <w:t>Recommendation 12</w:t>
            </w:r>
          </w:p>
          <w:p w14:paraId="7D56D397" w14:textId="346230A8" w:rsidR="00073F13" w:rsidRPr="00825FF9" w:rsidRDefault="0070355A" w:rsidP="00F7182E">
            <w:pPr>
              <w:pStyle w:val="ListParagraph"/>
              <w:numPr>
                <w:ilvl w:val="0"/>
                <w:numId w:val="7"/>
              </w:numPr>
              <w:ind w:left="321" w:hanging="284"/>
              <w:rPr>
                <w:u w:val="single"/>
              </w:rPr>
            </w:pPr>
            <w:r w:rsidRPr="0070355A">
              <w:rPr>
                <w:i/>
                <w:iCs/>
              </w:rPr>
              <w:t>Enhance the narrative on ABIP contribution to lending.</w:t>
            </w:r>
          </w:p>
        </w:tc>
        <w:tc>
          <w:tcPr>
            <w:tcW w:w="1559" w:type="dxa"/>
            <w:shd w:val="clear" w:color="auto" w:fill="92D050"/>
          </w:tcPr>
          <w:p w14:paraId="07003C26" w14:textId="6E7438BC" w:rsidR="00073F13" w:rsidRDefault="00055B27" w:rsidP="006F107F">
            <w:pPr>
              <w:jc w:val="center"/>
              <w:rPr>
                <w:u w:val="single"/>
              </w:rPr>
            </w:pPr>
            <w:r>
              <w:rPr>
                <w:u w:val="single"/>
              </w:rPr>
              <w:t>Agree</w:t>
            </w:r>
          </w:p>
        </w:tc>
        <w:tc>
          <w:tcPr>
            <w:tcW w:w="3402" w:type="dxa"/>
            <w:shd w:val="clear" w:color="auto" w:fill="9CC2E5" w:themeFill="accent1" w:themeFillTint="99"/>
          </w:tcPr>
          <w:p w14:paraId="509023A0" w14:textId="41FAD758" w:rsidR="00730361" w:rsidRDefault="00730361" w:rsidP="00813BA8">
            <w:pPr>
              <w:rPr>
                <w:rFonts w:eastAsia="Times New Roman" w:cs="Times New Roman"/>
                <w:szCs w:val="24"/>
              </w:rPr>
            </w:pPr>
            <w:r>
              <w:t>DFAT agrees that more fulsome reporting on how ABIP activities contribute to the development or implementation of lending operations would assist DFAT and the World Bank to place ABIP’s activities in both Australia and the World Bank’s broader development assistance and financing work.</w:t>
            </w:r>
          </w:p>
          <w:p w14:paraId="2F102DAF" w14:textId="10776CA8" w:rsidR="00730361" w:rsidRPr="00813BA8" w:rsidRDefault="00730361"/>
        </w:tc>
        <w:tc>
          <w:tcPr>
            <w:tcW w:w="4253" w:type="dxa"/>
            <w:shd w:val="clear" w:color="auto" w:fill="9CC2E5" w:themeFill="accent1" w:themeFillTint="99"/>
          </w:tcPr>
          <w:p w14:paraId="1AB56F0A" w14:textId="1AC95B7C" w:rsidR="00073F13" w:rsidRPr="006C171C" w:rsidRDefault="00730361" w:rsidP="00073F13">
            <w:pPr>
              <w:rPr>
                <w:i/>
                <w:iCs/>
              </w:rPr>
            </w:pPr>
            <w:r>
              <w:t xml:space="preserve">DFAT and the World Bank will consider how to capture </w:t>
            </w:r>
            <w:r w:rsidR="00813BA8">
              <w:t>ABIP activity contributions to the development or implementing of lending operations</w:t>
            </w:r>
            <w:r>
              <w:t xml:space="preserve"> as part of the monitoring and evaluation workshop undertake</w:t>
            </w:r>
            <w:r w:rsidR="00066375">
              <w:t>n</w:t>
            </w:r>
            <w:r>
              <w:t xml:space="preserve"> to refresh the TOC and Results Framework.</w:t>
            </w:r>
          </w:p>
        </w:tc>
        <w:tc>
          <w:tcPr>
            <w:tcW w:w="1701" w:type="dxa"/>
            <w:shd w:val="clear" w:color="auto" w:fill="9CC2E5" w:themeFill="accent1" w:themeFillTint="99"/>
          </w:tcPr>
          <w:p w14:paraId="3D718BA7" w14:textId="10C306BB" w:rsidR="00073F13" w:rsidRPr="0086429F" w:rsidRDefault="00813BA8" w:rsidP="00073F13">
            <w:r>
              <w:t xml:space="preserve">Early </w:t>
            </w:r>
            <w:r w:rsidRPr="00623BE9">
              <w:t>2023</w:t>
            </w:r>
          </w:p>
        </w:tc>
      </w:tr>
    </w:tbl>
    <w:p w14:paraId="4051335E" w14:textId="140113D7" w:rsidR="000B4F49" w:rsidRDefault="000B4F49" w:rsidP="00FF7B85">
      <w:pPr>
        <w:spacing w:after="0"/>
      </w:pPr>
    </w:p>
    <w:p w14:paraId="0862E65E" w14:textId="5961D192" w:rsidR="00627A06" w:rsidRDefault="00627A06" w:rsidP="00FF7B85">
      <w:pPr>
        <w:spacing w:after="0"/>
      </w:pPr>
      <w:r>
        <w:t>[Ends]</w:t>
      </w:r>
    </w:p>
    <w:sectPr w:rsidR="00627A06" w:rsidSect="00FE5BE6">
      <w:footerReference w:type="default" r:id="rId8"/>
      <w:pgSz w:w="16838" w:h="11906" w:orient="landscape"/>
      <w:pgMar w:top="567" w:right="536" w:bottom="426" w:left="567"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3FEA" w14:textId="77777777" w:rsidR="006E2F59" w:rsidRDefault="006E2F59" w:rsidP="00DE1FA5">
      <w:pPr>
        <w:spacing w:after="0" w:line="240" w:lineRule="auto"/>
      </w:pPr>
      <w:r>
        <w:separator/>
      </w:r>
    </w:p>
  </w:endnote>
  <w:endnote w:type="continuationSeparator" w:id="0">
    <w:p w14:paraId="79C2C104" w14:textId="77777777" w:rsidR="006E2F59" w:rsidRDefault="006E2F59" w:rsidP="00DE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413F" w14:textId="6A14F5D1" w:rsidR="00FE5BE6" w:rsidRDefault="00FE5BE6">
    <w:pPr>
      <w:pStyle w:val="Footer"/>
      <w:pBdr>
        <w:top w:val="single" w:sz="4" w:space="1" w:color="D9D9D9" w:themeColor="background1" w:themeShade="D9"/>
      </w:pBdr>
      <w:jc w:val="right"/>
    </w:pPr>
    <w:r>
      <w:t xml:space="preserve">    </w:t>
    </w:r>
    <w:r w:rsidRPr="00FE5BE6">
      <w:rPr>
        <w:sz w:val="18"/>
        <w:szCs w:val="18"/>
      </w:rPr>
      <w:t>Management</w:t>
    </w:r>
    <w:r w:rsidR="005C3B70">
      <w:rPr>
        <w:sz w:val="18"/>
        <w:szCs w:val="18"/>
      </w:rPr>
      <w:t>’</w:t>
    </w:r>
    <w:r w:rsidRPr="00FE5BE6">
      <w:rPr>
        <w:sz w:val="18"/>
        <w:szCs w:val="18"/>
      </w:rPr>
      <w:t>s Response ABIP IMTR 2022</w:t>
    </w:r>
    <w:r>
      <w:t xml:space="preserve">              </w:t>
    </w:r>
    <w:sdt>
      <w:sdtPr>
        <w:id w:val="-1543518767"/>
        <w:docPartObj>
          <w:docPartGallery w:val="Page Numbers (Bottom of Page)"/>
          <w:docPartUnique/>
        </w:docPartObj>
      </w:sdtPr>
      <w:sdtEndPr>
        <w:rPr>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sidRPr="005919D2">
          <w:rPr>
            <w:spacing w:val="60"/>
          </w:rPr>
          <w:t>Page</w:t>
        </w:r>
      </w:sdtContent>
    </w:sdt>
  </w:p>
  <w:p w14:paraId="202FB274" w14:textId="77777777" w:rsidR="0058414F" w:rsidRDefault="0058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FF20" w14:textId="77777777" w:rsidR="006E2F59" w:rsidRDefault="006E2F59" w:rsidP="00DE1FA5">
      <w:pPr>
        <w:spacing w:after="0" w:line="240" w:lineRule="auto"/>
      </w:pPr>
      <w:r>
        <w:separator/>
      </w:r>
    </w:p>
  </w:footnote>
  <w:footnote w:type="continuationSeparator" w:id="0">
    <w:p w14:paraId="4F18620B" w14:textId="77777777" w:rsidR="006E2F59" w:rsidRDefault="006E2F59" w:rsidP="00DE1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6AA"/>
    <w:multiLevelType w:val="hybridMultilevel"/>
    <w:tmpl w:val="9FC00288"/>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332DAA"/>
    <w:multiLevelType w:val="hybridMultilevel"/>
    <w:tmpl w:val="926A97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A86F01"/>
    <w:multiLevelType w:val="hybridMultilevel"/>
    <w:tmpl w:val="BDE8F946"/>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6058C6"/>
    <w:multiLevelType w:val="hybridMultilevel"/>
    <w:tmpl w:val="9FC00288"/>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5B65A0"/>
    <w:multiLevelType w:val="hybridMultilevel"/>
    <w:tmpl w:val="0FA80872"/>
    <w:lvl w:ilvl="0" w:tplc="0C09001B">
      <w:start w:val="1"/>
      <w:numFmt w:val="lowerRoman"/>
      <w:lvlText w:val="%1."/>
      <w:lvlJc w:val="righ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DF73E2"/>
    <w:multiLevelType w:val="hybridMultilevel"/>
    <w:tmpl w:val="91DC0990"/>
    <w:lvl w:ilvl="0" w:tplc="0C09001B">
      <w:start w:val="1"/>
      <w:numFmt w:val="lowerRoman"/>
      <w:lvlText w:val="%1."/>
      <w:lvlJc w:val="righ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3B288A"/>
    <w:multiLevelType w:val="hybridMultilevel"/>
    <w:tmpl w:val="09DCA7FC"/>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4B6F91"/>
    <w:multiLevelType w:val="hybridMultilevel"/>
    <w:tmpl w:val="09DCA7FC"/>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4C4BCF"/>
    <w:multiLevelType w:val="hybridMultilevel"/>
    <w:tmpl w:val="5BECC3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E608AA"/>
    <w:multiLevelType w:val="hybridMultilevel"/>
    <w:tmpl w:val="5BECC3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2020C3"/>
    <w:multiLevelType w:val="hybridMultilevel"/>
    <w:tmpl w:val="09DCA7FC"/>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3E5C75"/>
    <w:multiLevelType w:val="hybridMultilevel"/>
    <w:tmpl w:val="926A97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4349F0"/>
    <w:multiLevelType w:val="hybridMultilevel"/>
    <w:tmpl w:val="09DCA7FC"/>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F00911"/>
    <w:multiLevelType w:val="hybridMultilevel"/>
    <w:tmpl w:val="5BECC3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BC0196"/>
    <w:multiLevelType w:val="hybridMultilevel"/>
    <w:tmpl w:val="09DCA7FC"/>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B65418"/>
    <w:multiLevelType w:val="hybridMultilevel"/>
    <w:tmpl w:val="16287C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36BE2"/>
    <w:multiLevelType w:val="hybridMultilevel"/>
    <w:tmpl w:val="5BECC3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D33ECC"/>
    <w:multiLevelType w:val="hybridMultilevel"/>
    <w:tmpl w:val="5BECC3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DD408E"/>
    <w:multiLevelType w:val="hybridMultilevel"/>
    <w:tmpl w:val="91DC0990"/>
    <w:lvl w:ilvl="0" w:tplc="0C09001B">
      <w:start w:val="1"/>
      <w:numFmt w:val="lowerRoman"/>
      <w:lvlText w:val="%1."/>
      <w:lvlJc w:val="righ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9A7E13"/>
    <w:multiLevelType w:val="hybridMultilevel"/>
    <w:tmpl w:val="5BECC3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F61829"/>
    <w:multiLevelType w:val="hybridMultilevel"/>
    <w:tmpl w:val="5BECC3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FC0B2A"/>
    <w:multiLevelType w:val="hybridMultilevel"/>
    <w:tmpl w:val="F7F2C65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E0415F"/>
    <w:multiLevelType w:val="hybridMultilevel"/>
    <w:tmpl w:val="7B68D9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3648ED"/>
    <w:multiLevelType w:val="hybridMultilevel"/>
    <w:tmpl w:val="BDE8F946"/>
    <w:lvl w:ilvl="0" w:tplc="6C78ADAA">
      <w:start w:val="1"/>
      <w:numFmt w:val="lowerLetter"/>
      <w:lvlText w:val="%1."/>
      <w:lvlJc w:val="left"/>
      <w:pPr>
        <w:ind w:left="720" w:hanging="360"/>
      </w:pPr>
      <w:rPr>
        <w:rFonts w:ascii="Calibri" w:hAnsi="Calibri" w:cs="Calibr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FF57BA"/>
    <w:multiLevelType w:val="hybridMultilevel"/>
    <w:tmpl w:val="7B68D9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926640"/>
    <w:multiLevelType w:val="hybridMultilevel"/>
    <w:tmpl w:val="5BECC3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9"/>
  </w:num>
  <w:num w:numId="5">
    <w:abstractNumId w:val="17"/>
  </w:num>
  <w:num w:numId="6">
    <w:abstractNumId w:val="25"/>
  </w:num>
  <w:num w:numId="7">
    <w:abstractNumId w:val="13"/>
  </w:num>
  <w:num w:numId="8">
    <w:abstractNumId w:val="16"/>
  </w:num>
  <w:num w:numId="9">
    <w:abstractNumId w:val="11"/>
  </w:num>
  <w:num w:numId="10">
    <w:abstractNumId w:val="15"/>
  </w:num>
  <w:num w:numId="11">
    <w:abstractNumId w:val="3"/>
  </w:num>
  <w:num w:numId="12">
    <w:abstractNumId w:val="21"/>
  </w:num>
  <w:num w:numId="13">
    <w:abstractNumId w:val="24"/>
  </w:num>
  <w:num w:numId="14">
    <w:abstractNumId w:val="22"/>
  </w:num>
  <w:num w:numId="15">
    <w:abstractNumId w:val="14"/>
  </w:num>
  <w:num w:numId="16">
    <w:abstractNumId w:val="0"/>
  </w:num>
  <w:num w:numId="17">
    <w:abstractNumId w:val="7"/>
  </w:num>
  <w:num w:numId="18">
    <w:abstractNumId w:val="6"/>
  </w:num>
  <w:num w:numId="19">
    <w:abstractNumId w:val="23"/>
  </w:num>
  <w:num w:numId="20">
    <w:abstractNumId w:val="12"/>
  </w:num>
  <w:num w:numId="21">
    <w:abstractNumId w:val="10"/>
  </w:num>
  <w:num w:numId="22">
    <w:abstractNumId w:val="1"/>
  </w:num>
  <w:num w:numId="23">
    <w:abstractNumId w:val="18"/>
  </w:num>
  <w:num w:numId="24">
    <w:abstractNumId w:val="4"/>
  </w:num>
  <w:num w:numId="25">
    <w:abstractNumId w:val="2"/>
  </w:num>
  <w:num w:numId="26">
    <w:abstractNumId w:val="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85"/>
    <w:rsid w:val="00000E02"/>
    <w:rsid w:val="000043B3"/>
    <w:rsid w:val="00004AEB"/>
    <w:rsid w:val="0000602F"/>
    <w:rsid w:val="000102DB"/>
    <w:rsid w:val="00010521"/>
    <w:rsid w:val="0001697D"/>
    <w:rsid w:val="00017880"/>
    <w:rsid w:val="00020F36"/>
    <w:rsid w:val="00030E10"/>
    <w:rsid w:val="00035D3B"/>
    <w:rsid w:val="00040149"/>
    <w:rsid w:val="0005461B"/>
    <w:rsid w:val="00054F1F"/>
    <w:rsid w:val="00055B27"/>
    <w:rsid w:val="00057DD7"/>
    <w:rsid w:val="00061854"/>
    <w:rsid w:val="00061A49"/>
    <w:rsid w:val="0006483D"/>
    <w:rsid w:val="00065DD4"/>
    <w:rsid w:val="00066375"/>
    <w:rsid w:val="00066BEB"/>
    <w:rsid w:val="0007153B"/>
    <w:rsid w:val="00071A69"/>
    <w:rsid w:val="00073F13"/>
    <w:rsid w:val="00076D1C"/>
    <w:rsid w:val="000804F1"/>
    <w:rsid w:val="0008284F"/>
    <w:rsid w:val="00083AAD"/>
    <w:rsid w:val="00083E68"/>
    <w:rsid w:val="000848A2"/>
    <w:rsid w:val="00086A15"/>
    <w:rsid w:val="00094035"/>
    <w:rsid w:val="00097841"/>
    <w:rsid w:val="000A11FB"/>
    <w:rsid w:val="000A3137"/>
    <w:rsid w:val="000A3E8F"/>
    <w:rsid w:val="000A69BF"/>
    <w:rsid w:val="000A7B24"/>
    <w:rsid w:val="000B02F2"/>
    <w:rsid w:val="000B4F49"/>
    <w:rsid w:val="000C252A"/>
    <w:rsid w:val="000C4FFF"/>
    <w:rsid w:val="000C57EA"/>
    <w:rsid w:val="000C6517"/>
    <w:rsid w:val="000D0EC3"/>
    <w:rsid w:val="000D33D7"/>
    <w:rsid w:val="000D4F76"/>
    <w:rsid w:val="000D753E"/>
    <w:rsid w:val="000E2D63"/>
    <w:rsid w:val="000E399F"/>
    <w:rsid w:val="000E45DF"/>
    <w:rsid w:val="000E4962"/>
    <w:rsid w:val="000E5B51"/>
    <w:rsid w:val="000E6E98"/>
    <w:rsid w:val="000F1F07"/>
    <w:rsid w:val="001035D5"/>
    <w:rsid w:val="00104EBF"/>
    <w:rsid w:val="00107960"/>
    <w:rsid w:val="001109BF"/>
    <w:rsid w:val="00112440"/>
    <w:rsid w:val="00123C36"/>
    <w:rsid w:val="00127CD1"/>
    <w:rsid w:val="00131DE0"/>
    <w:rsid w:val="00135770"/>
    <w:rsid w:val="0013707C"/>
    <w:rsid w:val="001408D4"/>
    <w:rsid w:val="00141C15"/>
    <w:rsid w:val="0014221C"/>
    <w:rsid w:val="00146B46"/>
    <w:rsid w:val="00151394"/>
    <w:rsid w:val="001566B3"/>
    <w:rsid w:val="00157D6D"/>
    <w:rsid w:val="00161D24"/>
    <w:rsid w:val="00164E5A"/>
    <w:rsid w:val="00170B5F"/>
    <w:rsid w:val="0017535B"/>
    <w:rsid w:val="001768A6"/>
    <w:rsid w:val="00177F9C"/>
    <w:rsid w:val="0018550A"/>
    <w:rsid w:val="00192F26"/>
    <w:rsid w:val="001A072F"/>
    <w:rsid w:val="001A5AF7"/>
    <w:rsid w:val="001A7580"/>
    <w:rsid w:val="001B473B"/>
    <w:rsid w:val="001B5139"/>
    <w:rsid w:val="001B54A7"/>
    <w:rsid w:val="001B786E"/>
    <w:rsid w:val="001C788C"/>
    <w:rsid w:val="001C7DB5"/>
    <w:rsid w:val="001D4EDB"/>
    <w:rsid w:val="001D6063"/>
    <w:rsid w:val="001D64C2"/>
    <w:rsid w:val="001E4229"/>
    <w:rsid w:val="001F08D0"/>
    <w:rsid w:val="001F10AA"/>
    <w:rsid w:val="001F209E"/>
    <w:rsid w:val="002007D3"/>
    <w:rsid w:val="002033B6"/>
    <w:rsid w:val="0020394E"/>
    <w:rsid w:val="00206691"/>
    <w:rsid w:val="00217473"/>
    <w:rsid w:val="002179A3"/>
    <w:rsid w:val="0022128E"/>
    <w:rsid w:val="00223DD4"/>
    <w:rsid w:val="00233E80"/>
    <w:rsid w:val="00235C4A"/>
    <w:rsid w:val="00237576"/>
    <w:rsid w:val="0024295A"/>
    <w:rsid w:val="00245DA1"/>
    <w:rsid w:val="00251B13"/>
    <w:rsid w:val="00261A72"/>
    <w:rsid w:val="002643DC"/>
    <w:rsid w:val="002646E5"/>
    <w:rsid w:val="00270C4A"/>
    <w:rsid w:val="00272922"/>
    <w:rsid w:val="00275354"/>
    <w:rsid w:val="00276006"/>
    <w:rsid w:val="002845F7"/>
    <w:rsid w:val="002908AE"/>
    <w:rsid w:val="002913E9"/>
    <w:rsid w:val="002922EB"/>
    <w:rsid w:val="00295B23"/>
    <w:rsid w:val="00297F91"/>
    <w:rsid w:val="002A1FC3"/>
    <w:rsid w:val="002A745B"/>
    <w:rsid w:val="002A7EC0"/>
    <w:rsid w:val="002B2B49"/>
    <w:rsid w:val="002B2E20"/>
    <w:rsid w:val="002B3388"/>
    <w:rsid w:val="002B540C"/>
    <w:rsid w:val="002C065A"/>
    <w:rsid w:val="002C1F76"/>
    <w:rsid w:val="002C20A7"/>
    <w:rsid w:val="002C3133"/>
    <w:rsid w:val="002D4F12"/>
    <w:rsid w:val="002D66CE"/>
    <w:rsid w:val="002E1F53"/>
    <w:rsid w:val="002E2490"/>
    <w:rsid w:val="002E31B0"/>
    <w:rsid w:val="002E6D11"/>
    <w:rsid w:val="002E7FE8"/>
    <w:rsid w:val="002F35F1"/>
    <w:rsid w:val="002F5773"/>
    <w:rsid w:val="002F5CF3"/>
    <w:rsid w:val="00301C4D"/>
    <w:rsid w:val="0030534A"/>
    <w:rsid w:val="0031248E"/>
    <w:rsid w:val="003128EF"/>
    <w:rsid w:val="00313130"/>
    <w:rsid w:val="003152DB"/>
    <w:rsid w:val="00321F37"/>
    <w:rsid w:val="00323B1A"/>
    <w:rsid w:val="00324952"/>
    <w:rsid w:val="00332A82"/>
    <w:rsid w:val="0034351B"/>
    <w:rsid w:val="003451BB"/>
    <w:rsid w:val="00351060"/>
    <w:rsid w:val="00352404"/>
    <w:rsid w:val="00353FC7"/>
    <w:rsid w:val="00356DDB"/>
    <w:rsid w:val="0036195E"/>
    <w:rsid w:val="0036225E"/>
    <w:rsid w:val="003847C9"/>
    <w:rsid w:val="00392192"/>
    <w:rsid w:val="00392C45"/>
    <w:rsid w:val="00393F18"/>
    <w:rsid w:val="00394010"/>
    <w:rsid w:val="00395429"/>
    <w:rsid w:val="003A4498"/>
    <w:rsid w:val="003A4A2C"/>
    <w:rsid w:val="003A72EC"/>
    <w:rsid w:val="003B0BC1"/>
    <w:rsid w:val="003B2004"/>
    <w:rsid w:val="003B4700"/>
    <w:rsid w:val="003C3FE5"/>
    <w:rsid w:val="003C43C8"/>
    <w:rsid w:val="003D318D"/>
    <w:rsid w:val="003E3197"/>
    <w:rsid w:val="003E344F"/>
    <w:rsid w:val="003E58C3"/>
    <w:rsid w:val="003F1AB2"/>
    <w:rsid w:val="003F2905"/>
    <w:rsid w:val="003F4FE4"/>
    <w:rsid w:val="003F7B70"/>
    <w:rsid w:val="004001AB"/>
    <w:rsid w:val="00402B26"/>
    <w:rsid w:val="00403507"/>
    <w:rsid w:val="00404EE5"/>
    <w:rsid w:val="00407FC4"/>
    <w:rsid w:val="00412F2F"/>
    <w:rsid w:val="004138FD"/>
    <w:rsid w:val="0042719E"/>
    <w:rsid w:val="00433601"/>
    <w:rsid w:val="0044006A"/>
    <w:rsid w:val="00440A8B"/>
    <w:rsid w:val="00441284"/>
    <w:rsid w:val="0045063D"/>
    <w:rsid w:val="004521EF"/>
    <w:rsid w:val="004566F4"/>
    <w:rsid w:val="00457BF3"/>
    <w:rsid w:val="00470E77"/>
    <w:rsid w:val="00471B1C"/>
    <w:rsid w:val="00472D10"/>
    <w:rsid w:val="00481EE7"/>
    <w:rsid w:val="004824D0"/>
    <w:rsid w:val="00483F85"/>
    <w:rsid w:val="004900EB"/>
    <w:rsid w:val="00496196"/>
    <w:rsid w:val="004A56C6"/>
    <w:rsid w:val="004A7D4E"/>
    <w:rsid w:val="004B0697"/>
    <w:rsid w:val="004B0B23"/>
    <w:rsid w:val="004B0E1C"/>
    <w:rsid w:val="004B2354"/>
    <w:rsid w:val="004B3538"/>
    <w:rsid w:val="004C1245"/>
    <w:rsid w:val="004C5138"/>
    <w:rsid w:val="004D00A9"/>
    <w:rsid w:val="004D0EC4"/>
    <w:rsid w:val="004D3D26"/>
    <w:rsid w:val="004D6D57"/>
    <w:rsid w:val="004E0568"/>
    <w:rsid w:val="004E13B7"/>
    <w:rsid w:val="004E3C3D"/>
    <w:rsid w:val="004E46AB"/>
    <w:rsid w:val="004F15A8"/>
    <w:rsid w:val="004F17F8"/>
    <w:rsid w:val="004F3000"/>
    <w:rsid w:val="004F6D1E"/>
    <w:rsid w:val="004F720B"/>
    <w:rsid w:val="00504C64"/>
    <w:rsid w:val="00510EF8"/>
    <w:rsid w:val="0051513C"/>
    <w:rsid w:val="0051777F"/>
    <w:rsid w:val="00517891"/>
    <w:rsid w:val="00525F3D"/>
    <w:rsid w:val="00526E1C"/>
    <w:rsid w:val="005308FE"/>
    <w:rsid w:val="00531DA6"/>
    <w:rsid w:val="005323BD"/>
    <w:rsid w:val="0053259C"/>
    <w:rsid w:val="00536F6F"/>
    <w:rsid w:val="00542B6B"/>
    <w:rsid w:val="00545607"/>
    <w:rsid w:val="0054775C"/>
    <w:rsid w:val="00554A18"/>
    <w:rsid w:val="00562AA9"/>
    <w:rsid w:val="0056647D"/>
    <w:rsid w:val="005677CB"/>
    <w:rsid w:val="00574A62"/>
    <w:rsid w:val="00575BF4"/>
    <w:rsid w:val="00577C57"/>
    <w:rsid w:val="00582BAD"/>
    <w:rsid w:val="0058414F"/>
    <w:rsid w:val="005919D2"/>
    <w:rsid w:val="005950CB"/>
    <w:rsid w:val="005953CE"/>
    <w:rsid w:val="00596AFA"/>
    <w:rsid w:val="005A0505"/>
    <w:rsid w:val="005A6FC5"/>
    <w:rsid w:val="005B3376"/>
    <w:rsid w:val="005B4CDC"/>
    <w:rsid w:val="005B5B04"/>
    <w:rsid w:val="005B5E56"/>
    <w:rsid w:val="005C092E"/>
    <w:rsid w:val="005C3877"/>
    <w:rsid w:val="005C3B70"/>
    <w:rsid w:val="005C460D"/>
    <w:rsid w:val="005D154A"/>
    <w:rsid w:val="005D4043"/>
    <w:rsid w:val="005D436D"/>
    <w:rsid w:val="005E03C4"/>
    <w:rsid w:val="005E0934"/>
    <w:rsid w:val="005E49F4"/>
    <w:rsid w:val="005E73C8"/>
    <w:rsid w:val="005F0B97"/>
    <w:rsid w:val="005F1292"/>
    <w:rsid w:val="005F2225"/>
    <w:rsid w:val="005F2DEE"/>
    <w:rsid w:val="005F5F9A"/>
    <w:rsid w:val="00603312"/>
    <w:rsid w:val="006062AB"/>
    <w:rsid w:val="00606434"/>
    <w:rsid w:val="00606855"/>
    <w:rsid w:val="006075DC"/>
    <w:rsid w:val="00613F28"/>
    <w:rsid w:val="006168F7"/>
    <w:rsid w:val="0061715D"/>
    <w:rsid w:val="006173CF"/>
    <w:rsid w:val="00620CDB"/>
    <w:rsid w:val="00627A06"/>
    <w:rsid w:val="0063156F"/>
    <w:rsid w:val="00633191"/>
    <w:rsid w:val="00634F4E"/>
    <w:rsid w:val="006365A0"/>
    <w:rsid w:val="006375A6"/>
    <w:rsid w:val="00641950"/>
    <w:rsid w:val="00643C73"/>
    <w:rsid w:val="00645E5F"/>
    <w:rsid w:val="00651A92"/>
    <w:rsid w:val="0065212D"/>
    <w:rsid w:val="00654FE1"/>
    <w:rsid w:val="006554E6"/>
    <w:rsid w:val="00655DF2"/>
    <w:rsid w:val="006579C8"/>
    <w:rsid w:val="006613BC"/>
    <w:rsid w:val="00665F3D"/>
    <w:rsid w:val="00666722"/>
    <w:rsid w:val="00666CF4"/>
    <w:rsid w:val="00673196"/>
    <w:rsid w:val="006772B7"/>
    <w:rsid w:val="0068209F"/>
    <w:rsid w:val="00682F66"/>
    <w:rsid w:val="00682F83"/>
    <w:rsid w:val="006A6957"/>
    <w:rsid w:val="006A6A16"/>
    <w:rsid w:val="006A7BEA"/>
    <w:rsid w:val="006B0A4B"/>
    <w:rsid w:val="006B1E8F"/>
    <w:rsid w:val="006C069E"/>
    <w:rsid w:val="006C171C"/>
    <w:rsid w:val="006C29FA"/>
    <w:rsid w:val="006C3420"/>
    <w:rsid w:val="006C4D5C"/>
    <w:rsid w:val="006C4FB4"/>
    <w:rsid w:val="006C503E"/>
    <w:rsid w:val="006C618C"/>
    <w:rsid w:val="006C696A"/>
    <w:rsid w:val="006C6E82"/>
    <w:rsid w:val="006D04B2"/>
    <w:rsid w:val="006D1346"/>
    <w:rsid w:val="006D2959"/>
    <w:rsid w:val="006D6E6A"/>
    <w:rsid w:val="006E2F59"/>
    <w:rsid w:val="006E494D"/>
    <w:rsid w:val="006E732E"/>
    <w:rsid w:val="006F107F"/>
    <w:rsid w:val="006F57A8"/>
    <w:rsid w:val="006F5A2C"/>
    <w:rsid w:val="0070355A"/>
    <w:rsid w:val="007062C4"/>
    <w:rsid w:val="00710424"/>
    <w:rsid w:val="00710C73"/>
    <w:rsid w:val="00713553"/>
    <w:rsid w:val="007135E0"/>
    <w:rsid w:val="0071637F"/>
    <w:rsid w:val="007213EC"/>
    <w:rsid w:val="00730361"/>
    <w:rsid w:val="0073288B"/>
    <w:rsid w:val="00733600"/>
    <w:rsid w:val="007356F3"/>
    <w:rsid w:val="0074117B"/>
    <w:rsid w:val="00744E55"/>
    <w:rsid w:val="00744F2A"/>
    <w:rsid w:val="0075413F"/>
    <w:rsid w:val="0075598C"/>
    <w:rsid w:val="007712F1"/>
    <w:rsid w:val="007727A2"/>
    <w:rsid w:val="00776B38"/>
    <w:rsid w:val="00777B8F"/>
    <w:rsid w:val="00784770"/>
    <w:rsid w:val="0078545B"/>
    <w:rsid w:val="00786AD5"/>
    <w:rsid w:val="00786E45"/>
    <w:rsid w:val="00787CA5"/>
    <w:rsid w:val="00797577"/>
    <w:rsid w:val="007A29A7"/>
    <w:rsid w:val="007A3055"/>
    <w:rsid w:val="007A3DE5"/>
    <w:rsid w:val="007A459B"/>
    <w:rsid w:val="007B58B8"/>
    <w:rsid w:val="007B6F93"/>
    <w:rsid w:val="007C6D43"/>
    <w:rsid w:val="007C7BFD"/>
    <w:rsid w:val="007E448F"/>
    <w:rsid w:val="007E5D33"/>
    <w:rsid w:val="007F3CAC"/>
    <w:rsid w:val="007F4085"/>
    <w:rsid w:val="007F5FDE"/>
    <w:rsid w:val="007F72BF"/>
    <w:rsid w:val="00801D10"/>
    <w:rsid w:val="00805A55"/>
    <w:rsid w:val="008073E5"/>
    <w:rsid w:val="00810E49"/>
    <w:rsid w:val="00813BA8"/>
    <w:rsid w:val="00822FF9"/>
    <w:rsid w:val="00827A1D"/>
    <w:rsid w:val="0083209E"/>
    <w:rsid w:val="00832CB1"/>
    <w:rsid w:val="008438AC"/>
    <w:rsid w:val="00845F01"/>
    <w:rsid w:val="008469FD"/>
    <w:rsid w:val="008501E8"/>
    <w:rsid w:val="008570FA"/>
    <w:rsid w:val="00857B6A"/>
    <w:rsid w:val="00861118"/>
    <w:rsid w:val="008636EF"/>
    <w:rsid w:val="0086429F"/>
    <w:rsid w:val="00864CDB"/>
    <w:rsid w:val="008665F7"/>
    <w:rsid w:val="00866FDF"/>
    <w:rsid w:val="00870BEE"/>
    <w:rsid w:val="0087628F"/>
    <w:rsid w:val="00882264"/>
    <w:rsid w:val="00884124"/>
    <w:rsid w:val="00884DCF"/>
    <w:rsid w:val="00885DBD"/>
    <w:rsid w:val="00890B26"/>
    <w:rsid w:val="00895547"/>
    <w:rsid w:val="00896F4A"/>
    <w:rsid w:val="008A34AB"/>
    <w:rsid w:val="008A524E"/>
    <w:rsid w:val="008A6599"/>
    <w:rsid w:val="008B1255"/>
    <w:rsid w:val="008B170B"/>
    <w:rsid w:val="008B650D"/>
    <w:rsid w:val="008C03AE"/>
    <w:rsid w:val="008D498D"/>
    <w:rsid w:val="008D6959"/>
    <w:rsid w:val="008D77D7"/>
    <w:rsid w:val="008E47C4"/>
    <w:rsid w:val="008E633D"/>
    <w:rsid w:val="008F1479"/>
    <w:rsid w:val="008F59A5"/>
    <w:rsid w:val="008F5A38"/>
    <w:rsid w:val="00901684"/>
    <w:rsid w:val="00911E1A"/>
    <w:rsid w:val="009127BE"/>
    <w:rsid w:val="00917CF7"/>
    <w:rsid w:val="0092044E"/>
    <w:rsid w:val="009220FD"/>
    <w:rsid w:val="009304CB"/>
    <w:rsid w:val="009314DC"/>
    <w:rsid w:val="009320C9"/>
    <w:rsid w:val="00935247"/>
    <w:rsid w:val="00940144"/>
    <w:rsid w:val="009408B6"/>
    <w:rsid w:val="00942769"/>
    <w:rsid w:val="00942D44"/>
    <w:rsid w:val="00943F75"/>
    <w:rsid w:val="009453CB"/>
    <w:rsid w:val="0094617B"/>
    <w:rsid w:val="00952A27"/>
    <w:rsid w:val="00954D83"/>
    <w:rsid w:val="00956237"/>
    <w:rsid w:val="009605C9"/>
    <w:rsid w:val="00964EDA"/>
    <w:rsid w:val="00971AE5"/>
    <w:rsid w:val="009726EE"/>
    <w:rsid w:val="00976B91"/>
    <w:rsid w:val="00981946"/>
    <w:rsid w:val="00983CBE"/>
    <w:rsid w:val="00987401"/>
    <w:rsid w:val="00987B4F"/>
    <w:rsid w:val="009923E3"/>
    <w:rsid w:val="00993CD3"/>
    <w:rsid w:val="0099468E"/>
    <w:rsid w:val="009A2586"/>
    <w:rsid w:val="009A39EC"/>
    <w:rsid w:val="009B3170"/>
    <w:rsid w:val="009B3E95"/>
    <w:rsid w:val="009B542D"/>
    <w:rsid w:val="009B684A"/>
    <w:rsid w:val="009B771F"/>
    <w:rsid w:val="009C4A34"/>
    <w:rsid w:val="009C648A"/>
    <w:rsid w:val="009D07FF"/>
    <w:rsid w:val="009D4CD6"/>
    <w:rsid w:val="009D4F90"/>
    <w:rsid w:val="009D68FC"/>
    <w:rsid w:val="009D7F84"/>
    <w:rsid w:val="009E54C4"/>
    <w:rsid w:val="009F2009"/>
    <w:rsid w:val="009F3DA2"/>
    <w:rsid w:val="009F642B"/>
    <w:rsid w:val="009F691F"/>
    <w:rsid w:val="00A0121D"/>
    <w:rsid w:val="00A01E5C"/>
    <w:rsid w:val="00A02651"/>
    <w:rsid w:val="00A05FB6"/>
    <w:rsid w:val="00A07D9F"/>
    <w:rsid w:val="00A13232"/>
    <w:rsid w:val="00A14703"/>
    <w:rsid w:val="00A164A7"/>
    <w:rsid w:val="00A2685F"/>
    <w:rsid w:val="00A271B3"/>
    <w:rsid w:val="00A31CE1"/>
    <w:rsid w:val="00A32FA4"/>
    <w:rsid w:val="00A35327"/>
    <w:rsid w:val="00A35F8E"/>
    <w:rsid w:val="00A3776F"/>
    <w:rsid w:val="00A377BB"/>
    <w:rsid w:val="00A4410F"/>
    <w:rsid w:val="00A44B05"/>
    <w:rsid w:val="00A50C99"/>
    <w:rsid w:val="00A51096"/>
    <w:rsid w:val="00A637FC"/>
    <w:rsid w:val="00A70CC2"/>
    <w:rsid w:val="00A749A8"/>
    <w:rsid w:val="00A820AC"/>
    <w:rsid w:val="00A83744"/>
    <w:rsid w:val="00A851E2"/>
    <w:rsid w:val="00A94B74"/>
    <w:rsid w:val="00AA0259"/>
    <w:rsid w:val="00AA063F"/>
    <w:rsid w:val="00AA0F46"/>
    <w:rsid w:val="00AA2C42"/>
    <w:rsid w:val="00AA39E2"/>
    <w:rsid w:val="00AA5795"/>
    <w:rsid w:val="00AA6392"/>
    <w:rsid w:val="00AA675B"/>
    <w:rsid w:val="00AB03B0"/>
    <w:rsid w:val="00AB15D9"/>
    <w:rsid w:val="00AB30F6"/>
    <w:rsid w:val="00AB3910"/>
    <w:rsid w:val="00AB722F"/>
    <w:rsid w:val="00AC2A7F"/>
    <w:rsid w:val="00AC33BB"/>
    <w:rsid w:val="00AD0DA1"/>
    <w:rsid w:val="00AD1224"/>
    <w:rsid w:val="00AD2361"/>
    <w:rsid w:val="00AD458E"/>
    <w:rsid w:val="00AD6E53"/>
    <w:rsid w:val="00AD788E"/>
    <w:rsid w:val="00AE2233"/>
    <w:rsid w:val="00AE27A2"/>
    <w:rsid w:val="00AE2F06"/>
    <w:rsid w:val="00AE648D"/>
    <w:rsid w:val="00AE6666"/>
    <w:rsid w:val="00AE7DDD"/>
    <w:rsid w:val="00AF3038"/>
    <w:rsid w:val="00AF7ED6"/>
    <w:rsid w:val="00B0447B"/>
    <w:rsid w:val="00B078C3"/>
    <w:rsid w:val="00B07B85"/>
    <w:rsid w:val="00B11D90"/>
    <w:rsid w:val="00B13973"/>
    <w:rsid w:val="00B149C5"/>
    <w:rsid w:val="00B14D54"/>
    <w:rsid w:val="00B16830"/>
    <w:rsid w:val="00B2023C"/>
    <w:rsid w:val="00B20BDA"/>
    <w:rsid w:val="00B24B08"/>
    <w:rsid w:val="00B30034"/>
    <w:rsid w:val="00B32092"/>
    <w:rsid w:val="00B330A6"/>
    <w:rsid w:val="00B35921"/>
    <w:rsid w:val="00B360F9"/>
    <w:rsid w:val="00B37A83"/>
    <w:rsid w:val="00B41B0D"/>
    <w:rsid w:val="00B506A3"/>
    <w:rsid w:val="00B5288A"/>
    <w:rsid w:val="00B52FFB"/>
    <w:rsid w:val="00B53691"/>
    <w:rsid w:val="00B61032"/>
    <w:rsid w:val="00B721D1"/>
    <w:rsid w:val="00B735A9"/>
    <w:rsid w:val="00B81270"/>
    <w:rsid w:val="00B8267D"/>
    <w:rsid w:val="00B839C5"/>
    <w:rsid w:val="00B844B1"/>
    <w:rsid w:val="00B86E33"/>
    <w:rsid w:val="00BA12A6"/>
    <w:rsid w:val="00BA3DB9"/>
    <w:rsid w:val="00BA7D7B"/>
    <w:rsid w:val="00BB576C"/>
    <w:rsid w:val="00BC265C"/>
    <w:rsid w:val="00BC2710"/>
    <w:rsid w:val="00BC357B"/>
    <w:rsid w:val="00BC7133"/>
    <w:rsid w:val="00BC7A12"/>
    <w:rsid w:val="00BD2DEC"/>
    <w:rsid w:val="00BD3E4C"/>
    <w:rsid w:val="00BD4AD0"/>
    <w:rsid w:val="00BD4CC2"/>
    <w:rsid w:val="00BE158A"/>
    <w:rsid w:val="00BE2334"/>
    <w:rsid w:val="00BE3D00"/>
    <w:rsid w:val="00BE5243"/>
    <w:rsid w:val="00BE6E81"/>
    <w:rsid w:val="00C06343"/>
    <w:rsid w:val="00C064E0"/>
    <w:rsid w:val="00C0724F"/>
    <w:rsid w:val="00C07934"/>
    <w:rsid w:val="00C14643"/>
    <w:rsid w:val="00C15CC9"/>
    <w:rsid w:val="00C22088"/>
    <w:rsid w:val="00C23582"/>
    <w:rsid w:val="00C23BF4"/>
    <w:rsid w:val="00C33A0B"/>
    <w:rsid w:val="00C34DB6"/>
    <w:rsid w:val="00C400BC"/>
    <w:rsid w:val="00C4570D"/>
    <w:rsid w:val="00C47790"/>
    <w:rsid w:val="00C47B62"/>
    <w:rsid w:val="00C521F7"/>
    <w:rsid w:val="00C55022"/>
    <w:rsid w:val="00C56D8E"/>
    <w:rsid w:val="00C5733F"/>
    <w:rsid w:val="00C61C26"/>
    <w:rsid w:val="00C61EC4"/>
    <w:rsid w:val="00C641C9"/>
    <w:rsid w:val="00C65568"/>
    <w:rsid w:val="00C71176"/>
    <w:rsid w:val="00C77A05"/>
    <w:rsid w:val="00C8091D"/>
    <w:rsid w:val="00C90BDC"/>
    <w:rsid w:val="00C9209F"/>
    <w:rsid w:val="00CB132D"/>
    <w:rsid w:val="00CB6C87"/>
    <w:rsid w:val="00CC1A44"/>
    <w:rsid w:val="00CC1BEA"/>
    <w:rsid w:val="00CC636F"/>
    <w:rsid w:val="00CD1171"/>
    <w:rsid w:val="00CD1863"/>
    <w:rsid w:val="00CD595A"/>
    <w:rsid w:val="00CD64C7"/>
    <w:rsid w:val="00CD733A"/>
    <w:rsid w:val="00CE4108"/>
    <w:rsid w:val="00CE485A"/>
    <w:rsid w:val="00CE500F"/>
    <w:rsid w:val="00CE523D"/>
    <w:rsid w:val="00CE5CBE"/>
    <w:rsid w:val="00D01E47"/>
    <w:rsid w:val="00D021BD"/>
    <w:rsid w:val="00D0489C"/>
    <w:rsid w:val="00D06991"/>
    <w:rsid w:val="00D06DE2"/>
    <w:rsid w:val="00D1007F"/>
    <w:rsid w:val="00D10A54"/>
    <w:rsid w:val="00D1585A"/>
    <w:rsid w:val="00D1754C"/>
    <w:rsid w:val="00D204EF"/>
    <w:rsid w:val="00D22718"/>
    <w:rsid w:val="00D26618"/>
    <w:rsid w:val="00D3069C"/>
    <w:rsid w:val="00D31B11"/>
    <w:rsid w:val="00D328DE"/>
    <w:rsid w:val="00D33975"/>
    <w:rsid w:val="00D35C99"/>
    <w:rsid w:val="00D35EC2"/>
    <w:rsid w:val="00D416EF"/>
    <w:rsid w:val="00D42BDF"/>
    <w:rsid w:val="00D45A38"/>
    <w:rsid w:val="00D63651"/>
    <w:rsid w:val="00D71417"/>
    <w:rsid w:val="00D72151"/>
    <w:rsid w:val="00D76D52"/>
    <w:rsid w:val="00D81FBB"/>
    <w:rsid w:val="00D93B89"/>
    <w:rsid w:val="00DA1EAF"/>
    <w:rsid w:val="00DA687F"/>
    <w:rsid w:val="00DA6D87"/>
    <w:rsid w:val="00DB04F7"/>
    <w:rsid w:val="00DB5BB2"/>
    <w:rsid w:val="00DC1F62"/>
    <w:rsid w:val="00DC6F37"/>
    <w:rsid w:val="00DD0F1D"/>
    <w:rsid w:val="00DD2786"/>
    <w:rsid w:val="00DD7717"/>
    <w:rsid w:val="00DE1FA5"/>
    <w:rsid w:val="00DE3C02"/>
    <w:rsid w:val="00DE4985"/>
    <w:rsid w:val="00DE757E"/>
    <w:rsid w:val="00DF04EA"/>
    <w:rsid w:val="00DF12EE"/>
    <w:rsid w:val="00DF16ED"/>
    <w:rsid w:val="00E00138"/>
    <w:rsid w:val="00E15D37"/>
    <w:rsid w:val="00E173FC"/>
    <w:rsid w:val="00E2500B"/>
    <w:rsid w:val="00E2612B"/>
    <w:rsid w:val="00E3038A"/>
    <w:rsid w:val="00E3095B"/>
    <w:rsid w:val="00E30C69"/>
    <w:rsid w:val="00E3260E"/>
    <w:rsid w:val="00E33ACC"/>
    <w:rsid w:val="00E45955"/>
    <w:rsid w:val="00E522FF"/>
    <w:rsid w:val="00E524DE"/>
    <w:rsid w:val="00E542BE"/>
    <w:rsid w:val="00E557EC"/>
    <w:rsid w:val="00E55FC4"/>
    <w:rsid w:val="00E602BC"/>
    <w:rsid w:val="00E6111A"/>
    <w:rsid w:val="00E7316B"/>
    <w:rsid w:val="00E779AE"/>
    <w:rsid w:val="00E8153C"/>
    <w:rsid w:val="00E83754"/>
    <w:rsid w:val="00E84196"/>
    <w:rsid w:val="00E84C43"/>
    <w:rsid w:val="00E85497"/>
    <w:rsid w:val="00E86E9F"/>
    <w:rsid w:val="00E87001"/>
    <w:rsid w:val="00E909B5"/>
    <w:rsid w:val="00E91DC9"/>
    <w:rsid w:val="00E9228E"/>
    <w:rsid w:val="00E97BF8"/>
    <w:rsid w:val="00EA2230"/>
    <w:rsid w:val="00EA44A5"/>
    <w:rsid w:val="00EA478F"/>
    <w:rsid w:val="00EA56A5"/>
    <w:rsid w:val="00EA5BCE"/>
    <w:rsid w:val="00EB2D6E"/>
    <w:rsid w:val="00EB6A0B"/>
    <w:rsid w:val="00EC4605"/>
    <w:rsid w:val="00ED2C51"/>
    <w:rsid w:val="00ED7868"/>
    <w:rsid w:val="00EE1A00"/>
    <w:rsid w:val="00EE24B3"/>
    <w:rsid w:val="00EE31DD"/>
    <w:rsid w:val="00EE411F"/>
    <w:rsid w:val="00EF371B"/>
    <w:rsid w:val="00EF7AB4"/>
    <w:rsid w:val="00F11967"/>
    <w:rsid w:val="00F139E3"/>
    <w:rsid w:val="00F151BA"/>
    <w:rsid w:val="00F16E72"/>
    <w:rsid w:val="00F21894"/>
    <w:rsid w:val="00F269CF"/>
    <w:rsid w:val="00F372A1"/>
    <w:rsid w:val="00F375B4"/>
    <w:rsid w:val="00F408DA"/>
    <w:rsid w:val="00F451D6"/>
    <w:rsid w:val="00F458C5"/>
    <w:rsid w:val="00F45A61"/>
    <w:rsid w:val="00F45C5A"/>
    <w:rsid w:val="00F47A35"/>
    <w:rsid w:val="00F5302F"/>
    <w:rsid w:val="00F555B2"/>
    <w:rsid w:val="00F6539F"/>
    <w:rsid w:val="00F6584D"/>
    <w:rsid w:val="00F66733"/>
    <w:rsid w:val="00F70B48"/>
    <w:rsid w:val="00F7182E"/>
    <w:rsid w:val="00F71BC4"/>
    <w:rsid w:val="00F71F4D"/>
    <w:rsid w:val="00F74380"/>
    <w:rsid w:val="00F76D7F"/>
    <w:rsid w:val="00F82265"/>
    <w:rsid w:val="00F83007"/>
    <w:rsid w:val="00F954A5"/>
    <w:rsid w:val="00F9568F"/>
    <w:rsid w:val="00FA25E9"/>
    <w:rsid w:val="00FA3272"/>
    <w:rsid w:val="00FA3AC2"/>
    <w:rsid w:val="00FA4D92"/>
    <w:rsid w:val="00FA4DFC"/>
    <w:rsid w:val="00FB0971"/>
    <w:rsid w:val="00FC72B1"/>
    <w:rsid w:val="00FD22E1"/>
    <w:rsid w:val="00FD3515"/>
    <w:rsid w:val="00FD352B"/>
    <w:rsid w:val="00FD3A80"/>
    <w:rsid w:val="00FD7465"/>
    <w:rsid w:val="00FE3342"/>
    <w:rsid w:val="00FE4244"/>
    <w:rsid w:val="00FE4B3B"/>
    <w:rsid w:val="00FE540B"/>
    <w:rsid w:val="00FE5BE6"/>
    <w:rsid w:val="00FF51C5"/>
    <w:rsid w:val="00FF6029"/>
    <w:rsid w:val="00FF74CB"/>
    <w:rsid w:val="00FF7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542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0B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
    <w:semiHidden/>
    <w:unhideWhenUsed/>
    <w:qFormat/>
    <w:rsid w:val="00F70B48"/>
    <w:pPr>
      <w:suppressAutoHyphens/>
      <w:spacing w:before="240" w:after="120" w:line="280" w:lineRule="atLeast"/>
      <w:contextualSpacing/>
      <w:outlineLvl w:val="3"/>
    </w:pPr>
    <w:rPr>
      <w:bCs/>
      <w:iCs/>
      <w:color w:val="44546A" w:themeColor="text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Table text,Bullets level 1,PRIORITAS List_numbered,Resume Title,Question wording,Bullets,Liste Article,Numbered paragraph,Paragraphe de liste1,Medium Grid 1 - Accent 21,references"/>
    <w:basedOn w:val="Normal"/>
    <w:link w:val="ListParagraphChar"/>
    <w:uiPriority w:val="34"/>
    <w:qFormat/>
    <w:rsid w:val="00A164A7"/>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470E77"/>
    <w:rPr>
      <w:color w:val="0563C1"/>
      <w:u w:val="single"/>
    </w:rPr>
  </w:style>
  <w:style w:type="character" w:styleId="CommentReference">
    <w:name w:val="annotation reference"/>
    <w:basedOn w:val="DefaultParagraphFont"/>
    <w:uiPriority w:val="99"/>
    <w:semiHidden/>
    <w:unhideWhenUsed/>
    <w:rsid w:val="00AB30F6"/>
    <w:rPr>
      <w:sz w:val="16"/>
      <w:szCs w:val="16"/>
    </w:rPr>
  </w:style>
  <w:style w:type="paragraph" w:styleId="CommentText">
    <w:name w:val="annotation text"/>
    <w:basedOn w:val="Normal"/>
    <w:link w:val="CommentTextChar"/>
    <w:uiPriority w:val="99"/>
    <w:semiHidden/>
    <w:unhideWhenUsed/>
    <w:rsid w:val="00AB30F6"/>
    <w:pPr>
      <w:spacing w:line="240" w:lineRule="auto"/>
    </w:pPr>
    <w:rPr>
      <w:sz w:val="20"/>
      <w:szCs w:val="20"/>
    </w:rPr>
  </w:style>
  <w:style w:type="character" w:customStyle="1" w:styleId="CommentTextChar">
    <w:name w:val="Comment Text Char"/>
    <w:basedOn w:val="DefaultParagraphFont"/>
    <w:link w:val="CommentText"/>
    <w:uiPriority w:val="99"/>
    <w:semiHidden/>
    <w:rsid w:val="00AB30F6"/>
    <w:rPr>
      <w:sz w:val="20"/>
      <w:szCs w:val="20"/>
    </w:rPr>
  </w:style>
  <w:style w:type="paragraph" w:styleId="CommentSubject">
    <w:name w:val="annotation subject"/>
    <w:basedOn w:val="CommentText"/>
    <w:next w:val="CommentText"/>
    <w:link w:val="CommentSubjectChar"/>
    <w:uiPriority w:val="99"/>
    <w:semiHidden/>
    <w:unhideWhenUsed/>
    <w:rsid w:val="00AB30F6"/>
    <w:rPr>
      <w:b/>
      <w:bCs/>
    </w:rPr>
  </w:style>
  <w:style w:type="character" w:customStyle="1" w:styleId="CommentSubjectChar">
    <w:name w:val="Comment Subject Char"/>
    <w:basedOn w:val="CommentTextChar"/>
    <w:link w:val="CommentSubject"/>
    <w:uiPriority w:val="99"/>
    <w:semiHidden/>
    <w:rsid w:val="00AB30F6"/>
    <w:rPr>
      <w:b/>
      <w:bCs/>
      <w:sz w:val="20"/>
      <w:szCs w:val="20"/>
    </w:rPr>
  </w:style>
  <w:style w:type="paragraph" w:styleId="BalloonText">
    <w:name w:val="Balloon Text"/>
    <w:basedOn w:val="Normal"/>
    <w:link w:val="BalloonTextChar"/>
    <w:uiPriority w:val="99"/>
    <w:semiHidden/>
    <w:unhideWhenUsed/>
    <w:rsid w:val="00AB3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0F6"/>
    <w:rPr>
      <w:rFonts w:ascii="Segoe UI" w:hAnsi="Segoe UI" w:cs="Segoe UI"/>
      <w:sz w:val="18"/>
      <w:szCs w:val="18"/>
    </w:rPr>
  </w:style>
  <w:style w:type="paragraph" w:styleId="FootnoteText">
    <w:name w:val="footnote text"/>
    <w:basedOn w:val="Normal"/>
    <w:link w:val="FootnoteTextChar"/>
    <w:uiPriority w:val="99"/>
    <w:semiHidden/>
    <w:unhideWhenUsed/>
    <w:qFormat/>
    <w:rsid w:val="00DE1FA5"/>
    <w:pPr>
      <w:suppressAutoHyphens/>
      <w:spacing w:before="60" w:after="0" w:line="140" w:lineRule="atLeast"/>
      <w:ind w:left="170" w:hanging="170"/>
    </w:pPr>
    <w:rPr>
      <w:color w:val="44546A" w:themeColor="text2"/>
      <w:sz w:val="12"/>
      <w:szCs w:val="20"/>
      <w:lang w:val="en-GB"/>
    </w:rPr>
  </w:style>
  <w:style w:type="character" w:customStyle="1" w:styleId="FootnoteTextChar">
    <w:name w:val="Footnote Text Char"/>
    <w:basedOn w:val="DefaultParagraphFont"/>
    <w:link w:val="FootnoteText"/>
    <w:uiPriority w:val="99"/>
    <w:semiHidden/>
    <w:rsid w:val="00DE1FA5"/>
    <w:rPr>
      <w:color w:val="44546A" w:themeColor="text2"/>
      <w:sz w:val="12"/>
      <w:szCs w:val="20"/>
      <w:lang w:val="en-GB"/>
    </w:rPr>
  </w:style>
  <w:style w:type="character" w:styleId="FootnoteReference">
    <w:name w:val="footnote reference"/>
    <w:aliases w:val="Normal + Font:9 Point,Superscript 3 Point Times"/>
    <w:basedOn w:val="DefaultParagraphFont"/>
    <w:uiPriority w:val="99"/>
    <w:semiHidden/>
    <w:unhideWhenUsed/>
    <w:rsid w:val="00DE1FA5"/>
    <w:rPr>
      <w:vertAlign w:val="superscript"/>
    </w:rPr>
  </w:style>
  <w:style w:type="paragraph" w:styleId="Header">
    <w:name w:val="header"/>
    <w:basedOn w:val="Normal"/>
    <w:link w:val="HeaderChar"/>
    <w:uiPriority w:val="99"/>
    <w:unhideWhenUsed/>
    <w:rsid w:val="00584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14F"/>
  </w:style>
  <w:style w:type="paragraph" w:styleId="Footer">
    <w:name w:val="footer"/>
    <w:basedOn w:val="Normal"/>
    <w:link w:val="FooterChar"/>
    <w:uiPriority w:val="99"/>
    <w:unhideWhenUsed/>
    <w:rsid w:val="00584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14F"/>
  </w:style>
  <w:style w:type="character" w:customStyle="1" w:styleId="ListParagraphChar">
    <w:name w:val="List Paragraph Char"/>
    <w:aliases w:val="List Paragraph1 Char,List Paragraph11 Char,L Char,Recommendation Char,CV text Char,Table text Char,Bullets level 1 Char,PRIORITAS List_numbered Char,Resume Title Char,Question wording Char,Bullets Char,Liste Article Char"/>
    <w:link w:val="ListParagraph"/>
    <w:uiPriority w:val="34"/>
    <w:qFormat/>
    <w:locked/>
    <w:rsid w:val="00AE2233"/>
    <w:rPr>
      <w:rFonts w:ascii="Calibri" w:hAnsi="Calibri" w:cs="Calibri"/>
    </w:rPr>
  </w:style>
  <w:style w:type="character" w:customStyle="1" w:styleId="Heading4Char">
    <w:name w:val="Heading 4 Char"/>
    <w:basedOn w:val="DefaultParagraphFont"/>
    <w:link w:val="Heading4"/>
    <w:uiPriority w:val="9"/>
    <w:semiHidden/>
    <w:rsid w:val="00F70B48"/>
    <w:rPr>
      <w:rFonts w:asciiTheme="majorHAnsi" w:eastAsiaTheme="majorEastAsia" w:hAnsiTheme="majorHAnsi" w:cstheme="majorBidi"/>
      <w:bCs/>
      <w:iCs/>
      <w:color w:val="44546A" w:themeColor="text2"/>
      <w:sz w:val="24"/>
      <w:szCs w:val="26"/>
      <w:lang w:val="en-GB"/>
    </w:rPr>
  </w:style>
  <w:style w:type="character" w:styleId="Strong">
    <w:name w:val="Strong"/>
    <w:basedOn w:val="DefaultParagraphFont"/>
    <w:uiPriority w:val="22"/>
    <w:qFormat/>
    <w:rsid w:val="00F70B48"/>
    <w:rPr>
      <w:b/>
      <w:bCs/>
    </w:rPr>
  </w:style>
  <w:style w:type="character" w:customStyle="1" w:styleId="Heading3Char">
    <w:name w:val="Heading 3 Char"/>
    <w:basedOn w:val="DefaultParagraphFont"/>
    <w:link w:val="Heading3"/>
    <w:uiPriority w:val="9"/>
    <w:semiHidden/>
    <w:rsid w:val="00F70B4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657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106">
      <w:bodyDiv w:val="1"/>
      <w:marLeft w:val="0"/>
      <w:marRight w:val="0"/>
      <w:marTop w:val="0"/>
      <w:marBottom w:val="0"/>
      <w:divBdr>
        <w:top w:val="none" w:sz="0" w:space="0" w:color="auto"/>
        <w:left w:val="none" w:sz="0" w:space="0" w:color="auto"/>
        <w:bottom w:val="none" w:sz="0" w:space="0" w:color="auto"/>
        <w:right w:val="none" w:sz="0" w:space="0" w:color="auto"/>
      </w:divBdr>
    </w:div>
    <w:div w:id="135610391">
      <w:bodyDiv w:val="1"/>
      <w:marLeft w:val="0"/>
      <w:marRight w:val="0"/>
      <w:marTop w:val="0"/>
      <w:marBottom w:val="0"/>
      <w:divBdr>
        <w:top w:val="none" w:sz="0" w:space="0" w:color="auto"/>
        <w:left w:val="none" w:sz="0" w:space="0" w:color="auto"/>
        <w:bottom w:val="none" w:sz="0" w:space="0" w:color="auto"/>
        <w:right w:val="none" w:sz="0" w:space="0" w:color="auto"/>
      </w:divBdr>
    </w:div>
    <w:div w:id="199779286">
      <w:bodyDiv w:val="1"/>
      <w:marLeft w:val="0"/>
      <w:marRight w:val="0"/>
      <w:marTop w:val="0"/>
      <w:marBottom w:val="0"/>
      <w:divBdr>
        <w:top w:val="none" w:sz="0" w:space="0" w:color="auto"/>
        <w:left w:val="none" w:sz="0" w:space="0" w:color="auto"/>
        <w:bottom w:val="none" w:sz="0" w:space="0" w:color="auto"/>
        <w:right w:val="none" w:sz="0" w:space="0" w:color="auto"/>
      </w:divBdr>
    </w:div>
    <w:div w:id="256796612">
      <w:bodyDiv w:val="1"/>
      <w:marLeft w:val="0"/>
      <w:marRight w:val="0"/>
      <w:marTop w:val="0"/>
      <w:marBottom w:val="0"/>
      <w:divBdr>
        <w:top w:val="none" w:sz="0" w:space="0" w:color="auto"/>
        <w:left w:val="none" w:sz="0" w:space="0" w:color="auto"/>
        <w:bottom w:val="none" w:sz="0" w:space="0" w:color="auto"/>
        <w:right w:val="none" w:sz="0" w:space="0" w:color="auto"/>
      </w:divBdr>
    </w:div>
    <w:div w:id="421797458">
      <w:bodyDiv w:val="1"/>
      <w:marLeft w:val="0"/>
      <w:marRight w:val="0"/>
      <w:marTop w:val="0"/>
      <w:marBottom w:val="0"/>
      <w:divBdr>
        <w:top w:val="none" w:sz="0" w:space="0" w:color="auto"/>
        <w:left w:val="none" w:sz="0" w:space="0" w:color="auto"/>
        <w:bottom w:val="none" w:sz="0" w:space="0" w:color="auto"/>
        <w:right w:val="none" w:sz="0" w:space="0" w:color="auto"/>
      </w:divBdr>
    </w:div>
    <w:div w:id="574972605">
      <w:bodyDiv w:val="1"/>
      <w:marLeft w:val="0"/>
      <w:marRight w:val="0"/>
      <w:marTop w:val="0"/>
      <w:marBottom w:val="0"/>
      <w:divBdr>
        <w:top w:val="none" w:sz="0" w:space="0" w:color="auto"/>
        <w:left w:val="none" w:sz="0" w:space="0" w:color="auto"/>
        <w:bottom w:val="none" w:sz="0" w:space="0" w:color="auto"/>
        <w:right w:val="none" w:sz="0" w:space="0" w:color="auto"/>
      </w:divBdr>
    </w:div>
    <w:div w:id="793795002">
      <w:bodyDiv w:val="1"/>
      <w:marLeft w:val="0"/>
      <w:marRight w:val="0"/>
      <w:marTop w:val="0"/>
      <w:marBottom w:val="0"/>
      <w:divBdr>
        <w:top w:val="none" w:sz="0" w:space="0" w:color="auto"/>
        <w:left w:val="none" w:sz="0" w:space="0" w:color="auto"/>
        <w:bottom w:val="none" w:sz="0" w:space="0" w:color="auto"/>
        <w:right w:val="none" w:sz="0" w:space="0" w:color="auto"/>
      </w:divBdr>
    </w:div>
    <w:div w:id="1262840109">
      <w:bodyDiv w:val="1"/>
      <w:marLeft w:val="0"/>
      <w:marRight w:val="0"/>
      <w:marTop w:val="0"/>
      <w:marBottom w:val="0"/>
      <w:divBdr>
        <w:top w:val="none" w:sz="0" w:space="0" w:color="auto"/>
        <w:left w:val="none" w:sz="0" w:space="0" w:color="auto"/>
        <w:bottom w:val="none" w:sz="0" w:space="0" w:color="auto"/>
        <w:right w:val="none" w:sz="0" w:space="0" w:color="auto"/>
      </w:divBdr>
    </w:div>
    <w:div w:id="1331517976">
      <w:bodyDiv w:val="1"/>
      <w:marLeft w:val="0"/>
      <w:marRight w:val="0"/>
      <w:marTop w:val="0"/>
      <w:marBottom w:val="0"/>
      <w:divBdr>
        <w:top w:val="none" w:sz="0" w:space="0" w:color="auto"/>
        <w:left w:val="none" w:sz="0" w:space="0" w:color="auto"/>
        <w:bottom w:val="none" w:sz="0" w:space="0" w:color="auto"/>
        <w:right w:val="none" w:sz="0" w:space="0" w:color="auto"/>
      </w:divBdr>
    </w:div>
    <w:div w:id="1635286283">
      <w:bodyDiv w:val="1"/>
      <w:marLeft w:val="0"/>
      <w:marRight w:val="0"/>
      <w:marTop w:val="0"/>
      <w:marBottom w:val="0"/>
      <w:divBdr>
        <w:top w:val="none" w:sz="0" w:space="0" w:color="auto"/>
        <w:left w:val="none" w:sz="0" w:space="0" w:color="auto"/>
        <w:bottom w:val="none" w:sz="0" w:space="0" w:color="auto"/>
        <w:right w:val="none" w:sz="0" w:space="0" w:color="auto"/>
      </w:divBdr>
    </w:div>
    <w:div w:id="1685593532">
      <w:bodyDiv w:val="1"/>
      <w:marLeft w:val="0"/>
      <w:marRight w:val="0"/>
      <w:marTop w:val="0"/>
      <w:marBottom w:val="0"/>
      <w:divBdr>
        <w:top w:val="none" w:sz="0" w:space="0" w:color="auto"/>
        <w:left w:val="none" w:sz="0" w:space="0" w:color="auto"/>
        <w:bottom w:val="none" w:sz="0" w:space="0" w:color="auto"/>
        <w:right w:val="none" w:sz="0" w:space="0" w:color="auto"/>
      </w:divBdr>
    </w:div>
    <w:div w:id="1759056760">
      <w:bodyDiv w:val="1"/>
      <w:marLeft w:val="0"/>
      <w:marRight w:val="0"/>
      <w:marTop w:val="0"/>
      <w:marBottom w:val="0"/>
      <w:divBdr>
        <w:top w:val="none" w:sz="0" w:space="0" w:color="auto"/>
        <w:left w:val="none" w:sz="0" w:space="0" w:color="auto"/>
        <w:bottom w:val="none" w:sz="0" w:space="0" w:color="auto"/>
        <w:right w:val="none" w:sz="0" w:space="0" w:color="auto"/>
      </w:divBdr>
    </w:div>
    <w:div w:id="1936400063">
      <w:bodyDiv w:val="1"/>
      <w:marLeft w:val="0"/>
      <w:marRight w:val="0"/>
      <w:marTop w:val="0"/>
      <w:marBottom w:val="0"/>
      <w:divBdr>
        <w:top w:val="none" w:sz="0" w:space="0" w:color="auto"/>
        <w:left w:val="none" w:sz="0" w:space="0" w:color="auto"/>
        <w:bottom w:val="none" w:sz="0" w:space="0" w:color="auto"/>
        <w:right w:val="none" w:sz="0" w:space="0" w:color="auto"/>
      </w:divBdr>
    </w:div>
    <w:div w:id="1958557621">
      <w:bodyDiv w:val="1"/>
      <w:marLeft w:val="0"/>
      <w:marRight w:val="0"/>
      <w:marTop w:val="0"/>
      <w:marBottom w:val="0"/>
      <w:divBdr>
        <w:top w:val="none" w:sz="0" w:space="0" w:color="auto"/>
        <w:left w:val="none" w:sz="0" w:space="0" w:color="auto"/>
        <w:bottom w:val="none" w:sz="0" w:space="0" w:color="auto"/>
        <w:right w:val="none" w:sz="0" w:space="0" w:color="auto"/>
      </w:divBdr>
    </w:div>
    <w:div w:id="1993748575">
      <w:bodyDiv w:val="1"/>
      <w:marLeft w:val="0"/>
      <w:marRight w:val="0"/>
      <w:marTop w:val="0"/>
      <w:marBottom w:val="0"/>
      <w:divBdr>
        <w:top w:val="none" w:sz="0" w:space="0" w:color="auto"/>
        <w:left w:val="none" w:sz="0" w:space="0" w:color="auto"/>
        <w:bottom w:val="none" w:sz="0" w:space="0" w:color="auto"/>
        <w:right w:val="none" w:sz="0" w:space="0" w:color="auto"/>
      </w:divBdr>
    </w:div>
    <w:div w:id="2042433628">
      <w:bodyDiv w:val="1"/>
      <w:marLeft w:val="0"/>
      <w:marRight w:val="0"/>
      <w:marTop w:val="0"/>
      <w:marBottom w:val="0"/>
      <w:divBdr>
        <w:top w:val="none" w:sz="0" w:space="0" w:color="auto"/>
        <w:left w:val="none" w:sz="0" w:space="0" w:color="auto"/>
        <w:bottom w:val="none" w:sz="0" w:space="0" w:color="auto"/>
        <w:right w:val="none" w:sz="0" w:space="0" w:color="auto"/>
      </w:divBdr>
    </w:div>
    <w:div w:id="20515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207D-05EE-4BC1-B359-ED51817B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1913</Words>
  <Characters>11174</Characters>
  <Application>Microsoft Office Word</Application>
  <DocSecurity>0</DocSecurity>
  <Lines>468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Australia-World Bank Indonesia Partnership Independent Mid-Term Review management response</dc:title>
  <dc:subject/>
  <dc:creator/>
  <cp:keywords>[SEC=UNOFFICIAL]</cp:keywords>
  <dc:description/>
  <cp:lastModifiedBy/>
  <cp:revision>1</cp:revision>
  <dcterms:created xsi:type="dcterms:W3CDTF">2023-02-15T05:04:00Z</dcterms:created>
  <dcterms:modified xsi:type="dcterms:W3CDTF">2023-02-15T05:04:00Z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147BDA1C70C086A9F81A77E6FE179F82ED42EC5D</vt:lpwstr>
  </property>
  <property fmtid="{D5CDD505-2E9C-101B-9397-08002B2CF9AE}" pid="9" name="PM_Originating_FileId">
    <vt:lpwstr>3B7DF527FCCD475184CEC125B18EFB89</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2023-02-15T05:04:23Z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FAAAA33EC3B61A9746C0FD3D0CB8F439</vt:lpwstr>
  </property>
  <property fmtid="{D5CDD505-2E9C-101B-9397-08002B2CF9AE}" pid="21" name="PM_Hash_Salt">
    <vt:lpwstr>6B6B4720CB7D877BAF1E0EFEF04DD2AE</vt:lpwstr>
  </property>
  <property fmtid="{D5CDD505-2E9C-101B-9397-08002B2CF9AE}" pid="22" name="PM_Hash_SHA1">
    <vt:lpwstr>41F702E5DE4A308B6E1BD8C4A1A65DCF99158D0C</vt:lpwstr>
  </property>
  <property fmtid="{D5CDD505-2E9C-101B-9397-08002B2CF9AE}" pid="23" name="PM_OriginatorUserAccountName_SHA256">
    <vt:lpwstr>61DF37F305778EEFEC3DEF440A7A7FE067A7817CEFD90AC3C27908DBA8611FA7</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Uuid">
    <vt:lpwstr>E1361484-89D3-5259-96FC-8942BCC53599</vt:lpwstr>
  </property>
  <property fmtid="{D5CDD505-2E9C-101B-9397-08002B2CF9AE}" pid="28" name="PMUuidVer">
    <vt:lpwstr>2022.1</vt:lpwstr>
  </property>
</Properties>
</file>